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14-A</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(RULE 14a-101)</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INFORMATION REQUIRED IN PROXY STATEMENT</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SCHEDULE 14A INFORMATION</w:t>
      </w:r>
    </w:p>
    <w:p>
      <w:pPr>
        <w:sectPr>
          <w:pgSz w:w="11900" w:h="16838" w:orient="portrait"/>
          <w:cols w:equalWidth="0" w:num="1">
            <w:col w:w="11240"/>
          </w:cols>
          <w:pgMar w:left="320" w:top="612" w:right="339" w:bottom="1440" w:gutter="0" w:footer="0" w:header="0"/>
        </w:sectPr>
      </w:pPr>
    </w:p>
    <w:p>
      <w:pPr>
        <w:spacing w:after="0" w:line="181" w:lineRule="exact"/>
        <w:rPr>
          <w:sz w:val="24"/>
          <w:szCs w:val="24"/>
          <w:color w:val="auto"/>
        </w:rPr>
      </w:pPr>
    </w:p>
    <w:p>
      <w:pPr>
        <w:ind w:left="4180"/>
        <w:spacing w:after="0"/>
        <w:rPr>
          <w:sz w:val="20"/>
          <w:szCs w:val="20"/>
          <w:color w:val="auto"/>
        </w:rPr>
      </w:pPr>
      <w:r>
        <w:rPr>
          <w:rFonts w:ascii="Arial" w:cs="Arial" w:eastAsia="Arial" w:hAnsi="Arial"/>
          <w:sz w:val="14"/>
          <w:szCs w:val="14"/>
          <w:color w:val="auto"/>
        </w:rPr>
        <w:t>Proxy Statement Pursuant to Section 14(a) of</w:t>
      </w:r>
    </w:p>
    <w:p>
      <w:pPr>
        <w:spacing w:after="0" w:line="1" w:lineRule="exact"/>
        <w:rPr>
          <w:sz w:val="24"/>
          <w:szCs w:val="24"/>
          <w:color w:val="auto"/>
        </w:rPr>
      </w:pPr>
    </w:p>
    <w:p>
      <w:pPr>
        <w:ind w:left="3720"/>
        <w:spacing w:after="0"/>
        <w:rPr>
          <w:sz w:val="20"/>
          <w:szCs w:val="20"/>
          <w:color w:val="auto"/>
        </w:rPr>
      </w:pPr>
      <w:r>
        <w:rPr>
          <w:rFonts w:ascii="Arial" w:cs="Arial" w:eastAsia="Arial" w:hAnsi="Arial"/>
          <w:sz w:val="14"/>
          <w:szCs w:val="14"/>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45" w:lineRule="exact"/>
        <w:rPr>
          <w:sz w:val="24"/>
          <w:szCs w:val="24"/>
          <w:color w:val="auto"/>
        </w:rPr>
      </w:pPr>
    </w:p>
    <w:p>
      <w:pPr>
        <w:sectPr>
          <w:pgSz w:w="11900" w:h="16838" w:orient="portrait"/>
          <w:cols w:equalWidth="0" w:num="2">
            <w:col w:w="7160" w:space="320"/>
            <w:col w:w="3760"/>
          </w:cols>
          <w:pgMar w:left="320" w:top="612" w:right="33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p>
      <w:pPr>
        <w:spacing w:after="0" w:line="9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33"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82" w:lineRule="exact"/>
        <w:rPr>
          <w:sz w:val="24"/>
          <w:szCs w:val="2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77"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76" w:lineRule="exact"/>
        <w:rPr>
          <w:rFonts w:ascii="MS PGothic" w:cs="MS PGothic" w:eastAsia="MS PGothic" w:hAnsi="MS PGothic"/>
          <w:sz w:val="14"/>
          <w:szCs w:val="14"/>
          <w:color w:val="auto"/>
        </w:rPr>
      </w:pPr>
    </w:p>
    <w:p>
      <w:pPr>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Definitive Proxy Statement</w:t>
      </w:r>
    </w:p>
    <w:p>
      <w:pPr>
        <w:spacing w:after="0" w:line="132"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76"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 xml:space="preserve">Soliciting Materials Pursuant to </w:t>
      </w:r>
      <w:r>
        <w:rPr>
          <w:rFonts w:ascii="Arial" w:cs="Arial" w:eastAsia="Arial" w:hAnsi="Arial"/>
          <w:sz w:val="17"/>
          <w:szCs w:val="17"/>
          <w:color w:val="auto"/>
        </w:rPr>
        <w:t>§</w:t>
      </w:r>
      <w:r>
        <w:rPr>
          <w:rFonts w:ascii="Arial" w:cs="Arial" w:eastAsia="Arial" w:hAnsi="Arial"/>
          <w:sz w:val="14"/>
          <w:szCs w:val="14"/>
          <w:color w:val="auto"/>
        </w:rPr>
        <w:t>240.14a-12</w:t>
      </w: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Registrant as Specified In Its Charter)</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82" w:lineRule="exact"/>
        <w:rPr>
          <w:sz w:val="24"/>
          <w:szCs w:val="24"/>
          <w:color w:val="auto"/>
        </w:rPr>
      </w:pPr>
    </w:p>
    <w:p>
      <w:pPr>
        <w:ind w:left="180" w:hanging="172"/>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96" w:lineRule="exact"/>
        <w:rPr>
          <w:sz w:val="24"/>
          <w:szCs w:val="24"/>
          <w:color w:val="auto"/>
        </w:rPr>
      </w:pPr>
    </w:p>
    <w:p>
      <w:pPr>
        <w:ind w:left="180" w:hanging="172"/>
        <w:spacing w:after="0"/>
        <w:tabs>
          <w:tab w:leader="none" w:pos="1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27" w:lineRule="exact"/>
        <w:rPr>
          <w:rFonts w:ascii="MS PGothic" w:cs="MS PGothic" w:eastAsia="MS PGothic" w:hAnsi="MS PGothic"/>
          <w:sz w:val="14"/>
          <w:szCs w:val="14"/>
          <w:color w:val="auto"/>
        </w:rPr>
      </w:pPr>
    </w:p>
    <w:p>
      <w:pPr>
        <w:ind w:left="660" w:hanging="328"/>
        <w:spacing w:after="0" w:line="225" w:lineRule="auto"/>
        <w:tabs>
          <w:tab w:leader="none" w:pos="660" w:val="left"/>
        </w:tabs>
        <w:numPr>
          <w:ilvl w:val="1"/>
          <w:numId w:val="3"/>
        </w:numPr>
        <w:rPr>
          <w:rFonts w:ascii="Arial" w:cs="Arial" w:eastAsia="Arial" w:hAnsi="Arial"/>
          <w:sz w:val="16"/>
          <w:szCs w:val="16"/>
          <w:color w:val="auto"/>
        </w:rPr>
      </w:pPr>
      <w:r>
        <w:rPr>
          <w:rFonts w:ascii="Arial" w:cs="Arial" w:eastAsia="Arial" w:hAnsi="Arial"/>
          <w:sz w:val="14"/>
          <w:szCs w:val="14"/>
          <w:color w:val="auto"/>
        </w:rPr>
        <w:t>Title of each class of securities to which transaction applies:</w:t>
      </w:r>
    </w:p>
    <w:p>
      <w:pPr>
        <w:spacing w:after="0" w:line="219" w:lineRule="exact"/>
        <w:rPr>
          <w:rFonts w:ascii="Arial" w:cs="Arial" w:eastAsia="Arial" w:hAnsi="Arial"/>
          <w:sz w:val="16"/>
          <w:szCs w:val="16"/>
          <w:color w:val="auto"/>
        </w:rPr>
      </w:pPr>
    </w:p>
    <w:p>
      <w:pPr>
        <w:ind w:left="660" w:hanging="328"/>
        <w:spacing w:after="0"/>
        <w:tabs>
          <w:tab w:leader="none" w:pos="660" w:val="left"/>
        </w:tabs>
        <w:numPr>
          <w:ilvl w:val="1"/>
          <w:numId w:val="3"/>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17" w:lineRule="exact"/>
        <w:rPr>
          <w:rFonts w:ascii="Arial" w:cs="Arial" w:eastAsia="Arial" w:hAnsi="Arial"/>
          <w:sz w:val="14"/>
          <w:szCs w:val="14"/>
          <w:color w:val="auto"/>
        </w:rPr>
      </w:pPr>
    </w:p>
    <w:p>
      <w:pPr>
        <w:ind w:left="660" w:right="280" w:hanging="328"/>
        <w:spacing w:after="0" w:line="258" w:lineRule="auto"/>
        <w:tabs>
          <w:tab w:leader="none" w:pos="660" w:val="left"/>
        </w:tabs>
        <w:numPr>
          <w:ilvl w:val="1"/>
          <w:numId w:val="3"/>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93" w:lineRule="exact"/>
        <w:rPr>
          <w:rFonts w:ascii="Arial" w:cs="Arial" w:eastAsia="Arial" w:hAnsi="Arial"/>
          <w:sz w:val="14"/>
          <w:szCs w:val="14"/>
          <w:color w:val="auto"/>
        </w:rPr>
      </w:pPr>
    </w:p>
    <w:p>
      <w:pPr>
        <w:ind w:left="660" w:hanging="328"/>
        <w:spacing w:after="0"/>
        <w:tabs>
          <w:tab w:leader="none" w:pos="660" w:val="left"/>
        </w:tabs>
        <w:numPr>
          <w:ilvl w:val="1"/>
          <w:numId w:val="3"/>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17" w:lineRule="exact"/>
        <w:rPr>
          <w:rFonts w:ascii="Arial" w:cs="Arial" w:eastAsia="Arial" w:hAnsi="Arial"/>
          <w:sz w:val="14"/>
          <w:szCs w:val="14"/>
          <w:color w:val="auto"/>
        </w:rPr>
      </w:pPr>
    </w:p>
    <w:p>
      <w:pPr>
        <w:ind w:left="660" w:hanging="328"/>
        <w:spacing w:after="0"/>
        <w:tabs>
          <w:tab w:leader="none" w:pos="660" w:val="left"/>
        </w:tabs>
        <w:numPr>
          <w:ilvl w:val="1"/>
          <w:numId w:val="3"/>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98" w:lineRule="exact"/>
        <w:rPr>
          <w:rFonts w:ascii="Arial" w:cs="Arial" w:eastAsia="Arial" w:hAnsi="Arial"/>
          <w:sz w:val="14"/>
          <w:szCs w:val="14"/>
          <w:color w:val="auto"/>
        </w:rPr>
      </w:pPr>
    </w:p>
    <w:p>
      <w:pPr>
        <w:ind w:left="180" w:hanging="172"/>
        <w:spacing w:after="0"/>
        <w:tabs>
          <w:tab w:leader="none" w:pos="1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95" w:lineRule="exact"/>
        <w:rPr>
          <w:rFonts w:ascii="MS PGothic" w:cs="MS PGothic" w:eastAsia="MS PGothic" w:hAnsi="MS PGothic"/>
          <w:sz w:val="14"/>
          <w:szCs w:val="14"/>
          <w:color w:val="auto"/>
        </w:rPr>
      </w:pPr>
    </w:p>
    <w:p>
      <w:pPr>
        <w:ind w:firstLine="8"/>
        <w:spacing w:after="0" w:line="278" w:lineRule="auto"/>
        <w:tabs>
          <w:tab w:leader="none" w:pos="184"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6" w:lineRule="exact"/>
        <w:rPr>
          <w:rFonts w:ascii="MS PGothic" w:cs="MS PGothic" w:eastAsia="MS PGothic" w:hAnsi="MS PGothic"/>
          <w:sz w:val="14"/>
          <w:szCs w:val="14"/>
          <w:color w:val="auto"/>
        </w:rPr>
      </w:pPr>
    </w:p>
    <w:p>
      <w:pPr>
        <w:ind w:left="660" w:hanging="328"/>
        <w:spacing w:after="0"/>
        <w:tabs>
          <w:tab w:leader="none" w:pos="660" w:val="left"/>
        </w:tabs>
        <w:numPr>
          <w:ilvl w:val="1"/>
          <w:numId w:val="3"/>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17" w:lineRule="exact"/>
        <w:rPr>
          <w:rFonts w:ascii="Arial" w:cs="Arial" w:eastAsia="Arial" w:hAnsi="Arial"/>
          <w:sz w:val="14"/>
          <w:szCs w:val="14"/>
          <w:color w:val="auto"/>
        </w:rPr>
      </w:pPr>
    </w:p>
    <w:p>
      <w:pPr>
        <w:ind w:left="660" w:hanging="328"/>
        <w:spacing w:after="0"/>
        <w:tabs>
          <w:tab w:leader="none" w:pos="660" w:val="left"/>
        </w:tabs>
        <w:numPr>
          <w:ilvl w:val="1"/>
          <w:numId w:val="3"/>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17" w:lineRule="exact"/>
        <w:rPr>
          <w:rFonts w:ascii="Arial" w:cs="Arial" w:eastAsia="Arial" w:hAnsi="Arial"/>
          <w:sz w:val="14"/>
          <w:szCs w:val="14"/>
          <w:color w:val="auto"/>
        </w:rPr>
      </w:pPr>
    </w:p>
    <w:p>
      <w:pPr>
        <w:ind w:left="660" w:hanging="328"/>
        <w:spacing w:after="0"/>
        <w:tabs>
          <w:tab w:leader="none" w:pos="660" w:val="left"/>
        </w:tabs>
        <w:numPr>
          <w:ilvl w:val="1"/>
          <w:numId w:val="3"/>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17" w:lineRule="exact"/>
        <w:rPr>
          <w:rFonts w:ascii="Arial" w:cs="Arial" w:eastAsia="Arial" w:hAnsi="Arial"/>
          <w:sz w:val="14"/>
          <w:szCs w:val="14"/>
          <w:color w:val="auto"/>
        </w:rPr>
      </w:pPr>
    </w:p>
    <w:p>
      <w:pPr>
        <w:ind w:left="660" w:hanging="328"/>
        <w:spacing w:after="0"/>
        <w:tabs>
          <w:tab w:leader="none" w:pos="660" w:val="left"/>
        </w:tabs>
        <w:numPr>
          <w:ilvl w:val="1"/>
          <w:numId w:val="3"/>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1240"/>
          </w:cols>
          <w:pgMar w:left="320" w:top="612"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1014095</wp:posOffset>
            </wp:positionH>
            <wp:positionV relativeFrom="page">
              <wp:posOffset>2832100</wp:posOffset>
            </wp:positionV>
            <wp:extent cx="552069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52069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547BCC"/>
        </w:rPr>
        <w:t>Notice of 2020</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547BCC"/>
        </w:rPr>
        <w:t>Annual Meeting</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547BCC"/>
        </w:rPr>
        <w:t>of Stockholders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547BCC"/>
        </w:rPr>
        <w:t>and Proxy Statement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547BCC"/>
        </w:rPr>
        <w:t>July 29, 2020</w:t>
      </w:r>
    </w:p>
    <w:p>
      <w:pPr>
        <w:sectPr>
          <w:pgSz w:w="11900" w:h="16838" w:orient="portrait"/>
          <w:cols w:equalWidth="0" w:num="1">
            <w:col w:w="9019"/>
          </w:cols>
          <w:pgMar w:left="1440" w:top="1440" w:right="1440" w:bottom="1440" w:gutter="0" w:footer="0" w:header="0"/>
        </w:sectPr>
      </w:pPr>
    </w:p>
    <w:bookmarkStart w:id="2" w:name="page3"/>
    <w:bookmarkEnd w:id="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Arial" w:cs="Arial" w:eastAsia="Arial" w:hAnsi="Arial"/>
          <w:sz w:val="16"/>
          <w:szCs w:val="16"/>
          <w:color w:val="547BCC"/>
        </w:rPr>
        <w:drawing>
          <wp:anchor simplePos="0" relativeHeight="251657728" behindDoc="1" locked="0" layoutInCell="0" allowOverlap="1">
            <wp:simplePos x="0" y="0"/>
            <wp:positionH relativeFrom="page">
              <wp:posOffset>208280</wp:posOffset>
            </wp:positionH>
            <wp:positionV relativeFrom="page">
              <wp:posOffset>328930</wp:posOffset>
            </wp:positionV>
            <wp:extent cx="2194560" cy="240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94560" cy="240030"/>
                    </a:xfrm>
                    <a:prstGeom prst="rect">
                      <a:avLst/>
                    </a:prstGeom>
                    <a:noFill/>
                  </pic:spPr>
                </pic:pic>
              </a:graphicData>
            </a:graphic>
          </wp:anchor>
        </w:drawing>
        <w:t>Booz Allen Hamilton Holding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547BCC"/>
        </w:rPr>
        <w:t>8283 Greensboro Drive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547BCC"/>
        </w:rPr>
        <w:t>McLean, Virginia 22102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353695</wp:posOffset>
            </wp:positionV>
            <wp:extent cx="6943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5E5E61"/>
        </w:rPr>
        <w:t>June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117475</wp:posOffset>
            </wp:positionV>
            <wp:extent cx="1071245" cy="1071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245" cy="107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20"/>
          <w:szCs w:val="20"/>
          <w:color w:val="666666"/>
        </w:rPr>
        <w:t>Dear Fellow Stockholder:</w:t>
      </w:r>
    </w:p>
    <w:p>
      <w:pPr>
        <w:spacing w:after="0" w:line="202" w:lineRule="exact"/>
        <w:rPr>
          <w:sz w:val="20"/>
          <w:szCs w:val="20"/>
          <w:color w:val="auto"/>
        </w:rPr>
      </w:pPr>
    </w:p>
    <w:p>
      <w:pPr>
        <w:jc w:val="both"/>
        <w:ind w:left="40" w:right="2160" w:firstLine="324"/>
        <w:spacing w:after="0" w:line="232" w:lineRule="auto"/>
        <w:rPr>
          <w:sz w:val="20"/>
          <w:szCs w:val="20"/>
          <w:color w:val="auto"/>
        </w:rPr>
      </w:pPr>
      <w:r>
        <w:rPr>
          <w:rFonts w:ascii="Arial" w:cs="Arial" w:eastAsia="Arial" w:hAnsi="Arial"/>
          <w:sz w:val="20"/>
          <w:szCs w:val="20"/>
          <w:color w:val="666666"/>
        </w:rPr>
        <w:t>I am pleased to invite you to join our Board of Directors, senior leadership, and fellow stockholders at our Annual Meeting of Stockholders to be held at 8:00 a.m. (EDT) on July 29, 2020. Enclosed with this proxy statement are your proxy card and our 2020 annual report to stockholders.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20"/>
          <w:szCs w:val="20"/>
          <w:color w:val="666666"/>
        </w:rPr>
        <w:t>Items of business to be transacted at our Annual Meeting are:</w:t>
      </w:r>
    </w:p>
    <w:p>
      <w:pPr>
        <w:spacing w:after="0" w:line="162" w:lineRule="exact"/>
        <w:rPr>
          <w:sz w:val="20"/>
          <w:szCs w:val="20"/>
          <w:color w:val="auto"/>
        </w:rPr>
      </w:pPr>
    </w:p>
    <w:p>
      <w:pPr>
        <w:ind w:left="1300" w:hanging="239"/>
        <w:spacing w:after="0"/>
        <w:tabs>
          <w:tab w:leader="none" w:pos="1300" w:val="left"/>
        </w:tabs>
        <w:numPr>
          <w:ilvl w:val="0"/>
          <w:numId w:val="4"/>
        </w:numPr>
        <w:rPr>
          <w:rFonts w:ascii="Arial" w:cs="Arial" w:eastAsia="Arial" w:hAnsi="Arial"/>
          <w:sz w:val="20"/>
          <w:szCs w:val="20"/>
          <w:color w:val="666666"/>
        </w:rPr>
      </w:pPr>
      <w:r>
        <w:rPr>
          <w:rFonts w:ascii="Arial" w:cs="Arial" w:eastAsia="Arial" w:hAnsi="Arial"/>
          <w:sz w:val="20"/>
          <w:szCs w:val="20"/>
          <w:color w:val="666666"/>
        </w:rPr>
        <w:t>Election of three directors;</w:t>
      </w:r>
    </w:p>
    <w:p>
      <w:pPr>
        <w:spacing w:after="0" w:line="161" w:lineRule="exact"/>
        <w:rPr>
          <w:rFonts w:ascii="Arial" w:cs="Arial" w:eastAsia="Arial" w:hAnsi="Arial"/>
          <w:sz w:val="20"/>
          <w:szCs w:val="20"/>
          <w:color w:val="666666"/>
        </w:rPr>
      </w:pPr>
    </w:p>
    <w:p>
      <w:pPr>
        <w:ind w:left="1300" w:hanging="239"/>
        <w:spacing w:after="0" w:line="246" w:lineRule="auto"/>
        <w:tabs>
          <w:tab w:leader="none" w:pos="1300" w:val="left"/>
        </w:tabs>
        <w:numPr>
          <w:ilvl w:val="0"/>
          <w:numId w:val="4"/>
        </w:numPr>
        <w:rPr>
          <w:rFonts w:ascii="Arial" w:cs="Arial" w:eastAsia="Arial" w:hAnsi="Arial"/>
          <w:sz w:val="20"/>
          <w:szCs w:val="20"/>
          <w:color w:val="666666"/>
        </w:rPr>
      </w:pPr>
      <w:r>
        <w:rPr>
          <w:rFonts w:ascii="Arial" w:cs="Arial" w:eastAsia="Arial" w:hAnsi="Arial"/>
          <w:sz w:val="20"/>
          <w:szCs w:val="20"/>
          <w:color w:val="666666"/>
        </w:rPr>
        <w:t>Ratification of the appointment of Ernst &amp; Young LLP as our independent registered public accounting firm for fiscal year 2021;</w:t>
      </w:r>
    </w:p>
    <w:p>
      <w:pPr>
        <w:spacing w:after="0" w:line="149" w:lineRule="exact"/>
        <w:rPr>
          <w:rFonts w:ascii="Arial" w:cs="Arial" w:eastAsia="Arial" w:hAnsi="Arial"/>
          <w:sz w:val="20"/>
          <w:szCs w:val="20"/>
          <w:color w:val="666666"/>
        </w:rPr>
      </w:pPr>
    </w:p>
    <w:p>
      <w:pPr>
        <w:ind w:left="1620" w:hanging="559"/>
        <w:spacing w:after="0" w:line="246" w:lineRule="auto"/>
        <w:tabs>
          <w:tab w:leader="none" w:pos="1296" w:val="left"/>
        </w:tabs>
        <w:numPr>
          <w:ilvl w:val="0"/>
          <w:numId w:val="4"/>
        </w:numPr>
        <w:rPr>
          <w:rFonts w:ascii="Arial" w:cs="Arial" w:eastAsia="Arial" w:hAnsi="Arial"/>
          <w:sz w:val="20"/>
          <w:szCs w:val="20"/>
          <w:color w:val="666666"/>
        </w:rPr>
      </w:pPr>
      <w:r>
        <w:rPr>
          <w:rFonts w:ascii="Arial" w:cs="Arial" w:eastAsia="Arial" w:hAnsi="Arial"/>
          <w:sz w:val="20"/>
          <w:szCs w:val="20"/>
          <w:color w:val="666666"/>
        </w:rPr>
        <w:t>A non-binding advisory vote on the compensation program for the Company’s named executive officers, as disclosed in the Compensation Discussion and Analysis section of the proxy statement;</w:t>
      </w:r>
    </w:p>
    <w:p>
      <w:pPr>
        <w:spacing w:after="0" w:line="149" w:lineRule="exact"/>
        <w:rPr>
          <w:rFonts w:ascii="Arial" w:cs="Arial" w:eastAsia="Arial" w:hAnsi="Arial"/>
          <w:sz w:val="20"/>
          <w:szCs w:val="20"/>
          <w:color w:val="666666"/>
        </w:rPr>
      </w:pPr>
    </w:p>
    <w:p>
      <w:pPr>
        <w:ind w:left="1300" w:right="20" w:hanging="239"/>
        <w:spacing w:after="0" w:line="246" w:lineRule="auto"/>
        <w:tabs>
          <w:tab w:leader="none" w:pos="1300" w:val="left"/>
        </w:tabs>
        <w:numPr>
          <w:ilvl w:val="0"/>
          <w:numId w:val="4"/>
        </w:numPr>
        <w:rPr>
          <w:rFonts w:ascii="Arial" w:cs="Arial" w:eastAsia="Arial" w:hAnsi="Arial"/>
          <w:sz w:val="20"/>
          <w:szCs w:val="20"/>
          <w:color w:val="666666"/>
        </w:rPr>
      </w:pPr>
      <w:r>
        <w:rPr>
          <w:rFonts w:ascii="Arial" w:cs="Arial" w:eastAsia="Arial" w:hAnsi="Arial"/>
          <w:sz w:val="20"/>
          <w:szCs w:val="20"/>
          <w:color w:val="666666"/>
        </w:rPr>
        <w:t>Approval of the adoption of the Fifth Amended and Restated Certificate of Incorporation to, among other things, eliminate the classification of the Board of Directors; and</w:t>
      </w:r>
    </w:p>
    <w:p>
      <w:pPr>
        <w:spacing w:after="0" w:line="149" w:lineRule="exact"/>
        <w:rPr>
          <w:rFonts w:ascii="Arial" w:cs="Arial" w:eastAsia="Arial" w:hAnsi="Arial"/>
          <w:sz w:val="20"/>
          <w:szCs w:val="20"/>
          <w:color w:val="666666"/>
        </w:rPr>
      </w:pPr>
    </w:p>
    <w:p>
      <w:pPr>
        <w:ind w:left="1300" w:hanging="239"/>
        <w:spacing w:after="0"/>
        <w:tabs>
          <w:tab w:leader="none" w:pos="1300" w:val="left"/>
        </w:tabs>
        <w:numPr>
          <w:ilvl w:val="0"/>
          <w:numId w:val="4"/>
        </w:numPr>
        <w:rPr>
          <w:rFonts w:ascii="Arial" w:cs="Arial" w:eastAsia="Arial" w:hAnsi="Arial"/>
          <w:sz w:val="20"/>
          <w:szCs w:val="20"/>
          <w:color w:val="666666"/>
        </w:rPr>
      </w:pPr>
      <w:r>
        <w:rPr>
          <w:rFonts w:ascii="Arial" w:cs="Arial" w:eastAsia="Arial" w:hAnsi="Arial"/>
          <w:sz w:val="20"/>
          <w:szCs w:val="20"/>
          <w:color w:val="666666"/>
        </w:rPr>
        <w:t>Consideration of any other business that may properly be brought before the Annual Meeting.</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666666"/>
        </w:rPr>
        <w:t>The Board of Directors recommends that you vote FOR Proposals 1, 2, 3, and 4.</w:t>
      </w:r>
    </w:p>
    <w:p>
      <w:pPr>
        <w:spacing w:after="0" w:line="18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color w:val="666666"/>
        </w:rPr>
        <w:t>Due to concerns regarding the novel coronavirus (“COVID-19”) pandemic and to protect the safety and well-being of our stockholders, Board of Directors and employees, our 2020 Annual Meeting of Stockholders will be a virtual meeting conducted solely online and can be attended by visiting www.virtualshareholdermeeting.com/BAH2020. To participate in the Annual Meeting, you will need the control number located on your proxy card or the instructions that accompanied your proxy materials.</w:t>
      </w:r>
    </w:p>
    <w:p>
      <w:pPr>
        <w:spacing w:after="0" w:line="14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666666"/>
        </w:rPr>
        <w:t>Your vote is important. Whether or not you plan to virtually attend the Annual Meeting, you may access electronic voting via the Internet or the automated telephone voting feature, both of which are described on your enclosed proxy card, or you may sign, date, and return the proxy card in the envelope provided.</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0"/>
          <w:szCs w:val="20"/>
          <w:color w:val="666666"/>
        </w:rPr>
        <w:t>On behalf of Booz Allen, I want to thank you for your continued support and investment.</w:t>
      </w:r>
    </w:p>
    <w:p>
      <w:pPr>
        <w:spacing w:after="0" w:line="162" w:lineRule="exact"/>
        <w:rPr>
          <w:sz w:val="20"/>
          <w:szCs w:val="20"/>
          <w:color w:val="auto"/>
        </w:rPr>
      </w:pPr>
    </w:p>
    <w:p>
      <w:pPr>
        <w:ind w:left="4540"/>
        <w:spacing w:after="0"/>
        <w:rPr>
          <w:sz w:val="20"/>
          <w:szCs w:val="20"/>
          <w:color w:val="auto"/>
        </w:rPr>
      </w:pPr>
      <w:r>
        <w:rPr>
          <w:rFonts w:ascii="Arial" w:cs="Arial" w:eastAsia="Arial" w:hAnsi="Arial"/>
          <w:sz w:val="20"/>
          <w:szCs w:val="20"/>
          <w:color w:val="666666"/>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104775</wp:posOffset>
            </wp:positionV>
            <wp:extent cx="1268730" cy="48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873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540"/>
        <w:spacing w:after="0"/>
        <w:rPr>
          <w:sz w:val="20"/>
          <w:szCs w:val="20"/>
          <w:color w:val="auto"/>
        </w:rPr>
      </w:pPr>
      <w:r>
        <w:rPr>
          <w:rFonts w:ascii="Arial" w:cs="Arial" w:eastAsia="Arial" w:hAnsi="Arial"/>
          <w:sz w:val="20"/>
          <w:szCs w:val="20"/>
          <w:color w:val="666666"/>
        </w:rPr>
        <w:t>Horacio D. Rozanski</w:t>
      </w:r>
    </w:p>
    <w:p>
      <w:pPr>
        <w:ind w:left="4540"/>
        <w:spacing w:after="0"/>
        <w:rPr>
          <w:sz w:val="20"/>
          <w:szCs w:val="20"/>
          <w:color w:val="auto"/>
        </w:rPr>
      </w:pPr>
      <w:r>
        <w:rPr>
          <w:rFonts w:ascii="Arial" w:cs="Arial" w:eastAsia="Arial" w:hAnsi="Arial"/>
          <w:sz w:val="20"/>
          <w:szCs w:val="20"/>
          <w:color w:val="666666"/>
        </w:rPr>
        <w:t>President and Chief Executive Officer</w:t>
      </w:r>
    </w:p>
    <w:p>
      <w:pPr>
        <w:sectPr>
          <w:pgSz w:w="11900" w:h="16838" w:orient="portrait"/>
          <w:cols w:equalWidth="0" w:num="1">
            <w:col w:w="11240"/>
          </w:cols>
          <w:pgMar w:left="320" w:top="1059" w:right="339"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spacing w:after="0" w:line="278" w:lineRule="auto"/>
        <w:rPr>
          <w:sz w:val="20"/>
          <w:szCs w:val="20"/>
          <w:color w:val="auto"/>
        </w:rPr>
      </w:pPr>
      <w:r>
        <w:rPr>
          <w:rFonts w:ascii="Arial" w:cs="Arial" w:eastAsia="Arial" w:hAnsi="Arial"/>
          <w:sz w:val="29"/>
          <w:szCs w:val="29"/>
          <w:b w:val="1"/>
          <w:bCs w:val="1"/>
          <w:color w:val="547BCC"/>
        </w:rPr>
        <w:drawing>
          <wp:anchor simplePos="0" relativeHeight="251657728" behindDoc="1" locked="0" layoutInCell="0" allowOverlap="1">
            <wp:simplePos x="0" y="0"/>
            <wp:positionH relativeFrom="page">
              <wp:posOffset>2317115</wp:posOffset>
            </wp:positionH>
            <wp:positionV relativeFrom="page">
              <wp:posOffset>226060</wp:posOffset>
            </wp:positionV>
            <wp:extent cx="2922905" cy="31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922905" cy="316865"/>
                    </a:xfrm>
                    <a:prstGeom prst="rect">
                      <a:avLst/>
                    </a:prstGeom>
                    <a:noFill/>
                  </pic:spPr>
                </pic:pic>
              </a:graphicData>
            </a:graphic>
          </wp:anchor>
        </w:drawing>
        <w:t>NOTICE OF BOOZ ALLEN HAMILTON HOLDING CORPORATION'S 2020 ANNUAL MEETING OF STOCKHOLDERS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2120" w:type="dxa"/>
            <w:vAlign w:val="bottom"/>
          </w:tcPr>
          <w:p>
            <w:pPr>
              <w:spacing w:after="0"/>
              <w:rPr>
                <w:sz w:val="20"/>
                <w:szCs w:val="20"/>
                <w:color w:val="auto"/>
              </w:rPr>
            </w:pPr>
            <w:r>
              <w:rPr>
                <w:rFonts w:ascii="Arial" w:cs="Arial" w:eastAsia="Arial" w:hAnsi="Arial"/>
                <w:sz w:val="20"/>
                <w:szCs w:val="20"/>
                <w:b w:val="1"/>
                <w:bCs w:val="1"/>
                <w:color w:val="666666"/>
              </w:rPr>
              <w:t>Time and Date:</w:t>
            </w:r>
          </w:p>
        </w:tc>
        <w:tc>
          <w:tcPr>
            <w:tcW w:w="9060" w:type="dxa"/>
            <w:vAlign w:val="bottom"/>
          </w:tcPr>
          <w:p>
            <w:pPr>
              <w:ind w:left="240"/>
              <w:spacing w:after="0"/>
              <w:rPr>
                <w:sz w:val="20"/>
                <w:szCs w:val="20"/>
                <w:color w:val="auto"/>
              </w:rPr>
            </w:pPr>
            <w:r>
              <w:rPr>
                <w:rFonts w:ascii="Arial" w:cs="Arial" w:eastAsia="Arial" w:hAnsi="Arial"/>
                <w:sz w:val="20"/>
                <w:szCs w:val="20"/>
                <w:color w:val="666666"/>
              </w:rPr>
              <w:t>8:00 a.m. (EDT), July 29, 2020</w:t>
            </w:r>
          </w:p>
        </w:tc>
        <w:tc>
          <w:tcPr>
            <w:tcW w:w="0" w:type="dxa"/>
            <w:vAlign w:val="bottom"/>
          </w:tcPr>
          <w:p>
            <w:pPr>
              <w:spacing w:after="0"/>
              <w:rPr>
                <w:sz w:val="1"/>
                <w:szCs w:val="1"/>
                <w:color w:val="auto"/>
              </w:rPr>
            </w:pPr>
          </w:p>
        </w:tc>
      </w:tr>
      <w:tr>
        <w:trPr>
          <w:trHeight w:val="405"/>
        </w:trPr>
        <w:tc>
          <w:tcPr>
            <w:tcW w:w="2120" w:type="dxa"/>
            <w:vAlign w:val="bottom"/>
          </w:tcPr>
          <w:p>
            <w:pPr>
              <w:spacing w:after="0"/>
              <w:rPr>
                <w:sz w:val="20"/>
                <w:szCs w:val="20"/>
                <w:color w:val="auto"/>
              </w:rPr>
            </w:pPr>
            <w:r>
              <w:rPr>
                <w:rFonts w:ascii="Arial" w:cs="Arial" w:eastAsia="Arial" w:hAnsi="Arial"/>
                <w:sz w:val="20"/>
                <w:szCs w:val="20"/>
                <w:b w:val="1"/>
                <w:bCs w:val="1"/>
                <w:color w:val="666666"/>
              </w:rPr>
              <w:t>Place:*</w:t>
            </w:r>
          </w:p>
        </w:tc>
        <w:tc>
          <w:tcPr>
            <w:tcW w:w="9060" w:type="dxa"/>
            <w:vAlign w:val="bottom"/>
          </w:tcPr>
          <w:p>
            <w:pPr>
              <w:ind w:left="240"/>
              <w:spacing w:after="0"/>
              <w:rPr>
                <w:sz w:val="20"/>
                <w:szCs w:val="20"/>
                <w:color w:val="auto"/>
              </w:rPr>
            </w:pPr>
            <w:r>
              <w:rPr>
                <w:rFonts w:ascii="Arial" w:cs="Arial" w:eastAsia="Arial" w:hAnsi="Arial"/>
                <w:sz w:val="20"/>
                <w:szCs w:val="20"/>
                <w:color w:val="666666"/>
              </w:rPr>
              <w:t>Virtual meeting at www.virtualshareholdermeeting.com/BAH2020</w:t>
            </w:r>
          </w:p>
        </w:tc>
        <w:tc>
          <w:tcPr>
            <w:tcW w:w="0" w:type="dxa"/>
            <w:vAlign w:val="bottom"/>
          </w:tcPr>
          <w:p>
            <w:pPr>
              <w:spacing w:after="0"/>
              <w:rPr>
                <w:sz w:val="1"/>
                <w:szCs w:val="1"/>
                <w:color w:val="auto"/>
              </w:rPr>
            </w:pPr>
          </w:p>
        </w:tc>
      </w:tr>
      <w:tr>
        <w:trPr>
          <w:trHeight w:val="405"/>
        </w:trPr>
        <w:tc>
          <w:tcPr>
            <w:tcW w:w="2120" w:type="dxa"/>
            <w:vAlign w:val="bottom"/>
          </w:tcPr>
          <w:p>
            <w:pPr>
              <w:spacing w:after="0"/>
              <w:rPr>
                <w:sz w:val="20"/>
                <w:szCs w:val="20"/>
                <w:color w:val="auto"/>
              </w:rPr>
            </w:pPr>
            <w:r>
              <w:rPr>
                <w:rFonts w:ascii="Arial" w:cs="Arial" w:eastAsia="Arial" w:hAnsi="Arial"/>
                <w:sz w:val="20"/>
                <w:szCs w:val="20"/>
                <w:b w:val="1"/>
                <w:bCs w:val="1"/>
                <w:color w:val="666666"/>
              </w:rPr>
              <w:t>Agenda:</w:t>
            </w:r>
          </w:p>
        </w:tc>
        <w:tc>
          <w:tcPr>
            <w:tcW w:w="9060" w:type="dxa"/>
            <w:vAlign w:val="bottom"/>
          </w:tcPr>
          <w:p>
            <w:pPr>
              <w:ind w:left="240"/>
              <w:spacing w:after="0"/>
              <w:rPr>
                <w:sz w:val="20"/>
                <w:szCs w:val="20"/>
                <w:color w:val="auto"/>
              </w:rPr>
            </w:pPr>
            <w:r>
              <w:rPr>
                <w:rFonts w:ascii="Arial" w:cs="Arial" w:eastAsia="Arial" w:hAnsi="Arial"/>
                <w:sz w:val="20"/>
                <w:szCs w:val="20"/>
                <w:color w:val="666666"/>
              </w:rPr>
              <w:t>1. The election of three director nominees named in the proxy statement;</w:t>
            </w:r>
          </w:p>
        </w:tc>
        <w:tc>
          <w:tcPr>
            <w:tcW w:w="0" w:type="dxa"/>
            <w:vAlign w:val="bottom"/>
          </w:tcPr>
          <w:p>
            <w:pPr>
              <w:spacing w:after="0"/>
              <w:rPr>
                <w:sz w:val="1"/>
                <w:szCs w:val="1"/>
                <w:color w:val="auto"/>
              </w:rPr>
            </w:pPr>
          </w:p>
        </w:tc>
      </w:tr>
      <w:tr>
        <w:trPr>
          <w:trHeight w:val="384"/>
        </w:trPr>
        <w:tc>
          <w:tcPr>
            <w:tcW w:w="2120" w:type="dxa"/>
            <w:vAlign w:val="bottom"/>
          </w:tcPr>
          <w:p>
            <w:pPr>
              <w:spacing w:after="0"/>
              <w:rPr>
                <w:sz w:val="24"/>
                <w:szCs w:val="24"/>
                <w:color w:val="auto"/>
              </w:rPr>
            </w:pPr>
          </w:p>
        </w:tc>
        <w:tc>
          <w:tcPr>
            <w:tcW w:w="9060" w:type="dxa"/>
            <w:vAlign w:val="bottom"/>
          </w:tcPr>
          <w:p>
            <w:pPr>
              <w:ind w:left="240"/>
              <w:spacing w:after="0"/>
              <w:rPr>
                <w:sz w:val="20"/>
                <w:szCs w:val="20"/>
                <w:color w:val="auto"/>
              </w:rPr>
            </w:pPr>
            <w:r>
              <w:rPr>
                <w:rFonts w:ascii="Arial" w:cs="Arial" w:eastAsia="Arial" w:hAnsi="Arial"/>
                <w:sz w:val="20"/>
                <w:szCs w:val="20"/>
                <w:color w:val="666666"/>
              </w:rPr>
              <w:t>2. The ratification of the selection of Ernst &amp; Young LLP as the Company’s independent registered</w:t>
            </w: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9060" w:type="dxa"/>
            <w:vAlign w:val="bottom"/>
          </w:tcPr>
          <w:p>
            <w:pPr>
              <w:ind w:left="640"/>
              <w:spacing w:after="0"/>
              <w:rPr>
                <w:sz w:val="20"/>
                <w:szCs w:val="20"/>
                <w:color w:val="auto"/>
              </w:rPr>
            </w:pPr>
            <w:r>
              <w:rPr>
                <w:rFonts w:ascii="Arial" w:cs="Arial" w:eastAsia="Arial" w:hAnsi="Arial"/>
                <w:sz w:val="20"/>
                <w:szCs w:val="20"/>
                <w:color w:val="666666"/>
              </w:rPr>
              <w:t>public accounting firm for the Company’s fiscal year 2021;</w:t>
            </w:r>
          </w:p>
        </w:tc>
        <w:tc>
          <w:tcPr>
            <w:tcW w:w="0" w:type="dxa"/>
            <w:vAlign w:val="bottom"/>
          </w:tcPr>
          <w:p>
            <w:pPr>
              <w:spacing w:after="0"/>
              <w:rPr>
                <w:sz w:val="1"/>
                <w:szCs w:val="1"/>
                <w:color w:val="auto"/>
              </w:rPr>
            </w:pPr>
          </w:p>
        </w:tc>
      </w:tr>
      <w:tr>
        <w:trPr>
          <w:trHeight w:val="384"/>
        </w:trPr>
        <w:tc>
          <w:tcPr>
            <w:tcW w:w="2120" w:type="dxa"/>
            <w:vAlign w:val="bottom"/>
          </w:tcPr>
          <w:p>
            <w:pPr>
              <w:spacing w:after="0"/>
              <w:rPr>
                <w:sz w:val="24"/>
                <w:szCs w:val="24"/>
                <w:color w:val="auto"/>
              </w:rPr>
            </w:pPr>
          </w:p>
        </w:tc>
        <w:tc>
          <w:tcPr>
            <w:tcW w:w="9060" w:type="dxa"/>
            <w:vAlign w:val="bottom"/>
          </w:tcPr>
          <w:p>
            <w:pPr>
              <w:ind w:left="240"/>
              <w:spacing w:after="0"/>
              <w:rPr>
                <w:sz w:val="20"/>
                <w:szCs w:val="20"/>
                <w:color w:val="auto"/>
              </w:rPr>
            </w:pPr>
            <w:r>
              <w:rPr>
                <w:rFonts w:ascii="Arial" w:cs="Arial" w:eastAsia="Arial" w:hAnsi="Arial"/>
                <w:sz w:val="20"/>
                <w:szCs w:val="20"/>
                <w:color w:val="666666"/>
              </w:rPr>
              <w:t>3. A non-binding advisory vote on the compensation program for the Company’s named executive</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9060" w:type="dxa"/>
            <w:vAlign w:val="bottom"/>
          </w:tcPr>
          <w:p>
            <w:pPr>
              <w:ind w:left="640"/>
              <w:spacing w:after="0" w:line="216" w:lineRule="exact"/>
              <w:rPr>
                <w:sz w:val="20"/>
                <w:szCs w:val="20"/>
                <w:color w:val="auto"/>
              </w:rPr>
            </w:pPr>
            <w:r>
              <w:rPr>
                <w:rFonts w:ascii="Arial" w:cs="Arial" w:eastAsia="Arial" w:hAnsi="Arial"/>
                <w:sz w:val="20"/>
                <w:szCs w:val="20"/>
                <w:color w:val="666666"/>
              </w:rPr>
              <w:t>officers, as disclosed in the Compensation Discussion and Analysis section of the proxy</w:t>
            </w: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9060" w:type="dxa"/>
            <w:vAlign w:val="bottom"/>
          </w:tcPr>
          <w:p>
            <w:pPr>
              <w:ind w:left="640"/>
              <w:spacing w:after="0"/>
              <w:rPr>
                <w:sz w:val="20"/>
                <w:szCs w:val="20"/>
                <w:color w:val="auto"/>
              </w:rPr>
            </w:pPr>
            <w:r>
              <w:rPr>
                <w:rFonts w:ascii="Arial" w:cs="Arial" w:eastAsia="Arial" w:hAnsi="Arial"/>
                <w:sz w:val="20"/>
                <w:szCs w:val="20"/>
                <w:color w:val="666666"/>
              </w:rPr>
              <w:t>statement;</w:t>
            </w:r>
          </w:p>
        </w:tc>
        <w:tc>
          <w:tcPr>
            <w:tcW w:w="0" w:type="dxa"/>
            <w:vAlign w:val="bottom"/>
          </w:tcPr>
          <w:p>
            <w:pPr>
              <w:spacing w:after="0"/>
              <w:rPr>
                <w:sz w:val="1"/>
                <w:szCs w:val="1"/>
                <w:color w:val="auto"/>
              </w:rPr>
            </w:pPr>
          </w:p>
        </w:tc>
      </w:tr>
      <w:tr>
        <w:trPr>
          <w:trHeight w:val="384"/>
        </w:trPr>
        <w:tc>
          <w:tcPr>
            <w:tcW w:w="2120" w:type="dxa"/>
            <w:vAlign w:val="bottom"/>
          </w:tcPr>
          <w:p>
            <w:pPr>
              <w:spacing w:after="0"/>
              <w:rPr>
                <w:sz w:val="24"/>
                <w:szCs w:val="24"/>
                <w:color w:val="auto"/>
              </w:rPr>
            </w:pPr>
          </w:p>
        </w:tc>
        <w:tc>
          <w:tcPr>
            <w:tcW w:w="9060" w:type="dxa"/>
            <w:vAlign w:val="bottom"/>
          </w:tcPr>
          <w:p>
            <w:pPr>
              <w:ind w:left="240"/>
              <w:spacing w:after="0"/>
              <w:rPr>
                <w:sz w:val="20"/>
                <w:szCs w:val="20"/>
                <w:color w:val="auto"/>
              </w:rPr>
            </w:pPr>
            <w:r>
              <w:rPr>
                <w:rFonts w:ascii="Arial" w:cs="Arial" w:eastAsia="Arial" w:hAnsi="Arial"/>
                <w:sz w:val="20"/>
                <w:szCs w:val="20"/>
                <w:color w:val="666666"/>
                <w:w w:val="98"/>
              </w:rPr>
              <w:t>4. Approval of the adoption of the Fifth Amended and Restated Certificate of Incorporation to, among</w:t>
            </w: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9060" w:type="dxa"/>
            <w:vAlign w:val="bottom"/>
          </w:tcPr>
          <w:p>
            <w:pPr>
              <w:ind w:left="640"/>
              <w:spacing w:after="0"/>
              <w:rPr>
                <w:sz w:val="20"/>
                <w:szCs w:val="20"/>
                <w:color w:val="auto"/>
              </w:rPr>
            </w:pPr>
            <w:r>
              <w:rPr>
                <w:rFonts w:ascii="Arial" w:cs="Arial" w:eastAsia="Arial" w:hAnsi="Arial"/>
                <w:sz w:val="20"/>
                <w:szCs w:val="20"/>
                <w:color w:val="666666"/>
              </w:rPr>
              <w:t>other things, eliminate the classification of the Board of Directors; and</w:t>
            </w:r>
          </w:p>
        </w:tc>
        <w:tc>
          <w:tcPr>
            <w:tcW w:w="0" w:type="dxa"/>
            <w:vAlign w:val="bottom"/>
          </w:tcPr>
          <w:p>
            <w:pPr>
              <w:spacing w:after="0"/>
              <w:rPr>
                <w:sz w:val="1"/>
                <w:szCs w:val="1"/>
                <w:color w:val="auto"/>
              </w:rPr>
            </w:pPr>
          </w:p>
        </w:tc>
      </w:tr>
      <w:tr>
        <w:trPr>
          <w:trHeight w:val="405"/>
        </w:trPr>
        <w:tc>
          <w:tcPr>
            <w:tcW w:w="2120" w:type="dxa"/>
            <w:vAlign w:val="bottom"/>
          </w:tcPr>
          <w:p>
            <w:pPr>
              <w:spacing w:after="0"/>
              <w:rPr>
                <w:sz w:val="24"/>
                <w:szCs w:val="24"/>
                <w:color w:val="auto"/>
              </w:rPr>
            </w:pPr>
          </w:p>
        </w:tc>
        <w:tc>
          <w:tcPr>
            <w:tcW w:w="9060" w:type="dxa"/>
            <w:vAlign w:val="bottom"/>
          </w:tcPr>
          <w:p>
            <w:pPr>
              <w:ind w:left="240"/>
              <w:spacing w:after="0"/>
              <w:rPr>
                <w:sz w:val="20"/>
                <w:szCs w:val="20"/>
                <w:color w:val="auto"/>
              </w:rPr>
            </w:pPr>
            <w:r>
              <w:rPr>
                <w:rFonts w:ascii="Arial" w:cs="Arial" w:eastAsia="Arial" w:hAnsi="Arial"/>
                <w:sz w:val="20"/>
                <w:szCs w:val="20"/>
                <w:color w:val="666666"/>
              </w:rPr>
              <w:t>5. The transaction of any other business that may properly be brought before the Annual Meeting.</w:t>
            </w:r>
          </w:p>
        </w:tc>
        <w:tc>
          <w:tcPr>
            <w:tcW w:w="0" w:type="dxa"/>
            <w:vAlign w:val="bottom"/>
          </w:tcPr>
          <w:p>
            <w:pPr>
              <w:spacing w:after="0"/>
              <w:rPr>
                <w:sz w:val="1"/>
                <w:szCs w:val="1"/>
                <w:color w:val="auto"/>
              </w:rPr>
            </w:pPr>
          </w:p>
        </w:tc>
      </w:tr>
      <w:tr>
        <w:trPr>
          <w:trHeight w:val="567"/>
        </w:trPr>
        <w:tc>
          <w:tcPr>
            <w:tcW w:w="2120" w:type="dxa"/>
            <w:vAlign w:val="bottom"/>
          </w:tcPr>
          <w:p>
            <w:pPr>
              <w:spacing w:after="0"/>
              <w:rPr>
                <w:sz w:val="24"/>
                <w:szCs w:val="24"/>
                <w:color w:val="auto"/>
              </w:rPr>
            </w:pPr>
          </w:p>
        </w:tc>
        <w:tc>
          <w:tcPr>
            <w:tcW w:w="9060" w:type="dxa"/>
            <w:vAlign w:val="bottom"/>
          </w:tcPr>
          <w:p>
            <w:pPr>
              <w:ind w:left="240"/>
              <w:spacing w:after="0"/>
              <w:rPr>
                <w:sz w:val="20"/>
                <w:szCs w:val="20"/>
                <w:color w:val="auto"/>
              </w:rPr>
            </w:pPr>
            <w:r>
              <w:rPr>
                <w:rFonts w:ascii="Arial" w:cs="Arial" w:eastAsia="Arial" w:hAnsi="Arial"/>
                <w:sz w:val="20"/>
                <w:szCs w:val="20"/>
                <w:b w:val="1"/>
                <w:bCs w:val="1"/>
                <w:color w:val="666666"/>
              </w:rPr>
              <w:t>The Board of Directors recommends that you vote FOR Proposals 1, 2, 3, and 4.</w:t>
            </w:r>
          </w:p>
        </w:tc>
        <w:tc>
          <w:tcPr>
            <w:tcW w:w="0" w:type="dxa"/>
            <w:vAlign w:val="bottom"/>
          </w:tcPr>
          <w:p>
            <w:pPr>
              <w:spacing w:after="0"/>
              <w:rPr>
                <w:sz w:val="1"/>
                <w:szCs w:val="1"/>
                <w:color w:val="auto"/>
              </w:rPr>
            </w:pPr>
          </w:p>
        </w:tc>
      </w:tr>
      <w:tr>
        <w:trPr>
          <w:trHeight w:val="384"/>
        </w:trPr>
        <w:tc>
          <w:tcPr>
            <w:tcW w:w="2120" w:type="dxa"/>
            <w:vAlign w:val="bottom"/>
          </w:tcPr>
          <w:p>
            <w:pPr>
              <w:spacing w:after="0"/>
              <w:rPr>
                <w:sz w:val="20"/>
                <w:szCs w:val="20"/>
                <w:color w:val="auto"/>
              </w:rPr>
            </w:pPr>
            <w:r>
              <w:rPr>
                <w:rFonts w:ascii="Arial" w:cs="Arial" w:eastAsia="Arial" w:hAnsi="Arial"/>
                <w:sz w:val="20"/>
                <w:szCs w:val="20"/>
                <w:b w:val="1"/>
                <w:bCs w:val="1"/>
                <w:color w:val="666666"/>
              </w:rPr>
              <w:t>Record Date:</w:t>
            </w:r>
          </w:p>
        </w:tc>
        <w:tc>
          <w:tcPr>
            <w:tcW w:w="9060" w:type="dxa"/>
            <w:vAlign w:val="bottom"/>
          </w:tcPr>
          <w:p>
            <w:pPr>
              <w:ind w:left="240"/>
              <w:spacing w:after="0"/>
              <w:rPr>
                <w:sz w:val="20"/>
                <w:szCs w:val="20"/>
                <w:color w:val="auto"/>
              </w:rPr>
            </w:pPr>
            <w:r>
              <w:rPr>
                <w:rFonts w:ascii="Arial" w:cs="Arial" w:eastAsia="Arial" w:hAnsi="Arial"/>
                <w:sz w:val="20"/>
                <w:szCs w:val="20"/>
                <w:color w:val="666666"/>
              </w:rPr>
              <w:t>Only holders of record of the Company’s Class A common stock on June 8, 2020 will be entitled to</w:t>
            </w: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9060" w:type="dxa"/>
            <w:vAlign w:val="bottom"/>
          </w:tcPr>
          <w:p>
            <w:pPr>
              <w:ind w:left="240"/>
              <w:spacing w:after="0"/>
              <w:rPr>
                <w:sz w:val="20"/>
                <w:szCs w:val="20"/>
                <w:color w:val="auto"/>
              </w:rPr>
            </w:pPr>
            <w:r>
              <w:rPr>
                <w:rFonts w:ascii="Arial" w:cs="Arial" w:eastAsia="Arial" w:hAnsi="Arial"/>
                <w:sz w:val="20"/>
                <w:szCs w:val="20"/>
                <w:color w:val="666666"/>
              </w:rPr>
              <w:t>vote at the Annual Meeting.</w:t>
            </w:r>
          </w:p>
        </w:tc>
        <w:tc>
          <w:tcPr>
            <w:tcW w:w="0" w:type="dxa"/>
            <w:vAlign w:val="bottom"/>
          </w:tcPr>
          <w:p>
            <w:pPr>
              <w:spacing w:after="0"/>
              <w:rPr>
                <w:sz w:val="1"/>
                <w:szCs w:val="1"/>
                <w:color w:val="auto"/>
              </w:rPr>
            </w:pPr>
          </w:p>
        </w:tc>
      </w:tr>
      <w:tr>
        <w:trPr>
          <w:trHeight w:val="384"/>
        </w:trPr>
        <w:tc>
          <w:tcPr>
            <w:tcW w:w="2120" w:type="dxa"/>
            <w:vAlign w:val="bottom"/>
          </w:tcPr>
          <w:p>
            <w:pPr>
              <w:spacing w:after="0"/>
              <w:rPr>
                <w:sz w:val="20"/>
                <w:szCs w:val="20"/>
                <w:color w:val="auto"/>
              </w:rPr>
            </w:pPr>
            <w:r>
              <w:rPr>
                <w:rFonts w:ascii="Arial" w:cs="Arial" w:eastAsia="Arial" w:hAnsi="Arial"/>
                <w:sz w:val="20"/>
                <w:szCs w:val="20"/>
                <w:b w:val="1"/>
                <w:bCs w:val="1"/>
                <w:color w:val="666666"/>
              </w:rPr>
              <w:t>Date of Distribution:</w:t>
            </w:r>
          </w:p>
        </w:tc>
        <w:tc>
          <w:tcPr>
            <w:tcW w:w="9060" w:type="dxa"/>
            <w:vAlign w:val="bottom"/>
          </w:tcPr>
          <w:p>
            <w:pPr>
              <w:ind w:left="240"/>
              <w:spacing w:after="0"/>
              <w:rPr>
                <w:sz w:val="20"/>
                <w:szCs w:val="20"/>
                <w:color w:val="auto"/>
              </w:rPr>
            </w:pPr>
            <w:r>
              <w:rPr>
                <w:rFonts w:ascii="Arial" w:cs="Arial" w:eastAsia="Arial" w:hAnsi="Arial"/>
                <w:sz w:val="20"/>
                <w:szCs w:val="20"/>
                <w:color w:val="666666"/>
              </w:rPr>
              <w:t>The proxy statement and the accompanying materials are being mailed to stockholders on or about</w:t>
            </w: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9060" w:type="dxa"/>
            <w:vAlign w:val="bottom"/>
          </w:tcPr>
          <w:p>
            <w:pPr>
              <w:ind w:left="240"/>
              <w:spacing w:after="0"/>
              <w:rPr>
                <w:sz w:val="20"/>
                <w:szCs w:val="20"/>
                <w:color w:val="auto"/>
              </w:rPr>
            </w:pPr>
            <w:r>
              <w:rPr>
                <w:rFonts w:ascii="Arial" w:cs="Arial" w:eastAsia="Arial" w:hAnsi="Arial"/>
                <w:sz w:val="20"/>
                <w:szCs w:val="20"/>
                <w:color w:val="666666"/>
              </w:rPr>
              <w:t>June 29, 2020.</w:t>
            </w:r>
          </w:p>
        </w:tc>
        <w:tc>
          <w:tcPr>
            <w:tcW w:w="0" w:type="dxa"/>
            <w:vAlign w:val="bottom"/>
          </w:tcPr>
          <w:p>
            <w:pPr>
              <w:spacing w:after="0"/>
              <w:rPr>
                <w:sz w:val="1"/>
                <w:szCs w:val="1"/>
                <w:color w:val="auto"/>
              </w:rPr>
            </w:pPr>
          </w:p>
        </w:tc>
      </w:tr>
      <w:tr>
        <w:trPr>
          <w:trHeight w:val="405"/>
        </w:trPr>
        <w:tc>
          <w:tcPr>
            <w:tcW w:w="2120" w:type="dxa"/>
            <w:vAlign w:val="bottom"/>
          </w:tcPr>
          <w:p>
            <w:pPr>
              <w:spacing w:after="0"/>
              <w:rPr>
                <w:sz w:val="20"/>
                <w:szCs w:val="20"/>
                <w:color w:val="auto"/>
              </w:rPr>
            </w:pPr>
            <w:r>
              <w:rPr>
                <w:rFonts w:ascii="Arial" w:cs="Arial" w:eastAsia="Arial" w:hAnsi="Arial"/>
                <w:sz w:val="20"/>
                <w:szCs w:val="20"/>
                <w:b w:val="1"/>
                <w:bCs w:val="1"/>
                <w:color w:val="666666"/>
              </w:rPr>
              <w:t>Proxy Voting:</w:t>
            </w:r>
          </w:p>
        </w:tc>
        <w:tc>
          <w:tcPr>
            <w:tcW w:w="9060" w:type="dxa"/>
            <w:vAlign w:val="bottom"/>
            <w:vMerge w:val="restart"/>
          </w:tcPr>
          <w:p>
            <w:pPr>
              <w:ind w:left="240"/>
              <w:spacing w:after="0"/>
              <w:rPr>
                <w:sz w:val="20"/>
                <w:szCs w:val="20"/>
                <w:color w:val="auto"/>
              </w:rPr>
            </w:pPr>
            <w:r>
              <w:rPr>
                <w:rFonts w:ascii="Arial" w:cs="Arial" w:eastAsia="Arial" w:hAnsi="Arial"/>
                <w:sz w:val="20"/>
                <w:szCs w:val="20"/>
                <w:b w:val="1"/>
                <w:bCs w:val="1"/>
                <w:color w:val="666666"/>
              </w:rPr>
              <w:t xml:space="preserve">Your vote is important. </w:t>
            </w:r>
            <w:r>
              <w:rPr>
                <w:rFonts w:ascii="Arial" w:cs="Arial" w:eastAsia="Arial" w:hAnsi="Arial"/>
                <w:sz w:val="20"/>
                <w:szCs w:val="20"/>
                <w:color w:val="666666"/>
              </w:rPr>
              <w:t>Whether or not you plan to virtually attend the Annual Meeting, you may</w:t>
            </w:r>
          </w:p>
        </w:tc>
        <w:tc>
          <w:tcPr>
            <w:tcW w:w="0" w:type="dxa"/>
            <w:vAlign w:val="bottom"/>
          </w:tcPr>
          <w:p>
            <w:pPr>
              <w:spacing w:after="0"/>
              <w:rPr>
                <w:sz w:val="1"/>
                <w:szCs w:val="1"/>
                <w:color w:val="auto"/>
              </w:rPr>
            </w:pPr>
          </w:p>
        </w:tc>
      </w:tr>
      <w:tr>
        <w:trPr>
          <w:trHeight w:val="141"/>
        </w:trPr>
        <w:tc>
          <w:tcPr>
            <w:tcW w:w="2120" w:type="dxa"/>
            <w:vAlign w:val="bottom"/>
          </w:tcPr>
          <w:p>
            <w:pPr>
              <w:spacing w:after="0"/>
              <w:rPr>
                <w:sz w:val="12"/>
                <w:szCs w:val="12"/>
                <w:color w:val="auto"/>
              </w:rPr>
            </w:pPr>
          </w:p>
        </w:tc>
        <w:tc>
          <w:tcPr>
            <w:tcW w:w="9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9060" w:type="dxa"/>
            <w:vAlign w:val="bottom"/>
          </w:tcPr>
          <w:p>
            <w:pPr>
              <w:ind w:left="240"/>
              <w:spacing w:after="0" w:line="216" w:lineRule="exact"/>
              <w:rPr>
                <w:sz w:val="20"/>
                <w:szCs w:val="20"/>
                <w:color w:val="auto"/>
              </w:rPr>
            </w:pPr>
            <w:r>
              <w:rPr>
                <w:rFonts w:ascii="Arial" w:cs="Arial" w:eastAsia="Arial" w:hAnsi="Arial"/>
                <w:sz w:val="20"/>
                <w:szCs w:val="20"/>
                <w:color w:val="666666"/>
                <w:w w:val="98"/>
              </w:rPr>
              <w:t>access electronic voting via the Internet or the automated telephone voting feature, both of which are</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9060" w:type="dxa"/>
            <w:vAlign w:val="bottom"/>
          </w:tcPr>
          <w:p>
            <w:pPr>
              <w:ind w:left="240"/>
              <w:spacing w:after="0" w:line="216" w:lineRule="exact"/>
              <w:rPr>
                <w:sz w:val="20"/>
                <w:szCs w:val="20"/>
                <w:color w:val="auto"/>
              </w:rPr>
            </w:pPr>
            <w:r>
              <w:rPr>
                <w:rFonts w:ascii="Arial" w:cs="Arial" w:eastAsia="Arial" w:hAnsi="Arial"/>
                <w:sz w:val="20"/>
                <w:szCs w:val="20"/>
                <w:color w:val="666666"/>
              </w:rPr>
              <w:t>described on your enclosed proxy card, or you may sign, date, and return the proxy card in the</w:t>
            </w: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9060" w:type="dxa"/>
            <w:vAlign w:val="bottom"/>
          </w:tcPr>
          <w:p>
            <w:pPr>
              <w:ind w:left="240"/>
              <w:spacing w:after="0"/>
              <w:rPr>
                <w:sz w:val="20"/>
                <w:szCs w:val="20"/>
                <w:color w:val="auto"/>
              </w:rPr>
            </w:pPr>
            <w:r>
              <w:rPr>
                <w:rFonts w:ascii="Arial" w:cs="Arial" w:eastAsia="Arial" w:hAnsi="Arial"/>
                <w:sz w:val="20"/>
                <w:szCs w:val="20"/>
                <w:color w:val="666666"/>
              </w:rPr>
              <w:t>envelope provided.</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8"/>
        <w:spacing w:after="0" w:line="207" w:lineRule="auto"/>
        <w:tabs>
          <w:tab w:leader="none" w:pos="132" w:val="left"/>
        </w:tabs>
        <w:numPr>
          <w:ilvl w:val="0"/>
          <w:numId w:val="5"/>
        </w:numPr>
        <w:rPr>
          <w:rFonts w:ascii="Arial" w:cs="Arial" w:eastAsia="Arial" w:hAnsi="Arial"/>
          <w:sz w:val="20"/>
          <w:szCs w:val="20"/>
          <w:color w:val="666666"/>
        </w:rPr>
      </w:pPr>
      <w:r>
        <w:rPr>
          <w:rFonts w:ascii="Arial" w:cs="Arial" w:eastAsia="Arial" w:hAnsi="Arial"/>
          <w:sz w:val="20"/>
          <w:szCs w:val="20"/>
          <w:color w:val="666666"/>
        </w:rPr>
        <w:t>Due to concerns regarding the COVID-19 pandemic and to protect the safety and well-being of our stockholders, Board of Directors and employees, our 2020 Annual Meeting of Stockholders will be a virtual meeting conducted solely online and can be attended by visiting www.virtualshareholdermeeting.com/BAH2020. To participate in the Annual Meeting, you will need the control number located on your proxy card or the instructions that accompanied your proxy materials. If you plan to participate in the virtual meeting, please see “Important Information About Annual Meeting and Proxy Procedures.”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666666"/>
        </w:rPr>
        <w:t>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1905</wp:posOffset>
            </wp:positionV>
            <wp:extent cx="111442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442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20"/>
          <w:szCs w:val="20"/>
          <w:color w:val="666666"/>
        </w:rPr>
        <w:t>Jacob D. Bernstein</w:t>
      </w:r>
    </w:p>
    <w:p>
      <w:pPr>
        <w:ind w:left="660"/>
        <w:spacing w:after="0"/>
        <w:rPr>
          <w:sz w:val="20"/>
          <w:szCs w:val="20"/>
          <w:color w:val="auto"/>
        </w:rPr>
      </w:pPr>
      <w:r>
        <w:rPr>
          <w:rFonts w:ascii="Arial" w:cs="Arial" w:eastAsia="Arial" w:hAnsi="Arial"/>
          <w:sz w:val="20"/>
          <w:szCs w:val="20"/>
          <w:color w:val="666666"/>
        </w:rPr>
        <w:t>Secretary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666666"/>
        </w:rPr>
        <w:t>June 29, 2020</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5E5E61"/>
        </w:rPr>
        <w:t>Important Notice Regarding the Availability of Proxy Materials for the Annual Meeting of Stockholders to be held on July 29, 2020: This Notice of Annual Meeting, accompanying Proxy Statement and our 2020 Annual Report are available at www.proxyvote.com.</w:t>
      </w:r>
    </w:p>
    <w:p>
      <w:pPr>
        <w:sectPr>
          <w:pgSz w:w="11900" w:h="16838" w:orient="portrait"/>
          <w:cols w:equalWidth="0" w:num="1">
            <w:col w:w="11240"/>
          </w:cols>
          <w:pgMar w:left="320" w:top="1031" w:right="339" w:bottom="1440" w:gutter="0" w:footer="0" w:header="0"/>
        </w:sectPr>
      </w:pPr>
    </w:p>
    <w:bookmarkStart w:id="6" w:name="page7"/>
    <w:bookmarkEnd w:id="6"/>
    <w:p>
      <w:pPr>
        <w:jc w:val="both"/>
        <w:spacing w:after="0" w:line="255" w:lineRule="auto"/>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9"/>
        </w:trPr>
        <w:tc>
          <w:tcPr>
            <w:tcW w:w="10100" w:type="dxa"/>
            <w:vAlign w:val="bottom"/>
          </w:tcPr>
          <w:p>
            <w:pPr>
              <w:ind w:left="3580"/>
              <w:spacing w:after="0"/>
              <w:rPr>
                <w:sz w:val="20"/>
                <w:szCs w:val="20"/>
                <w:color w:val="auto"/>
              </w:rPr>
            </w:pPr>
            <w:r>
              <w:rPr>
                <w:rFonts w:ascii="Arial" w:cs="Arial" w:eastAsia="Arial" w:hAnsi="Arial"/>
                <w:sz w:val="18"/>
                <w:szCs w:val="18"/>
                <w:b w:val="1"/>
                <w:bCs w:val="1"/>
                <w:color w:val="547BCC"/>
              </w:rPr>
              <w:t>TABLE OF CONTENTS TO PROXY STATEMENT</w:t>
            </w:r>
          </w:p>
        </w:tc>
        <w:tc>
          <w:tcPr>
            <w:tcW w:w="660" w:type="dxa"/>
            <w:vAlign w:val="bottom"/>
          </w:tcPr>
          <w:p>
            <w:pPr>
              <w:spacing w:after="0"/>
              <w:rPr>
                <w:sz w:val="20"/>
                <w:szCs w:val="20"/>
                <w:color w:val="auto"/>
              </w:rPr>
            </w:pPr>
          </w:p>
        </w:tc>
      </w:tr>
      <w:tr>
        <w:trPr>
          <w:trHeight w:val="567"/>
        </w:trPr>
        <w:tc>
          <w:tcPr>
            <w:tcW w:w="10100" w:type="dxa"/>
            <w:vAlign w:val="bottom"/>
          </w:tcPr>
          <w:p>
            <w:pPr>
              <w:spacing w:after="0"/>
              <w:rPr>
                <w:sz w:val="20"/>
                <w:szCs w:val="20"/>
                <w:color w:val="auto"/>
              </w:rPr>
            </w:pPr>
            <w:r>
              <w:rPr>
                <w:rFonts w:ascii="Arial" w:cs="Arial" w:eastAsia="Arial" w:hAnsi="Arial"/>
                <w:sz w:val="18"/>
                <w:szCs w:val="18"/>
                <w:color w:val="666666"/>
              </w:rPr>
              <w:t>PROXY STATEMENT SUMMARY</w:t>
            </w:r>
          </w:p>
        </w:tc>
        <w:tc>
          <w:tcPr>
            <w:tcW w:w="660" w:type="dxa"/>
            <w:vAlign w:val="bottom"/>
          </w:tcPr>
          <w:p>
            <w:pPr>
              <w:jc w:val="right"/>
              <w:spacing w:after="0"/>
              <w:rPr>
                <w:rFonts w:ascii="Arial" w:cs="Arial" w:eastAsia="Arial" w:hAnsi="Arial"/>
                <w:sz w:val="18"/>
                <w:szCs w:val="18"/>
                <w:u w:val="single" w:color="auto"/>
                <w:color w:val="666666"/>
              </w:rPr>
            </w:pPr>
            <w:hyperlink w:anchor="page10">
              <w:r>
                <w:rPr>
                  <w:rFonts w:ascii="Arial" w:cs="Arial" w:eastAsia="Arial" w:hAnsi="Arial"/>
                  <w:sz w:val="18"/>
                  <w:szCs w:val="18"/>
                  <w:u w:val="single" w:color="auto"/>
                  <w:color w:val="666666"/>
                </w:rPr>
                <w:t>1</w:t>
              </w:r>
            </w:hyperlink>
          </w:p>
        </w:tc>
      </w:tr>
      <w:tr>
        <w:trPr>
          <w:trHeight w:val="392"/>
        </w:trPr>
        <w:tc>
          <w:tcPr>
            <w:tcW w:w="10100" w:type="dxa"/>
            <w:vAlign w:val="bottom"/>
          </w:tcPr>
          <w:p>
            <w:pPr>
              <w:spacing w:after="0"/>
              <w:rPr>
                <w:sz w:val="20"/>
                <w:szCs w:val="20"/>
                <w:color w:val="auto"/>
              </w:rPr>
            </w:pPr>
            <w:r>
              <w:rPr>
                <w:rFonts w:ascii="Arial" w:cs="Arial" w:eastAsia="Arial" w:hAnsi="Arial"/>
                <w:sz w:val="18"/>
                <w:szCs w:val="18"/>
                <w:color w:val="666666"/>
              </w:rPr>
              <w:t>PROPOSAL 1: ELECTION OF DIRECTORS</w:t>
            </w:r>
          </w:p>
        </w:tc>
        <w:tc>
          <w:tcPr>
            <w:tcW w:w="660" w:type="dxa"/>
            <w:vAlign w:val="bottom"/>
          </w:tcPr>
          <w:p>
            <w:pPr>
              <w:jc w:val="right"/>
              <w:spacing w:after="0"/>
              <w:rPr>
                <w:rFonts w:ascii="Arial" w:cs="Arial" w:eastAsia="Arial" w:hAnsi="Arial"/>
                <w:sz w:val="18"/>
                <w:szCs w:val="18"/>
                <w:u w:val="single" w:color="auto"/>
                <w:color w:val="666666"/>
              </w:rPr>
            </w:pPr>
            <w:hyperlink w:anchor="page15">
              <w:r>
                <w:rPr>
                  <w:rFonts w:ascii="Arial" w:cs="Arial" w:eastAsia="Arial" w:hAnsi="Arial"/>
                  <w:sz w:val="18"/>
                  <w:szCs w:val="18"/>
                  <w:u w:val="single" w:color="auto"/>
                  <w:color w:val="666666"/>
                </w:rPr>
                <w:t>6</w:t>
              </w:r>
            </w:hyperlink>
          </w:p>
        </w:tc>
      </w:tr>
      <w:tr>
        <w:trPr>
          <w:trHeight w:val="392"/>
        </w:trPr>
        <w:tc>
          <w:tcPr>
            <w:tcW w:w="10100" w:type="dxa"/>
            <w:vAlign w:val="bottom"/>
          </w:tcPr>
          <w:p>
            <w:pPr>
              <w:ind w:left="140"/>
              <w:spacing w:after="0"/>
              <w:rPr>
                <w:sz w:val="20"/>
                <w:szCs w:val="20"/>
                <w:color w:val="auto"/>
              </w:rPr>
            </w:pPr>
            <w:r>
              <w:rPr>
                <w:rFonts w:ascii="Arial" w:cs="Arial" w:eastAsia="Arial" w:hAnsi="Arial"/>
                <w:sz w:val="18"/>
                <w:szCs w:val="18"/>
                <w:color w:val="666666"/>
              </w:rPr>
              <w:t>Board Structure</w:t>
            </w:r>
          </w:p>
        </w:tc>
        <w:tc>
          <w:tcPr>
            <w:tcW w:w="660" w:type="dxa"/>
            <w:vAlign w:val="bottom"/>
          </w:tcPr>
          <w:p>
            <w:pPr>
              <w:jc w:val="right"/>
              <w:spacing w:after="0"/>
              <w:rPr>
                <w:rFonts w:ascii="Arial" w:cs="Arial" w:eastAsia="Arial" w:hAnsi="Arial"/>
                <w:sz w:val="18"/>
                <w:szCs w:val="18"/>
                <w:u w:val="single" w:color="auto"/>
                <w:color w:val="666666"/>
              </w:rPr>
            </w:pPr>
            <w:hyperlink w:anchor="page15">
              <w:r>
                <w:rPr>
                  <w:rFonts w:ascii="Arial" w:cs="Arial" w:eastAsia="Arial" w:hAnsi="Arial"/>
                  <w:sz w:val="18"/>
                  <w:szCs w:val="18"/>
                  <w:u w:val="single" w:color="auto"/>
                  <w:color w:val="666666"/>
                </w:rPr>
                <w:t>6</w:t>
              </w:r>
            </w:hyperlink>
          </w:p>
        </w:tc>
      </w:tr>
      <w:tr>
        <w:trPr>
          <w:trHeight w:val="392"/>
        </w:trPr>
        <w:tc>
          <w:tcPr>
            <w:tcW w:w="10100" w:type="dxa"/>
            <w:vAlign w:val="bottom"/>
          </w:tcPr>
          <w:p>
            <w:pPr>
              <w:ind w:left="140"/>
              <w:spacing w:after="0"/>
              <w:rPr>
                <w:sz w:val="20"/>
                <w:szCs w:val="20"/>
                <w:color w:val="auto"/>
              </w:rPr>
            </w:pPr>
            <w:r>
              <w:rPr>
                <w:rFonts w:ascii="Arial" w:cs="Arial" w:eastAsia="Arial" w:hAnsi="Arial"/>
                <w:sz w:val="18"/>
                <w:szCs w:val="18"/>
                <w:color w:val="666666"/>
              </w:rPr>
              <w:t>Class I Election</w:t>
            </w:r>
          </w:p>
        </w:tc>
        <w:tc>
          <w:tcPr>
            <w:tcW w:w="660" w:type="dxa"/>
            <w:vAlign w:val="bottom"/>
          </w:tcPr>
          <w:p>
            <w:pPr>
              <w:jc w:val="right"/>
              <w:spacing w:after="0"/>
              <w:rPr>
                <w:rFonts w:ascii="Arial" w:cs="Arial" w:eastAsia="Arial" w:hAnsi="Arial"/>
                <w:sz w:val="18"/>
                <w:szCs w:val="18"/>
                <w:u w:val="single" w:color="auto"/>
                <w:color w:val="666666"/>
              </w:rPr>
            </w:pPr>
            <w:hyperlink w:anchor="page15">
              <w:r>
                <w:rPr>
                  <w:rFonts w:ascii="Arial" w:cs="Arial" w:eastAsia="Arial" w:hAnsi="Arial"/>
                  <w:sz w:val="18"/>
                  <w:szCs w:val="18"/>
                  <w:u w:val="single" w:color="auto"/>
                  <w:color w:val="666666"/>
                </w:rPr>
                <w:t>6</w:t>
              </w:r>
            </w:hyperlink>
          </w:p>
        </w:tc>
      </w:tr>
      <w:tr>
        <w:trPr>
          <w:trHeight w:val="391"/>
        </w:trPr>
        <w:tc>
          <w:tcPr>
            <w:tcW w:w="10100" w:type="dxa"/>
            <w:vAlign w:val="bottom"/>
          </w:tcPr>
          <w:p>
            <w:pPr>
              <w:ind w:left="140"/>
              <w:spacing w:after="0"/>
              <w:rPr>
                <w:sz w:val="20"/>
                <w:szCs w:val="20"/>
                <w:color w:val="auto"/>
              </w:rPr>
            </w:pPr>
            <w:r>
              <w:rPr>
                <w:rFonts w:ascii="Arial" w:cs="Arial" w:eastAsia="Arial" w:hAnsi="Arial"/>
                <w:sz w:val="18"/>
                <w:szCs w:val="18"/>
                <w:color w:val="666666"/>
              </w:rPr>
              <w:t>Class I Nominees</w:t>
            </w:r>
          </w:p>
        </w:tc>
        <w:tc>
          <w:tcPr>
            <w:tcW w:w="660" w:type="dxa"/>
            <w:vAlign w:val="bottom"/>
          </w:tcPr>
          <w:p>
            <w:pPr>
              <w:jc w:val="right"/>
              <w:spacing w:after="0"/>
              <w:rPr>
                <w:rFonts w:ascii="Arial" w:cs="Arial" w:eastAsia="Arial" w:hAnsi="Arial"/>
                <w:sz w:val="18"/>
                <w:szCs w:val="18"/>
                <w:u w:val="single" w:color="auto"/>
                <w:color w:val="666666"/>
              </w:rPr>
            </w:pPr>
            <w:hyperlink w:anchor="page15">
              <w:r>
                <w:rPr>
                  <w:rFonts w:ascii="Arial" w:cs="Arial" w:eastAsia="Arial" w:hAnsi="Arial"/>
                  <w:sz w:val="18"/>
                  <w:szCs w:val="18"/>
                  <w:u w:val="single" w:color="auto"/>
                  <w:color w:val="666666"/>
                </w:rPr>
                <w:t>6</w:t>
              </w:r>
            </w:hyperlink>
          </w:p>
        </w:tc>
      </w:tr>
      <w:tr>
        <w:trPr>
          <w:trHeight w:val="392"/>
        </w:trPr>
        <w:tc>
          <w:tcPr>
            <w:tcW w:w="10100" w:type="dxa"/>
            <w:vAlign w:val="bottom"/>
          </w:tcPr>
          <w:p>
            <w:pPr>
              <w:spacing w:after="0"/>
              <w:rPr>
                <w:sz w:val="20"/>
                <w:szCs w:val="20"/>
                <w:color w:val="auto"/>
              </w:rPr>
            </w:pPr>
            <w:r>
              <w:rPr>
                <w:rFonts w:ascii="Arial" w:cs="Arial" w:eastAsia="Arial" w:hAnsi="Arial"/>
                <w:sz w:val="18"/>
                <w:szCs w:val="18"/>
                <w:color w:val="666666"/>
              </w:rPr>
              <w:t>CONTINUING DIRECTORS</w:t>
            </w:r>
          </w:p>
        </w:tc>
        <w:tc>
          <w:tcPr>
            <w:tcW w:w="660" w:type="dxa"/>
            <w:vAlign w:val="bottom"/>
          </w:tcPr>
          <w:p>
            <w:pPr>
              <w:jc w:val="right"/>
              <w:spacing w:after="0"/>
              <w:rPr>
                <w:rFonts w:ascii="Arial" w:cs="Arial" w:eastAsia="Arial" w:hAnsi="Arial"/>
                <w:sz w:val="18"/>
                <w:szCs w:val="18"/>
                <w:u w:val="single" w:color="auto"/>
                <w:color w:val="666666"/>
              </w:rPr>
            </w:pPr>
            <w:hyperlink w:anchor="page17">
              <w:r>
                <w:rPr>
                  <w:rFonts w:ascii="Arial" w:cs="Arial" w:eastAsia="Arial" w:hAnsi="Arial"/>
                  <w:sz w:val="18"/>
                  <w:szCs w:val="18"/>
                  <w:u w:val="single" w:color="auto"/>
                  <w:color w:val="666666"/>
                </w:rPr>
                <w:t>8</w:t>
              </w:r>
            </w:hyperlink>
          </w:p>
        </w:tc>
      </w:tr>
      <w:tr>
        <w:trPr>
          <w:trHeight w:val="377"/>
        </w:trPr>
        <w:tc>
          <w:tcPr>
            <w:tcW w:w="10100" w:type="dxa"/>
            <w:vAlign w:val="bottom"/>
          </w:tcPr>
          <w:p>
            <w:pPr>
              <w:spacing w:after="0"/>
              <w:rPr>
                <w:sz w:val="20"/>
                <w:szCs w:val="20"/>
                <w:color w:val="auto"/>
              </w:rPr>
            </w:pPr>
            <w:r>
              <w:rPr>
                <w:rFonts w:ascii="Arial" w:cs="Arial" w:eastAsia="Arial" w:hAnsi="Arial"/>
                <w:sz w:val="18"/>
                <w:szCs w:val="18"/>
                <w:color w:val="666666"/>
              </w:rPr>
              <w:t>CORPORATE GOVERNANCE AND GENERAL INFORMATION CONCERNING THE BOARD OF DIRECTORS AND ITS</w:t>
            </w:r>
          </w:p>
        </w:tc>
        <w:tc>
          <w:tcPr>
            <w:tcW w:w="660" w:type="dxa"/>
            <w:vAlign w:val="bottom"/>
          </w:tcPr>
          <w:p>
            <w:pPr>
              <w:spacing w:after="0"/>
              <w:rPr>
                <w:sz w:val="24"/>
                <w:szCs w:val="24"/>
                <w:color w:val="auto"/>
              </w:rPr>
            </w:pPr>
          </w:p>
        </w:tc>
      </w:tr>
      <w:tr>
        <w:trPr>
          <w:trHeight w:val="217"/>
        </w:trPr>
        <w:tc>
          <w:tcPr>
            <w:tcW w:w="10100" w:type="dxa"/>
            <w:vAlign w:val="bottom"/>
          </w:tcPr>
          <w:p>
            <w:pPr>
              <w:spacing w:after="0"/>
              <w:rPr>
                <w:sz w:val="20"/>
                <w:szCs w:val="20"/>
                <w:color w:val="auto"/>
              </w:rPr>
            </w:pPr>
            <w:r>
              <w:rPr>
                <w:rFonts w:ascii="Arial" w:cs="Arial" w:eastAsia="Arial" w:hAnsi="Arial"/>
                <w:sz w:val="18"/>
                <w:szCs w:val="18"/>
                <w:color w:val="666666"/>
              </w:rPr>
              <w:t>COMMITTEES</w:t>
            </w:r>
          </w:p>
        </w:tc>
        <w:tc>
          <w:tcPr>
            <w:tcW w:w="660" w:type="dxa"/>
            <w:vAlign w:val="bottom"/>
          </w:tcPr>
          <w:p>
            <w:pPr>
              <w:jc w:val="right"/>
              <w:spacing w:after="0"/>
              <w:rPr>
                <w:rFonts w:ascii="Arial" w:cs="Arial" w:eastAsia="Arial" w:hAnsi="Arial"/>
                <w:sz w:val="18"/>
                <w:szCs w:val="18"/>
                <w:u w:val="single" w:color="auto"/>
                <w:color w:val="666666"/>
              </w:rPr>
            </w:pPr>
            <w:hyperlink w:anchor="page21">
              <w:r>
                <w:rPr>
                  <w:rFonts w:ascii="Arial" w:cs="Arial" w:eastAsia="Arial" w:hAnsi="Arial"/>
                  <w:sz w:val="18"/>
                  <w:szCs w:val="18"/>
                  <w:u w:val="single" w:color="auto"/>
                  <w:color w:val="666666"/>
                </w:rPr>
                <w:t>12</w:t>
              </w:r>
            </w:hyperlink>
          </w:p>
        </w:tc>
      </w:tr>
      <w:tr>
        <w:trPr>
          <w:trHeight w:val="392"/>
        </w:trPr>
        <w:tc>
          <w:tcPr>
            <w:tcW w:w="10100" w:type="dxa"/>
            <w:vAlign w:val="bottom"/>
          </w:tcPr>
          <w:p>
            <w:pPr>
              <w:ind w:left="140"/>
              <w:spacing w:after="0"/>
              <w:rPr>
                <w:sz w:val="20"/>
                <w:szCs w:val="20"/>
                <w:color w:val="auto"/>
              </w:rPr>
            </w:pPr>
            <w:r>
              <w:rPr>
                <w:rFonts w:ascii="Arial" w:cs="Arial" w:eastAsia="Arial" w:hAnsi="Arial"/>
                <w:sz w:val="18"/>
                <w:szCs w:val="18"/>
                <w:color w:val="666666"/>
              </w:rPr>
              <w:t>Our Board of Directors</w:t>
            </w:r>
          </w:p>
        </w:tc>
        <w:tc>
          <w:tcPr>
            <w:tcW w:w="660" w:type="dxa"/>
            <w:vAlign w:val="bottom"/>
          </w:tcPr>
          <w:p>
            <w:pPr>
              <w:jc w:val="right"/>
              <w:spacing w:after="0"/>
              <w:rPr>
                <w:rFonts w:ascii="Arial" w:cs="Arial" w:eastAsia="Arial" w:hAnsi="Arial"/>
                <w:sz w:val="18"/>
                <w:szCs w:val="18"/>
                <w:u w:val="single" w:color="auto"/>
                <w:color w:val="666666"/>
              </w:rPr>
            </w:pPr>
            <w:hyperlink w:anchor="page21">
              <w:r>
                <w:rPr>
                  <w:rFonts w:ascii="Arial" w:cs="Arial" w:eastAsia="Arial" w:hAnsi="Arial"/>
                  <w:sz w:val="18"/>
                  <w:szCs w:val="18"/>
                  <w:u w:val="single" w:color="auto"/>
                  <w:color w:val="666666"/>
                </w:rPr>
                <w:t>12</w:t>
              </w:r>
            </w:hyperlink>
          </w:p>
        </w:tc>
      </w:tr>
      <w:tr>
        <w:trPr>
          <w:trHeight w:val="392"/>
        </w:trPr>
        <w:tc>
          <w:tcPr>
            <w:tcW w:w="10100" w:type="dxa"/>
            <w:vAlign w:val="bottom"/>
          </w:tcPr>
          <w:p>
            <w:pPr>
              <w:ind w:left="140"/>
              <w:spacing w:after="0"/>
              <w:rPr>
                <w:sz w:val="20"/>
                <w:szCs w:val="20"/>
                <w:color w:val="auto"/>
              </w:rPr>
            </w:pPr>
            <w:r>
              <w:rPr>
                <w:rFonts w:ascii="Arial" w:cs="Arial" w:eastAsia="Arial" w:hAnsi="Arial"/>
                <w:sz w:val="18"/>
                <w:szCs w:val="18"/>
                <w:color w:val="666666"/>
              </w:rPr>
              <w:t>Corporate Governance Guidelines</w:t>
            </w:r>
          </w:p>
        </w:tc>
        <w:tc>
          <w:tcPr>
            <w:tcW w:w="660" w:type="dxa"/>
            <w:vAlign w:val="bottom"/>
          </w:tcPr>
          <w:p>
            <w:pPr>
              <w:jc w:val="right"/>
              <w:spacing w:after="0"/>
              <w:rPr>
                <w:rFonts w:ascii="Arial" w:cs="Arial" w:eastAsia="Arial" w:hAnsi="Arial"/>
                <w:sz w:val="18"/>
                <w:szCs w:val="18"/>
                <w:u w:val="single" w:color="auto"/>
                <w:color w:val="666666"/>
              </w:rPr>
            </w:pPr>
            <w:hyperlink w:anchor="page21">
              <w:r>
                <w:rPr>
                  <w:rFonts w:ascii="Arial" w:cs="Arial" w:eastAsia="Arial" w:hAnsi="Arial"/>
                  <w:sz w:val="18"/>
                  <w:szCs w:val="18"/>
                  <w:u w:val="single" w:color="auto"/>
                  <w:color w:val="666666"/>
                </w:rPr>
                <w:t>12</w:t>
              </w:r>
            </w:hyperlink>
          </w:p>
        </w:tc>
      </w:tr>
      <w:tr>
        <w:trPr>
          <w:trHeight w:val="391"/>
        </w:trPr>
        <w:tc>
          <w:tcPr>
            <w:tcW w:w="10100" w:type="dxa"/>
            <w:vAlign w:val="bottom"/>
          </w:tcPr>
          <w:p>
            <w:pPr>
              <w:ind w:left="140"/>
              <w:spacing w:after="0"/>
              <w:rPr>
                <w:sz w:val="20"/>
                <w:szCs w:val="20"/>
                <w:color w:val="auto"/>
              </w:rPr>
            </w:pPr>
            <w:r>
              <w:rPr>
                <w:rFonts w:ascii="Arial" w:cs="Arial" w:eastAsia="Arial" w:hAnsi="Arial"/>
                <w:sz w:val="18"/>
                <w:szCs w:val="18"/>
                <w:color w:val="666666"/>
              </w:rPr>
              <w:t>Codes of Conduct and Ethics</w:t>
            </w:r>
          </w:p>
        </w:tc>
        <w:tc>
          <w:tcPr>
            <w:tcW w:w="660" w:type="dxa"/>
            <w:vAlign w:val="bottom"/>
          </w:tcPr>
          <w:p>
            <w:pPr>
              <w:jc w:val="right"/>
              <w:spacing w:after="0"/>
              <w:rPr>
                <w:rFonts w:ascii="Arial" w:cs="Arial" w:eastAsia="Arial" w:hAnsi="Arial"/>
                <w:sz w:val="18"/>
                <w:szCs w:val="18"/>
                <w:u w:val="single" w:color="auto"/>
                <w:color w:val="666666"/>
              </w:rPr>
            </w:pPr>
            <w:hyperlink w:anchor="page21">
              <w:r>
                <w:rPr>
                  <w:rFonts w:ascii="Arial" w:cs="Arial" w:eastAsia="Arial" w:hAnsi="Arial"/>
                  <w:sz w:val="18"/>
                  <w:szCs w:val="18"/>
                  <w:u w:val="single" w:color="auto"/>
                  <w:color w:val="666666"/>
                </w:rPr>
                <w:t>12</w:t>
              </w:r>
            </w:hyperlink>
          </w:p>
        </w:tc>
      </w:tr>
      <w:tr>
        <w:trPr>
          <w:trHeight w:val="392"/>
        </w:trPr>
        <w:tc>
          <w:tcPr>
            <w:tcW w:w="10100" w:type="dxa"/>
            <w:vAlign w:val="bottom"/>
          </w:tcPr>
          <w:p>
            <w:pPr>
              <w:ind w:left="140"/>
              <w:spacing w:after="0"/>
              <w:rPr>
                <w:sz w:val="20"/>
                <w:szCs w:val="20"/>
                <w:color w:val="auto"/>
              </w:rPr>
            </w:pPr>
            <w:r>
              <w:rPr>
                <w:rFonts w:ascii="Arial" w:cs="Arial" w:eastAsia="Arial" w:hAnsi="Arial"/>
                <w:sz w:val="18"/>
                <w:szCs w:val="18"/>
                <w:color w:val="666666"/>
              </w:rPr>
              <w:t>Board Meetings and Attendance</w:t>
            </w:r>
          </w:p>
        </w:tc>
        <w:tc>
          <w:tcPr>
            <w:tcW w:w="660" w:type="dxa"/>
            <w:vAlign w:val="bottom"/>
          </w:tcPr>
          <w:p>
            <w:pPr>
              <w:jc w:val="right"/>
              <w:spacing w:after="0"/>
              <w:rPr>
                <w:rFonts w:ascii="Arial" w:cs="Arial" w:eastAsia="Arial" w:hAnsi="Arial"/>
                <w:sz w:val="18"/>
                <w:szCs w:val="18"/>
                <w:u w:val="single" w:color="auto"/>
                <w:color w:val="666666"/>
              </w:rPr>
            </w:pPr>
            <w:hyperlink w:anchor="page21">
              <w:r>
                <w:rPr>
                  <w:rFonts w:ascii="Arial" w:cs="Arial" w:eastAsia="Arial" w:hAnsi="Arial"/>
                  <w:sz w:val="18"/>
                  <w:szCs w:val="18"/>
                  <w:u w:val="single" w:color="auto"/>
                  <w:color w:val="666666"/>
                </w:rPr>
                <w:t>12</w:t>
              </w:r>
            </w:hyperlink>
          </w:p>
        </w:tc>
      </w:tr>
      <w:tr>
        <w:trPr>
          <w:trHeight w:val="392"/>
        </w:trPr>
        <w:tc>
          <w:tcPr>
            <w:tcW w:w="10100" w:type="dxa"/>
            <w:vAlign w:val="bottom"/>
          </w:tcPr>
          <w:p>
            <w:pPr>
              <w:ind w:left="140"/>
              <w:spacing w:after="0"/>
              <w:rPr>
                <w:sz w:val="20"/>
                <w:szCs w:val="20"/>
                <w:color w:val="auto"/>
              </w:rPr>
            </w:pPr>
            <w:r>
              <w:rPr>
                <w:rFonts w:ascii="Arial" w:cs="Arial" w:eastAsia="Arial" w:hAnsi="Arial"/>
                <w:sz w:val="18"/>
                <w:szCs w:val="18"/>
                <w:color w:val="666666"/>
              </w:rPr>
              <w:t>Board Leadership Structure</w:t>
            </w:r>
          </w:p>
        </w:tc>
        <w:tc>
          <w:tcPr>
            <w:tcW w:w="660" w:type="dxa"/>
            <w:vAlign w:val="bottom"/>
          </w:tcPr>
          <w:p>
            <w:pPr>
              <w:jc w:val="right"/>
              <w:spacing w:after="0"/>
              <w:rPr>
                <w:rFonts w:ascii="Arial" w:cs="Arial" w:eastAsia="Arial" w:hAnsi="Arial"/>
                <w:sz w:val="18"/>
                <w:szCs w:val="18"/>
                <w:u w:val="single" w:color="auto"/>
                <w:color w:val="666666"/>
              </w:rPr>
            </w:pPr>
            <w:hyperlink w:anchor="page22">
              <w:r>
                <w:rPr>
                  <w:rFonts w:ascii="Arial" w:cs="Arial" w:eastAsia="Arial" w:hAnsi="Arial"/>
                  <w:sz w:val="18"/>
                  <w:szCs w:val="18"/>
                  <w:u w:val="single" w:color="auto"/>
                  <w:color w:val="666666"/>
                </w:rPr>
                <w:t>13</w:t>
              </w:r>
            </w:hyperlink>
          </w:p>
        </w:tc>
      </w:tr>
      <w:tr>
        <w:trPr>
          <w:trHeight w:val="392"/>
        </w:trPr>
        <w:tc>
          <w:tcPr>
            <w:tcW w:w="10100" w:type="dxa"/>
            <w:vAlign w:val="bottom"/>
          </w:tcPr>
          <w:p>
            <w:pPr>
              <w:ind w:left="140"/>
              <w:spacing w:after="0"/>
              <w:rPr>
                <w:sz w:val="20"/>
                <w:szCs w:val="20"/>
                <w:color w:val="auto"/>
              </w:rPr>
            </w:pPr>
            <w:r>
              <w:rPr>
                <w:rFonts w:ascii="Arial" w:cs="Arial" w:eastAsia="Arial" w:hAnsi="Arial"/>
                <w:sz w:val="18"/>
                <w:szCs w:val="18"/>
                <w:color w:val="666666"/>
              </w:rPr>
              <w:t>Succession Planning and Talent Reviews</w:t>
            </w:r>
          </w:p>
        </w:tc>
        <w:tc>
          <w:tcPr>
            <w:tcW w:w="660" w:type="dxa"/>
            <w:vAlign w:val="bottom"/>
          </w:tcPr>
          <w:p>
            <w:pPr>
              <w:jc w:val="right"/>
              <w:spacing w:after="0"/>
              <w:rPr>
                <w:rFonts w:ascii="Arial" w:cs="Arial" w:eastAsia="Arial" w:hAnsi="Arial"/>
                <w:sz w:val="18"/>
                <w:szCs w:val="18"/>
                <w:u w:val="single" w:color="auto"/>
                <w:color w:val="666666"/>
              </w:rPr>
            </w:pPr>
            <w:hyperlink w:anchor="page22">
              <w:r>
                <w:rPr>
                  <w:rFonts w:ascii="Arial" w:cs="Arial" w:eastAsia="Arial" w:hAnsi="Arial"/>
                  <w:sz w:val="18"/>
                  <w:szCs w:val="18"/>
                  <w:u w:val="single" w:color="auto"/>
                  <w:color w:val="666666"/>
                </w:rPr>
                <w:t>13</w:t>
              </w:r>
            </w:hyperlink>
          </w:p>
        </w:tc>
      </w:tr>
      <w:tr>
        <w:trPr>
          <w:trHeight w:val="391"/>
        </w:trPr>
        <w:tc>
          <w:tcPr>
            <w:tcW w:w="10100" w:type="dxa"/>
            <w:vAlign w:val="bottom"/>
          </w:tcPr>
          <w:p>
            <w:pPr>
              <w:ind w:left="140"/>
              <w:spacing w:after="0"/>
              <w:rPr>
                <w:sz w:val="20"/>
                <w:szCs w:val="20"/>
                <w:color w:val="auto"/>
              </w:rPr>
            </w:pPr>
            <w:r>
              <w:rPr>
                <w:rFonts w:ascii="Arial" w:cs="Arial" w:eastAsia="Arial" w:hAnsi="Arial"/>
                <w:sz w:val="18"/>
                <w:szCs w:val="18"/>
                <w:color w:val="666666"/>
              </w:rPr>
              <w:t>Risk Oversight</w:t>
            </w:r>
          </w:p>
        </w:tc>
        <w:tc>
          <w:tcPr>
            <w:tcW w:w="660" w:type="dxa"/>
            <w:vAlign w:val="bottom"/>
          </w:tcPr>
          <w:p>
            <w:pPr>
              <w:jc w:val="right"/>
              <w:spacing w:after="0"/>
              <w:rPr>
                <w:rFonts w:ascii="Arial" w:cs="Arial" w:eastAsia="Arial" w:hAnsi="Arial"/>
                <w:sz w:val="18"/>
                <w:szCs w:val="18"/>
                <w:u w:val="single" w:color="auto"/>
                <w:color w:val="666666"/>
              </w:rPr>
            </w:pPr>
            <w:hyperlink w:anchor="page22">
              <w:r>
                <w:rPr>
                  <w:rFonts w:ascii="Arial" w:cs="Arial" w:eastAsia="Arial" w:hAnsi="Arial"/>
                  <w:sz w:val="18"/>
                  <w:szCs w:val="18"/>
                  <w:u w:val="single" w:color="auto"/>
                  <w:color w:val="666666"/>
                </w:rPr>
                <w:t>13</w:t>
              </w:r>
            </w:hyperlink>
          </w:p>
        </w:tc>
      </w:tr>
      <w:tr>
        <w:trPr>
          <w:trHeight w:val="392"/>
        </w:trPr>
        <w:tc>
          <w:tcPr>
            <w:tcW w:w="10100" w:type="dxa"/>
            <w:vAlign w:val="bottom"/>
          </w:tcPr>
          <w:p>
            <w:pPr>
              <w:ind w:left="140"/>
              <w:spacing w:after="0"/>
              <w:rPr>
                <w:sz w:val="20"/>
                <w:szCs w:val="20"/>
                <w:color w:val="auto"/>
              </w:rPr>
            </w:pPr>
            <w:r>
              <w:rPr>
                <w:rFonts w:ascii="Arial" w:cs="Arial" w:eastAsia="Arial" w:hAnsi="Arial"/>
                <w:sz w:val="18"/>
                <w:szCs w:val="18"/>
                <w:color w:val="666666"/>
              </w:rPr>
              <w:t>Annual Board Performance Assessment</w:t>
            </w:r>
          </w:p>
        </w:tc>
        <w:tc>
          <w:tcPr>
            <w:tcW w:w="660" w:type="dxa"/>
            <w:vAlign w:val="bottom"/>
          </w:tcPr>
          <w:p>
            <w:pPr>
              <w:jc w:val="right"/>
              <w:spacing w:after="0"/>
              <w:rPr>
                <w:rFonts w:ascii="Arial" w:cs="Arial" w:eastAsia="Arial" w:hAnsi="Arial"/>
                <w:sz w:val="18"/>
                <w:szCs w:val="18"/>
                <w:u w:val="single" w:color="auto"/>
                <w:color w:val="666666"/>
              </w:rPr>
            </w:pPr>
            <w:hyperlink w:anchor="page23">
              <w:r>
                <w:rPr>
                  <w:rFonts w:ascii="Arial" w:cs="Arial" w:eastAsia="Arial" w:hAnsi="Arial"/>
                  <w:sz w:val="18"/>
                  <w:szCs w:val="18"/>
                  <w:u w:val="single" w:color="auto"/>
                  <w:color w:val="666666"/>
                </w:rPr>
                <w:t>14</w:t>
              </w:r>
            </w:hyperlink>
          </w:p>
        </w:tc>
      </w:tr>
      <w:tr>
        <w:trPr>
          <w:trHeight w:val="392"/>
        </w:trPr>
        <w:tc>
          <w:tcPr>
            <w:tcW w:w="10100" w:type="dxa"/>
            <w:vAlign w:val="bottom"/>
          </w:tcPr>
          <w:p>
            <w:pPr>
              <w:ind w:left="140"/>
              <w:spacing w:after="0"/>
              <w:rPr>
                <w:sz w:val="20"/>
                <w:szCs w:val="20"/>
                <w:color w:val="auto"/>
              </w:rPr>
            </w:pPr>
            <w:r>
              <w:rPr>
                <w:rFonts w:ascii="Arial" w:cs="Arial" w:eastAsia="Arial" w:hAnsi="Arial"/>
                <w:sz w:val="18"/>
                <w:szCs w:val="18"/>
                <w:color w:val="666666"/>
              </w:rPr>
              <w:t>Board Independence</w:t>
            </w:r>
          </w:p>
        </w:tc>
        <w:tc>
          <w:tcPr>
            <w:tcW w:w="660" w:type="dxa"/>
            <w:vAlign w:val="bottom"/>
          </w:tcPr>
          <w:p>
            <w:pPr>
              <w:jc w:val="right"/>
              <w:spacing w:after="0"/>
              <w:rPr>
                <w:rFonts w:ascii="Arial" w:cs="Arial" w:eastAsia="Arial" w:hAnsi="Arial"/>
                <w:sz w:val="18"/>
                <w:szCs w:val="18"/>
                <w:u w:val="single" w:color="auto"/>
                <w:color w:val="666666"/>
              </w:rPr>
            </w:pPr>
            <w:hyperlink w:anchor="page23">
              <w:r>
                <w:rPr>
                  <w:rFonts w:ascii="Arial" w:cs="Arial" w:eastAsia="Arial" w:hAnsi="Arial"/>
                  <w:sz w:val="18"/>
                  <w:szCs w:val="18"/>
                  <w:u w:val="single" w:color="auto"/>
                  <w:color w:val="666666"/>
                </w:rPr>
                <w:t>14</w:t>
              </w:r>
            </w:hyperlink>
          </w:p>
        </w:tc>
      </w:tr>
      <w:tr>
        <w:trPr>
          <w:trHeight w:val="391"/>
        </w:trPr>
        <w:tc>
          <w:tcPr>
            <w:tcW w:w="10100" w:type="dxa"/>
            <w:vAlign w:val="bottom"/>
          </w:tcPr>
          <w:p>
            <w:pPr>
              <w:ind w:left="140"/>
              <w:spacing w:after="0"/>
              <w:rPr>
                <w:sz w:val="20"/>
                <w:szCs w:val="20"/>
                <w:color w:val="auto"/>
              </w:rPr>
            </w:pPr>
            <w:r>
              <w:rPr>
                <w:rFonts w:ascii="Arial" w:cs="Arial" w:eastAsia="Arial" w:hAnsi="Arial"/>
                <w:sz w:val="18"/>
                <w:szCs w:val="18"/>
                <w:color w:val="666666"/>
              </w:rPr>
              <w:t>Selection of Nominees for Election to the Board</w:t>
            </w:r>
          </w:p>
        </w:tc>
        <w:tc>
          <w:tcPr>
            <w:tcW w:w="660" w:type="dxa"/>
            <w:vAlign w:val="bottom"/>
          </w:tcPr>
          <w:p>
            <w:pPr>
              <w:jc w:val="right"/>
              <w:spacing w:after="0"/>
              <w:rPr>
                <w:rFonts w:ascii="Arial" w:cs="Arial" w:eastAsia="Arial" w:hAnsi="Arial"/>
                <w:sz w:val="18"/>
                <w:szCs w:val="18"/>
                <w:u w:val="single" w:color="auto"/>
                <w:color w:val="666666"/>
              </w:rPr>
            </w:pPr>
            <w:hyperlink w:anchor="page23">
              <w:r>
                <w:rPr>
                  <w:rFonts w:ascii="Arial" w:cs="Arial" w:eastAsia="Arial" w:hAnsi="Arial"/>
                  <w:sz w:val="18"/>
                  <w:szCs w:val="18"/>
                  <w:u w:val="single" w:color="auto"/>
                  <w:color w:val="666666"/>
                </w:rPr>
                <w:t>14</w:t>
              </w:r>
            </w:hyperlink>
          </w:p>
        </w:tc>
      </w:tr>
      <w:tr>
        <w:trPr>
          <w:trHeight w:val="392"/>
        </w:trPr>
        <w:tc>
          <w:tcPr>
            <w:tcW w:w="10100" w:type="dxa"/>
            <w:vAlign w:val="bottom"/>
          </w:tcPr>
          <w:p>
            <w:pPr>
              <w:ind w:left="140"/>
              <w:spacing w:after="0"/>
              <w:rPr>
                <w:sz w:val="20"/>
                <w:szCs w:val="20"/>
                <w:color w:val="auto"/>
              </w:rPr>
            </w:pPr>
            <w:r>
              <w:rPr>
                <w:rFonts w:ascii="Arial" w:cs="Arial" w:eastAsia="Arial" w:hAnsi="Arial"/>
                <w:sz w:val="18"/>
                <w:szCs w:val="18"/>
                <w:color w:val="666666"/>
              </w:rPr>
              <w:t>Director Orientation and Continuing Education</w:t>
            </w:r>
          </w:p>
        </w:tc>
        <w:tc>
          <w:tcPr>
            <w:tcW w:w="660" w:type="dxa"/>
            <w:vAlign w:val="bottom"/>
          </w:tcPr>
          <w:p>
            <w:pPr>
              <w:jc w:val="right"/>
              <w:spacing w:after="0"/>
              <w:rPr>
                <w:rFonts w:ascii="Arial" w:cs="Arial" w:eastAsia="Arial" w:hAnsi="Arial"/>
                <w:sz w:val="18"/>
                <w:szCs w:val="18"/>
                <w:u w:val="single" w:color="auto"/>
                <w:color w:val="666666"/>
              </w:rPr>
            </w:pPr>
            <w:hyperlink w:anchor="page24">
              <w:r>
                <w:rPr>
                  <w:rFonts w:ascii="Arial" w:cs="Arial" w:eastAsia="Arial" w:hAnsi="Arial"/>
                  <w:sz w:val="18"/>
                  <w:szCs w:val="18"/>
                  <w:u w:val="single" w:color="auto"/>
                  <w:color w:val="666666"/>
                </w:rPr>
                <w:t>15</w:t>
              </w:r>
            </w:hyperlink>
          </w:p>
        </w:tc>
      </w:tr>
      <w:tr>
        <w:trPr>
          <w:trHeight w:val="391"/>
        </w:trPr>
        <w:tc>
          <w:tcPr>
            <w:tcW w:w="10100" w:type="dxa"/>
            <w:vAlign w:val="bottom"/>
          </w:tcPr>
          <w:p>
            <w:pPr>
              <w:ind w:left="140"/>
              <w:spacing w:after="0"/>
              <w:rPr>
                <w:sz w:val="20"/>
                <w:szCs w:val="20"/>
                <w:color w:val="auto"/>
              </w:rPr>
            </w:pPr>
            <w:r>
              <w:rPr>
                <w:rFonts w:ascii="Arial" w:cs="Arial" w:eastAsia="Arial" w:hAnsi="Arial"/>
                <w:sz w:val="18"/>
                <w:szCs w:val="18"/>
                <w:color w:val="666666"/>
              </w:rPr>
              <w:t>Communications with the Board</w:t>
            </w:r>
          </w:p>
        </w:tc>
        <w:tc>
          <w:tcPr>
            <w:tcW w:w="660" w:type="dxa"/>
            <w:vAlign w:val="bottom"/>
          </w:tcPr>
          <w:p>
            <w:pPr>
              <w:jc w:val="right"/>
              <w:spacing w:after="0"/>
              <w:rPr>
                <w:rFonts w:ascii="Arial" w:cs="Arial" w:eastAsia="Arial" w:hAnsi="Arial"/>
                <w:sz w:val="18"/>
                <w:szCs w:val="18"/>
                <w:u w:val="single" w:color="auto"/>
                <w:color w:val="666666"/>
              </w:rPr>
            </w:pPr>
            <w:hyperlink w:anchor="page25">
              <w:r>
                <w:rPr>
                  <w:rFonts w:ascii="Arial" w:cs="Arial" w:eastAsia="Arial" w:hAnsi="Arial"/>
                  <w:sz w:val="18"/>
                  <w:szCs w:val="18"/>
                  <w:u w:val="single" w:color="auto"/>
                  <w:color w:val="666666"/>
                </w:rPr>
                <w:t>16</w:t>
              </w:r>
            </w:hyperlink>
          </w:p>
        </w:tc>
      </w:tr>
      <w:tr>
        <w:trPr>
          <w:trHeight w:val="392"/>
        </w:trPr>
        <w:tc>
          <w:tcPr>
            <w:tcW w:w="10100" w:type="dxa"/>
            <w:vAlign w:val="bottom"/>
          </w:tcPr>
          <w:p>
            <w:pPr>
              <w:ind w:left="140"/>
              <w:spacing w:after="0"/>
              <w:rPr>
                <w:sz w:val="20"/>
                <w:szCs w:val="20"/>
                <w:color w:val="auto"/>
              </w:rPr>
            </w:pPr>
            <w:r>
              <w:rPr>
                <w:rFonts w:ascii="Arial" w:cs="Arial" w:eastAsia="Arial" w:hAnsi="Arial"/>
                <w:sz w:val="18"/>
                <w:szCs w:val="18"/>
                <w:color w:val="666666"/>
              </w:rPr>
              <w:t>Board Committees</w:t>
            </w:r>
          </w:p>
        </w:tc>
        <w:tc>
          <w:tcPr>
            <w:tcW w:w="660" w:type="dxa"/>
            <w:vAlign w:val="bottom"/>
          </w:tcPr>
          <w:p>
            <w:pPr>
              <w:jc w:val="right"/>
              <w:spacing w:after="0"/>
              <w:rPr>
                <w:rFonts w:ascii="Arial" w:cs="Arial" w:eastAsia="Arial" w:hAnsi="Arial"/>
                <w:sz w:val="18"/>
                <w:szCs w:val="18"/>
                <w:u w:val="single" w:color="auto"/>
                <w:color w:val="666666"/>
              </w:rPr>
            </w:pPr>
            <w:hyperlink w:anchor="page25">
              <w:r>
                <w:rPr>
                  <w:rFonts w:ascii="Arial" w:cs="Arial" w:eastAsia="Arial" w:hAnsi="Arial"/>
                  <w:sz w:val="18"/>
                  <w:szCs w:val="18"/>
                  <w:u w:val="single" w:color="auto"/>
                  <w:color w:val="666666"/>
                </w:rPr>
                <w:t>16</w:t>
              </w:r>
            </w:hyperlink>
          </w:p>
        </w:tc>
      </w:tr>
      <w:tr>
        <w:trPr>
          <w:trHeight w:val="391"/>
        </w:trPr>
        <w:tc>
          <w:tcPr>
            <w:tcW w:w="10100" w:type="dxa"/>
            <w:vAlign w:val="bottom"/>
          </w:tcPr>
          <w:p>
            <w:pPr>
              <w:ind w:left="140"/>
              <w:spacing w:after="0"/>
              <w:rPr>
                <w:sz w:val="20"/>
                <w:szCs w:val="20"/>
                <w:color w:val="auto"/>
              </w:rPr>
            </w:pPr>
            <w:r>
              <w:rPr>
                <w:rFonts w:ascii="Arial" w:cs="Arial" w:eastAsia="Arial" w:hAnsi="Arial"/>
                <w:sz w:val="18"/>
                <w:szCs w:val="18"/>
                <w:color w:val="666666"/>
              </w:rPr>
              <w:t>Director Compensation</w:t>
            </w:r>
          </w:p>
        </w:tc>
        <w:tc>
          <w:tcPr>
            <w:tcW w:w="660" w:type="dxa"/>
            <w:vAlign w:val="bottom"/>
          </w:tcPr>
          <w:p>
            <w:pPr>
              <w:jc w:val="right"/>
              <w:spacing w:after="0"/>
              <w:rPr>
                <w:rFonts w:ascii="Arial" w:cs="Arial" w:eastAsia="Arial" w:hAnsi="Arial"/>
                <w:sz w:val="18"/>
                <w:szCs w:val="18"/>
                <w:u w:val="single" w:color="auto"/>
                <w:color w:val="666666"/>
              </w:rPr>
            </w:pPr>
            <w:hyperlink w:anchor="page27">
              <w:r>
                <w:rPr>
                  <w:rFonts w:ascii="Arial" w:cs="Arial" w:eastAsia="Arial" w:hAnsi="Arial"/>
                  <w:sz w:val="18"/>
                  <w:szCs w:val="18"/>
                  <w:u w:val="single" w:color="auto"/>
                  <w:color w:val="666666"/>
                </w:rPr>
                <w:t>18</w:t>
              </w:r>
            </w:hyperlink>
          </w:p>
        </w:tc>
      </w:tr>
      <w:tr>
        <w:trPr>
          <w:trHeight w:val="392"/>
        </w:trPr>
        <w:tc>
          <w:tcPr>
            <w:tcW w:w="10100" w:type="dxa"/>
            <w:vAlign w:val="bottom"/>
          </w:tcPr>
          <w:p>
            <w:pPr>
              <w:ind w:left="140"/>
              <w:spacing w:after="0"/>
              <w:rPr>
                <w:sz w:val="20"/>
                <w:szCs w:val="20"/>
                <w:color w:val="auto"/>
              </w:rPr>
            </w:pPr>
            <w:r>
              <w:rPr>
                <w:rFonts w:ascii="Arial" w:cs="Arial" w:eastAsia="Arial" w:hAnsi="Arial"/>
                <w:sz w:val="18"/>
                <w:szCs w:val="18"/>
                <w:color w:val="666666"/>
              </w:rPr>
              <w:t>Director Ownership Guidelines</w:t>
            </w:r>
          </w:p>
        </w:tc>
        <w:tc>
          <w:tcPr>
            <w:tcW w:w="660" w:type="dxa"/>
            <w:vAlign w:val="bottom"/>
          </w:tcPr>
          <w:p>
            <w:pPr>
              <w:jc w:val="right"/>
              <w:spacing w:after="0"/>
              <w:rPr>
                <w:rFonts w:ascii="Arial" w:cs="Arial" w:eastAsia="Arial" w:hAnsi="Arial"/>
                <w:sz w:val="18"/>
                <w:szCs w:val="18"/>
                <w:u w:val="single" w:color="auto"/>
                <w:color w:val="666666"/>
              </w:rPr>
            </w:pPr>
            <w:hyperlink w:anchor="page30">
              <w:r>
                <w:rPr>
                  <w:rFonts w:ascii="Arial" w:cs="Arial" w:eastAsia="Arial" w:hAnsi="Arial"/>
                  <w:sz w:val="18"/>
                  <w:szCs w:val="18"/>
                  <w:u w:val="single" w:color="auto"/>
                  <w:color w:val="666666"/>
                </w:rPr>
                <w:t>21</w:t>
              </w:r>
            </w:hyperlink>
          </w:p>
        </w:tc>
      </w:tr>
      <w:tr>
        <w:trPr>
          <w:trHeight w:val="391"/>
        </w:trPr>
        <w:tc>
          <w:tcPr>
            <w:tcW w:w="10100" w:type="dxa"/>
            <w:vAlign w:val="bottom"/>
          </w:tcPr>
          <w:p>
            <w:pPr>
              <w:ind w:left="140"/>
              <w:spacing w:after="0"/>
              <w:rPr>
                <w:sz w:val="20"/>
                <w:szCs w:val="20"/>
                <w:color w:val="auto"/>
              </w:rPr>
            </w:pPr>
            <w:r>
              <w:rPr>
                <w:rFonts w:ascii="Arial" w:cs="Arial" w:eastAsia="Arial" w:hAnsi="Arial"/>
                <w:sz w:val="18"/>
                <w:szCs w:val="18"/>
                <w:color w:val="666666"/>
              </w:rPr>
              <w:t>Policy on Hedging, Short Sales, and Speculative Transactions</w:t>
            </w:r>
          </w:p>
        </w:tc>
        <w:tc>
          <w:tcPr>
            <w:tcW w:w="660" w:type="dxa"/>
            <w:vAlign w:val="bottom"/>
          </w:tcPr>
          <w:p>
            <w:pPr>
              <w:jc w:val="right"/>
              <w:spacing w:after="0"/>
              <w:rPr>
                <w:rFonts w:ascii="Arial" w:cs="Arial" w:eastAsia="Arial" w:hAnsi="Arial"/>
                <w:sz w:val="18"/>
                <w:szCs w:val="18"/>
                <w:u w:val="single" w:color="auto"/>
                <w:color w:val="666666"/>
              </w:rPr>
            </w:pPr>
            <w:hyperlink w:anchor="page30">
              <w:r>
                <w:rPr>
                  <w:rFonts w:ascii="Arial" w:cs="Arial" w:eastAsia="Arial" w:hAnsi="Arial"/>
                  <w:sz w:val="18"/>
                  <w:szCs w:val="18"/>
                  <w:u w:val="single" w:color="auto"/>
                  <w:color w:val="666666"/>
                </w:rPr>
                <w:t>21</w:t>
              </w:r>
            </w:hyperlink>
          </w:p>
        </w:tc>
      </w:tr>
      <w:tr>
        <w:trPr>
          <w:trHeight w:val="392"/>
        </w:trPr>
        <w:tc>
          <w:tcPr>
            <w:tcW w:w="10100" w:type="dxa"/>
            <w:vAlign w:val="bottom"/>
          </w:tcPr>
          <w:p>
            <w:pPr>
              <w:spacing w:after="0"/>
              <w:rPr>
                <w:sz w:val="20"/>
                <w:szCs w:val="20"/>
                <w:color w:val="auto"/>
              </w:rPr>
            </w:pPr>
            <w:r>
              <w:rPr>
                <w:rFonts w:ascii="Arial" w:cs="Arial" w:eastAsia="Arial" w:hAnsi="Arial"/>
                <w:sz w:val="18"/>
                <w:szCs w:val="18"/>
                <w:color w:val="666666"/>
              </w:rPr>
              <w:t>COMPENSATION COMMITTEE INTERLOCKS AND INSIDER PARTICIPATION</w:t>
            </w:r>
          </w:p>
        </w:tc>
        <w:tc>
          <w:tcPr>
            <w:tcW w:w="660" w:type="dxa"/>
            <w:vAlign w:val="bottom"/>
          </w:tcPr>
          <w:p>
            <w:pPr>
              <w:jc w:val="right"/>
              <w:spacing w:after="0"/>
              <w:rPr>
                <w:rFonts w:ascii="Arial" w:cs="Arial" w:eastAsia="Arial" w:hAnsi="Arial"/>
                <w:sz w:val="18"/>
                <w:szCs w:val="18"/>
                <w:u w:val="single" w:color="auto"/>
                <w:color w:val="666666"/>
              </w:rPr>
            </w:pPr>
            <w:hyperlink w:anchor="page31">
              <w:r>
                <w:rPr>
                  <w:rFonts w:ascii="Arial" w:cs="Arial" w:eastAsia="Arial" w:hAnsi="Arial"/>
                  <w:sz w:val="18"/>
                  <w:szCs w:val="18"/>
                  <w:u w:val="single" w:color="auto"/>
                  <w:color w:val="666666"/>
                </w:rPr>
                <w:t>22</w:t>
              </w:r>
            </w:hyperlink>
          </w:p>
        </w:tc>
      </w:tr>
      <w:tr>
        <w:trPr>
          <w:trHeight w:val="392"/>
        </w:trPr>
        <w:tc>
          <w:tcPr>
            <w:tcW w:w="10100" w:type="dxa"/>
            <w:vAlign w:val="bottom"/>
          </w:tcPr>
          <w:p>
            <w:pPr>
              <w:spacing w:after="0"/>
              <w:rPr>
                <w:sz w:val="20"/>
                <w:szCs w:val="20"/>
                <w:color w:val="auto"/>
              </w:rPr>
            </w:pPr>
            <w:r>
              <w:rPr>
                <w:rFonts w:ascii="Arial" w:cs="Arial" w:eastAsia="Arial" w:hAnsi="Arial"/>
                <w:sz w:val="18"/>
                <w:szCs w:val="18"/>
                <w:color w:val="666666"/>
              </w:rPr>
              <w:t>SECURITY OWNERSHIP INFORMATION</w:t>
            </w:r>
          </w:p>
        </w:tc>
        <w:tc>
          <w:tcPr>
            <w:tcW w:w="660" w:type="dxa"/>
            <w:vAlign w:val="bottom"/>
          </w:tcPr>
          <w:p>
            <w:pPr>
              <w:jc w:val="right"/>
              <w:spacing w:after="0"/>
              <w:rPr>
                <w:rFonts w:ascii="Arial" w:cs="Arial" w:eastAsia="Arial" w:hAnsi="Arial"/>
                <w:sz w:val="18"/>
                <w:szCs w:val="18"/>
                <w:u w:val="single" w:color="auto"/>
                <w:color w:val="666666"/>
              </w:rPr>
            </w:pPr>
            <w:hyperlink w:anchor="page32">
              <w:r>
                <w:rPr>
                  <w:rFonts w:ascii="Arial" w:cs="Arial" w:eastAsia="Arial" w:hAnsi="Arial"/>
                  <w:sz w:val="18"/>
                  <w:szCs w:val="18"/>
                  <w:u w:val="single" w:color="auto"/>
                  <w:color w:val="666666"/>
                </w:rPr>
                <w:t>23</w:t>
              </w:r>
            </w:hyperlink>
          </w:p>
        </w:tc>
      </w:tr>
      <w:tr>
        <w:trPr>
          <w:trHeight w:val="391"/>
        </w:trPr>
        <w:tc>
          <w:tcPr>
            <w:tcW w:w="10100" w:type="dxa"/>
            <w:vAlign w:val="bottom"/>
          </w:tcPr>
          <w:p>
            <w:pPr>
              <w:spacing w:after="0"/>
              <w:rPr>
                <w:sz w:val="20"/>
                <w:szCs w:val="20"/>
                <w:color w:val="auto"/>
              </w:rPr>
            </w:pPr>
            <w:r>
              <w:rPr>
                <w:rFonts w:ascii="Arial" w:cs="Arial" w:eastAsia="Arial" w:hAnsi="Arial"/>
                <w:sz w:val="18"/>
                <w:szCs w:val="18"/>
                <w:color w:val="666666"/>
              </w:rPr>
              <w:t>CERTAIN RELATIONSHIPS AND RELATED PARTY TRANSACTIONS</w:t>
            </w:r>
          </w:p>
        </w:tc>
        <w:tc>
          <w:tcPr>
            <w:tcW w:w="660" w:type="dxa"/>
            <w:vAlign w:val="bottom"/>
          </w:tcPr>
          <w:p>
            <w:pPr>
              <w:jc w:val="right"/>
              <w:spacing w:after="0"/>
              <w:rPr>
                <w:rFonts w:ascii="Arial" w:cs="Arial" w:eastAsia="Arial" w:hAnsi="Arial"/>
                <w:sz w:val="18"/>
                <w:szCs w:val="18"/>
                <w:u w:val="single" w:color="auto"/>
                <w:color w:val="666666"/>
              </w:rPr>
            </w:pPr>
            <w:hyperlink w:anchor="page34">
              <w:r>
                <w:rPr>
                  <w:rFonts w:ascii="Arial" w:cs="Arial" w:eastAsia="Arial" w:hAnsi="Arial"/>
                  <w:sz w:val="18"/>
                  <w:szCs w:val="18"/>
                  <w:u w:val="single" w:color="auto"/>
                  <w:color w:val="666666"/>
                </w:rPr>
                <w:t>25</w:t>
              </w:r>
            </w:hyperlink>
          </w:p>
        </w:tc>
      </w:tr>
      <w:tr>
        <w:trPr>
          <w:trHeight w:val="392"/>
        </w:trPr>
        <w:tc>
          <w:tcPr>
            <w:tcW w:w="10100" w:type="dxa"/>
            <w:vAlign w:val="bottom"/>
          </w:tcPr>
          <w:p>
            <w:pPr>
              <w:ind w:left="140"/>
              <w:spacing w:after="0"/>
              <w:rPr>
                <w:sz w:val="20"/>
                <w:szCs w:val="20"/>
                <w:color w:val="auto"/>
              </w:rPr>
            </w:pPr>
            <w:r>
              <w:rPr>
                <w:rFonts w:ascii="Arial" w:cs="Arial" w:eastAsia="Arial" w:hAnsi="Arial"/>
                <w:sz w:val="18"/>
                <w:szCs w:val="18"/>
                <w:color w:val="666666"/>
              </w:rPr>
              <w:t>Policies and Procedures for Related Person Transactions</w:t>
            </w:r>
          </w:p>
        </w:tc>
        <w:tc>
          <w:tcPr>
            <w:tcW w:w="660" w:type="dxa"/>
            <w:vAlign w:val="bottom"/>
          </w:tcPr>
          <w:p>
            <w:pPr>
              <w:jc w:val="right"/>
              <w:spacing w:after="0"/>
              <w:rPr>
                <w:rFonts w:ascii="Arial" w:cs="Arial" w:eastAsia="Arial" w:hAnsi="Arial"/>
                <w:sz w:val="18"/>
                <w:szCs w:val="18"/>
                <w:u w:val="single" w:color="auto"/>
                <w:color w:val="666666"/>
              </w:rPr>
            </w:pPr>
            <w:hyperlink w:anchor="page34">
              <w:r>
                <w:rPr>
                  <w:rFonts w:ascii="Arial" w:cs="Arial" w:eastAsia="Arial" w:hAnsi="Arial"/>
                  <w:sz w:val="18"/>
                  <w:szCs w:val="18"/>
                  <w:u w:val="single" w:color="auto"/>
                  <w:color w:val="666666"/>
                </w:rPr>
                <w:t>25</w:t>
              </w:r>
            </w:hyperlink>
          </w:p>
        </w:tc>
      </w:tr>
      <w:tr>
        <w:trPr>
          <w:trHeight w:val="391"/>
        </w:trPr>
        <w:tc>
          <w:tcPr>
            <w:tcW w:w="10100" w:type="dxa"/>
            <w:vAlign w:val="bottom"/>
          </w:tcPr>
          <w:p>
            <w:pPr>
              <w:ind w:left="140"/>
              <w:spacing w:after="0"/>
              <w:rPr>
                <w:sz w:val="20"/>
                <w:szCs w:val="20"/>
                <w:color w:val="auto"/>
              </w:rPr>
            </w:pPr>
            <w:r>
              <w:rPr>
                <w:rFonts w:ascii="Arial" w:cs="Arial" w:eastAsia="Arial" w:hAnsi="Arial"/>
                <w:sz w:val="18"/>
                <w:szCs w:val="18"/>
                <w:color w:val="666666"/>
              </w:rPr>
              <w:t>Related Person Transactions</w:t>
            </w:r>
          </w:p>
        </w:tc>
        <w:tc>
          <w:tcPr>
            <w:tcW w:w="660" w:type="dxa"/>
            <w:vAlign w:val="bottom"/>
          </w:tcPr>
          <w:p>
            <w:pPr>
              <w:jc w:val="right"/>
              <w:spacing w:after="0"/>
              <w:rPr>
                <w:rFonts w:ascii="Arial" w:cs="Arial" w:eastAsia="Arial" w:hAnsi="Arial"/>
                <w:sz w:val="18"/>
                <w:szCs w:val="18"/>
                <w:u w:val="single" w:color="auto"/>
                <w:color w:val="666666"/>
              </w:rPr>
            </w:pPr>
            <w:hyperlink w:anchor="page34">
              <w:r>
                <w:rPr>
                  <w:rFonts w:ascii="Arial" w:cs="Arial" w:eastAsia="Arial" w:hAnsi="Arial"/>
                  <w:sz w:val="18"/>
                  <w:szCs w:val="18"/>
                  <w:u w:val="single" w:color="auto"/>
                  <w:color w:val="666666"/>
                </w:rPr>
                <w:t>25</w:t>
              </w:r>
            </w:hyperlink>
          </w:p>
        </w:tc>
      </w:tr>
      <w:tr>
        <w:trPr>
          <w:trHeight w:val="391"/>
        </w:trPr>
        <w:tc>
          <w:tcPr>
            <w:tcW w:w="10100" w:type="dxa"/>
            <w:vAlign w:val="bottom"/>
          </w:tcPr>
          <w:p>
            <w:pPr>
              <w:spacing w:after="0"/>
              <w:rPr>
                <w:sz w:val="20"/>
                <w:szCs w:val="20"/>
                <w:color w:val="auto"/>
              </w:rPr>
            </w:pPr>
            <w:r>
              <w:rPr>
                <w:rFonts w:ascii="Arial" w:cs="Arial" w:eastAsia="Arial" w:hAnsi="Arial"/>
                <w:sz w:val="18"/>
                <w:szCs w:val="18"/>
                <w:color w:val="666666"/>
              </w:rPr>
              <w:t>COMPENSATION DISCUSSION AND ANALYSIS</w:t>
            </w:r>
          </w:p>
        </w:tc>
        <w:tc>
          <w:tcPr>
            <w:tcW w:w="660" w:type="dxa"/>
            <w:vAlign w:val="bottom"/>
          </w:tcPr>
          <w:p>
            <w:pPr>
              <w:jc w:val="right"/>
              <w:spacing w:after="0"/>
              <w:rPr>
                <w:rFonts w:ascii="Arial" w:cs="Arial" w:eastAsia="Arial" w:hAnsi="Arial"/>
                <w:sz w:val="18"/>
                <w:szCs w:val="18"/>
                <w:u w:val="single" w:color="auto"/>
                <w:color w:val="666666"/>
              </w:rPr>
            </w:pPr>
            <w:hyperlink w:anchor="page36">
              <w:r>
                <w:rPr>
                  <w:rFonts w:ascii="Arial" w:cs="Arial" w:eastAsia="Arial" w:hAnsi="Arial"/>
                  <w:sz w:val="18"/>
                  <w:szCs w:val="18"/>
                  <w:u w:val="single" w:color="auto"/>
                  <w:color w:val="666666"/>
                </w:rPr>
                <w:t>27</w:t>
              </w:r>
            </w:hyperlink>
          </w:p>
        </w:tc>
      </w:tr>
      <w:tr>
        <w:trPr>
          <w:trHeight w:val="391"/>
        </w:trPr>
        <w:tc>
          <w:tcPr>
            <w:tcW w:w="10100" w:type="dxa"/>
            <w:vAlign w:val="bottom"/>
          </w:tcPr>
          <w:p>
            <w:pPr>
              <w:ind w:left="140"/>
              <w:spacing w:after="0"/>
              <w:rPr>
                <w:sz w:val="20"/>
                <w:szCs w:val="20"/>
                <w:color w:val="auto"/>
              </w:rPr>
            </w:pPr>
            <w:r>
              <w:rPr>
                <w:rFonts w:ascii="Arial" w:cs="Arial" w:eastAsia="Arial" w:hAnsi="Arial"/>
                <w:sz w:val="18"/>
                <w:szCs w:val="18"/>
                <w:color w:val="666666"/>
              </w:rPr>
              <w:t>Executive Summary</w:t>
            </w:r>
          </w:p>
        </w:tc>
        <w:tc>
          <w:tcPr>
            <w:tcW w:w="660" w:type="dxa"/>
            <w:vAlign w:val="bottom"/>
          </w:tcPr>
          <w:p>
            <w:pPr>
              <w:jc w:val="right"/>
              <w:spacing w:after="0"/>
              <w:rPr>
                <w:rFonts w:ascii="Arial" w:cs="Arial" w:eastAsia="Arial" w:hAnsi="Arial"/>
                <w:sz w:val="18"/>
                <w:szCs w:val="18"/>
                <w:u w:val="single" w:color="auto"/>
                <w:color w:val="666666"/>
              </w:rPr>
            </w:pPr>
            <w:hyperlink w:anchor="page36">
              <w:r>
                <w:rPr>
                  <w:rFonts w:ascii="Arial" w:cs="Arial" w:eastAsia="Arial" w:hAnsi="Arial"/>
                  <w:sz w:val="18"/>
                  <w:szCs w:val="18"/>
                  <w:u w:val="single" w:color="auto"/>
                  <w:color w:val="666666"/>
                </w:rPr>
                <w:t>27</w:t>
              </w:r>
            </w:hyperlink>
          </w:p>
        </w:tc>
      </w:tr>
      <w:tr>
        <w:trPr>
          <w:trHeight w:val="391"/>
        </w:trPr>
        <w:tc>
          <w:tcPr>
            <w:tcW w:w="10100" w:type="dxa"/>
            <w:vAlign w:val="bottom"/>
          </w:tcPr>
          <w:p>
            <w:pPr>
              <w:ind w:left="140"/>
              <w:spacing w:after="0"/>
              <w:rPr>
                <w:sz w:val="20"/>
                <w:szCs w:val="20"/>
                <w:color w:val="auto"/>
              </w:rPr>
            </w:pPr>
            <w:r>
              <w:rPr>
                <w:rFonts w:ascii="Arial" w:cs="Arial" w:eastAsia="Arial" w:hAnsi="Arial"/>
                <w:sz w:val="18"/>
                <w:szCs w:val="18"/>
                <w:color w:val="666666"/>
              </w:rPr>
              <w:t>Setting Executive Compensation and Peer Group</w:t>
            </w:r>
          </w:p>
        </w:tc>
        <w:tc>
          <w:tcPr>
            <w:tcW w:w="660" w:type="dxa"/>
            <w:vAlign w:val="bottom"/>
          </w:tcPr>
          <w:p>
            <w:pPr>
              <w:jc w:val="right"/>
              <w:spacing w:after="0"/>
              <w:rPr>
                <w:rFonts w:ascii="Arial" w:cs="Arial" w:eastAsia="Arial" w:hAnsi="Arial"/>
                <w:sz w:val="18"/>
                <w:szCs w:val="18"/>
                <w:u w:val="single" w:color="auto"/>
                <w:color w:val="666666"/>
              </w:rPr>
            </w:pPr>
            <w:hyperlink w:anchor="page39">
              <w:r>
                <w:rPr>
                  <w:rFonts w:ascii="Arial" w:cs="Arial" w:eastAsia="Arial" w:hAnsi="Arial"/>
                  <w:sz w:val="18"/>
                  <w:szCs w:val="18"/>
                  <w:u w:val="single" w:color="auto"/>
                  <w:color w:val="666666"/>
                </w:rPr>
                <w:t>30</w:t>
              </w:r>
            </w:hyperlink>
          </w:p>
        </w:tc>
      </w:tr>
      <w:tr>
        <w:trPr>
          <w:trHeight w:val="391"/>
        </w:trPr>
        <w:tc>
          <w:tcPr>
            <w:tcW w:w="10100" w:type="dxa"/>
            <w:vAlign w:val="bottom"/>
          </w:tcPr>
          <w:p>
            <w:pPr>
              <w:ind w:left="140"/>
              <w:spacing w:after="0"/>
              <w:rPr>
                <w:sz w:val="20"/>
                <w:szCs w:val="20"/>
                <w:color w:val="auto"/>
              </w:rPr>
            </w:pPr>
            <w:r>
              <w:rPr>
                <w:rFonts w:ascii="Arial" w:cs="Arial" w:eastAsia="Arial" w:hAnsi="Arial"/>
                <w:sz w:val="18"/>
                <w:szCs w:val="18"/>
                <w:color w:val="666666"/>
              </w:rPr>
              <w:t>Compensation Elements</w:t>
            </w:r>
          </w:p>
        </w:tc>
        <w:tc>
          <w:tcPr>
            <w:tcW w:w="660" w:type="dxa"/>
            <w:vAlign w:val="bottom"/>
          </w:tcPr>
          <w:p>
            <w:pPr>
              <w:jc w:val="right"/>
              <w:spacing w:after="0"/>
              <w:rPr>
                <w:rFonts w:ascii="Arial" w:cs="Arial" w:eastAsia="Arial" w:hAnsi="Arial"/>
                <w:sz w:val="18"/>
                <w:szCs w:val="18"/>
                <w:u w:val="single" w:color="auto"/>
                <w:color w:val="666666"/>
              </w:rPr>
            </w:pPr>
            <w:hyperlink w:anchor="page40">
              <w:r>
                <w:rPr>
                  <w:rFonts w:ascii="Arial" w:cs="Arial" w:eastAsia="Arial" w:hAnsi="Arial"/>
                  <w:sz w:val="18"/>
                  <w:szCs w:val="18"/>
                  <w:u w:val="single" w:color="auto"/>
                  <w:color w:val="666666"/>
                </w:rPr>
                <w:t>31</w:t>
              </w:r>
            </w:hyperlink>
          </w:p>
        </w:tc>
      </w:tr>
      <w:tr>
        <w:trPr>
          <w:trHeight w:val="391"/>
        </w:trPr>
        <w:tc>
          <w:tcPr>
            <w:tcW w:w="10100" w:type="dxa"/>
            <w:vAlign w:val="bottom"/>
          </w:tcPr>
          <w:p>
            <w:pPr>
              <w:ind w:left="140"/>
              <w:spacing w:after="0"/>
              <w:rPr>
                <w:sz w:val="20"/>
                <w:szCs w:val="20"/>
                <w:color w:val="auto"/>
              </w:rPr>
            </w:pPr>
            <w:r>
              <w:rPr>
                <w:rFonts w:ascii="Arial" w:cs="Arial" w:eastAsia="Arial" w:hAnsi="Arial"/>
                <w:sz w:val="18"/>
                <w:szCs w:val="18"/>
                <w:color w:val="666666"/>
              </w:rPr>
              <w:t>Executive Ownership Requirements</w:t>
            </w:r>
          </w:p>
        </w:tc>
        <w:tc>
          <w:tcPr>
            <w:tcW w:w="660" w:type="dxa"/>
            <w:vAlign w:val="bottom"/>
          </w:tcPr>
          <w:p>
            <w:pPr>
              <w:jc w:val="right"/>
              <w:spacing w:after="0"/>
              <w:rPr>
                <w:rFonts w:ascii="Arial" w:cs="Arial" w:eastAsia="Arial" w:hAnsi="Arial"/>
                <w:sz w:val="18"/>
                <w:szCs w:val="18"/>
                <w:u w:val="single" w:color="auto"/>
                <w:color w:val="666666"/>
              </w:rPr>
            </w:pPr>
            <w:hyperlink w:anchor="page45">
              <w:r>
                <w:rPr>
                  <w:rFonts w:ascii="Arial" w:cs="Arial" w:eastAsia="Arial" w:hAnsi="Arial"/>
                  <w:sz w:val="18"/>
                  <w:szCs w:val="18"/>
                  <w:u w:val="single" w:color="auto"/>
                  <w:color w:val="666666"/>
                </w:rPr>
                <w:t>36</w:t>
              </w:r>
            </w:hyperlink>
          </w:p>
        </w:tc>
      </w:tr>
      <w:tr>
        <w:trPr>
          <w:trHeight w:val="392"/>
        </w:trPr>
        <w:tc>
          <w:tcPr>
            <w:tcW w:w="10100" w:type="dxa"/>
            <w:vAlign w:val="bottom"/>
          </w:tcPr>
          <w:p>
            <w:pPr>
              <w:ind w:left="140"/>
              <w:spacing w:after="0"/>
              <w:rPr>
                <w:sz w:val="20"/>
                <w:szCs w:val="20"/>
                <w:color w:val="auto"/>
              </w:rPr>
            </w:pPr>
            <w:r>
              <w:rPr>
                <w:rFonts w:ascii="Arial" w:cs="Arial" w:eastAsia="Arial" w:hAnsi="Arial"/>
                <w:sz w:val="18"/>
                <w:szCs w:val="18"/>
                <w:color w:val="666666"/>
              </w:rPr>
              <w:t>Risk Assessment</w:t>
            </w:r>
          </w:p>
        </w:tc>
        <w:tc>
          <w:tcPr>
            <w:tcW w:w="660" w:type="dxa"/>
            <w:vAlign w:val="bottom"/>
          </w:tcPr>
          <w:p>
            <w:pPr>
              <w:jc w:val="right"/>
              <w:spacing w:after="0"/>
              <w:rPr>
                <w:rFonts w:ascii="Arial" w:cs="Arial" w:eastAsia="Arial" w:hAnsi="Arial"/>
                <w:sz w:val="18"/>
                <w:szCs w:val="18"/>
                <w:u w:val="single" w:color="auto"/>
                <w:color w:val="666666"/>
              </w:rPr>
            </w:pPr>
            <w:hyperlink w:anchor="page45">
              <w:r>
                <w:rPr>
                  <w:rFonts w:ascii="Arial" w:cs="Arial" w:eastAsia="Arial" w:hAnsi="Arial"/>
                  <w:sz w:val="18"/>
                  <w:szCs w:val="18"/>
                  <w:u w:val="single" w:color="auto"/>
                  <w:color w:val="666666"/>
                </w:rPr>
                <w:t>36</w:t>
              </w:r>
            </w:hyperlink>
          </w:p>
        </w:tc>
      </w:tr>
      <w:tr>
        <w:trPr>
          <w:trHeight w:val="391"/>
        </w:trPr>
        <w:tc>
          <w:tcPr>
            <w:tcW w:w="10100" w:type="dxa"/>
            <w:vAlign w:val="bottom"/>
          </w:tcPr>
          <w:p>
            <w:pPr>
              <w:ind w:left="140"/>
              <w:spacing w:after="0"/>
              <w:rPr>
                <w:sz w:val="20"/>
                <w:szCs w:val="20"/>
                <w:color w:val="auto"/>
              </w:rPr>
            </w:pPr>
            <w:r>
              <w:rPr>
                <w:rFonts w:ascii="Arial" w:cs="Arial" w:eastAsia="Arial" w:hAnsi="Arial"/>
                <w:sz w:val="18"/>
                <w:szCs w:val="18"/>
                <w:color w:val="666666"/>
              </w:rPr>
              <w:t>Advisory Vote to Approve Executive Compensation</w:t>
            </w:r>
          </w:p>
        </w:tc>
        <w:tc>
          <w:tcPr>
            <w:tcW w:w="660" w:type="dxa"/>
            <w:vAlign w:val="bottom"/>
          </w:tcPr>
          <w:p>
            <w:pPr>
              <w:jc w:val="right"/>
              <w:spacing w:after="0"/>
              <w:rPr>
                <w:rFonts w:ascii="Arial" w:cs="Arial" w:eastAsia="Arial" w:hAnsi="Arial"/>
                <w:sz w:val="18"/>
                <w:szCs w:val="18"/>
                <w:u w:val="single" w:color="auto"/>
                <w:color w:val="666666"/>
              </w:rPr>
            </w:pPr>
            <w:hyperlink w:anchor="page45">
              <w:r>
                <w:rPr>
                  <w:rFonts w:ascii="Arial" w:cs="Arial" w:eastAsia="Arial" w:hAnsi="Arial"/>
                  <w:sz w:val="18"/>
                  <w:szCs w:val="18"/>
                  <w:u w:val="single" w:color="auto"/>
                  <w:color w:val="666666"/>
                </w:rPr>
                <w:t>36</w:t>
              </w:r>
            </w:hyperlink>
          </w:p>
        </w:tc>
      </w:tr>
    </w:tbl>
    <w:p>
      <w:pPr>
        <w:sectPr>
          <w:pgSz w:w="11900" w:h="16838" w:orient="portrait"/>
          <w:cols w:equalWidth="0" w:num="1">
            <w:col w:w="10760"/>
          </w:cols>
          <w:pgMar w:left="360" w:top="333" w:right="77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420" w:type="dxa"/>
            <w:vAlign w:val="bottom"/>
          </w:tcPr>
          <w:p>
            <w:pPr>
              <w:ind w:left="140"/>
              <w:spacing w:after="0"/>
              <w:rPr>
                <w:sz w:val="20"/>
                <w:szCs w:val="20"/>
                <w:color w:val="auto"/>
              </w:rPr>
            </w:pPr>
            <w:r>
              <w:rPr>
                <w:rFonts w:ascii="Arial" w:cs="Arial" w:eastAsia="Arial" w:hAnsi="Arial"/>
                <w:sz w:val="18"/>
                <w:szCs w:val="18"/>
                <w:color w:val="666666"/>
              </w:rPr>
              <w:t>Government Limitations on Reimbursement of Compensation Costs</w:t>
            </w:r>
          </w:p>
        </w:tc>
        <w:tc>
          <w:tcPr>
            <w:tcW w:w="1340" w:type="dxa"/>
            <w:vAlign w:val="bottom"/>
          </w:tcPr>
          <w:p>
            <w:pPr>
              <w:jc w:val="right"/>
              <w:spacing w:after="0"/>
              <w:rPr>
                <w:rFonts w:ascii="Arial" w:cs="Arial" w:eastAsia="Arial" w:hAnsi="Arial"/>
                <w:sz w:val="18"/>
                <w:szCs w:val="18"/>
                <w:u w:val="single" w:color="auto"/>
                <w:color w:val="666666"/>
              </w:rPr>
            </w:pPr>
            <w:hyperlink w:anchor="page45">
              <w:r>
                <w:rPr>
                  <w:rFonts w:ascii="Arial" w:cs="Arial" w:eastAsia="Arial" w:hAnsi="Arial"/>
                  <w:sz w:val="18"/>
                  <w:szCs w:val="18"/>
                  <w:u w:val="single" w:color="auto"/>
                  <w:color w:val="666666"/>
                </w:rPr>
                <w:t>36</w:t>
              </w:r>
            </w:hyperlink>
          </w:p>
        </w:tc>
      </w:tr>
      <w:tr>
        <w:trPr>
          <w:trHeight w:val="391"/>
        </w:trPr>
        <w:tc>
          <w:tcPr>
            <w:tcW w:w="9420" w:type="dxa"/>
            <w:vAlign w:val="bottom"/>
          </w:tcPr>
          <w:p>
            <w:pPr>
              <w:ind w:left="140"/>
              <w:spacing w:after="0"/>
              <w:rPr>
                <w:sz w:val="20"/>
                <w:szCs w:val="20"/>
                <w:color w:val="auto"/>
              </w:rPr>
            </w:pPr>
            <w:r>
              <w:rPr>
                <w:rFonts w:ascii="Arial" w:cs="Arial" w:eastAsia="Arial" w:hAnsi="Arial"/>
                <w:sz w:val="18"/>
                <w:szCs w:val="18"/>
                <w:color w:val="666666"/>
              </w:rPr>
              <w:t>Compensation Recovery Provisions (Clawbacks) in Incentive Plans</w:t>
            </w:r>
          </w:p>
        </w:tc>
        <w:tc>
          <w:tcPr>
            <w:tcW w:w="1340" w:type="dxa"/>
            <w:vAlign w:val="bottom"/>
          </w:tcPr>
          <w:p>
            <w:pPr>
              <w:jc w:val="right"/>
              <w:spacing w:after="0"/>
              <w:rPr>
                <w:rFonts w:ascii="Arial" w:cs="Arial" w:eastAsia="Arial" w:hAnsi="Arial"/>
                <w:sz w:val="18"/>
                <w:szCs w:val="18"/>
                <w:u w:val="single" w:color="auto"/>
                <w:color w:val="666666"/>
              </w:rPr>
            </w:pPr>
            <w:hyperlink w:anchor="page46">
              <w:r>
                <w:rPr>
                  <w:rFonts w:ascii="Arial" w:cs="Arial" w:eastAsia="Arial" w:hAnsi="Arial"/>
                  <w:sz w:val="18"/>
                  <w:szCs w:val="18"/>
                  <w:u w:val="single" w:color="auto"/>
                  <w:color w:val="666666"/>
                </w:rPr>
                <w:t>37</w:t>
              </w:r>
            </w:hyperlink>
          </w:p>
        </w:tc>
      </w:tr>
      <w:tr>
        <w:trPr>
          <w:trHeight w:val="392"/>
        </w:trPr>
        <w:tc>
          <w:tcPr>
            <w:tcW w:w="9420" w:type="dxa"/>
            <w:vAlign w:val="bottom"/>
          </w:tcPr>
          <w:p>
            <w:pPr>
              <w:ind w:left="140"/>
              <w:spacing w:after="0"/>
              <w:rPr>
                <w:sz w:val="20"/>
                <w:szCs w:val="20"/>
                <w:color w:val="auto"/>
              </w:rPr>
            </w:pPr>
            <w:r>
              <w:rPr>
                <w:rFonts w:ascii="Arial" w:cs="Arial" w:eastAsia="Arial" w:hAnsi="Arial"/>
                <w:sz w:val="18"/>
                <w:szCs w:val="18"/>
                <w:color w:val="666666"/>
              </w:rPr>
              <w:t>Certain Change in Control Provisions</w:t>
            </w:r>
          </w:p>
        </w:tc>
        <w:tc>
          <w:tcPr>
            <w:tcW w:w="1340" w:type="dxa"/>
            <w:vAlign w:val="bottom"/>
          </w:tcPr>
          <w:p>
            <w:pPr>
              <w:jc w:val="right"/>
              <w:spacing w:after="0"/>
              <w:rPr>
                <w:rFonts w:ascii="Arial" w:cs="Arial" w:eastAsia="Arial" w:hAnsi="Arial"/>
                <w:sz w:val="18"/>
                <w:szCs w:val="18"/>
                <w:u w:val="single" w:color="auto"/>
                <w:color w:val="666666"/>
              </w:rPr>
            </w:pPr>
            <w:hyperlink w:anchor="page46">
              <w:r>
                <w:rPr>
                  <w:rFonts w:ascii="Arial" w:cs="Arial" w:eastAsia="Arial" w:hAnsi="Arial"/>
                  <w:sz w:val="18"/>
                  <w:szCs w:val="18"/>
                  <w:u w:val="single" w:color="auto"/>
                  <w:color w:val="666666"/>
                </w:rPr>
                <w:t>37</w:t>
              </w:r>
            </w:hyperlink>
          </w:p>
        </w:tc>
      </w:tr>
      <w:tr>
        <w:trPr>
          <w:trHeight w:val="392"/>
        </w:trPr>
        <w:tc>
          <w:tcPr>
            <w:tcW w:w="9420" w:type="dxa"/>
            <w:vAlign w:val="bottom"/>
          </w:tcPr>
          <w:p>
            <w:pPr>
              <w:ind w:left="140"/>
              <w:spacing w:after="0"/>
              <w:rPr>
                <w:sz w:val="20"/>
                <w:szCs w:val="20"/>
                <w:color w:val="auto"/>
              </w:rPr>
            </w:pPr>
            <w:r>
              <w:rPr>
                <w:rFonts w:ascii="Arial" w:cs="Arial" w:eastAsia="Arial" w:hAnsi="Arial"/>
                <w:sz w:val="18"/>
                <w:szCs w:val="18"/>
                <w:color w:val="666666"/>
              </w:rPr>
              <w:t>Policies on Timing of Equity Grants</w:t>
            </w:r>
          </w:p>
        </w:tc>
        <w:tc>
          <w:tcPr>
            <w:tcW w:w="1340" w:type="dxa"/>
            <w:vAlign w:val="bottom"/>
          </w:tcPr>
          <w:p>
            <w:pPr>
              <w:jc w:val="right"/>
              <w:spacing w:after="0"/>
              <w:rPr>
                <w:rFonts w:ascii="Arial" w:cs="Arial" w:eastAsia="Arial" w:hAnsi="Arial"/>
                <w:sz w:val="18"/>
                <w:szCs w:val="18"/>
                <w:u w:val="single" w:color="auto"/>
                <w:color w:val="666666"/>
              </w:rPr>
            </w:pPr>
            <w:hyperlink w:anchor="page47">
              <w:r>
                <w:rPr>
                  <w:rFonts w:ascii="Arial" w:cs="Arial" w:eastAsia="Arial" w:hAnsi="Arial"/>
                  <w:sz w:val="18"/>
                  <w:szCs w:val="18"/>
                  <w:u w:val="single" w:color="auto"/>
                  <w:color w:val="666666"/>
                </w:rPr>
                <w:t>38</w:t>
              </w:r>
            </w:hyperlink>
          </w:p>
        </w:tc>
      </w:tr>
      <w:tr>
        <w:trPr>
          <w:trHeight w:val="392"/>
        </w:trPr>
        <w:tc>
          <w:tcPr>
            <w:tcW w:w="9420" w:type="dxa"/>
            <w:vAlign w:val="bottom"/>
          </w:tcPr>
          <w:p>
            <w:pPr>
              <w:ind w:left="140"/>
              <w:spacing w:after="0"/>
              <w:rPr>
                <w:sz w:val="20"/>
                <w:szCs w:val="20"/>
                <w:color w:val="auto"/>
              </w:rPr>
            </w:pPr>
            <w:r>
              <w:rPr>
                <w:rFonts w:ascii="Arial" w:cs="Arial" w:eastAsia="Arial" w:hAnsi="Arial"/>
                <w:sz w:val="18"/>
                <w:szCs w:val="18"/>
                <w:color w:val="666666"/>
              </w:rPr>
              <w:t>Effect on Accounting and Tax Treatment on Compensation Decisions</w:t>
            </w:r>
          </w:p>
        </w:tc>
        <w:tc>
          <w:tcPr>
            <w:tcW w:w="1340" w:type="dxa"/>
            <w:vAlign w:val="bottom"/>
          </w:tcPr>
          <w:p>
            <w:pPr>
              <w:jc w:val="right"/>
              <w:spacing w:after="0"/>
              <w:rPr>
                <w:rFonts w:ascii="Arial" w:cs="Arial" w:eastAsia="Arial" w:hAnsi="Arial"/>
                <w:sz w:val="18"/>
                <w:szCs w:val="18"/>
                <w:u w:val="single" w:color="auto"/>
                <w:color w:val="666666"/>
              </w:rPr>
            </w:pPr>
            <w:hyperlink w:anchor="page47">
              <w:r>
                <w:rPr>
                  <w:rFonts w:ascii="Arial" w:cs="Arial" w:eastAsia="Arial" w:hAnsi="Arial"/>
                  <w:sz w:val="18"/>
                  <w:szCs w:val="18"/>
                  <w:u w:val="single" w:color="auto"/>
                  <w:color w:val="666666"/>
                </w:rPr>
                <w:t>38</w:t>
              </w:r>
            </w:hyperlink>
          </w:p>
        </w:tc>
      </w:tr>
      <w:tr>
        <w:trPr>
          <w:trHeight w:val="391"/>
        </w:trPr>
        <w:tc>
          <w:tcPr>
            <w:tcW w:w="9420" w:type="dxa"/>
            <w:vAlign w:val="bottom"/>
          </w:tcPr>
          <w:p>
            <w:pPr>
              <w:ind w:left="140"/>
              <w:spacing w:after="0"/>
              <w:rPr>
                <w:sz w:val="20"/>
                <w:szCs w:val="20"/>
                <w:color w:val="auto"/>
              </w:rPr>
            </w:pPr>
            <w:r>
              <w:rPr>
                <w:rFonts w:ascii="Arial" w:cs="Arial" w:eastAsia="Arial" w:hAnsi="Arial"/>
                <w:sz w:val="18"/>
                <w:szCs w:val="18"/>
                <w:color w:val="666666"/>
              </w:rPr>
              <w:t>Compensation Tables and Disclosures</w:t>
            </w:r>
          </w:p>
        </w:tc>
        <w:tc>
          <w:tcPr>
            <w:tcW w:w="1340" w:type="dxa"/>
            <w:vAlign w:val="bottom"/>
          </w:tcPr>
          <w:p>
            <w:pPr>
              <w:jc w:val="right"/>
              <w:spacing w:after="0"/>
              <w:rPr>
                <w:rFonts w:ascii="Arial" w:cs="Arial" w:eastAsia="Arial" w:hAnsi="Arial"/>
                <w:sz w:val="18"/>
                <w:szCs w:val="18"/>
                <w:u w:val="single" w:color="auto"/>
                <w:color w:val="666666"/>
              </w:rPr>
            </w:pPr>
            <w:hyperlink w:anchor="page48">
              <w:r>
                <w:rPr>
                  <w:rFonts w:ascii="Arial" w:cs="Arial" w:eastAsia="Arial" w:hAnsi="Arial"/>
                  <w:sz w:val="18"/>
                  <w:szCs w:val="18"/>
                  <w:u w:val="single" w:color="auto"/>
                  <w:color w:val="666666"/>
                </w:rPr>
                <w:t>39</w:t>
              </w:r>
            </w:hyperlink>
          </w:p>
        </w:tc>
      </w:tr>
      <w:tr>
        <w:trPr>
          <w:trHeight w:val="392"/>
        </w:trPr>
        <w:tc>
          <w:tcPr>
            <w:tcW w:w="9420" w:type="dxa"/>
            <w:vAlign w:val="bottom"/>
          </w:tcPr>
          <w:p>
            <w:pPr>
              <w:ind w:left="140"/>
              <w:spacing w:after="0"/>
              <w:rPr>
                <w:sz w:val="20"/>
                <w:szCs w:val="20"/>
                <w:color w:val="auto"/>
              </w:rPr>
            </w:pPr>
            <w:r>
              <w:rPr>
                <w:rFonts w:ascii="Arial" w:cs="Arial" w:eastAsia="Arial" w:hAnsi="Arial"/>
                <w:sz w:val="18"/>
                <w:szCs w:val="18"/>
                <w:color w:val="666666"/>
              </w:rPr>
              <w:t>Pay Ratio</w:t>
            </w:r>
          </w:p>
        </w:tc>
        <w:tc>
          <w:tcPr>
            <w:tcW w:w="1340" w:type="dxa"/>
            <w:vAlign w:val="bottom"/>
          </w:tcPr>
          <w:p>
            <w:pPr>
              <w:jc w:val="right"/>
              <w:spacing w:after="0"/>
              <w:rPr>
                <w:rFonts w:ascii="Arial" w:cs="Arial" w:eastAsia="Arial" w:hAnsi="Arial"/>
                <w:sz w:val="18"/>
                <w:szCs w:val="18"/>
                <w:u w:val="single" w:color="auto"/>
                <w:color w:val="666666"/>
              </w:rPr>
            </w:pPr>
            <w:hyperlink w:anchor="page58">
              <w:r>
                <w:rPr>
                  <w:rFonts w:ascii="Arial" w:cs="Arial" w:eastAsia="Arial" w:hAnsi="Arial"/>
                  <w:sz w:val="18"/>
                  <w:szCs w:val="18"/>
                  <w:u w:val="single" w:color="auto"/>
                  <w:color w:val="666666"/>
                </w:rPr>
                <w:t>48</w:t>
              </w:r>
            </w:hyperlink>
          </w:p>
        </w:tc>
      </w:tr>
      <w:tr>
        <w:trPr>
          <w:trHeight w:val="392"/>
        </w:trPr>
        <w:tc>
          <w:tcPr>
            <w:tcW w:w="9420" w:type="dxa"/>
            <w:vAlign w:val="bottom"/>
          </w:tcPr>
          <w:p>
            <w:pPr>
              <w:spacing w:after="0"/>
              <w:rPr>
                <w:sz w:val="20"/>
                <w:szCs w:val="20"/>
                <w:color w:val="auto"/>
              </w:rPr>
            </w:pPr>
            <w:r>
              <w:rPr>
                <w:rFonts w:ascii="Arial" w:cs="Arial" w:eastAsia="Arial" w:hAnsi="Arial"/>
                <w:sz w:val="18"/>
                <w:szCs w:val="18"/>
                <w:color w:val="666666"/>
              </w:rPr>
              <w:t>COMPENSATION COMMITTEE REPORT ON EXECUTIVE COMPENSATION</w:t>
            </w:r>
          </w:p>
        </w:tc>
        <w:tc>
          <w:tcPr>
            <w:tcW w:w="1340" w:type="dxa"/>
            <w:vAlign w:val="bottom"/>
          </w:tcPr>
          <w:p>
            <w:pPr>
              <w:jc w:val="right"/>
              <w:spacing w:after="0"/>
              <w:rPr>
                <w:rFonts w:ascii="Arial" w:cs="Arial" w:eastAsia="Arial" w:hAnsi="Arial"/>
                <w:sz w:val="18"/>
                <w:szCs w:val="18"/>
                <w:u w:val="single" w:color="auto"/>
                <w:color w:val="666666"/>
              </w:rPr>
            </w:pPr>
            <w:hyperlink w:anchor="page59">
              <w:r>
                <w:rPr>
                  <w:rFonts w:ascii="Arial" w:cs="Arial" w:eastAsia="Arial" w:hAnsi="Arial"/>
                  <w:sz w:val="18"/>
                  <w:szCs w:val="18"/>
                  <w:u w:val="single" w:color="auto"/>
                  <w:color w:val="666666"/>
                </w:rPr>
                <w:t>49</w:t>
              </w:r>
            </w:hyperlink>
          </w:p>
        </w:tc>
      </w:tr>
      <w:tr>
        <w:trPr>
          <w:trHeight w:val="392"/>
        </w:trPr>
        <w:tc>
          <w:tcPr>
            <w:tcW w:w="9420" w:type="dxa"/>
            <w:vAlign w:val="bottom"/>
          </w:tcPr>
          <w:p>
            <w:pPr>
              <w:spacing w:after="0"/>
              <w:rPr>
                <w:sz w:val="20"/>
                <w:szCs w:val="20"/>
                <w:color w:val="auto"/>
              </w:rPr>
            </w:pPr>
            <w:r>
              <w:rPr>
                <w:rFonts w:ascii="Arial" w:cs="Arial" w:eastAsia="Arial" w:hAnsi="Arial"/>
                <w:sz w:val="18"/>
                <w:szCs w:val="18"/>
                <w:color w:val="666666"/>
              </w:rPr>
              <w:t>AUDIT COMMITTEE REPORT</w:t>
            </w:r>
          </w:p>
        </w:tc>
        <w:tc>
          <w:tcPr>
            <w:tcW w:w="1340" w:type="dxa"/>
            <w:vAlign w:val="bottom"/>
          </w:tcPr>
          <w:p>
            <w:pPr>
              <w:jc w:val="right"/>
              <w:spacing w:after="0"/>
              <w:rPr>
                <w:rFonts w:ascii="Arial" w:cs="Arial" w:eastAsia="Arial" w:hAnsi="Arial"/>
                <w:sz w:val="18"/>
                <w:szCs w:val="18"/>
                <w:u w:val="single" w:color="auto"/>
                <w:color w:val="666666"/>
              </w:rPr>
            </w:pPr>
            <w:hyperlink w:anchor="page60">
              <w:r>
                <w:rPr>
                  <w:rFonts w:ascii="Arial" w:cs="Arial" w:eastAsia="Arial" w:hAnsi="Arial"/>
                  <w:sz w:val="18"/>
                  <w:szCs w:val="18"/>
                  <w:u w:val="single" w:color="auto"/>
                  <w:color w:val="666666"/>
                </w:rPr>
                <w:t>50</w:t>
              </w:r>
            </w:hyperlink>
          </w:p>
        </w:tc>
      </w:tr>
      <w:tr>
        <w:trPr>
          <w:trHeight w:val="391"/>
        </w:trPr>
        <w:tc>
          <w:tcPr>
            <w:tcW w:w="9420" w:type="dxa"/>
            <w:vAlign w:val="bottom"/>
          </w:tcPr>
          <w:p>
            <w:pPr>
              <w:spacing w:after="0"/>
              <w:rPr>
                <w:sz w:val="20"/>
                <w:szCs w:val="20"/>
                <w:color w:val="auto"/>
              </w:rPr>
            </w:pPr>
            <w:r>
              <w:rPr>
                <w:rFonts w:ascii="Arial" w:cs="Arial" w:eastAsia="Arial" w:hAnsi="Arial"/>
                <w:sz w:val="18"/>
                <w:szCs w:val="18"/>
                <w:color w:val="666666"/>
              </w:rPr>
              <w:t>PRE-APPROVAL OF SERVICES BY INDEPENDENT REGISTERED PUBLIC ACCOUNTING FIRM</w:t>
            </w:r>
          </w:p>
        </w:tc>
        <w:tc>
          <w:tcPr>
            <w:tcW w:w="1340" w:type="dxa"/>
            <w:vAlign w:val="bottom"/>
          </w:tcPr>
          <w:p>
            <w:pPr>
              <w:jc w:val="right"/>
              <w:spacing w:after="0"/>
              <w:rPr>
                <w:rFonts w:ascii="Arial" w:cs="Arial" w:eastAsia="Arial" w:hAnsi="Arial"/>
                <w:sz w:val="18"/>
                <w:szCs w:val="18"/>
                <w:u w:val="single" w:color="auto"/>
                <w:color w:val="666666"/>
              </w:rPr>
            </w:pPr>
            <w:hyperlink w:anchor="page61">
              <w:r>
                <w:rPr>
                  <w:rFonts w:ascii="Arial" w:cs="Arial" w:eastAsia="Arial" w:hAnsi="Arial"/>
                  <w:sz w:val="18"/>
                  <w:szCs w:val="18"/>
                  <w:u w:val="single" w:color="auto"/>
                  <w:color w:val="666666"/>
                </w:rPr>
                <w:t>51</w:t>
              </w:r>
            </w:hyperlink>
          </w:p>
        </w:tc>
      </w:tr>
      <w:tr>
        <w:trPr>
          <w:trHeight w:val="392"/>
        </w:trPr>
        <w:tc>
          <w:tcPr>
            <w:tcW w:w="9420" w:type="dxa"/>
            <w:vAlign w:val="bottom"/>
          </w:tcPr>
          <w:p>
            <w:pPr>
              <w:spacing w:after="0"/>
              <w:rPr>
                <w:sz w:val="20"/>
                <w:szCs w:val="20"/>
                <w:color w:val="auto"/>
              </w:rPr>
            </w:pPr>
            <w:r>
              <w:rPr>
                <w:rFonts w:ascii="Arial" w:cs="Arial" w:eastAsia="Arial" w:hAnsi="Arial"/>
                <w:sz w:val="18"/>
                <w:szCs w:val="18"/>
                <w:color w:val="666666"/>
              </w:rPr>
              <w:t>INDEPENDENT REGISTERED PUBLIC ACCOUNTING FIRM FEES</w:t>
            </w:r>
          </w:p>
        </w:tc>
        <w:tc>
          <w:tcPr>
            <w:tcW w:w="1340" w:type="dxa"/>
            <w:vAlign w:val="bottom"/>
          </w:tcPr>
          <w:p>
            <w:pPr>
              <w:jc w:val="right"/>
              <w:spacing w:after="0"/>
              <w:rPr>
                <w:rFonts w:ascii="Arial" w:cs="Arial" w:eastAsia="Arial" w:hAnsi="Arial"/>
                <w:sz w:val="18"/>
                <w:szCs w:val="18"/>
                <w:u w:val="single" w:color="auto"/>
                <w:color w:val="666666"/>
              </w:rPr>
            </w:pPr>
            <w:hyperlink w:anchor="page62">
              <w:r>
                <w:rPr>
                  <w:rFonts w:ascii="Arial" w:cs="Arial" w:eastAsia="Arial" w:hAnsi="Arial"/>
                  <w:sz w:val="18"/>
                  <w:szCs w:val="18"/>
                  <w:u w:val="single" w:color="auto"/>
                  <w:color w:val="666666"/>
                </w:rPr>
                <w:t>52</w:t>
              </w:r>
            </w:hyperlink>
          </w:p>
        </w:tc>
      </w:tr>
      <w:tr>
        <w:trPr>
          <w:trHeight w:val="392"/>
        </w:trPr>
        <w:tc>
          <w:tcPr>
            <w:tcW w:w="9420" w:type="dxa"/>
            <w:vAlign w:val="bottom"/>
          </w:tcPr>
          <w:p>
            <w:pPr>
              <w:spacing w:after="0"/>
              <w:rPr>
                <w:sz w:val="20"/>
                <w:szCs w:val="20"/>
                <w:color w:val="auto"/>
              </w:rPr>
            </w:pPr>
            <w:r>
              <w:rPr>
                <w:rFonts w:ascii="Arial" w:cs="Arial" w:eastAsia="Arial" w:hAnsi="Arial"/>
                <w:sz w:val="18"/>
                <w:szCs w:val="18"/>
                <w:color w:val="666666"/>
              </w:rPr>
              <w:t>PROPOSAL 2: RATIFICATION OF APPOINTMENT OF ACCOUNTANTS</w:t>
            </w:r>
          </w:p>
        </w:tc>
        <w:tc>
          <w:tcPr>
            <w:tcW w:w="1340" w:type="dxa"/>
            <w:vAlign w:val="bottom"/>
          </w:tcPr>
          <w:p>
            <w:pPr>
              <w:jc w:val="right"/>
              <w:spacing w:after="0"/>
              <w:rPr>
                <w:rFonts w:ascii="Arial" w:cs="Arial" w:eastAsia="Arial" w:hAnsi="Arial"/>
                <w:sz w:val="18"/>
                <w:szCs w:val="18"/>
                <w:u w:val="single" w:color="auto"/>
                <w:color w:val="666666"/>
              </w:rPr>
            </w:pPr>
            <w:hyperlink w:anchor="page63">
              <w:r>
                <w:rPr>
                  <w:rFonts w:ascii="Arial" w:cs="Arial" w:eastAsia="Arial" w:hAnsi="Arial"/>
                  <w:sz w:val="18"/>
                  <w:szCs w:val="18"/>
                  <w:u w:val="single" w:color="auto"/>
                  <w:color w:val="666666"/>
                </w:rPr>
                <w:t>53</w:t>
              </w:r>
            </w:hyperlink>
          </w:p>
        </w:tc>
      </w:tr>
      <w:tr>
        <w:trPr>
          <w:trHeight w:val="392"/>
        </w:trPr>
        <w:tc>
          <w:tcPr>
            <w:tcW w:w="9420" w:type="dxa"/>
            <w:vAlign w:val="bottom"/>
          </w:tcPr>
          <w:p>
            <w:pPr>
              <w:spacing w:after="0"/>
              <w:rPr>
                <w:sz w:val="20"/>
                <w:szCs w:val="20"/>
                <w:color w:val="auto"/>
              </w:rPr>
            </w:pPr>
            <w:r>
              <w:rPr>
                <w:rFonts w:ascii="Arial" w:cs="Arial" w:eastAsia="Arial" w:hAnsi="Arial"/>
                <w:sz w:val="18"/>
                <w:szCs w:val="18"/>
                <w:color w:val="666666"/>
              </w:rPr>
              <w:t>PROPOSAL 3: ADVISORY VOTE ON COMPANY'S EXECUTIVE COMPENSATION</w:t>
            </w:r>
          </w:p>
        </w:tc>
        <w:tc>
          <w:tcPr>
            <w:tcW w:w="1340" w:type="dxa"/>
            <w:vAlign w:val="bottom"/>
          </w:tcPr>
          <w:p>
            <w:pPr>
              <w:jc w:val="right"/>
              <w:spacing w:after="0"/>
              <w:rPr>
                <w:rFonts w:ascii="Arial" w:cs="Arial" w:eastAsia="Arial" w:hAnsi="Arial"/>
                <w:sz w:val="18"/>
                <w:szCs w:val="18"/>
                <w:u w:val="single" w:color="auto"/>
                <w:color w:val="666666"/>
              </w:rPr>
            </w:pPr>
            <w:hyperlink w:anchor="page64">
              <w:r>
                <w:rPr>
                  <w:rFonts w:ascii="Arial" w:cs="Arial" w:eastAsia="Arial" w:hAnsi="Arial"/>
                  <w:sz w:val="18"/>
                  <w:szCs w:val="18"/>
                  <w:u w:val="single" w:color="auto"/>
                  <w:color w:val="666666"/>
                </w:rPr>
                <w:t>54</w:t>
              </w:r>
            </w:hyperlink>
          </w:p>
        </w:tc>
      </w:tr>
      <w:tr>
        <w:trPr>
          <w:trHeight w:val="391"/>
        </w:trPr>
        <w:tc>
          <w:tcPr>
            <w:tcW w:w="9420" w:type="dxa"/>
            <w:vAlign w:val="bottom"/>
          </w:tcPr>
          <w:p>
            <w:pPr>
              <w:spacing w:after="0"/>
              <w:rPr>
                <w:sz w:val="20"/>
                <w:szCs w:val="20"/>
                <w:color w:val="auto"/>
              </w:rPr>
            </w:pPr>
            <w:r>
              <w:rPr>
                <w:rFonts w:ascii="Arial" w:cs="Arial" w:eastAsia="Arial" w:hAnsi="Arial"/>
                <w:sz w:val="18"/>
                <w:szCs w:val="18"/>
                <w:color w:val="666666"/>
              </w:rPr>
              <w:t>PROPOSAL 4: ADOPTION OF FIFTH AMENDED AND RESTATED CERTIFICATE OF INCORPORATION</w:t>
            </w:r>
          </w:p>
        </w:tc>
        <w:tc>
          <w:tcPr>
            <w:tcW w:w="1340" w:type="dxa"/>
            <w:vAlign w:val="bottom"/>
          </w:tcPr>
          <w:p>
            <w:pPr>
              <w:jc w:val="right"/>
              <w:spacing w:after="0"/>
              <w:rPr>
                <w:rFonts w:ascii="Arial" w:cs="Arial" w:eastAsia="Arial" w:hAnsi="Arial"/>
                <w:sz w:val="18"/>
                <w:szCs w:val="18"/>
                <w:u w:val="single" w:color="auto"/>
                <w:color w:val="666666"/>
              </w:rPr>
            </w:pPr>
            <w:hyperlink w:anchor="page65">
              <w:r>
                <w:rPr>
                  <w:rFonts w:ascii="Arial" w:cs="Arial" w:eastAsia="Arial" w:hAnsi="Arial"/>
                  <w:sz w:val="18"/>
                  <w:szCs w:val="18"/>
                  <w:u w:val="single" w:color="auto"/>
                  <w:color w:val="666666"/>
                </w:rPr>
                <w:t>55</w:t>
              </w:r>
            </w:hyperlink>
          </w:p>
        </w:tc>
      </w:tr>
      <w:tr>
        <w:trPr>
          <w:trHeight w:val="392"/>
        </w:trPr>
        <w:tc>
          <w:tcPr>
            <w:tcW w:w="9420" w:type="dxa"/>
            <w:vAlign w:val="bottom"/>
          </w:tcPr>
          <w:p>
            <w:pPr>
              <w:spacing w:after="0"/>
              <w:rPr>
                <w:sz w:val="20"/>
                <w:szCs w:val="20"/>
                <w:color w:val="auto"/>
              </w:rPr>
            </w:pPr>
            <w:r>
              <w:rPr>
                <w:rFonts w:ascii="Arial" w:cs="Arial" w:eastAsia="Arial" w:hAnsi="Arial"/>
                <w:sz w:val="18"/>
                <w:szCs w:val="18"/>
                <w:color w:val="666666"/>
              </w:rPr>
              <w:t>OTHER BUSINESS</w:t>
            </w:r>
          </w:p>
        </w:tc>
        <w:tc>
          <w:tcPr>
            <w:tcW w:w="1340" w:type="dxa"/>
            <w:vAlign w:val="bottom"/>
          </w:tcPr>
          <w:p>
            <w:pPr>
              <w:jc w:val="right"/>
              <w:spacing w:after="0"/>
              <w:rPr>
                <w:rFonts w:ascii="Arial" w:cs="Arial" w:eastAsia="Arial" w:hAnsi="Arial"/>
                <w:sz w:val="18"/>
                <w:szCs w:val="18"/>
                <w:u w:val="single" w:color="auto"/>
                <w:color w:val="666666"/>
              </w:rPr>
            </w:pPr>
            <w:hyperlink w:anchor="page67">
              <w:r>
                <w:rPr>
                  <w:rFonts w:ascii="Arial" w:cs="Arial" w:eastAsia="Arial" w:hAnsi="Arial"/>
                  <w:sz w:val="18"/>
                  <w:szCs w:val="18"/>
                  <w:u w:val="single" w:color="auto"/>
                  <w:color w:val="666666"/>
                </w:rPr>
                <w:t>57</w:t>
              </w:r>
            </w:hyperlink>
          </w:p>
        </w:tc>
      </w:tr>
      <w:tr>
        <w:trPr>
          <w:trHeight w:val="392"/>
        </w:trPr>
        <w:tc>
          <w:tcPr>
            <w:tcW w:w="9420" w:type="dxa"/>
            <w:vAlign w:val="bottom"/>
          </w:tcPr>
          <w:p>
            <w:pPr>
              <w:spacing w:after="0"/>
              <w:rPr>
                <w:sz w:val="20"/>
                <w:szCs w:val="20"/>
                <w:color w:val="auto"/>
              </w:rPr>
            </w:pPr>
            <w:r>
              <w:rPr>
                <w:rFonts w:ascii="Arial" w:cs="Arial" w:eastAsia="Arial" w:hAnsi="Arial"/>
                <w:sz w:val="18"/>
                <w:szCs w:val="18"/>
                <w:color w:val="666666"/>
              </w:rPr>
              <w:t>IMPORTANT INFORMATION ABOUT ANNUAL MEETING AND PROXY PROCEDURES</w:t>
            </w:r>
          </w:p>
        </w:tc>
        <w:tc>
          <w:tcPr>
            <w:tcW w:w="1340" w:type="dxa"/>
            <w:vAlign w:val="bottom"/>
          </w:tcPr>
          <w:p>
            <w:pPr>
              <w:jc w:val="right"/>
              <w:spacing w:after="0"/>
              <w:rPr>
                <w:rFonts w:ascii="Arial" w:cs="Arial" w:eastAsia="Arial" w:hAnsi="Arial"/>
                <w:sz w:val="18"/>
                <w:szCs w:val="18"/>
                <w:u w:val="single" w:color="auto"/>
                <w:color w:val="666666"/>
              </w:rPr>
            </w:pPr>
            <w:hyperlink w:anchor="page68">
              <w:r>
                <w:rPr>
                  <w:rFonts w:ascii="Arial" w:cs="Arial" w:eastAsia="Arial" w:hAnsi="Arial"/>
                  <w:sz w:val="18"/>
                  <w:szCs w:val="18"/>
                  <w:u w:val="single" w:color="auto"/>
                  <w:color w:val="666666"/>
                </w:rPr>
                <w:t>58</w:t>
              </w:r>
            </w:hyperlink>
          </w:p>
        </w:tc>
      </w:tr>
      <w:tr>
        <w:trPr>
          <w:trHeight w:val="391"/>
        </w:trPr>
        <w:tc>
          <w:tcPr>
            <w:tcW w:w="9420" w:type="dxa"/>
            <w:vAlign w:val="bottom"/>
          </w:tcPr>
          <w:p>
            <w:pPr>
              <w:spacing w:after="0"/>
              <w:rPr>
                <w:sz w:val="20"/>
                <w:szCs w:val="20"/>
                <w:color w:val="auto"/>
              </w:rPr>
            </w:pPr>
            <w:r>
              <w:rPr>
                <w:rFonts w:ascii="Arial" w:cs="Arial" w:eastAsia="Arial" w:hAnsi="Arial"/>
                <w:sz w:val="18"/>
                <w:szCs w:val="18"/>
                <w:color w:val="666666"/>
              </w:rPr>
              <w:t>Appendix A</w:t>
            </w:r>
          </w:p>
        </w:tc>
        <w:tc>
          <w:tcPr>
            <w:tcW w:w="1340" w:type="dxa"/>
            <w:vAlign w:val="bottom"/>
          </w:tcPr>
          <w:p>
            <w:pPr>
              <w:jc w:val="right"/>
              <w:spacing w:after="0"/>
              <w:rPr>
                <w:rFonts w:ascii="Arial" w:cs="Arial" w:eastAsia="Arial" w:hAnsi="Arial"/>
                <w:sz w:val="18"/>
                <w:szCs w:val="18"/>
                <w:u w:val="single" w:color="auto"/>
                <w:color w:val="666666"/>
              </w:rPr>
            </w:pPr>
            <w:hyperlink w:anchor="page73">
              <w:r>
                <w:rPr>
                  <w:rFonts w:ascii="Arial" w:cs="Arial" w:eastAsia="Arial" w:hAnsi="Arial"/>
                  <w:sz w:val="18"/>
                  <w:szCs w:val="18"/>
                  <w:u w:val="single" w:color="auto"/>
                  <w:color w:val="666666"/>
                </w:rPr>
                <w:t>A - 1</w:t>
              </w:r>
            </w:hyperlink>
          </w:p>
        </w:tc>
      </w:tr>
      <w:tr>
        <w:trPr>
          <w:trHeight w:val="257"/>
        </w:trPr>
        <w:tc>
          <w:tcPr>
            <w:tcW w:w="9420" w:type="dxa"/>
            <w:vAlign w:val="bottom"/>
          </w:tcPr>
          <w:p>
            <w:pPr>
              <w:spacing w:after="0"/>
              <w:rPr>
                <w:sz w:val="20"/>
                <w:szCs w:val="20"/>
                <w:color w:val="auto"/>
              </w:rPr>
            </w:pPr>
            <w:r>
              <w:rPr>
                <w:rFonts w:ascii="Arial" w:cs="Arial" w:eastAsia="Arial" w:hAnsi="Arial"/>
                <w:sz w:val="18"/>
                <w:szCs w:val="18"/>
                <w:color w:val="666666"/>
              </w:rPr>
              <w:t>Appendix B</w:t>
            </w:r>
          </w:p>
        </w:tc>
        <w:tc>
          <w:tcPr>
            <w:tcW w:w="1340" w:type="dxa"/>
            <w:vAlign w:val="bottom"/>
          </w:tcPr>
          <w:p>
            <w:pPr>
              <w:jc w:val="right"/>
              <w:spacing w:after="0"/>
              <w:rPr>
                <w:rFonts w:ascii="Arial" w:cs="Arial" w:eastAsia="Arial" w:hAnsi="Arial"/>
                <w:sz w:val="18"/>
                <w:szCs w:val="18"/>
                <w:u w:val="single" w:color="auto"/>
                <w:color w:val="666666"/>
              </w:rPr>
            </w:pPr>
            <w:hyperlink w:anchor="page76">
              <w:r>
                <w:rPr>
                  <w:rFonts w:ascii="Arial" w:cs="Arial" w:eastAsia="Arial" w:hAnsi="Arial"/>
                  <w:sz w:val="18"/>
                  <w:szCs w:val="18"/>
                  <w:u w:val="single" w:color="auto"/>
                  <w:color w:val="666666"/>
                </w:rPr>
                <w:t>B - 1</w:t>
              </w:r>
            </w:hyperlink>
          </w:p>
        </w:tc>
      </w:tr>
    </w:tbl>
    <w:p>
      <w:pPr>
        <w:sectPr>
          <w:pgSz w:w="11900" w:h="16838" w:orient="portrait"/>
          <w:cols w:equalWidth="0" w:num="1">
            <w:col w:w="10760"/>
          </w:cols>
          <w:pgMar w:left="360" w:top="517" w:right="779" w:bottom="1440" w:gutter="0" w:footer="0" w:header="0"/>
        </w:sectPr>
      </w:pPr>
    </w:p>
    <w:bookmarkStart w:id="9" w:name="page10"/>
    <w:bookmarkEnd w:id="9"/>
    <w:p>
      <w:pPr>
        <w:jc w:val="center"/>
        <w:spacing w:after="0"/>
        <w:rPr>
          <w:sz w:val="20"/>
          <w:szCs w:val="20"/>
          <w:color w:val="auto"/>
        </w:rPr>
      </w:pPr>
      <w:r>
        <w:rPr>
          <w:rFonts w:ascii="Arial" w:cs="Arial" w:eastAsia="Arial" w:hAnsi="Arial"/>
          <w:sz w:val="36"/>
          <w:szCs w:val="36"/>
          <w:b w:val="1"/>
          <w:bCs w:val="1"/>
          <w:color w:val="547BCC"/>
        </w:rPr>
        <w:t>PROXY STATEMENT SUMMARY</w:t>
      </w:r>
    </w:p>
    <w:p>
      <w:pPr>
        <w:spacing w:after="0" w:line="26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666666"/>
        </w:rPr>
        <w:t>This summary highlights certain information contained elsewhere in this proxy statement. The summary does not contain all of the information that you should consider, and you should review our Annual Report on Form 10-K for the year ended March 31, 2020 and the entire proxy statement carefully before voting.</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666666"/>
        </w:rPr>
        <w:t>Unless the context otherwise indicates or requires, as used in this proxy statement, references to: (i) the “Company,” “we,” “us,” “our” or our “company” refer to Booz Allen Hamilton Holding Corporation, its consolidated subsidiaries and predecessors; (ii) “Booz Allen Holding” or "Booz Allen" refers to Booz Allen Hamilton Holding Corporation exclusive of its subsidiaries; (iii) “Booz Allen Hamilton” refer to Booz Allen Hamilton Inc., our primary operating company and a wholly-owned subsidiary of Booz Allen Holding; (iv) “our Board” or “the Board” means the Board of Directors of the Company; (v) “stockholder” means holders of our Class A common stock; (vi) “fiscal,” refers to our fiscal years ended March 31; and (vii) “you,” “your,” “yours,” or other words of similar import in this proxy statement refers to stockholders entitled to vote on the matters to be presented at the Annual Meeting.</w:t>
      </w:r>
    </w:p>
    <w:p>
      <w:pPr>
        <w:spacing w:after="0" w:line="130"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547BCC"/>
        </w:rPr>
        <w:t>2020 Annual Meeting of Stockholders</w:t>
      </w:r>
    </w:p>
    <w:p>
      <w:pPr>
        <w:spacing w:after="0" w:line="164" w:lineRule="exact"/>
        <w:rPr>
          <w:sz w:val="20"/>
          <w:szCs w:val="20"/>
          <w:color w:val="auto"/>
        </w:rPr>
      </w:pPr>
    </w:p>
    <w:p>
      <w:pPr>
        <w:spacing w:after="0"/>
        <w:tabs>
          <w:tab w:leader="none" w:pos="1940" w:val="left"/>
        </w:tabs>
        <w:rPr>
          <w:sz w:val="20"/>
          <w:szCs w:val="20"/>
          <w:color w:val="auto"/>
        </w:rPr>
      </w:pPr>
      <w:r>
        <w:rPr>
          <w:rFonts w:ascii="Arial" w:cs="Arial" w:eastAsia="Arial" w:hAnsi="Arial"/>
          <w:sz w:val="20"/>
          <w:szCs w:val="20"/>
          <w:b w:val="1"/>
          <w:bCs w:val="1"/>
          <w:color w:val="666666"/>
        </w:rPr>
        <w:t>Date and Time:</w:t>
      </w:r>
      <w:r>
        <w:rPr>
          <w:sz w:val="20"/>
          <w:szCs w:val="20"/>
          <w:color w:val="auto"/>
        </w:rPr>
        <w:tab/>
      </w:r>
      <w:r>
        <w:rPr>
          <w:rFonts w:ascii="Arial" w:cs="Arial" w:eastAsia="Arial" w:hAnsi="Arial"/>
          <w:sz w:val="19"/>
          <w:szCs w:val="19"/>
          <w:color w:val="666666"/>
        </w:rPr>
        <w:t>July 29, 2020 at 8:00 a.m. (EDT)</w:t>
      </w:r>
    </w:p>
    <w:p>
      <w:pPr>
        <w:spacing w:after="0" w:line="108" w:lineRule="exact"/>
        <w:rPr>
          <w:sz w:val="20"/>
          <w:szCs w:val="20"/>
          <w:color w:val="auto"/>
        </w:rPr>
      </w:pPr>
    </w:p>
    <w:p>
      <w:pPr>
        <w:spacing w:after="0"/>
        <w:tabs>
          <w:tab w:leader="none" w:pos="1940" w:val="left"/>
        </w:tabs>
        <w:rPr>
          <w:sz w:val="20"/>
          <w:szCs w:val="20"/>
          <w:color w:val="auto"/>
        </w:rPr>
      </w:pPr>
      <w:r>
        <w:rPr>
          <w:rFonts w:ascii="Arial" w:cs="Arial" w:eastAsia="Arial" w:hAnsi="Arial"/>
          <w:sz w:val="20"/>
          <w:szCs w:val="20"/>
          <w:b w:val="1"/>
          <w:bCs w:val="1"/>
          <w:color w:val="666666"/>
        </w:rPr>
        <w:t>Place:</w:t>
      </w:r>
      <w:r>
        <w:rPr>
          <w:sz w:val="20"/>
          <w:szCs w:val="20"/>
          <w:color w:val="auto"/>
        </w:rPr>
        <w:tab/>
      </w:r>
      <w:r>
        <w:rPr>
          <w:rFonts w:ascii="Arial" w:cs="Arial" w:eastAsia="Arial" w:hAnsi="Arial"/>
          <w:sz w:val="20"/>
          <w:szCs w:val="20"/>
          <w:color w:val="666666"/>
        </w:rPr>
        <w:t>Virtual meeting at www.virtualshareholdermeeting.com/BAH2020</w:t>
      </w:r>
    </w:p>
    <w:p>
      <w:pPr>
        <w:spacing w:after="0" w:line="108" w:lineRule="exact"/>
        <w:rPr>
          <w:sz w:val="20"/>
          <w:szCs w:val="20"/>
          <w:color w:val="auto"/>
        </w:rPr>
      </w:pPr>
    </w:p>
    <w:p>
      <w:pPr>
        <w:spacing w:after="0"/>
        <w:tabs>
          <w:tab w:leader="none" w:pos="1940" w:val="left"/>
        </w:tabs>
        <w:rPr>
          <w:sz w:val="20"/>
          <w:szCs w:val="20"/>
          <w:color w:val="auto"/>
        </w:rPr>
      </w:pPr>
      <w:r>
        <w:rPr>
          <w:rFonts w:ascii="Arial" w:cs="Arial" w:eastAsia="Arial" w:hAnsi="Arial"/>
          <w:sz w:val="20"/>
          <w:szCs w:val="20"/>
          <w:b w:val="1"/>
          <w:bCs w:val="1"/>
          <w:color w:val="666666"/>
        </w:rPr>
        <w:t>Record date:</w:t>
      </w:r>
      <w:r>
        <w:rPr>
          <w:sz w:val="20"/>
          <w:szCs w:val="20"/>
          <w:color w:val="auto"/>
        </w:rPr>
        <w:tab/>
      </w:r>
      <w:r>
        <w:rPr>
          <w:rFonts w:ascii="Arial" w:cs="Arial" w:eastAsia="Arial" w:hAnsi="Arial"/>
          <w:sz w:val="19"/>
          <w:szCs w:val="19"/>
          <w:color w:val="666666"/>
        </w:rPr>
        <w:t>June 8, 2020</w:t>
      </w:r>
    </w:p>
    <w:p>
      <w:pPr>
        <w:spacing w:after="0" w:line="108" w:lineRule="exact"/>
        <w:rPr>
          <w:sz w:val="20"/>
          <w:szCs w:val="20"/>
          <w:color w:val="auto"/>
        </w:rPr>
      </w:pPr>
    </w:p>
    <w:p>
      <w:pPr>
        <w:jc w:val="both"/>
        <w:ind w:left="1960" w:hanging="1959"/>
        <w:spacing w:after="0"/>
        <w:tabs>
          <w:tab w:leader="none" w:pos="1940" w:val="left"/>
        </w:tabs>
        <w:rPr>
          <w:sz w:val="20"/>
          <w:szCs w:val="20"/>
          <w:color w:val="auto"/>
        </w:rPr>
      </w:pPr>
      <w:r>
        <w:rPr>
          <w:rFonts w:ascii="Arial" w:cs="Arial" w:eastAsia="Arial" w:hAnsi="Arial"/>
          <w:sz w:val="20"/>
          <w:szCs w:val="20"/>
          <w:b w:val="1"/>
          <w:bCs w:val="1"/>
          <w:color w:val="666666"/>
        </w:rPr>
        <w:t>Admission:</w:t>
      </w:r>
      <w:r>
        <w:rPr>
          <w:sz w:val="20"/>
          <w:szCs w:val="20"/>
          <w:color w:val="auto"/>
        </w:rPr>
        <w:tab/>
      </w:r>
      <w:r>
        <w:rPr>
          <w:rFonts w:ascii="Arial" w:cs="Arial" w:eastAsia="Arial" w:hAnsi="Arial"/>
          <w:sz w:val="20"/>
          <w:szCs w:val="20"/>
          <w:color w:val="666666"/>
        </w:rPr>
        <w:t>Due to concerns regarding the COVID-19 pandemic and to protect the safety and well-being of our stockholders, Board of Directors and employees, our 2020 Annual Meeting of Stockholders will be a virtual meeting conducted solely online and can be attended by visiting www.virtualshareholdermeeting.com/BAH2020. To participate in the Annual Meeting, you will need the control number located on your proxy card or the instructions that accompanied your proxy materials. If you plan to participate in the virtual meeting, please see "Important Information about Annual Meeting and Proxy Procedures."</w:t>
      </w:r>
    </w:p>
    <w:p>
      <w:pPr>
        <w:spacing w:after="0" w:line="217"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547BCC"/>
        </w:rPr>
        <w:t>Voting Matters and Board Recommendations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666666"/>
        </w:rPr>
        <w:t>Stockholders are being asked to vote on the following matters at the 2020 Annual Meeting of Stockholders: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shd w:val="clear" w:color="auto" w:fill="C9C9C9"/>
          </w:tcPr>
          <w:p>
            <w:pPr>
              <w:spacing w:after="0"/>
              <w:rPr>
                <w:sz w:val="18"/>
                <w:szCs w:val="18"/>
                <w:color w:val="auto"/>
              </w:rPr>
            </w:pPr>
          </w:p>
        </w:tc>
        <w:tc>
          <w:tcPr>
            <w:tcW w:w="5280" w:type="dxa"/>
            <w:vAlign w:val="bottom"/>
            <w:shd w:val="clear" w:color="auto" w:fill="C9C9C9"/>
          </w:tcPr>
          <w:p>
            <w:pPr>
              <w:spacing w:after="0"/>
              <w:rPr>
                <w:sz w:val="18"/>
                <w:szCs w:val="18"/>
                <w:color w:val="auto"/>
              </w:rPr>
            </w:pPr>
          </w:p>
        </w:tc>
        <w:tc>
          <w:tcPr>
            <w:tcW w:w="400" w:type="dxa"/>
            <w:vAlign w:val="bottom"/>
            <w:shd w:val="clear" w:color="auto" w:fill="C9C9C9"/>
          </w:tcPr>
          <w:p>
            <w:pPr>
              <w:spacing w:after="0"/>
              <w:rPr>
                <w:sz w:val="18"/>
                <w:szCs w:val="18"/>
                <w:color w:val="auto"/>
              </w:rPr>
            </w:pPr>
          </w:p>
        </w:tc>
        <w:tc>
          <w:tcPr>
            <w:tcW w:w="2180" w:type="dxa"/>
            <w:vAlign w:val="bottom"/>
            <w:shd w:val="clear" w:color="auto" w:fill="C9C9C9"/>
          </w:tcPr>
          <w:p>
            <w:pPr>
              <w:jc w:val="center"/>
              <w:ind w:right="150"/>
              <w:spacing w:after="0"/>
              <w:rPr>
                <w:sz w:val="20"/>
                <w:szCs w:val="20"/>
                <w:color w:val="auto"/>
              </w:rPr>
            </w:pPr>
            <w:r>
              <w:rPr>
                <w:rFonts w:ascii="Arial" w:cs="Arial" w:eastAsia="Arial" w:hAnsi="Arial"/>
                <w:sz w:val="18"/>
                <w:szCs w:val="18"/>
                <w:b w:val="1"/>
                <w:bCs w:val="1"/>
                <w:color w:val="547BCC"/>
                <w:w w:val="98"/>
              </w:rPr>
              <w:t>Board's Voting</w:t>
            </w:r>
          </w:p>
        </w:tc>
        <w:tc>
          <w:tcPr>
            <w:tcW w:w="2320" w:type="dxa"/>
            <w:vAlign w:val="bottom"/>
            <w:shd w:val="clear" w:color="auto" w:fill="C9C9C9"/>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shd w:val="clear" w:color="auto" w:fill="C9C9C9"/>
          </w:tcPr>
          <w:p>
            <w:pPr>
              <w:jc w:val="center"/>
              <w:ind w:left="10"/>
              <w:spacing w:after="0"/>
              <w:rPr>
                <w:sz w:val="20"/>
                <w:szCs w:val="20"/>
                <w:color w:val="auto"/>
              </w:rPr>
            </w:pPr>
            <w:r>
              <w:rPr>
                <w:rFonts w:ascii="Arial" w:cs="Arial" w:eastAsia="Arial" w:hAnsi="Arial"/>
                <w:sz w:val="18"/>
                <w:szCs w:val="18"/>
                <w:b w:val="1"/>
                <w:bCs w:val="1"/>
                <w:color w:val="547BCC"/>
                <w:w w:val="98"/>
              </w:rPr>
              <w:t>Proposal</w:t>
            </w:r>
          </w:p>
        </w:tc>
        <w:tc>
          <w:tcPr>
            <w:tcW w:w="5280" w:type="dxa"/>
            <w:vAlign w:val="bottom"/>
            <w:tcBorders>
              <w:bottom w:val="single" w:sz="8" w:color="auto"/>
            </w:tcBorders>
            <w:shd w:val="clear" w:color="auto" w:fill="C9C9C9"/>
          </w:tcPr>
          <w:p>
            <w:pPr>
              <w:ind w:left="2340"/>
              <w:spacing w:after="0"/>
              <w:rPr>
                <w:sz w:val="20"/>
                <w:szCs w:val="20"/>
                <w:color w:val="auto"/>
              </w:rPr>
            </w:pPr>
            <w:r>
              <w:rPr>
                <w:rFonts w:ascii="Arial" w:cs="Arial" w:eastAsia="Arial" w:hAnsi="Arial"/>
                <w:sz w:val="18"/>
                <w:szCs w:val="18"/>
                <w:b w:val="1"/>
                <w:bCs w:val="1"/>
                <w:color w:val="547BCC"/>
              </w:rPr>
              <w:t>Description</w:t>
            </w:r>
          </w:p>
        </w:tc>
        <w:tc>
          <w:tcPr>
            <w:tcW w:w="400" w:type="dxa"/>
            <w:vAlign w:val="bottom"/>
            <w:tcBorders>
              <w:bottom w:val="single" w:sz="8" w:color="auto"/>
            </w:tcBorders>
            <w:shd w:val="clear" w:color="auto" w:fill="C9C9C9"/>
          </w:tcPr>
          <w:p>
            <w:pPr>
              <w:spacing w:after="0"/>
              <w:rPr>
                <w:sz w:val="21"/>
                <w:szCs w:val="21"/>
                <w:color w:val="auto"/>
              </w:rPr>
            </w:pPr>
          </w:p>
        </w:tc>
        <w:tc>
          <w:tcPr>
            <w:tcW w:w="2180" w:type="dxa"/>
            <w:vAlign w:val="bottom"/>
            <w:tcBorders>
              <w:bottom w:val="single" w:sz="8" w:color="auto"/>
            </w:tcBorders>
            <w:shd w:val="clear" w:color="auto" w:fill="C9C9C9"/>
          </w:tcPr>
          <w:p>
            <w:pPr>
              <w:jc w:val="center"/>
              <w:ind w:right="170"/>
              <w:spacing w:after="0"/>
              <w:rPr>
                <w:sz w:val="20"/>
                <w:szCs w:val="20"/>
                <w:color w:val="auto"/>
              </w:rPr>
            </w:pPr>
            <w:r>
              <w:rPr>
                <w:rFonts w:ascii="Arial" w:cs="Arial" w:eastAsia="Arial" w:hAnsi="Arial"/>
                <w:sz w:val="18"/>
                <w:szCs w:val="18"/>
                <w:b w:val="1"/>
                <w:bCs w:val="1"/>
                <w:color w:val="547BCC"/>
              </w:rPr>
              <w:t>Recommendation</w:t>
            </w:r>
          </w:p>
        </w:tc>
        <w:tc>
          <w:tcPr>
            <w:tcW w:w="2320" w:type="dxa"/>
            <w:vAlign w:val="bottom"/>
            <w:tcBorders>
              <w:bottom w:val="single" w:sz="8" w:color="auto"/>
            </w:tcBorders>
            <w:shd w:val="clear" w:color="auto" w:fill="C9C9C9"/>
          </w:tcPr>
          <w:p>
            <w:pPr>
              <w:ind w:left="400"/>
              <w:spacing w:after="0"/>
              <w:rPr>
                <w:sz w:val="20"/>
                <w:szCs w:val="20"/>
                <w:color w:val="auto"/>
              </w:rPr>
            </w:pPr>
            <w:r>
              <w:rPr>
                <w:rFonts w:ascii="Arial" w:cs="Arial" w:eastAsia="Arial" w:hAnsi="Arial"/>
                <w:sz w:val="18"/>
                <w:szCs w:val="18"/>
                <w:b w:val="1"/>
                <w:bCs w:val="1"/>
                <w:color w:val="547BCC"/>
              </w:rPr>
              <w:t>Page Reference</w:t>
            </w:r>
          </w:p>
        </w:tc>
        <w:tc>
          <w:tcPr>
            <w:tcW w:w="0" w:type="dxa"/>
            <w:vAlign w:val="bottom"/>
          </w:tcPr>
          <w:p>
            <w:pPr>
              <w:spacing w:after="0"/>
              <w:rPr>
                <w:sz w:val="1"/>
                <w:szCs w:val="1"/>
                <w:color w:val="auto"/>
              </w:rPr>
            </w:pPr>
          </w:p>
        </w:tc>
      </w:tr>
      <w:tr>
        <w:trPr>
          <w:trHeight w:val="250"/>
        </w:trPr>
        <w:tc>
          <w:tcPr>
            <w:tcW w:w="10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666666"/>
              </w:rPr>
              <w:t>No. 1</w:t>
            </w: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666666"/>
              </w:rPr>
              <w:t>Election of three director nominees</w:t>
            </w:r>
          </w:p>
        </w:tc>
        <w:tc>
          <w:tcPr>
            <w:tcW w:w="4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666666"/>
              </w:rPr>
              <w:t>FOR each nominee</w:t>
            </w:r>
          </w:p>
        </w:tc>
        <w:tc>
          <w:tcPr>
            <w:tcW w:w="2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666666"/>
                <w:w w:val="99"/>
              </w:rPr>
              <w:t>6</w:t>
            </w:r>
          </w:p>
        </w:tc>
        <w:tc>
          <w:tcPr>
            <w:tcW w:w="0" w:type="dxa"/>
            <w:vAlign w:val="bottom"/>
          </w:tcPr>
          <w:p>
            <w:pPr>
              <w:spacing w:after="0"/>
              <w:rPr>
                <w:sz w:val="1"/>
                <w:szCs w:val="1"/>
                <w:color w:val="auto"/>
              </w:rPr>
            </w:pPr>
          </w:p>
        </w:tc>
      </w:tr>
      <w:tr>
        <w:trPr>
          <w:trHeight w:val="229"/>
        </w:trPr>
        <w:tc>
          <w:tcPr>
            <w:tcW w:w="1060" w:type="dxa"/>
            <w:vAlign w:val="bottom"/>
            <w:shd w:val="clear" w:color="auto" w:fill="C9C9C9"/>
          </w:tcPr>
          <w:p>
            <w:pPr>
              <w:spacing w:after="0"/>
              <w:rPr>
                <w:sz w:val="19"/>
                <w:szCs w:val="19"/>
                <w:color w:val="auto"/>
              </w:rPr>
            </w:pPr>
          </w:p>
        </w:tc>
        <w:tc>
          <w:tcPr>
            <w:tcW w:w="5280" w:type="dxa"/>
            <w:vAlign w:val="bottom"/>
            <w:shd w:val="clear" w:color="auto" w:fill="C9C9C9"/>
          </w:tcPr>
          <w:p>
            <w:pPr>
              <w:ind w:left="100"/>
              <w:spacing w:after="0"/>
              <w:rPr>
                <w:sz w:val="20"/>
                <w:szCs w:val="20"/>
                <w:color w:val="auto"/>
              </w:rPr>
            </w:pPr>
            <w:r>
              <w:rPr>
                <w:rFonts w:ascii="Arial" w:cs="Arial" w:eastAsia="Arial" w:hAnsi="Arial"/>
                <w:sz w:val="18"/>
                <w:szCs w:val="18"/>
                <w:color w:val="666666"/>
              </w:rPr>
              <w:t>Ratification of appointment of Ernst &amp; Young LLP ("E&amp;Y") as the</w:t>
            </w:r>
          </w:p>
        </w:tc>
        <w:tc>
          <w:tcPr>
            <w:tcW w:w="400" w:type="dxa"/>
            <w:vAlign w:val="bottom"/>
            <w:shd w:val="clear" w:color="auto" w:fill="C9C9C9"/>
          </w:tcPr>
          <w:p>
            <w:pPr>
              <w:spacing w:after="0"/>
              <w:rPr>
                <w:sz w:val="19"/>
                <w:szCs w:val="19"/>
                <w:color w:val="auto"/>
              </w:rPr>
            </w:pPr>
          </w:p>
        </w:tc>
        <w:tc>
          <w:tcPr>
            <w:tcW w:w="2180" w:type="dxa"/>
            <w:vAlign w:val="bottom"/>
            <w:vMerge w:val="restart"/>
            <w:shd w:val="clear" w:color="auto" w:fill="C9C9C9"/>
          </w:tcPr>
          <w:p>
            <w:pPr>
              <w:jc w:val="center"/>
              <w:ind w:right="150"/>
              <w:spacing w:after="0"/>
              <w:rPr>
                <w:sz w:val="20"/>
                <w:szCs w:val="20"/>
                <w:color w:val="auto"/>
              </w:rPr>
            </w:pPr>
            <w:r>
              <w:rPr>
                <w:rFonts w:ascii="Arial" w:cs="Arial" w:eastAsia="Arial" w:hAnsi="Arial"/>
                <w:sz w:val="18"/>
                <w:szCs w:val="18"/>
                <w:b w:val="1"/>
                <w:bCs w:val="1"/>
                <w:color w:val="666666"/>
                <w:w w:val="99"/>
              </w:rPr>
              <w:t>FOR</w:t>
            </w:r>
          </w:p>
        </w:tc>
        <w:tc>
          <w:tcPr>
            <w:tcW w:w="2320" w:type="dxa"/>
            <w:vAlign w:val="bottom"/>
            <w:shd w:val="clear" w:color="auto" w:fill="C9C9C9"/>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60" w:type="dxa"/>
            <w:vAlign w:val="bottom"/>
            <w:shd w:val="clear" w:color="auto" w:fill="C9C9C9"/>
          </w:tcPr>
          <w:p>
            <w:pPr>
              <w:jc w:val="center"/>
              <w:ind w:left="10"/>
              <w:spacing w:after="0" w:line="202" w:lineRule="exact"/>
              <w:rPr>
                <w:sz w:val="20"/>
                <w:szCs w:val="20"/>
                <w:color w:val="auto"/>
              </w:rPr>
            </w:pPr>
            <w:r>
              <w:rPr>
                <w:rFonts w:ascii="Arial" w:cs="Arial" w:eastAsia="Arial" w:hAnsi="Arial"/>
                <w:sz w:val="18"/>
                <w:szCs w:val="18"/>
                <w:color w:val="666666"/>
              </w:rPr>
              <w:t>No. 2</w:t>
            </w:r>
          </w:p>
        </w:tc>
        <w:tc>
          <w:tcPr>
            <w:tcW w:w="5280" w:type="dxa"/>
            <w:vAlign w:val="bottom"/>
            <w:shd w:val="clear" w:color="auto" w:fill="C9C9C9"/>
          </w:tcPr>
          <w:p>
            <w:pPr>
              <w:ind w:left="100"/>
              <w:spacing w:after="0" w:line="202" w:lineRule="exact"/>
              <w:rPr>
                <w:sz w:val="20"/>
                <w:szCs w:val="20"/>
                <w:color w:val="auto"/>
              </w:rPr>
            </w:pPr>
            <w:r>
              <w:rPr>
                <w:rFonts w:ascii="Arial" w:cs="Arial" w:eastAsia="Arial" w:hAnsi="Arial"/>
                <w:sz w:val="18"/>
                <w:szCs w:val="18"/>
                <w:color w:val="666666"/>
                <w:w w:val="99"/>
              </w:rPr>
              <w:t>Company's independent registered accounting firm for fiscal year</w:t>
            </w:r>
          </w:p>
        </w:tc>
        <w:tc>
          <w:tcPr>
            <w:tcW w:w="400" w:type="dxa"/>
            <w:vAlign w:val="bottom"/>
            <w:shd w:val="clear" w:color="auto" w:fill="C9C9C9"/>
          </w:tcPr>
          <w:p>
            <w:pPr>
              <w:spacing w:after="0"/>
              <w:rPr>
                <w:sz w:val="17"/>
                <w:szCs w:val="17"/>
                <w:color w:val="auto"/>
              </w:rPr>
            </w:pPr>
          </w:p>
        </w:tc>
        <w:tc>
          <w:tcPr>
            <w:tcW w:w="2180" w:type="dxa"/>
            <w:vAlign w:val="bottom"/>
            <w:vMerge w:val="continue"/>
            <w:shd w:val="clear" w:color="auto" w:fill="C9C9C9"/>
          </w:tcPr>
          <w:p>
            <w:pPr>
              <w:spacing w:after="0"/>
              <w:rPr>
                <w:sz w:val="17"/>
                <w:szCs w:val="17"/>
                <w:color w:val="auto"/>
              </w:rPr>
            </w:pPr>
          </w:p>
        </w:tc>
        <w:tc>
          <w:tcPr>
            <w:tcW w:w="2320" w:type="dxa"/>
            <w:vAlign w:val="bottom"/>
            <w:shd w:val="clear" w:color="auto" w:fill="C9C9C9"/>
          </w:tcPr>
          <w:p>
            <w:pPr>
              <w:jc w:val="center"/>
              <w:ind w:right="70"/>
              <w:spacing w:after="0" w:line="202" w:lineRule="exact"/>
              <w:rPr>
                <w:sz w:val="20"/>
                <w:szCs w:val="20"/>
                <w:color w:val="auto"/>
              </w:rPr>
            </w:pPr>
            <w:r>
              <w:rPr>
                <w:rFonts w:ascii="Arial" w:cs="Arial" w:eastAsia="Arial" w:hAnsi="Arial"/>
                <w:sz w:val="18"/>
                <w:szCs w:val="18"/>
                <w:color w:val="666666"/>
                <w:w w:val="99"/>
              </w:rPr>
              <w:t>53</w:t>
            </w:r>
          </w:p>
        </w:tc>
        <w:tc>
          <w:tcPr>
            <w:tcW w:w="0" w:type="dxa"/>
            <w:vAlign w:val="bottom"/>
          </w:tcPr>
          <w:p>
            <w:pPr>
              <w:spacing w:after="0"/>
              <w:rPr>
                <w:sz w:val="1"/>
                <w:szCs w:val="1"/>
                <w:color w:val="auto"/>
              </w:rPr>
            </w:pPr>
          </w:p>
        </w:tc>
      </w:tr>
      <w:tr>
        <w:trPr>
          <w:trHeight w:val="224"/>
        </w:trPr>
        <w:tc>
          <w:tcPr>
            <w:tcW w:w="1060" w:type="dxa"/>
            <w:vAlign w:val="bottom"/>
            <w:tcBorders>
              <w:bottom w:val="single" w:sz="8" w:color="auto"/>
            </w:tcBorders>
            <w:shd w:val="clear" w:color="auto" w:fill="C9C9C9"/>
          </w:tcPr>
          <w:p>
            <w:pPr>
              <w:spacing w:after="0"/>
              <w:rPr>
                <w:sz w:val="19"/>
                <w:szCs w:val="19"/>
                <w:color w:val="auto"/>
              </w:rPr>
            </w:pPr>
          </w:p>
        </w:tc>
        <w:tc>
          <w:tcPr>
            <w:tcW w:w="5280" w:type="dxa"/>
            <w:vAlign w:val="bottom"/>
            <w:tcBorders>
              <w:bottom w:val="single" w:sz="8" w:color="auto"/>
            </w:tcBorders>
            <w:shd w:val="clear" w:color="auto" w:fill="C9C9C9"/>
          </w:tcPr>
          <w:p>
            <w:pPr>
              <w:ind w:left="100"/>
              <w:spacing w:after="0"/>
              <w:rPr>
                <w:sz w:val="20"/>
                <w:szCs w:val="20"/>
                <w:color w:val="auto"/>
              </w:rPr>
            </w:pPr>
            <w:r>
              <w:rPr>
                <w:rFonts w:ascii="Arial" w:cs="Arial" w:eastAsia="Arial" w:hAnsi="Arial"/>
                <w:sz w:val="18"/>
                <w:szCs w:val="18"/>
                <w:color w:val="666666"/>
              </w:rPr>
              <w:t>2021</w:t>
            </w:r>
          </w:p>
        </w:tc>
        <w:tc>
          <w:tcPr>
            <w:tcW w:w="400" w:type="dxa"/>
            <w:vAlign w:val="bottom"/>
            <w:tcBorders>
              <w:bottom w:val="single" w:sz="8" w:color="auto"/>
            </w:tcBorders>
            <w:shd w:val="clear" w:color="auto" w:fill="C9C9C9"/>
          </w:tcPr>
          <w:p>
            <w:pPr>
              <w:spacing w:after="0"/>
              <w:rPr>
                <w:sz w:val="19"/>
                <w:szCs w:val="19"/>
                <w:color w:val="auto"/>
              </w:rPr>
            </w:pPr>
          </w:p>
        </w:tc>
        <w:tc>
          <w:tcPr>
            <w:tcW w:w="2180" w:type="dxa"/>
            <w:vAlign w:val="bottom"/>
            <w:tcBorders>
              <w:bottom w:val="single" w:sz="8" w:color="auto"/>
            </w:tcBorders>
            <w:shd w:val="clear" w:color="auto" w:fill="C9C9C9"/>
          </w:tcPr>
          <w:p>
            <w:pPr>
              <w:spacing w:after="0"/>
              <w:rPr>
                <w:sz w:val="19"/>
                <w:szCs w:val="19"/>
                <w:color w:val="auto"/>
              </w:rPr>
            </w:pPr>
          </w:p>
        </w:tc>
        <w:tc>
          <w:tcPr>
            <w:tcW w:w="2320" w:type="dxa"/>
            <w:vAlign w:val="bottom"/>
            <w:tcBorders>
              <w:bottom w:val="single" w:sz="8" w:color="auto"/>
            </w:tcBorders>
            <w:shd w:val="clear" w:color="auto" w:fill="C9C9C9"/>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60" w:type="dxa"/>
            <w:vAlign w:val="bottom"/>
          </w:tcPr>
          <w:p>
            <w:pPr>
              <w:spacing w:after="0"/>
              <w:rPr>
                <w:sz w:val="19"/>
                <w:szCs w:val="19"/>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666666"/>
              </w:rPr>
              <w:t>A non-binding advisory vote on the compensation program for the</w:t>
            </w:r>
          </w:p>
        </w:tc>
        <w:tc>
          <w:tcPr>
            <w:tcW w:w="21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60" w:type="dxa"/>
            <w:vAlign w:val="bottom"/>
            <w:vMerge w:val="restart"/>
          </w:tcPr>
          <w:p>
            <w:pPr>
              <w:jc w:val="center"/>
              <w:ind w:left="10"/>
              <w:spacing w:after="0"/>
              <w:rPr>
                <w:sz w:val="20"/>
                <w:szCs w:val="20"/>
                <w:color w:val="auto"/>
              </w:rPr>
            </w:pPr>
            <w:r>
              <w:rPr>
                <w:rFonts w:ascii="Arial" w:cs="Arial" w:eastAsia="Arial" w:hAnsi="Arial"/>
                <w:sz w:val="18"/>
                <w:szCs w:val="18"/>
                <w:color w:val="666666"/>
              </w:rPr>
              <w:t>No. 3</w:t>
            </w:r>
          </w:p>
        </w:tc>
        <w:tc>
          <w:tcPr>
            <w:tcW w:w="5280" w:type="dxa"/>
            <w:vAlign w:val="bottom"/>
          </w:tcPr>
          <w:p>
            <w:pPr>
              <w:ind w:left="100"/>
              <w:spacing w:after="0" w:line="202" w:lineRule="exact"/>
              <w:rPr>
                <w:sz w:val="20"/>
                <w:szCs w:val="20"/>
                <w:color w:val="auto"/>
              </w:rPr>
            </w:pPr>
            <w:r>
              <w:rPr>
                <w:rFonts w:ascii="Arial" w:cs="Arial" w:eastAsia="Arial" w:hAnsi="Arial"/>
                <w:sz w:val="18"/>
                <w:szCs w:val="18"/>
                <w:color w:val="666666"/>
              </w:rPr>
              <w:t>Company’s  named  executive  officers,  as  disclosed  in</w:t>
            </w:r>
          </w:p>
        </w:tc>
        <w:tc>
          <w:tcPr>
            <w:tcW w:w="400" w:type="dxa"/>
            <w:vAlign w:val="bottom"/>
          </w:tcPr>
          <w:p>
            <w:pPr>
              <w:ind w:left="20"/>
              <w:spacing w:after="0" w:line="202" w:lineRule="exact"/>
              <w:rPr>
                <w:sz w:val="20"/>
                <w:szCs w:val="20"/>
                <w:color w:val="auto"/>
              </w:rPr>
            </w:pPr>
            <w:r>
              <w:rPr>
                <w:rFonts w:ascii="Arial" w:cs="Arial" w:eastAsia="Arial" w:hAnsi="Arial"/>
                <w:sz w:val="18"/>
                <w:szCs w:val="18"/>
                <w:color w:val="666666"/>
              </w:rPr>
              <w:t>the</w:t>
            </w:r>
          </w:p>
        </w:tc>
        <w:tc>
          <w:tcPr>
            <w:tcW w:w="21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666666"/>
                <w:w w:val="99"/>
              </w:rPr>
              <w:t>FOR</w:t>
            </w:r>
          </w:p>
        </w:tc>
        <w:tc>
          <w:tcPr>
            <w:tcW w:w="2320" w:type="dxa"/>
            <w:vAlign w:val="bottom"/>
            <w:vMerge w:val="restart"/>
          </w:tcPr>
          <w:p>
            <w:pPr>
              <w:jc w:val="center"/>
              <w:ind w:right="70"/>
              <w:spacing w:after="0"/>
              <w:rPr>
                <w:sz w:val="20"/>
                <w:szCs w:val="20"/>
                <w:color w:val="auto"/>
              </w:rPr>
            </w:pPr>
            <w:r>
              <w:rPr>
                <w:rFonts w:ascii="Arial" w:cs="Arial" w:eastAsia="Arial" w:hAnsi="Arial"/>
                <w:sz w:val="18"/>
                <w:szCs w:val="18"/>
                <w:color w:val="666666"/>
                <w:w w:val="99"/>
              </w:rPr>
              <w:t>54</w:t>
            </w:r>
          </w:p>
        </w:tc>
        <w:tc>
          <w:tcPr>
            <w:tcW w:w="0" w:type="dxa"/>
            <w:vAlign w:val="bottom"/>
          </w:tcPr>
          <w:p>
            <w:pPr>
              <w:spacing w:after="0"/>
              <w:rPr>
                <w:sz w:val="1"/>
                <w:szCs w:val="1"/>
                <w:color w:val="auto"/>
              </w:rPr>
            </w:pPr>
          </w:p>
        </w:tc>
      </w:tr>
      <w:tr>
        <w:trPr>
          <w:trHeight w:val="109"/>
        </w:trPr>
        <w:tc>
          <w:tcPr>
            <w:tcW w:w="1060" w:type="dxa"/>
            <w:vAlign w:val="bottom"/>
            <w:vMerge w:val="continue"/>
          </w:tcPr>
          <w:p>
            <w:pPr>
              <w:spacing w:after="0"/>
              <w:rPr>
                <w:sz w:val="9"/>
                <w:szCs w:val="9"/>
                <w:color w:val="auto"/>
              </w:rPr>
            </w:pPr>
          </w:p>
        </w:tc>
        <w:tc>
          <w:tcPr>
            <w:tcW w:w="5680" w:type="dxa"/>
            <w:vAlign w:val="bottom"/>
            <w:gridSpan w:val="2"/>
            <w:vMerge w:val="restart"/>
          </w:tcPr>
          <w:p>
            <w:pPr>
              <w:ind w:left="100"/>
              <w:spacing w:after="0" w:line="202" w:lineRule="exact"/>
              <w:rPr>
                <w:sz w:val="20"/>
                <w:szCs w:val="20"/>
                <w:color w:val="auto"/>
              </w:rPr>
            </w:pPr>
            <w:r>
              <w:rPr>
                <w:rFonts w:ascii="Arial" w:cs="Arial" w:eastAsia="Arial" w:hAnsi="Arial"/>
                <w:sz w:val="18"/>
                <w:szCs w:val="18"/>
                <w:color w:val="666666"/>
              </w:rPr>
              <w:t>Compensation  Discussion  and  Analysis  ("CD&amp;A")  of  the  proxy</w:t>
            </w:r>
          </w:p>
        </w:tc>
        <w:tc>
          <w:tcPr>
            <w:tcW w:w="2180" w:type="dxa"/>
            <w:vAlign w:val="bottom"/>
            <w:vMerge w:val="continue"/>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060" w:type="dxa"/>
            <w:vAlign w:val="bottom"/>
          </w:tcPr>
          <w:p>
            <w:pPr>
              <w:spacing w:after="0"/>
              <w:rPr>
                <w:sz w:val="8"/>
                <w:szCs w:val="8"/>
                <w:color w:val="auto"/>
              </w:rPr>
            </w:pPr>
          </w:p>
        </w:tc>
        <w:tc>
          <w:tcPr>
            <w:tcW w:w="5680" w:type="dxa"/>
            <w:vAlign w:val="bottom"/>
            <w:gridSpan w:val="2"/>
            <w:vMerge w:val="continue"/>
          </w:tcPr>
          <w:p>
            <w:pPr>
              <w:spacing w:after="0"/>
              <w:rPr>
                <w:sz w:val="8"/>
                <w:szCs w:val="8"/>
                <w:color w:val="auto"/>
              </w:rPr>
            </w:pPr>
          </w:p>
        </w:tc>
        <w:tc>
          <w:tcPr>
            <w:tcW w:w="21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060" w:type="dxa"/>
            <w:vAlign w:val="bottom"/>
            <w:tcBorders>
              <w:bottom w:val="single" w:sz="8" w:color="auto"/>
            </w:tcBorders>
          </w:tcPr>
          <w:p>
            <w:pPr>
              <w:spacing w:after="0"/>
              <w:rPr>
                <w:sz w:val="19"/>
                <w:szCs w:val="19"/>
                <w:color w:val="auto"/>
              </w:rPr>
            </w:pP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666666"/>
              </w:rPr>
              <w:t>statement</w:t>
            </w:r>
          </w:p>
        </w:tc>
        <w:tc>
          <w:tcPr>
            <w:tcW w:w="4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60" w:type="dxa"/>
            <w:vAlign w:val="bottom"/>
            <w:shd w:val="clear" w:color="auto" w:fill="C9C9C9"/>
          </w:tcPr>
          <w:p>
            <w:pPr>
              <w:spacing w:after="0"/>
              <w:rPr>
                <w:sz w:val="19"/>
                <w:szCs w:val="19"/>
                <w:color w:val="auto"/>
              </w:rPr>
            </w:pPr>
          </w:p>
        </w:tc>
        <w:tc>
          <w:tcPr>
            <w:tcW w:w="5680" w:type="dxa"/>
            <w:vAlign w:val="bottom"/>
            <w:gridSpan w:val="2"/>
            <w:shd w:val="clear" w:color="auto" w:fill="C9C9C9"/>
          </w:tcPr>
          <w:p>
            <w:pPr>
              <w:ind w:left="100"/>
              <w:spacing w:after="0"/>
              <w:rPr>
                <w:sz w:val="20"/>
                <w:szCs w:val="20"/>
                <w:color w:val="auto"/>
              </w:rPr>
            </w:pPr>
            <w:r>
              <w:rPr>
                <w:rFonts w:ascii="Arial" w:cs="Arial" w:eastAsia="Arial" w:hAnsi="Arial"/>
                <w:sz w:val="18"/>
                <w:szCs w:val="18"/>
                <w:color w:val="666666"/>
              </w:rPr>
              <w:t>Approval  of  the  adoption  of  the  Fifth  Amended  and  Restated</w:t>
            </w:r>
          </w:p>
        </w:tc>
        <w:tc>
          <w:tcPr>
            <w:tcW w:w="2180" w:type="dxa"/>
            <w:vAlign w:val="bottom"/>
            <w:vMerge w:val="restart"/>
            <w:shd w:val="clear" w:color="auto" w:fill="C9C9C9"/>
          </w:tcPr>
          <w:p>
            <w:pPr>
              <w:jc w:val="center"/>
              <w:ind w:right="150"/>
              <w:spacing w:after="0"/>
              <w:rPr>
                <w:sz w:val="20"/>
                <w:szCs w:val="20"/>
                <w:color w:val="auto"/>
              </w:rPr>
            </w:pPr>
            <w:r>
              <w:rPr>
                <w:rFonts w:ascii="Arial" w:cs="Arial" w:eastAsia="Arial" w:hAnsi="Arial"/>
                <w:sz w:val="18"/>
                <w:szCs w:val="18"/>
                <w:b w:val="1"/>
                <w:bCs w:val="1"/>
                <w:color w:val="666666"/>
                <w:w w:val="99"/>
              </w:rPr>
              <w:t>FOR</w:t>
            </w:r>
          </w:p>
        </w:tc>
        <w:tc>
          <w:tcPr>
            <w:tcW w:w="2320" w:type="dxa"/>
            <w:vAlign w:val="bottom"/>
            <w:shd w:val="clear" w:color="auto" w:fill="C9C9C9"/>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60" w:type="dxa"/>
            <w:vAlign w:val="bottom"/>
            <w:shd w:val="clear" w:color="auto" w:fill="C9C9C9"/>
          </w:tcPr>
          <w:p>
            <w:pPr>
              <w:jc w:val="center"/>
              <w:ind w:left="10"/>
              <w:spacing w:after="0" w:line="202" w:lineRule="exact"/>
              <w:rPr>
                <w:sz w:val="20"/>
                <w:szCs w:val="20"/>
                <w:color w:val="auto"/>
              </w:rPr>
            </w:pPr>
            <w:r>
              <w:rPr>
                <w:rFonts w:ascii="Arial" w:cs="Arial" w:eastAsia="Arial" w:hAnsi="Arial"/>
                <w:sz w:val="18"/>
                <w:szCs w:val="18"/>
                <w:color w:val="666666"/>
              </w:rPr>
              <w:t>No. 4</w:t>
            </w:r>
          </w:p>
        </w:tc>
        <w:tc>
          <w:tcPr>
            <w:tcW w:w="5280" w:type="dxa"/>
            <w:vAlign w:val="bottom"/>
            <w:shd w:val="clear" w:color="auto" w:fill="C9C9C9"/>
          </w:tcPr>
          <w:p>
            <w:pPr>
              <w:ind w:left="100"/>
              <w:spacing w:after="0" w:line="202" w:lineRule="exact"/>
              <w:rPr>
                <w:sz w:val="20"/>
                <w:szCs w:val="20"/>
                <w:color w:val="auto"/>
              </w:rPr>
            </w:pPr>
            <w:r>
              <w:rPr>
                <w:rFonts w:ascii="Arial" w:cs="Arial" w:eastAsia="Arial" w:hAnsi="Arial"/>
                <w:sz w:val="18"/>
                <w:szCs w:val="18"/>
                <w:color w:val="666666"/>
              </w:rPr>
              <w:t>Certificate of Incorporation to, among other things, eliminate</w:t>
            </w:r>
          </w:p>
        </w:tc>
        <w:tc>
          <w:tcPr>
            <w:tcW w:w="400" w:type="dxa"/>
            <w:vAlign w:val="bottom"/>
            <w:shd w:val="clear" w:color="auto" w:fill="C9C9C9"/>
          </w:tcPr>
          <w:p>
            <w:pPr>
              <w:ind w:left="20"/>
              <w:spacing w:after="0" w:line="202" w:lineRule="exact"/>
              <w:rPr>
                <w:sz w:val="20"/>
                <w:szCs w:val="20"/>
                <w:color w:val="auto"/>
              </w:rPr>
            </w:pPr>
            <w:r>
              <w:rPr>
                <w:rFonts w:ascii="Arial" w:cs="Arial" w:eastAsia="Arial" w:hAnsi="Arial"/>
                <w:sz w:val="18"/>
                <w:szCs w:val="18"/>
                <w:color w:val="666666"/>
              </w:rPr>
              <w:t>the</w:t>
            </w:r>
          </w:p>
        </w:tc>
        <w:tc>
          <w:tcPr>
            <w:tcW w:w="2180" w:type="dxa"/>
            <w:vAlign w:val="bottom"/>
            <w:vMerge w:val="continue"/>
            <w:shd w:val="clear" w:color="auto" w:fill="C9C9C9"/>
          </w:tcPr>
          <w:p>
            <w:pPr>
              <w:spacing w:after="0"/>
              <w:rPr>
                <w:sz w:val="17"/>
                <w:szCs w:val="17"/>
                <w:color w:val="auto"/>
              </w:rPr>
            </w:pPr>
          </w:p>
        </w:tc>
        <w:tc>
          <w:tcPr>
            <w:tcW w:w="2320" w:type="dxa"/>
            <w:vAlign w:val="bottom"/>
            <w:shd w:val="clear" w:color="auto" w:fill="C9C9C9"/>
          </w:tcPr>
          <w:p>
            <w:pPr>
              <w:jc w:val="center"/>
              <w:ind w:right="70"/>
              <w:spacing w:after="0" w:line="202" w:lineRule="exact"/>
              <w:rPr>
                <w:sz w:val="20"/>
                <w:szCs w:val="20"/>
                <w:color w:val="auto"/>
              </w:rPr>
            </w:pPr>
            <w:r>
              <w:rPr>
                <w:rFonts w:ascii="Arial" w:cs="Arial" w:eastAsia="Arial" w:hAnsi="Arial"/>
                <w:sz w:val="18"/>
                <w:szCs w:val="18"/>
                <w:color w:val="666666"/>
                <w:w w:val="99"/>
              </w:rPr>
              <w:t>55</w:t>
            </w:r>
          </w:p>
        </w:tc>
        <w:tc>
          <w:tcPr>
            <w:tcW w:w="0" w:type="dxa"/>
            <w:vAlign w:val="bottom"/>
          </w:tcPr>
          <w:p>
            <w:pPr>
              <w:spacing w:after="0"/>
              <w:rPr>
                <w:sz w:val="1"/>
                <w:szCs w:val="1"/>
                <w:color w:val="auto"/>
              </w:rPr>
            </w:pPr>
          </w:p>
        </w:tc>
      </w:tr>
      <w:tr>
        <w:trPr>
          <w:trHeight w:val="224"/>
        </w:trPr>
        <w:tc>
          <w:tcPr>
            <w:tcW w:w="1060" w:type="dxa"/>
            <w:vAlign w:val="bottom"/>
            <w:tcBorders>
              <w:bottom w:val="single" w:sz="8" w:color="auto"/>
            </w:tcBorders>
            <w:shd w:val="clear" w:color="auto" w:fill="C9C9C9"/>
          </w:tcPr>
          <w:p>
            <w:pPr>
              <w:spacing w:after="0"/>
              <w:rPr>
                <w:sz w:val="19"/>
                <w:szCs w:val="19"/>
                <w:color w:val="auto"/>
              </w:rPr>
            </w:pPr>
          </w:p>
        </w:tc>
        <w:tc>
          <w:tcPr>
            <w:tcW w:w="5280" w:type="dxa"/>
            <w:vAlign w:val="bottom"/>
            <w:tcBorders>
              <w:bottom w:val="single" w:sz="8" w:color="auto"/>
            </w:tcBorders>
            <w:shd w:val="clear" w:color="auto" w:fill="C9C9C9"/>
          </w:tcPr>
          <w:p>
            <w:pPr>
              <w:ind w:left="100"/>
              <w:spacing w:after="0"/>
              <w:rPr>
                <w:sz w:val="20"/>
                <w:szCs w:val="20"/>
                <w:color w:val="auto"/>
              </w:rPr>
            </w:pPr>
            <w:r>
              <w:rPr>
                <w:rFonts w:ascii="Arial" w:cs="Arial" w:eastAsia="Arial" w:hAnsi="Arial"/>
                <w:sz w:val="18"/>
                <w:szCs w:val="18"/>
                <w:color w:val="666666"/>
              </w:rPr>
              <w:t>classification of the Board of Directors</w:t>
            </w:r>
          </w:p>
        </w:tc>
        <w:tc>
          <w:tcPr>
            <w:tcW w:w="400" w:type="dxa"/>
            <w:vAlign w:val="bottom"/>
            <w:tcBorders>
              <w:bottom w:val="single" w:sz="8" w:color="auto"/>
            </w:tcBorders>
            <w:shd w:val="clear" w:color="auto" w:fill="C9C9C9"/>
          </w:tcPr>
          <w:p>
            <w:pPr>
              <w:spacing w:after="0"/>
              <w:rPr>
                <w:sz w:val="19"/>
                <w:szCs w:val="19"/>
                <w:color w:val="auto"/>
              </w:rPr>
            </w:pPr>
          </w:p>
        </w:tc>
        <w:tc>
          <w:tcPr>
            <w:tcW w:w="2180" w:type="dxa"/>
            <w:vAlign w:val="bottom"/>
            <w:tcBorders>
              <w:bottom w:val="single" w:sz="8" w:color="auto"/>
            </w:tcBorders>
            <w:shd w:val="clear" w:color="auto" w:fill="C9C9C9"/>
          </w:tcPr>
          <w:p>
            <w:pPr>
              <w:spacing w:after="0"/>
              <w:rPr>
                <w:sz w:val="19"/>
                <w:szCs w:val="19"/>
                <w:color w:val="auto"/>
              </w:rPr>
            </w:pPr>
          </w:p>
        </w:tc>
        <w:tc>
          <w:tcPr>
            <w:tcW w:w="2320" w:type="dxa"/>
            <w:vAlign w:val="bottom"/>
            <w:tcBorders>
              <w:bottom w:val="single" w:sz="8" w:color="auto"/>
            </w:tcBorders>
            <w:shd w:val="clear" w:color="auto" w:fill="C9C9C9"/>
          </w:tcPr>
          <w:p>
            <w:pPr>
              <w:spacing w:after="0"/>
              <w:rPr>
                <w:sz w:val="19"/>
                <w:szCs w:val="1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547BCC"/>
        </w:rPr>
        <w:t>How to Vote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666666"/>
        </w:rPr>
        <w:t>Stockholders as of the record date may vote electronically at the virtual meeting or vote in advance by submitting a proxy by</w:t>
      </w:r>
    </w:p>
    <w:p>
      <w:pPr>
        <w:spacing w:after="0"/>
        <w:rPr>
          <w:sz w:val="20"/>
          <w:szCs w:val="20"/>
          <w:color w:val="auto"/>
        </w:rPr>
      </w:pPr>
      <w:r>
        <w:rPr>
          <w:rFonts w:ascii="Arial" w:cs="Arial" w:eastAsia="Arial" w:hAnsi="Arial"/>
          <w:sz w:val="20"/>
          <w:szCs w:val="20"/>
          <w:color w:val="666666"/>
        </w:rPr>
        <w:t>Internet, telephone, or mail as follows: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1</w:t>
      </w:r>
    </w:p>
    <w:p>
      <w:pPr>
        <w:sectPr>
          <w:pgSz w:w="11900" w:h="16838" w:orient="portrait"/>
          <w:cols w:equalWidth="0" w:num="1">
            <w:col w:w="11240"/>
          </w:cols>
          <w:pgMar w:left="320" w:top="321" w:right="339" w:bottom="1440" w:gutter="0" w:footer="0" w:header="0"/>
        </w:sectPr>
      </w:pPr>
    </w:p>
    <w:bookmarkStart w:id="10" w:name="page11"/>
    <w:bookmarkEnd w:id="10"/>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1056640</wp:posOffset>
            </wp:positionH>
            <wp:positionV relativeFrom="page">
              <wp:posOffset>492125</wp:posOffset>
            </wp:positionV>
            <wp:extent cx="514350"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14350" cy="394335"/>
                    </a:xfrm>
                    <a:prstGeom prst="rect">
                      <a:avLst/>
                    </a:prstGeom>
                    <a:noFill/>
                  </pic:spPr>
                </pic:pic>
              </a:graphicData>
            </a:graphic>
          </wp:anchor>
        </w:drawing>
        <w:drawing>
          <wp:anchor simplePos="0" relativeHeight="251657728" behindDoc="1" locked="0" layoutInCell="0" allowOverlap="1">
            <wp:simplePos x="0" y="0"/>
            <wp:positionH relativeFrom="page">
              <wp:posOffset>3405505</wp:posOffset>
            </wp:positionH>
            <wp:positionV relativeFrom="page">
              <wp:posOffset>431800</wp:posOffset>
            </wp:positionV>
            <wp:extent cx="454025" cy="52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454025" cy="522605"/>
                    </a:xfrm>
                    <a:prstGeom prst="rect">
                      <a:avLst/>
                    </a:prstGeom>
                    <a:noFill/>
                  </pic:spPr>
                </pic:pic>
              </a:graphicData>
            </a:graphic>
          </wp:anchor>
        </w:drawing>
        <w:drawing>
          <wp:anchor simplePos="0" relativeHeight="251657728" behindDoc="1" locked="0" layoutInCell="0" allowOverlap="1">
            <wp:simplePos x="0" y="0"/>
            <wp:positionH relativeFrom="page">
              <wp:posOffset>5694680</wp:posOffset>
            </wp:positionH>
            <wp:positionV relativeFrom="page">
              <wp:posOffset>483235</wp:posOffset>
            </wp:positionV>
            <wp:extent cx="58293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82930" cy="411480"/>
                    </a:xfrm>
                    <a:prstGeom prst="rect">
                      <a:avLst/>
                    </a:prstGeom>
                    <a:noFill/>
                  </pic:spPr>
                </pic:pic>
              </a:graphicData>
            </a:graphic>
          </wp:anchor>
        </w:drawing>
      </w:r>
    </w:p>
    <w:tbl>
      <w:tblPr>
        <w:tblLayout w:type="fixed"/>
        <w:tblInd w:w="900" w:type="dxa"/>
        <w:tblCellMar>
          <w:top w:w="0" w:type="dxa"/>
          <w:left w:w="0" w:type="dxa"/>
          <w:bottom w:w="0" w:type="dxa"/>
          <w:right w:w="0" w:type="dxa"/>
        </w:tblCellMar>
      </w:tblPr>
      <w:tr>
        <w:trPr>
          <w:trHeight w:val="261"/>
        </w:trPr>
        <w:tc>
          <w:tcPr>
            <w:tcW w:w="2200" w:type="dxa"/>
            <w:vAlign w:val="bottom"/>
          </w:tcPr>
          <w:p>
            <w:pPr>
              <w:jc w:val="center"/>
              <w:ind w:right="421"/>
              <w:spacing w:after="0"/>
              <w:rPr>
                <w:sz w:val="20"/>
                <w:szCs w:val="20"/>
                <w:color w:val="auto"/>
              </w:rPr>
            </w:pPr>
            <w:r>
              <w:rPr>
                <w:rFonts w:ascii="Arial" w:cs="Arial" w:eastAsia="Arial" w:hAnsi="Arial"/>
                <w:sz w:val="20"/>
                <w:szCs w:val="20"/>
                <w:b w:val="1"/>
                <w:bCs w:val="1"/>
                <w:color w:val="5E5E61"/>
                <w:w w:val="97"/>
              </w:rPr>
              <w:t>Vote by Internet</w:t>
            </w:r>
          </w:p>
        </w:tc>
        <w:tc>
          <w:tcPr>
            <w:tcW w:w="4260" w:type="dxa"/>
            <w:vAlign w:val="bottom"/>
          </w:tcPr>
          <w:p>
            <w:pPr>
              <w:jc w:val="center"/>
              <w:ind w:left="241"/>
              <w:spacing w:after="0"/>
              <w:rPr>
                <w:sz w:val="20"/>
                <w:szCs w:val="20"/>
                <w:color w:val="auto"/>
              </w:rPr>
            </w:pPr>
            <w:r>
              <w:rPr>
                <w:rFonts w:ascii="Arial" w:cs="Arial" w:eastAsia="Arial" w:hAnsi="Arial"/>
                <w:sz w:val="20"/>
                <w:szCs w:val="20"/>
                <w:b w:val="1"/>
                <w:bCs w:val="1"/>
                <w:color w:val="5E5E61"/>
                <w:w w:val="96"/>
              </w:rPr>
              <w:t>Vote by Telephone</w:t>
            </w:r>
          </w:p>
        </w:tc>
        <w:tc>
          <w:tcPr>
            <w:tcW w:w="3340" w:type="dxa"/>
            <w:vAlign w:val="bottom"/>
          </w:tcPr>
          <w:p>
            <w:pPr>
              <w:jc w:val="center"/>
              <w:ind w:left="61"/>
              <w:spacing w:after="0"/>
              <w:rPr>
                <w:sz w:val="20"/>
                <w:szCs w:val="20"/>
                <w:color w:val="auto"/>
              </w:rPr>
            </w:pPr>
            <w:r>
              <w:rPr>
                <w:rFonts w:ascii="Arial" w:cs="Arial" w:eastAsia="Arial" w:hAnsi="Arial"/>
                <w:sz w:val="20"/>
                <w:szCs w:val="20"/>
                <w:b w:val="1"/>
                <w:bCs w:val="1"/>
                <w:color w:val="5E5E61"/>
                <w:w w:val="97"/>
              </w:rPr>
              <w:t>Vote by Mail</w:t>
            </w:r>
          </w:p>
        </w:tc>
      </w:tr>
      <w:tr>
        <w:trPr>
          <w:trHeight w:val="229"/>
        </w:trPr>
        <w:tc>
          <w:tcPr>
            <w:tcW w:w="2200" w:type="dxa"/>
            <w:vAlign w:val="bottom"/>
          </w:tcPr>
          <w:p>
            <w:pPr>
              <w:jc w:val="center"/>
              <w:ind w:right="401"/>
              <w:spacing w:after="0" w:line="229" w:lineRule="exact"/>
              <w:rPr>
                <w:sz w:val="20"/>
                <w:szCs w:val="20"/>
                <w:color w:val="auto"/>
              </w:rPr>
            </w:pPr>
            <w:r>
              <w:rPr>
                <w:rFonts w:ascii="Arial" w:cs="Arial" w:eastAsia="Arial" w:hAnsi="Arial"/>
                <w:sz w:val="20"/>
                <w:szCs w:val="20"/>
                <w:i w:val="1"/>
                <w:iCs w:val="1"/>
                <w:color w:val="666666"/>
                <w:w w:val="98"/>
              </w:rPr>
              <w:t>Visit proxyvote.com</w:t>
            </w:r>
          </w:p>
        </w:tc>
        <w:tc>
          <w:tcPr>
            <w:tcW w:w="4260" w:type="dxa"/>
            <w:vAlign w:val="bottom"/>
          </w:tcPr>
          <w:p>
            <w:pPr>
              <w:jc w:val="center"/>
              <w:ind w:left="241"/>
              <w:spacing w:after="0" w:line="229" w:lineRule="exact"/>
              <w:rPr>
                <w:sz w:val="20"/>
                <w:szCs w:val="20"/>
                <w:color w:val="auto"/>
              </w:rPr>
            </w:pPr>
            <w:r>
              <w:rPr>
                <w:rFonts w:ascii="Arial" w:cs="Arial" w:eastAsia="Arial" w:hAnsi="Arial"/>
                <w:sz w:val="20"/>
                <w:szCs w:val="20"/>
                <w:i w:val="1"/>
                <w:iCs w:val="1"/>
                <w:color w:val="666666"/>
                <w:w w:val="99"/>
              </w:rPr>
              <w:t>Call the phone number located on the top</w:t>
            </w:r>
          </w:p>
        </w:tc>
        <w:tc>
          <w:tcPr>
            <w:tcW w:w="3340" w:type="dxa"/>
            <w:vAlign w:val="bottom"/>
          </w:tcPr>
          <w:p>
            <w:pPr>
              <w:jc w:val="center"/>
              <w:ind w:left="41"/>
              <w:spacing w:after="0" w:line="229" w:lineRule="exact"/>
              <w:rPr>
                <w:sz w:val="20"/>
                <w:szCs w:val="20"/>
                <w:color w:val="auto"/>
              </w:rPr>
            </w:pPr>
            <w:r>
              <w:rPr>
                <w:rFonts w:ascii="Arial" w:cs="Arial" w:eastAsia="Arial" w:hAnsi="Arial"/>
                <w:sz w:val="20"/>
                <w:szCs w:val="20"/>
                <w:i w:val="1"/>
                <w:iCs w:val="1"/>
                <w:color w:val="666666"/>
                <w:w w:val="98"/>
              </w:rPr>
              <w:t>Complete, sign, date and return your</w:t>
            </w:r>
          </w:p>
        </w:tc>
      </w:tr>
      <w:tr>
        <w:trPr>
          <w:trHeight w:val="257"/>
        </w:trPr>
        <w:tc>
          <w:tcPr>
            <w:tcW w:w="2200" w:type="dxa"/>
            <w:vAlign w:val="bottom"/>
          </w:tcPr>
          <w:p>
            <w:pPr>
              <w:spacing w:after="0"/>
              <w:rPr>
                <w:sz w:val="22"/>
                <w:szCs w:val="22"/>
                <w:color w:val="auto"/>
              </w:rPr>
            </w:pPr>
          </w:p>
        </w:tc>
        <w:tc>
          <w:tcPr>
            <w:tcW w:w="4260" w:type="dxa"/>
            <w:vAlign w:val="bottom"/>
          </w:tcPr>
          <w:p>
            <w:pPr>
              <w:jc w:val="center"/>
              <w:ind w:left="241"/>
              <w:spacing w:after="0"/>
              <w:rPr>
                <w:sz w:val="20"/>
                <w:szCs w:val="20"/>
                <w:color w:val="auto"/>
              </w:rPr>
            </w:pPr>
            <w:r>
              <w:rPr>
                <w:rFonts w:ascii="Arial" w:cs="Arial" w:eastAsia="Arial" w:hAnsi="Arial"/>
                <w:sz w:val="20"/>
                <w:szCs w:val="20"/>
                <w:i w:val="1"/>
                <w:iCs w:val="1"/>
                <w:color w:val="666666"/>
                <w:w w:val="98"/>
              </w:rPr>
              <w:t>of your proxy card.</w:t>
            </w:r>
          </w:p>
        </w:tc>
        <w:tc>
          <w:tcPr>
            <w:tcW w:w="3340" w:type="dxa"/>
            <w:vAlign w:val="bottom"/>
          </w:tcPr>
          <w:p>
            <w:pPr>
              <w:jc w:val="center"/>
              <w:ind w:left="61"/>
              <w:spacing w:after="0"/>
              <w:rPr>
                <w:sz w:val="20"/>
                <w:szCs w:val="20"/>
                <w:color w:val="auto"/>
              </w:rPr>
            </w:pPr>
            <w:r>
              <w:rPr>
                <w:rFonts w:ascii="Arial" w:cs="Arial" w:eastAsia="Arial" w:hAnsi="Arial"/>
                <w:sz w:val="20"/>
                <w:szCs w:val="20"/>
                <w:i w:val="1"/>
                <w:iCs w:val="1"/>
                <w:color w:val="666666"/>
                <w:w w:val="98"/>
              </w:rPr>
              <w:t>proxy card in envelope provided.</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547BCC"/>
        </w:rPr>
        <w:t>Company Performance and Highlights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20"/>
          <w:szCs w:val="20"/>
          <w:color w:val="666666"/>
        </w:rPr>
        <w:t>During fiscal year 2020, we returned $333.2 million to stockholders in the form of:</w:t>
      </w:r>
    </w:p>
    <w:p>
      <w:pPr>
        <w:spacing w:after="0" w:line="94" w:lineRule="exact"/>
        <w:rPr>
          <w:sz w:val="20"/>
          <w:szCs w:val="20"/>
          <w:color w:val="auto"/>
        </w:rPr>
      </w:pPr>
    </w:p>
    <w:p>
      <w:pPr>
        <w:ind w:left="1300" w:hanging="320"/>
        <w:spacing w:after="0" w:line="260" w:lineRule="auto"/>
        <w:tabs>
          <w:tab w:leader="none" w:pos="1300" w:val="left"/>
        </w:tabs>
        <w:numPr>
          <w:ilvl w:val="1"/>
          <w:numId w:val="6"/>
        </w:numPr>
        <w:rPr>
          <w:rFonts w:ascii="Arial" w:cs="Arial" w:eastAsia="Arial" w:hAnsi="Arial"/>
          <w:sz w:val="20"/>
          <w:szCs w:val="20"/>
          <w:color w:val="666666"/>
        </w:rPr>
      </w:pPr>
      <w:r>
        <w:rPr>
          <w:rFonts w:ascii="Arial" w:cs="Arial" w:eastAsia="Arial" w:hAnsi="Arial"/>
          <w:sz w:val="20"/>
          <w:szCs w:val="20"/>
          <w:color w:val="666666"/>
        </w:rPr>
        <w:t>$146.6 million in quarterly dividends — two regular dividends of $0.23 per share, one regular dividend of $0.27 per share, and one regular dividend of $0.31 per share</w:t>
      </w:r>
    </w:p>
    <w:p>
      <w:pPr>
        <w:spacing w:after="0" w:line="68" w:lineRule="exact"/>
        <w:rPr>
          <w:rFonts w:ascii="Arial" w:cs="Arial" w:eastAsia="Arial" w:hAnsi="Arial"/>
          <w:sz w:val="20"/>
          <w:szCs w:val="20"/>
          <w:color w:val="666666"/>
        </w:rPr>
      </w:pPr>
    </w:p>
    <w:p>
      <w:pPr>
        <w:jc w:val="both"/>
        <w:ind w:left="1300" w:right="80" w:hanging="320"/>
        <w:spacing w:after="0" w:line="250" w:lineRule="auto"/>
        <w:tabs>
          <w:tab w:leader="none" w:pos="1300" w:val="left"/>
        </w:tabs>
        <w:numPr>
          <w:ilvl w:val="1"/>
          <w:numId w:val="6"/>
        </w:numPr>
        <w:rPr>
          <w:rFonts w:ascii="Arial" w:cs="Arial" w:eastAsia="Arial" w:hAnsi="Arial"/>
          <w:sz w:val="20"/>
          <w:szCs w:val="20"/>
          <w:color w:val="666666"/>
        </w:rPr>
      </w:pPr>
      <w:r>
        <w:rPr>
          <w:rFonts w:ascii="Arial" w:cs="Arial" w:eastAsia="Arial" w:hAnsi="Arial"/>
          <w:sz w:val="20"/>
          <w:szCs w:val="20"/>
          <w:color w:val="666666"/>
        </w:rPr>
        <w:t>$186.6 million through the repurchase of 2.7 million shares of Class A common stock (which includes shares the Company repurchased to cover the minimum statutory withholding taxes on restricted stock units that vested on various dates during the period)</w:t>
      </w:r>
    </w:p>
    <w:p>
      <w:pPr>
        <w:spacing w:after="0" w:line="91" w:lineRule="exact"/>
        <w:rPr>
          <w:rFonts w:ascii="Arial" w:cs="Arial" w:eastAsia="Arial" w:hAnsi="Arial"/>
          <w:sz w:val="20"/>
          <w:szCs w:val="20"/>
          <w:color w:val="666666"/>
        </w:rPr>
      </w:pPr>
    </w:p>
    <w:p>
      <w:pPr>
        <w:ind w:left="660" w:hanging="328"/>
        <w:spacing w:after="0"/>
        <w:tabs>
          <w:tab w:leader="none" w:pos="660" w:val="left"/>
        </w:tabs>
        <w:numPr>
          <w:ilvl w:val="0"/>
          <w:numId w:val="6"/>
        </w:numPr>
        <w:rPr>
          <w:rFonts w:ascii="Arial" w:cs="Arial" w:eastAsia="Arial" w:hAnsi="Arial"/>
          <w:sz w:val="19"/>
          <w:szCs w:val="19"/>
          <w:color w:val="666666"/>
        </w:rPr>
      </w:pPr>
      <w:r>
        <w:rPr>
          <w:rFonts w:ascii="Arial" w:cs="Arial" w:eastAsia="Arial" w:hAnsi="Arial"/>
          <w:sz w:val="19"/>
          <w:szCs w:val="19"/>
          <w:color w:val="666666"/>
        </w:rPr>
        <w:t>For the third and fourth quarter of fiscal 2020, the Board increased the quarterly dividend by 17% and 15%, respectively.</w:t>
      </w:r>
    </w:p>
    <w:p>
      <w:pPr>
        <w:spacing w:after="0" w:line="119" w:lineRule="exact"/>
        <w:rPr>
          <w:rFonts w:ascii="Arial" w:cs="Arial" w:eastAsia="Arial" w:hAnsi="Arial"/>
          <w:sz w:val="19"/>
          <w:szCs w:val="19"/>
          <w:color w:val="666666"/>
        </w:rPr>
      </w:pPr>
    </w:p>
    <w:p>
      <w:pPr>
        <w:ind w:left="660" w:hanging="328"/>
        <w:spacing w:after="0" w:line="246" w:lineRule="auto"/>
        <w:tabs>
          <w:tab w:leader="none" w:pos="660" w:val="left"/>
        </w:tabs>
        <w:numPr>
          <w:ilvl w:val="0"/>
          <w:numId w:val="6"/>
        </w:numPr>
        <w:rPr>
          <w:rFonts w:ascii="Arial" w:cs="Arial" w:eastAsia="Arial" w:hAnsi="Arial"/>
          <w:sz w:val="20"/>
          <w:szCs w:val="20"/>
          <w:color w:val="666666"/>
        </w:rPr>
      </w:pPr>
      <w:r>
        <w:rPr>
          <w:rFonts w:ascii="Arial" w:cs="Arial" w:eastAsia="Arial" w:hAnsi="Arial"/>
          <w:sz w:val="20"/>
          <w:szCs w:val="20"/>
          <w:color w:val="666666"/>
        </w:rPr>
        <w:t>During fiscal year 2020, our stock price increased by approximately 19% with a total stockholder return of approximately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97155</wp:posOffset>
            </wp:positionV>
            <wp:extent cx="2794635" cy="1714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5E5E61"/>
        </w:rPr>
        <w:t>Note: Total shareholder return assumes dividends are reinvested.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547BCC"/>
        </w:rPr>
        <w:t>Our Board of Directors</w:t>
      </w:r>
    </w:p>
    <w:p>
      <w:pPr>
        <w:spacing w:after="0" w:line="296" w:lineRule="exact"/>
        <w:rPr>
          <w:sz w:val="20"/>
          <w:szCs w:val="20"/>
          <w:color w:val="auto"/>
        </w:rPr>
      </w:pPr>
    </w:p>
    <w:p>
      <w:pPr>
        <w:jc w:val="both"/>
        <w:ind w:right="640" w:firstLine="324"/>
        <w:spacing w:after="0" w:line="241" w:lineRule="auto"/>
        <w:rPr>
          <w:sz w:val="20"/>
          <w:szCs w:val="20"/>
          <w:color w:val="auto"/>
        </w:rPr>
      </w:pPr>
      <w:r>
        <w:rPr>
          <w:rFonts w:ascii="Arial" w:cs="Arial" w:eastAsia="Arial" w:hAnsi="Arial"/>
          <w:sz w:val="20"/>
          <w:szCs w:val="20"/>
          <w:color w:val="666666"/>
        </w:rPr>
        <w:t>This year's Board nominees include three Class I directors—Ralph W. Shrader, Joan Lordi C. Amble, and Michèle A. Flournoy. Mr. Clare has decided not to stand for re-election and will no longer serve on the Board effective at the Annual Meeting. Each nominee is listed below along with the continuing directors, and you can find additional information under "Proposal 1: Election of Directors" beginning on page 6.</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666666"/>
        </w:rPr>
        <w:t>2</w:t>
      </w:r>
    </w:p>
    <w:p>
      <w:pPr>
        <w:sectPr>
          <w:pgSz w:w="11900" w:h="16838" w:orient="portrait"/>
          <w:cols w:equalWidth="0" w:num="1">
            <w:col w:w="11140"/>
          </w:cols>
          <w:pgMar w:left="320" w:top="1440" w:right="4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226060</wp:posOffset>
            </wp:positionV>
            <wp:extent cx="5846445" cy="3291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46445"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00"/>
        <w:spacing w:after="0"/>
        <w:tabs>
          <w:tab w:leader="none" w:pos="6500" w:val="left"/>
        </w:tabs>
        <w:rPr>
          <w:sz w:val="20"/>
          <w:szCs w:val="20"/>
          <w:color w:val="auto"/>
        </w:rPr>
      </w:pPr>
      <w:r>
        <w:rPr>
          <w:rFonts w:ascii="Arial" w:cs="Arial" w:eastAsia="Arial" w:hAnsi="Arial"/>
          <w:sz w:val="20"/>
          <w:szCs w:val="20"/>
          <w:b w:val="1"/>
          <w:bCs w:val="1"/>
          <w:color w:val="547BCC"/>
        </w:rPr>
        <w:t>Director Independence</w:t>
      </w:r>
      <w:r>
        <w:rPr>
          <w:sz w:val="20"/>
          <w:szCs w:val="20"/>
          <w:color w:val="auto"/>
        </w:rPr>
        <w:tab/>
      </w:r>
      <w:r>
        <w:rPr>
          <w:rFonts w:ascii="Arial" w:cs="Arial" w:eastAsia="Arial" w:hAnsi="Arial"/>
          <w:sz w:val="19"/>
          <w:szCs w:val="19"/>
          <w:b w:val="1"/>
          <w:bCs w:val="1"/>
          <w:color w:val="547BCC"/>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111760</wp:posOffset>
            </wp:positionV>
            <wp:extent cx="5374640" cy="13544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74640"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780"/>
        <w:spacing w:after="0"/>
        <w:tabs>
          <w:tab w:leader="none" w:pos="6400" w:val="left"/>
        </w:tabs>
        <w:rPr>
          <w:sz w:val="20"/>
          <w:szCs w:val="20"/>
          <w:color w:val="auto"/>
        </w:rPr>
      </w:pPr>
      <w:r>
        <w:rPr>
          <w:rFonts w:ascii="Arial" w:cs="Arial" w:eastAsia="Arial" w:hAnsi="Arial"/>
          <w:sz w:val="20"/>
          <w:szCs w:val="20"/>
          <w:b w:val="1"/>
          <w:bCs w:val="1"/>
          <w:color w:val="547BCC"/>
        </w:rPr>
        <w:t>Age Mix</w:t>
      </w:r>
      <w:r>
        <w:rPr>
          <w:sz w:val="20"/>
          <w:szCs w:val="20"/>
          <w:color w:val="auto"/>
        </w:rPr>
        <w:tab/>
      </w:r>
      <w:r>
        <w:rPr>
          <w:rFonts w:ascii="Arial" w:cs="Arial" w:eastAsia="Arial" w:hAnsi="Arial"/>
          <w:sz w:val="19"/>
          <w:szCs w:val="19"/>
          <w:b w:val="1"/>
          <w:bCs w:val="1"/>
          <w:color w:val="547BCC"/>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111760</wp:posOffset>
            </wp:positionV>
            <wp:extent cx="2417445" cy="13544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1744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4660"/>
        <w:spacing w:after="0"/>
        <w:rPr>
          <w:sz w:val="20"/>
          <w:szCs w:val="20"/>
          <w:color w:val="auto"/>
        </w:rPr>
      </w:pPr>
      <w:r>
        <w:rPr>
          <w:rFonts w:ascii="Arial" w:cs="Arial" w:eastAsia="Arial" w:hAnsi="Arial"/>
          <w:sz w:val="16"/>
          <w:szCs w:val="16"/>
          <w:color w:val="666666"/>
        </w:rPr>
        <w:t>67% of our Directors (8 of 12) are Women, Asian,</w:t>
      </w:r>
    </w:p>
    <w:p>
      <w:pPr>
        <w:spacing w:after="0" w:line="5" w:lineRule="exact"/>
        <w:rPr>
          <w:sz w:val="20"/>
          <w:szCs w:val="20"/>
          <w:color w:val="auto"/>
        </w:rPr>
      </w:pPr>
    </w:p>
    <w:p>
      <w:pPr>
        <w:jc w:val="center"/>
        <w:ind w:left="4660"/>
        <w:spacing w:after="0"/>
        <w:rPr>
          <w:sz w:val="20"/>
          <w:szCs w:val="20"/>
          <w:color w:val="auto"/>
        </w:rPr>
      </w:pPr>
      <w:r>
        <w:rPr>
          <w:rFonts w:ascii="Arial" w:cs="Arial" w:eastAsia="Arial" w:hAnsi="Arial"/>
          <w:sz w:val="16"/>
          <w:szCs w:val="16"/>
          <w:color w:val="666666"/>
        </w:rPr>
        <w:t>Hispanic,</w:t>
      </w:r>
    </w:p>
    <w:p>
      <w:pPr>
        <w:spacing w:after="0" w:line="5" w:lineRule="exact"/>
        <w:rPr>
          <w:sz w:val="20"/>
          <w:szCs w:val="20"/>
          <w:color w:val="auto"/>
        </w:rPr>
      </w:pPr>
    </w:p>
    <w:p>
      <w:pPr>
        <w:jc w:val="center"/>
        <w:ind w:left="4660"/>
        <w:spacing w:after="0"/>
        <w:rPr>
          <w:sz w:val="20"/>
          <w:szCs w:val="20"/>
          <w:color w:val="auto"/>
        </w:rPr>
      </w:pPr>
      <w:r>
        <w:rPr>
          <w:rFonts w:ascii="Arial" w:cs="Arial" w:eastAsia="Arial" w:hAnsi="Arial"/>
          <w:sz w:val="16"/>
          <w:szCs w:val="16"/>
          <w:color w:val="666666"/>
        </w:rPr>
        <w:t>and/or African-American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w:t>
      </w:r>
    </w:p>
    <w:p>
      <w:pPr>
        <w:sectPr>
          <w:pgSz w:w="11900" w:h="16838" w:orient="portrait"/>
          <w:cols w:equalWidth="0" w:num="1">
            <w:col w:w="9019"/>
          </w:cols>
          <w:pgMar w:left="1440" w:top="1440" w:right="1440" w:bottom="1440" w:gutter="0" w:footer="0" w:header="0"/>
        </w:sectPr>
      </w:pPr>
    </w:p>
    <w:bookmarkStart w:id="12" w:name="page13"/>
    <w:bookmarkEnd w:id="12"/>
    <w:p>
      <w:pPr>
        <w:ind w:left="80"/>
        <w:spacing w:after="0"/>
        <w:rPr>
          <w:sz w:val="20"/>
          <w:szCs w:val="20"/>
          <w:color w:val="auto"/>
        </w:rPr>
      </w:pPr>
      <w:r>
        <w:rPr>
          <w:rFonts w:ascii="Arial" w:cs="Arial" w:eastAsia="Arial" w:hAnsi="Arial"/>
          <w:sz w:val="23"/>
          <w:szCs w:val="23"/>
          <w:b w:val="1"/>
          <w:bCs w:val="1"/>
          <w:u w:val="single" w:color="auto"/>
          <w:color w:val="547BCC"/>
        </w:rPr>
        <w:t>Corporate Governance Highlights</w:t>
      </w:r>
    </w:p>
    <w:p>
      <w:pPr>
        <w:spacing w:after="0" w:line="134" w:lineRule="exact"/>
        <w:rPr>
          <w:sz w:val="20"/>
          <w:szCs w:val="20"/>
          <w:color w:val="auto"/>
        </w:rPr>
      </w:pPr>
    </w:p>
    <w:p>
      <w:pPr>
        <w:ind w:left="660" w:hanging="328"/>
        <w:spacing w:after="0" w:line="239" w:lineRule="auto"/>
        <w:tabs>
          <w:tab w:leader="none" w:pos="660" w:val="left"/>
        </w:tabs>
        <w:numPr>
          <w:ilvl w:val="0"/>
          <w:numId w:val="7"/>
        </w:numPr>
        <w:rPr>
          <w:rFonts w:ascii="Arial" w:cs="Arial" w:eastAsia="Arial" w:hAnsi="Arial"/>
          <w:sz w:val="20"/>
          <w:szCs w:val="20"/>
          <w:color w:val="666666"/>
        </w:rPr>
      </w:pPr>
      <w:r>
        <w:rPr>
          <w:rFonts w:ascii="Arial" w:cs="Arial" w:eastAsia="Arial" w:hAnsi="Arial"/>
          <w:sz w:val="20"/>
          <w:szCs w:val="20"/>
          <w:color w:val="666666"/>
        </w:rPr>
        <w:t>Eleven of our 12 directors are independent and the Audit, Compensation, and Nominating and Corporate Governance Committees are 100% independent.</w:t>
      </w:r>
    </w:p>
    <w:p>
      <w:pPr>
        <w:jc w:val="both"/>
        <w:ind w:left="660" w:hanging="328"/>
        <w:spacing w:after="0" w:line="239" w:lineRule="auto"/>
        <w:tabs>
          <w:tab w:leader="none" w:pos="660" w:val="left"/>
        </w:tabs>
        <w:numPr>
          <w:ilvl w:val="0"/>
          <w:numId w:val="7"/>
        </w:numPr>
        <w:rPr>
          <w:rFonts w:ascii="Arial" w:cs="Arial" w:eastAsia="Arial" w:hAnsi="Arial"/>
          <w:sz w:val="20"/>
          <w:szCs w:val="20"/>
          <w:color w:val="666666"/>
        </w:rPr>
      </w:pPr>
      <w:r>
        <w:rPr>
          <w:rFonts w:ascii="Arial" w:cs="Arial" w:eastAsia="Arial" w:hAnsi="Arial"/>
          <w:sz w:val="20"/>
          <w:szCs w:val="20"/>
          <w:color w:val="666666"/>
        </w:rPr>
        <w:t>We provide for a majority voting standard in our bylaws for the election of directors in uncontested elections, with the requirement that any incumbent director nominee who does not receive a majority of the votes validly cast in an uncontested election tender his or her resignation, subject to acceptance by the Board of Directors.</w:t>
      </w:r>
    </w:p>
    <w:p>
      <w:pPr>
        <w:spacing w:after="0" w:line="1" w:lineRule="exact"/>
        <w:rPr>
          <w:rFonts w:ascii="Arial" w:cs="Arial" w:eastAsia="Arial" w:hAnsi="Arial"/>
          <w:sz w:val="20"/>
          <w:szCs w:val="20"/>
          <w:color w:val="666666"/>
        </w:rPr>
      </w:pPr>
    </w:p>
    <w:p>
      <w:pPr>
        <w:ind w:left="660" w:hanging="328"/>
        <w:spacing w:after="0"/>
        <w:tabs>
          <w:tab w:leader="none" w:pos="660" w:val="left"/>
        </w:tabs>
        <w:numPr>
          <w:ilvl w:val="0"/>
          <w:numId w:val="7"/>
        </w:numPr>
        <w:rPr>
          <w:rFonts w:ascii="Arial" w:cs="Arial" w:eastAsia="Arial" w:hAnsi="Arial"/>
          <w:sz w:val="20"/>
          <w:szCs w:val="20"/>
          <w:color w:val="666666"/>
        </w:rPr>
      </w:pPr>
      <w:r>
        <w:rPr>
          <w:rFonts w:ascii="Arial" w:cs="Arial" w:eastAsia="Arial" w:hAnsi="Arial"/>
          <w:sz w:val="20"/>
          <w:szCs w:val="20"/>
          <w:color w:val="666666"/>
        </w:rPr>
        <w:t>Diverse Board of Directors in terms of gender, ethnicity, experience, tenure, and skills.</w:t>
      </w:r>
    </w:p>
    <w:p>
      <w:pPr>
        <w:ind w:left="660" w:hanging="328"/>
        <w:spacing w:after="0" w:line="239" w:lineRule="auto"/>
        <w:tabs>
          <w:tab w:leader="none" w:pos="660" w:val="left"/>
        </w:tabs>
        <w:numPr>
          <w:ilvl w:val="0"/>
          <w:numId w:val="7"/>
        </w:numPr>
        <w:rPr>
          <w:rFonts w:ascii="Arial" w:cs="Arial" w:eastAsia="Arial" w:hAnsi="Arial"/>
          <w:sz w:val="20"/>
          <w:szCs w:val="20"/>
          <w:color w:val="666666"/>
        </w:rPr>
      </w:pPr>
      <w:r>
        <w:rPr>
          <w:rFonts w:ascii="Arial" w:cs="Arial" w:eastAsia="Arial" w:hAnsi="Arial"/>
          <w:sz w:val="20"/>
          <w:szCs w:val="20"/>
          <w:color w:val="666666"/>
        </w:rPr>
        <w:t>On average, our directors attended approximately 90% of the Board of Directors meetings and 91% of committee meetings.</w:t>
      </w:r>
    </w:p>
    <w:p>
      <w:pPr>
        <w:ind w:left="660" w:hanging="328"/>
        <w:spacing w:after="0"/>
        <w:tabs>
          <w:tab w:leader="none" w:pos="660" w:val="left"/>
        </w:tabs>
        <w:numPr>
          <w:ilvl w:val="0"/>
          <w:numId w:val="7"/>
        </w:numPr>
        <w:rPr>
          <w:rFonts w:ascii="Arial" w:cs="Arial" w:eastAsia="Arial" w:hAnsi="Arial"/>
          <w:sz w:val="20"/>
          <w:szCs w:val="20"/>
          <w:color w:val="666666"/>
        </w:rPr>
      </w:pPr>
      <w:r>
        <w:rPr>
          <w:rFonts w:ascii="Arial" w:cs="Arial" w:eastAsia="Arial" w:hAnsi="Arial"/>
          <w:sz w:val="20"/>
          <w:szCs w:val="20"/>
          <w:color w:val="666666"/>
        </w:rPr>
        <w:t>The Board of Directors holds regular executive sessions of non-management directors.</w:t>
      </w:r>
    </w:p>
    <w:p>
      <w:pPr>
        <w:ind w:left="660" w:hanging="328"/>
        <w:spacing w:after="0"/>
        <w:tabs>
          <w:tab w:leader="none" w:pos="660" w:val="left"/>
        </w:tabs>
        <w:numPr>
          <w:ilvl w:val="0"/>
          <w:numId w:val="7"/>
        </w:numPr>
        <w:rPr>
          <w:rFonts w:ascii="Arial" w:cs="Arial" w:eastAsia="Arial" w:hAnsi="Arial"/>
          <w:sz w:val="20"/>
          <w:szCs w:val="20"/>
          <w:color w:val="666666"/>
        </w:rPr>
      </w:pPr>
      <w:r>
        <w:rPr>
          <w:rFonts w:ascii="Arial" w:cs="Arial" w:eastAsia="Arial" w:hAnsi="Arial"/>
          <w:sz w:val="20"/>
          <w:szCs w:val="20"/>
          <w:color w:val="666666"/>
        </w:rPr>
        <w:t>The Board of Directors conducts an annual discussion on management succession planning.</w:t>
      </w:r>
    </w:p>
    <w:p>
      <w:pPr>
        <w:ind w:left="660" w:hanging="328"/>
        <w:spacing w:after="0"/>
        <w:tabs>
          <w:tab w:leader="none" w:pos="660" w:val="left"/>
        </w:tabs>
        <w:numPr>
          <w:ilvl w:val="0"/>
          <w:numId w:val="7"/>
        </w:numPr>
        <w:rPr>
          <w:rFonts w:ascii="Arial" w:cs="Arial" w:eastAsia="Arial" w:hAnsi="Arial"/>
          <w:sz w:val="20"/>
          <w:szCs w:val="20"/>
          <w:color w:val="666666"/>
        </w:rPr>
      </w:pPr>
      <w:r>
        <w:rPr>
          <w:rFonts w:ascii="Arial" w:cs="Arial" w:eastAsia="Arial" w:hAnsi="Arial"/>
          <w:sz w:val="20"/>
          <w:szCs w:val="20"/>
          <w:color w:val="666666"/>
        </w:rPr>
        <w:t>We prohibit short sales and derivative transactions in our equity, and hedging and pledging of our stock.</w:t>
      </w:r>
    </w:p>
    <w:p>
      <w:pPr>
        <w:ind w:left="660" w:hanging="328"/>
        <w:spacing w:after="0" w:line="239" w:lineRule="auto"/>
        <w:tabs>
          <w:tab w:leader="none" w:pos="660" w:val="left"/>
        </w:tabs>
        <w:numPr>
          <w:ilvl w:val="0"/>
          <w:numId w:val="7"/>
        </w:numPr>
        <w:rPr>
          <w:rFonts w:ascii="Arial" w:cs="Arial" w:eastAsia="Arial" w:hAnsi="Arial"/>
          <w:sz w:val="20"/>
          <w:szCs w:val="20"/>
          <w:color w:val="666666"/>
        </w:rPr>
      </w:pPr>
      <w:r>
        <w:rPr>
          <w:rFonts w:ascii="Arial" w:cs="Arial" w:eastAsia="Arial" w:hAnsi="Arial"/>
          <w:sz w:val="20"/>
          <w:szCs w:val="20"/>
          <w:color w:val="666666"/>
        </w:rPr>
        <w:t>Equity awards include a provision for the recoupment of equity-based compensation in the event of misconduct leading to a financial restatement.</w:t>
      </w:r>
    </w:p>
    <w:p>
      <w:pPr>
        <w:ind w:left="660" w:hanging="328"/>
        <w:spacing w:after="0"/>
        <w:tabs>
          <w:tab w:leader="none" w:pos="660" w:val="left"/>
        </w:tabs>
        <w:numPr>
          <w:ilvl w:val="0"/>
          <w:numId w:val="7"/>
        </w:numPr>
        <w:rPr>
          <w:rFonts w:ascii="Arial" w:cs="Arial" w:eastAsia="Arial" w:hAnsi="Arial"/>
          <w:sz w:val="20"/>
          <w:szCs w:val="20"/>
          <w:color w:val="666666"/>
        </w:rPr>
      </w:pPr>
      <w:r>
        <w:rPr>
          <w:rFonts w:ascii="Arial" w:cs="Arial" w:eastAsia="Arial" w:hAnsi="Arial"/>
          <w:sz w:val="20"/>
          <w:szCs w:val="20"/>
          <w:color w:val="666666"/>
        </w:rPr>
        <w:t>Our investor relations team and management regularly engage with current and potential stockholders.</w:t>
      </w:r>
    </w:p>
    <w:p>
      <w:pPr>
        <w:ind w:left="660" w:hanging="328"/>
        <w:spacing w:after="0"/>
        <w:tabs>
          <w:tab w:leader="none" w:pos="660" w:val="left"/>
        </w:tabs>
        <w:numPr>
          <w:ilvl w:val="0"/>
          <w:numId w:val="7"/>
        </w:numPr>
        <w:rPr>
          <w:rFonts w:ascii="Arial" w:cs="Arial" w:eastAsia="Arial" w:hAnsi="Arial"/>
          <w:sz w:val="20"/>
          <w:szCs w:val="20"/>
          <w:color w:val="666666"/>
        </w:rPr>
      </w:pPr>
      <w:r>
        <w:rPr>
          <w:rFonts w:ascii="Arial" w:cs="Arial" w:eastAsia="Arial" w:hAnsi="Arial"/>
          <w:sz w:val="20"/>
          <w:szCs w:val="20"/>
          <w:color w:val="666666"/>
        </w:rPr>
        <w:t>No poison pill in place.</w:t>
      </w:r>
    </w:p>
    <w:p>
      <w:pPr>
        <w:ind w:left="660" w:hanging="328"/>
        <w:spacing w:after="0"/>
        <w:tabs>
          <w:tab w:leader="none" w:pos="660" w:val="left"/>
        </w:tabs>
        <w:numPr>
          <w:ilvl w:val="0"/>
          <w:numId w:val="7"/>
        </w:numPr>
        <w:rPr>
          <w:rFonts w:ascii="Arial" w:cs="Arial" w:eastAsia="Arial" w:hAnsi="Arial"/>
          <w:sz w:val="20"/>
          <w:szCs w:val="20"/>
          <w:color w:val="666666"/>
        </w:rPr>
      </w:pPr>
      <w:r>
        <w:rPr>
          <w:rFonts w:ascii="Arial" w:cs="Arial" w:eastAsia="Arial" w:hAnsi="Arial"/>
          <w:sz w:val="20"/>
          <w:szCs w:val="20"/>
          <w:color w:val="666666"/>
        </w:rPr>
        <w:t>Robust executive officer and director stock ownership guidelines.</w:t>
      </w:r>
    </w:p>
    <w:p>
      <w:pPr>
        <w:ind w:left="660" w:hanging="328"/>
        <w:spacing w:after="0"/>
        <w:tabs>
          <w:tab w:leader="none" w:pos="660" w:val="left"/>
        </w:tabs>
        <w:numPr>
          <w:ilvl w:val="0"/>
          <w:numId w:val="7"/>
        </w:numPr>
        <w:rPr>
          <w:rFonts w:ascii="Arial" w:cs="Arial" w:eastAsia="Arial" w:hAnsi="Arial"/>
          <w:sz w:val="20"/>
          <w:szCs w:val="20"/>
          <w:color w:val="666666"/>
        </w:rPr>
      </w:pPr>
      <w:r>
        <w:rPr>
          <w:rFonts w:ascii="Arial" w:cs="Arial" w:eastAsia="Arial" w:hAnsi="Arial"/>
          <w:sz w:val="20"/>
          <w:szCs w:val="20"/>
          <w:color w:val="666666"/>
        </w:rPr>
        <w:t>Annual Board and committee evaluations and self-assessments.</w:t>
      </w:r>
    </w:p>
    <w:p>
      <w:pPr>
        <w:ind w:left="660" w:right="20" w:hanging="328"/>
        <w:spacing w:after="0" w:line="246" w:lineRule="auto"/>
        <w:tabs>
          <w:tab w:leader="none" w:pos="660" w:val="left"/>
        </w:tabs>
        <w:numPr>
          <w:ilvl w:val="0"/>
          <w:numId w:val="7"/>
        </w:numPr>
        <w:rPr>
          <w:rFonts w:ascii="Arial" w:cs="Arial" w:eastAsia="Arial" w:hAnsi="Arial"/>
          <w:sz w:val="20"/>
          <w:szCs w:val="20"/>
          <w:color w:val="666666"/>
        </w:rPr>
      </w:pPr>
      <w:r>
        <w:rPr>
          <w:rFonts w:ascii="Arial" w:cs="Arial" w:eastAsia="Arial" w:hAnsi="Arial"/>
          <w:sz w:val="20"/>
          <w:szCs w:val="20"/>
          <w:color w:val="666666"/>
        </w:rPr>
        <w:t>We place restrictions on the number of other public company boards on which our directors may serve in order to prevent overboarding.</w:t>
      </w:r>
    </w:p>
    <w:p>
      <w:pPr>
        <w:spacing w:after="0" w:line="183" w:lineRule="exact"/>
        <w:rPr>
          <w:sz w:val="20"/>
          <w:szCs w:val="20"/>
          <w:color w:val="auto"/>
        </w:rPr>
      </w:pPr>
    </w:p>
    <w:p>
      <w:pPr>
        <w:ind w:left="80"/>
        <w:spacing w:after="0"/>
        <w:rPr>
          <w:sz w:val="20"/>
          <w:szCs w:val="20"/>
          <w:color w:val="auto"/>
        </w:rPr>
      </w:pPr>
      <w:r>
        <w:rPr>
          <w:rFonts w:ascii="Arial" w:cs="Arial" w:eastAsia="Arial" w:hAnsi="Arial"/>
          <w:sz w:val="23"/>
          <w:szCs w:val="23"/>
          <w:b w:val="1"/>
          <w:bCs w:val="1"/>
          <w:u w:val="single" w:color="auto"/>
          <w:color w:val="547BCC"/>
        </w:rPr>
        <w:t>Executive Compensation Highlights</w:t>
      </w:r>
    </w:p>
    <w:p>
      <w:pPr>
        <w:spacing w:after="0" w:line="134" w:lineRule="exact"/>
        <w:rPr>
          <w:sz w:val="20"/>
          <w:szCs w:val="20"/>
          <w:color w:val="auto"/>
        </w:rPr>
      </w:pPr>
    </w:p>
    <w:p>
      <w:pPr>
        <w:jc w:val="both"/>
        <w:ind w:left="660" w:hanging="328"/>
        <w:spacing w:after="0" w:line="239" w:lineRule="auto"/>
        <w:tabs>
          <w:tab w:leader="none" w:pos="660" w:val="left"/>
        </w:tabs>
        <w:numPr>
          <w:ilvl w:val="0"/>
          <w:numId w:val="8"/>
        </w:numPr>
        <w:rPr>
          <w:rFonts w:ascii="Arial" w:cs="Arial" w:eastAsia="Arial" w:hAnsi="Arial"/>
          <w:sz w:val="20"/>
          <w:szCs w:val="20"/>
          <w:color w:val="666666"/>
        </w:rPr>
      </w:pPr>
      <w:r>
        <w:rPr>
          <w:rFonts w:ascii="Arial" w:cs="Arial" w:eastAsia="Arial" w:hAnsi="Arial"/>
          <w:sz w:val="20"/>
          <w:szCs w:val="20"/>
          <w:color w:val="666666"/>
        </w:rPr>
        <w:t>We continue to utilize a partnership-style compensation model that fosters a culture of collaboration and long-term ownership mindset that encourages our executives to think and act in the best interests of the Company. The spirit of collective ingenuity is paramount to our success and underscores our commitment to inclusion, collaboration, and service.</w:t>
      </w:r>
    </w:p>
    <w:p>
      <w:pPr>
        <w:spacing w:after="0" w:line="1" w:lineRule="exact"/>
        <w:rPr>
          <w:rFonts w:ascii="Arial" w:cs="Arial" w:eastAsia="Arial" w:hAnsi="Arial"/>
          <w:sz w:val="20"/>
          <w:szCs w:val="20"/>
          <w:color w:val="666666"/>
        </w:rPr>
      </w:pPr>
    </w:p>
    <w:p>
      <w:pPr>
        <w:jc w:val="both"/>
        <w:ind w:left="660" w:hanging="328"/>
        <w:spacing w:after="0" w:line="239" w:lineRule="auto"/>
        <w:tabs>
          <w:tab w:leader="none" w:pos="660" w:val="left"/>
        </w:tabs>
        <w:numPr>
          <w:ilvl w:val="0"/>
          <w:numId w:val="8"/>
        </w:numPr>
        <w:rPr>
          <w:rFonts w:ascii="Arial" w:cs="Arial" w:eastAsia="Arial" w:hAnsi="Arial"/>
          <w:sz w:val="20"/>
          <w:szCs w:val="20"/>
          <w:color w:val="666666"/>
        </w:rPr>
      </w:pPr>
      <w:r>
        <w:rPr>
          <w:rFonts w:ascii="Arial" w:cs="Arial" w:eastAsia="Arial" w:hAnsi="Arial"/>
          <w:sz w:val="20"/>
          <w:szCs w:val="20"/>
          <w:color w:val="666666"/>
        </w:rPr>
        <w:t>We are a values-driven organization with a guiding purpose to empower people to change the world. Our executives are committed to bold thinking, holding themselves and those around them accountable to act with integrity, and realizing positive change in all the work we do. Our executive compensation program is intrinsically tied to our purpose and values. We believe our executives are motivated to act in the best interests of the Company with an emphasis on problem solving, passionate service, and collective ingenuity across markets, clients, and opportunities.</w:t>
      </w:r>
    </w:p>
    <w:p>
      <w:pPr>
        <w:spacing w:after="0" w:line="2" w:lineRule="exact"/>
        <w:rPr>
          <w:rFonts w:ascii="Arial" w:cs="Arial" w:eastAsia="Arial" w:hAnsi="Arial"/>
          <w:sz w:val="20"/>
          <w:szCs w:val="20"/>
          <w:color w:val="666666"/>
        </w:rPr>
      </w:pPr>
    </w:p>
    <w:p>
      <w:pPr>
        <w:jc w:val="both"/>
        <w:ind w:left="660" w:hanging="328"/>
        <w:spacing w:after="0"/>
        <w:tabs>
          <w:tab w:leader="none" w:pos="660" w:val="left"/>
        </w:tabs>
        <w:numPr>
          <w:ilvl w:val="0"/>
          <w:numId w:val="8"/>
        </w:numPr>
        <w:rPr>
          <w:rFonts w:ascii="Arial" w:cs="Arial" w:eastAsia="Arial" w:hAnsi="Arial"/>
          <w:sz w:val="20"/>
          <w:szCs w:val="20"/>
          <w:color w:val="666666"/>
        </w:rPr>
      </w:pPr>
      <w:r>
        <w:rPr>
          <w:rFonts w:ascii="Arial" w:cs="Arial" w:eastAsia="Arial" w:hAnsi="Arial"/>
          <w:sz w:val="20"/>
          <w:szCs w:val="20"/>
          <w:color w:val="666666"/>
        </w:rPr>
        <w:t>Together with our Compensation Committee, we are committed to designing a compensation program that aligns the interests of our executives with the long-term interests of our stockholders. We continuously seek to evolve our approach and stay connected with the views of our stockholders. Our compensation program links our executive rewards packages with the long-term interests of our stockholders and includes a long-term performance-based component to our program, where a portion of our executives’ compensation is tied to the achievement of multi-year performance goals. For more details on our compensation program, please see our discussion in the CD&amp;A beginning with the Executive Summary on page 27.</w:t>
      </w:r>
    </w:p>
    <w:p>
      <w:pPr>
        <w:spacing w:after="0" w:line="193"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547BCC"/>
        </w:rPr>
        <w:t>Corporate Citizenship Highlights</w:t>
      </w:r>
    </w:p>
    <w:p>
      <w:pPr>
        <w:spacing w:after="0" w:line="134" w:lineRule="exact"/>
        <w:rPr>
          <w:sz w:val="20"/>
          <w:szCs w:val="20"/>
          <w:color w:val="auto"/>
        </w:rPr>
      </w:pPr>
    </w:p>
    <w:p>
      <w:pPr>
        <w:ind w:left="660" w:hanging="328"/>
        <w:spacing w:after="0" w:line="239" w:lineRule="auto"/>
        <w:tabs>
          <w:tab w:leader="none" w:pos="660" w:val="left"/>
        </w:tabs>
        <w:numPr>
          <w:ilvl w:val="0"/>
          <w:numId w:val="9"/>
        </w:numPr>
        <w:rPr>
          <w:rFonts w:ascii="Arial" w:cs="Arial" w:eastAsia="Arial" w:hAnsi="Arial"/>
          <w:sz w:val="20"/>
          <w:szCs w:val="20"/>
          <w:color w:val="666666"/>
        </w:rPr>
      </w:pPr>
      <w:r>
        <w:rPr>
          <w:rFonts w:ascii="Arial" w:cs="Arial" w:eastAsia="Arial" w:hAnsi="Arial"/>
          <w:sz w:val="20"/>
          <w:szCs w:val="20"/>
          <w:color w:val="666666"/>
        </w:rPr>
        <w:t>Recognized by Ethisphere, a global leader in defining and advancing ethical business practices, as a 2020 World’s Most Ethical Company.</w:t>
      </w:r>
    </w:p>
    <w:p>
      <w:pPr>
        <w:jc w:val="both"/>
        <w:ind w:left="660" w:hanging="328"/>
        <w:spacing w:after="0" w:line="239" w:lineRule="auto"/>
        <w:tabs>
          <w:tab w:leader="none" w:pos="660" w:val="left"/>
        </w:tabs>
        <w:numPr>
          <w:ilvl w:val="0"/>
          <w:numId w:val="9"/>
        </w:numPr>
        <w:rPr>
          <w:rFonts w:ascii="Arial" w:cs="Arial" w:eastAsia="Arial" w:hAnsi="Arial"/>
          <w:sz w:val="20"/>
          <w:szCs w:val="20"/>
          <w:color w:val="666666"/>
        </w:rPr>
      </w:pPr>
      <w:r>
        <w:rPr>
          <w:rFonts w:ascii="Arial" w:cs="Arial" w:eastAsia="Arial" w:hAnsi="Arial"/>
          <w:sz w:val="20"/>
          <w:szCs w:val="20"/>
          <w:color w:val="666666"/>
        </w:rPr>
        <w:t>We showed our support for the military community, front-line workers, and vulnerable populations through philanthropic donations to the COVID-19 Military Support Initiative, the CDC Foundation, and Feeding America, as part of an ongoing pandemic resilience program.</w:t>
      </w:r>
    </w:p>
    <w:p>
      <w:pPr>
        <w:spacing w:after="0" w:line="1" w:lineRule="exact"/>
        <w:rPr>
          <w:rFonts w:ascii="Arial" w:cs="Arial" w:eastAsia="Arial" w:hAnsi="Arial"/>
          <w:sz w:val="20"/>
          <w:szCs w:val="20"/>
          <w:color w:val="666666"/>
        </w:rPr>
      </w:pPr>
    </w:p>
    <w:p>
      <w:pPr>
        <w:ind w:left="660" w:hanging="328"/>
        <w:spacing w:after="0" w:line="239" w:lineRule="auto"/>
        <w:tabs>
          <w:tab w:leader="none" w:pos="660" w:val="left"/>
        </w:tabs>
        <w:numPr>
          <w:ilvl w:val="0"/>
          <w:numId w:val="9"/>
        </w:numPr>
        <w:rPr>
          <w:rFonts w:ascii="Arial" w:cs="Arial" w:eastAsia="Arial" w:hAnsi="Arial"/>
          <w:sz w:val="20"/>
          <w:szCs w:val="20"/>
          <w:color w:val="666666"/>
        </w:rPr>
      </w:pPr>
      <w:r>
        <w:rPr>
          <w:rFonts w:ascii="Arial" w:cs="Arial" w:eastAsia="Arial" w:hAnsi="Arial"/>
          <w:sz w:val="20"/>
          <w:szCs w:val="20"/>
          <w:color w:val="666666"/>
        </w:rPr>
        <w:t>During governmental fiscal year 2019, approximately $1.085 billion was subcontracted to various small and small-disadvantaged businesses, representing approximately 66.1% of the total amount subcontracted.</w:t>
      </w:r>
    </w:p>
    <w:p>
      <w:pPr>
        <w:ind w:left="660" w:hanging="328"/>
        <w:spacing w:after="0" w:line="246" w:lineRule="auto"/>
        <w:tabs>
          <w:tab w:leader="none" w:pos="660" w:val="left"/>
        </w:tabs>
        <w:numPr>
          <w:ilvl w:val="0"/>
          <w:numId w:val="9"/>
        </w:numPr>
        <w:rPr>
          <w:rFonts w:ascii="Arial" w:cs="Arial" w:eastAsia="Arial" w:hAnsi="Arial"/>
          <w:sz w:val="20"/>
          <w:szCs w:val="20"/>
          <w:color w:val="666666"/>
        </w:rPr>
      </w:pPr>
      <w:r>
        <w:rPr>
          <w:rFonts w:ascii="Arial" w:cs="Arial" w:eastAsia="Arial" w:hAnsi="Arial"/>
          <w:sz w:val="20"/>
          <w:szCs w:val="20"/>
          <w:color w:val="666666"/>
        </w:rPr>
        <w:t>Maintained five active mentor-protégé agreements with small businesses through various federal Mentor-Protégé programs.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4</w:t>
      </w:r>
    </w:p>
    <w:p>
      <w:pPr>
        <w:sectPr>
          <w:pgSz w:w="11900" w:h="16838" w:orient="portrait"/>
          <w:cols w:equalWidth="0" w:num="1">
            <w:col w:w="11240"/>
          </w:cols>
          <w:pgMar w:left="320" w:top="332" w:right="339" w:bottom="1440" w:gutter="0" w:footer="0" w:header="0"/>
        </w:sectPr>
      </w:pPr>
    </w:p>
    <w:bookmarkStart w:id="13" w:name="page14"/>
    <w:bookmarkEnd w:id="13"/>
    <w:p>
      <w:pPr>
        <w:jc w:val="both"/>
        <w:ind w:left="328" w:hanging="328"/>
        <w:spacing w:after="0" w:line="239" w:lineRule="auto"/>
        <w:tabs>
          <w:tab w:leader="none" w:pos="328" w:val="left"/>
        </w:tabs>
        <w:numPr>
          <w:ilvl w:val="0"/>
          <w:numId w:val="10"/>
        </w:numPr>
        <w:rPr>
          <w:rFonts w:ascii="Arial" w:cs="Arial" w:eastAsia="Arial" w:hAnsi="Arial"/>
          <w:sz w:val="20"/>
          <w:szCs w:val="20"/>
          <w:color w:val="666666"/>
        </w:rPr>
      </w:pPr>
      <w:r>
        <w:rPr>
          <w:rFonts w:ascii="Arial" w:cs="Arial" w:eastAsia="Arial" w:hAnsi="Arial"/>
          <w:sz w:val="20"/>
          <w:szCs w:val="20"/>
          <w:color w:val="666666"/>
        </w:rPr>
        <w:t>Continued as a national and regional partner of FIRST® (For Inspiration and Recognition of Science and Technology) with multifaceted support spanning all FIRST programs to include their newly launched Equity Diversity and Inclusion initiatives. In addition to financial support, the integrated partnership includes employees serving as team mentors, event volunteers, and regional/affiliate advisors. FIRST is inspiring and developing future innovators, engineers, scientists, and technologists in grades K-12 in more than 85 countries.</w:t>
      </w:r>
    </w:p>
    <w:p>
      <w:pPr>
        <w:spacing w:after="0" w:line="2" w:lineRule="exact"/>
        <w:rPr>
          <w:rFonts w:ascii="Arial" w:cs="Arial" w:eastAsia="Arial" w:hAnsi="Arial"/>
          <w:sz w:val="20"/>
          <w:szCs w:val="20"/>
          <w:color w:val="666666"/>
        </w:rPr>
      </w:pPr>
    </w:p>
    <w:p>
      <w:pPr>
        <w:jc w:val="both"/>
        <w:ind w:left="328" w:hanging="328"/>
        <w:spacing w:after="0" w:line="239" w:lineRule="auto"/>
        <w:tabs>
          <w:tab w:leader="none" w:pos="328" w:val="left"/>
        </w:tabs>
        <w:numPr>
          <w:ilvl w:val="0"/>
          <w:numId w:val="10"/>
        </w:numPr>
        <w:rPr>
          <w:rFonts w:ascii="Arial" w:cs="Arial" w:eastAsia="Arial" w:hAnsi="Arial"/>
          <w:sz w:val="20"/>
          <w:szCs w:val="20"/>
          <w:color w:val="666666"/>
        </w:rPr>
      </w:pPr>
      <w:r>
        <w:rPr>
          <w:rFonts w:ascii="Arial" w:cs="Arial" w:eastAsia="Arial" w:hAnsi="Arial"/>
          <w:sz w:val="20"/>
          <w:szCs w:val="20"/>
          <w:color w:val="666666"/>
        </w:rPr>
        <w:t>Co-sponsored, with Kaggle and in partnership with the PBS KIDS, the National Data Science Bowl, which challenged participants to use artificial intelligence (AI) to advance innovation in educational media for young children, helping to improve the technology behind educational games and charting a path for greater application of AI to digital education tools. The 2019 competition brought together over 4,400 participants who submitted more than 75,000 entries, the highest number of submissions since the inaugural Data Science Bowl launched in 2014.</w:t>
      </w:r>
    </w:p>
    <w:p>
      <w:pPr>
        <w:spacing w:after="0" w:line="2" w:lineRule="exact"/>
        <w:rPr>
          <w:rFonts w:ascii="Arial" w:cs="Arial" w:eastAsia="Arial" w:hAnsi="Arial"/>
          <w:sz w:val="20"/>
          <w:szCs w:val="20"/>
          <w:color w:val="666666"/>
        </w:rPr>
      </w:pPr>
    </w:p>
    <w:p>
      <w:pPr>
        <w:jc w:val="both"/>
        <w:ind w:left="328" w:hanging="328"/>
        <w:spacing w:after="0" w:line="239" w:lineRule="auto"/>
        <w:tabs>
          <w:tab w:leader="none" w:pos="328" w:val="left"/>
        </w:tabs>
        <w:numPr>
          <w:ilvl w:val="0"/>
          <w:numId w:val="10"/>
        </w:numPr>
        <w:rPr>
          <w:rFonts w:ascii="Arial" w:cs="Arial" w:eastAsia="Arial" w:hAnsi="Arial"/>
          <w:sz w:val="20"/>
          <w:szCs w:val="20"/>
          <w:color w:val="666666"/>
        </w:rPr>
      </w:pPr>
      <w:r>
        <w:rPr>
          <w:rFonts w:ascii="Arial" w:cs="Arial" w:eastAsia="Arial" w:hAnsi="Arial"/>
          <w:sz w:val="20"/>
          <w:szCs w:val="20"/>
          <w:color w:val="666666"/>
        </w:rPr>
        <w:t>Our largest corporate financial contributions and pro bono consulting projects supported programs related to military families and veterans, STEM initiatives, and health causes. Employees logged more than 83,000 hours of volunteerism for community organizations and we deployed employees to use their technical and consulting skills to help nonprofits solve their biggest problems through pro bono initiatives for organizations such as the Thurgood Marshall College Fund, American Society of Civil Engineers, and Support the Enlisted Project.</w:t>
      </w:r>
    </w:p>
    <w:p>
      <w:pPr>
        <w:spacing w:after="0" w:line="2" w:lineRule="exact"/>
        <w:rPr>
          <w:rFonts w:ascii="Arial" w:cs="Arial" w:eastAsia="Arial" w:hAnsi="Arial"/>
          <w:sz w:val="20"/>
          <w:szCs w:val="20"/>
          <w:color w:val="666666"/>
        </w:rPr>
      </w:pPr>
    </w:p>
    <w:p>
      <w:pPr>
        <w:jc w:val="both"/>
        <w:ind w:left="328" w:hanging="328"/>
        <w:spacing w:after="0" w:line="239" w:lineRule="auto"/>
        <w:tabs>
          <w:tab w:leader="none" w:pos="328" w:val="left"/>
        </w:tabs>
        <w:numPr>
          <w:ilvl w:val="0"/>
          <w:numId w:val="10"/>
        </w:numPr>
        <w:rPr>
          <w:rFonts w:ascii="Arial" w:cs="Arial" w:eastAsia="Arial" w:hAnsi="Arial"/>
          <w:sz w:val="20"/>
          <w:szCs w:val="20"/>
          <w:color w:val="666666"/>
        </w:rPr>
      </w:pPr>
      <w:r>
        <w:rPr>
          <w:rFonts w:ascii="Arial" w:cs="Arial" w:eastAsia="Arial" w:hAnsi="Arial"/>
          <w:sz w:val="20"/>
          <w:szCs w:val="20"/>
          <w:color w:val="666666"/>
        </w:rPr>
        <w:t>Matched donations to eligible organizations of our employees’ choice through the inaugural Booz Allen Cares Employee Giving Campaign, which generated over $750,000 in contributions by employees hailing from 94 offices and giving to more than 1,300 different nonprofits.</w:t>
      </w:r>
    </w:p>
    <w:p>
      <w:pPr>
        <w:spacing w:after="0" w:line="1" w:lineRule="exact"/>
        <w:rPr>
          <w:rFonts w:ascii="Arial" w:cs="Arial" w:eastAsia="Arial" w:hAnsi="Arial"/>
          <w:sz w:val="20"/>
          <w:szCs w:val="20"/>
          <w:color w:val="666666"/>
        </w:rPr>
      </w:pPr>
    </w:p>
    <w:p>
      <w:pPr>
        <w:ind w:left="328" w:hanging="328"/>
        <w:spacing w:after="0" w:line="239" w:lineRule="auto"/>
        <w:tabs>
          <w:tab w:leader="none" w:pos="328" w:val="left"/>
        </w:tabs>
        <w:numPr>
          <w:ilvl w:val="0"/>
          <w:numId w:val="10"/>
        </w:numPr>
        <w:rPr>
          <w:rFonts w:ascii="Arial" w:cs="Arial" w:eastAsia="Arial" w:hAnsi="Arial"/>
          <w:sz w:val="20"/>
          <w:szCs w:val="20"/>
          <w:color w:val="666666"/>
        </w:rPr>
      </w:pPr>
      <w:r>
        <w:rPr>
          <w:rFonts w:ascii="Arial" w:cs="Arial" w:eastAsia="Arial" w:hAnsi="Arial"/>
          <w:sz w:val="20"/>
          <w:szCs w:val="20"/>
          <w:color w:val="666666"/>
        </w:rPr>
        <w:t>Launched Booz Allen Employee Resilience Fund, a charitable grant program designed to aid employees during qualified catastrophic disaster or personal hardship, and empower our employees to support their colleagues in need.</w:t>
      </w:r>
    </w:p>
    <w:p>
      <w:pPr>
        <w:jc w:val="both"/>
        <w:ind w:left="328" w:hanging="328"/>
        <w:spacing w:after="0" w:line="239" w:lineRule="auto"/>
        <w:tabs>
          <w:tab w:leader="none" w:pos="328" w:val="left"/>
        </w:tabs>
        <w:numPr>
          <w:ilvl w:val="0"/>
          <w:numId w:val="10"/>
        </w:numPr>
        <w:rPr>
          <w:rFonts w:ascii="Arial" w:cs="Arial" w:eastAsia="Arial" w:hAnsi="Arial"/>
          <w:sz w:val="20"/>
          <w:szCs w:val="20"/>
          <w:color w:val="666666"/>
        </w:rPr>
      </w:pPr>
      <w:r>
        <w:rPr>
          <w:rFonts w:ascii="Arial" w:cs="Arial" w:eastAsia="Arial" w:hAnsi="Arial"/>
          <w:sz w:val="20"/>
          <w:szCs w:val="20"/>
          <w:color w:val="666666"/>
        </w:rPr>
        <w:t>Strategic partner to the U.S. Chamber of Commerce’s Hiring Our Heroes program, with primary focus areas in helping veterans explore careers in technical and defense fields and helping military spouses find meaningful employment. Sponsored and helped launch the Military Caregiver Fellowship Program, funding its first 100 fellowships to match military spouses with on-the-job training, professional development, and networking opportunities.</w:t>
      </w:r>
    </w:p>
    <w:p>
      <w:pPr>
        <w:spacing w:after="0" w:line="1" w:lineRule="exact"/>
        <w:rPr>
          <w:rFonts w:ascii="Arial" w:cs="Arial" w:eastAsia="Arial" w:hAnsi="Arial"/>
          <w:sz w:val="20"/>
          <w:szCs w:val="20"/>
          <w:color w:val="666666"/>
        </w:rPr>
      </w:pPr>
    </w:p>
    <w:p>
      <w:pPr>
        <w:jc w:val="both"/>
        <w:ind w:left="328" w:hanging="328"/>
        <w:spacing w:after="0" w:line="239" w:lineRule="auto"/>
        <w:tabs>
          <w:tab w:leader="none" w:pos="328" w:val="left"/>
        </w:tabs>
        <w:numPr>
          <w:ilvl w:val="0"/>
          <w:numId w:val="10"/>
        </w:numPr>
        <w:rPr>
          <w:rFonts w:ascii="Arial" w:cs="Arial" w:eastAsia="Arial" w:hAnsi="Arial"/>
          <w:sz w:val="20"/>
          <w:szCs w:val="20"/>
          <w:color w:val="666666"/>
        </w:rPr>
      </w:pPr>
      <w:r>
        <w:rPr>
          <w:rFonts w:ascii="Arial" w:cs="Arial" w:eastAsia="Arial" w:hAnsi="Arial"/>
          <w:sz w:val="20"/>
          <w:szCs w:val="20"/>
          <w:color w:val="666666"/>
        </w:rPr>
        <w:t>Combined analytics and AI to improve population health, building on our partnership with the Elizabeth Dole Foundation. The Community Caregiver Map - built on our EpiMaps platform - uses advanced data science to identify localized needs by showing where military caregivers are, pinpointing locations where they’re experiencing the highest rates of poor health and wellness outcomes, and shedding light on factors that may drive those outcomes.</w:t>
      </w:r>
    </w:p>
    <w:p>
      <w:pPr>
        <w:spacing w:after="0" w:line="1" w:lineRule="exact"/>
        <w:rPr>
          <w:rFonts w:ascii="Arial" w:cs="Arial" w:eastAsia="Arial" w:hAnsi="Arial"/>
          <w:sz w:val="20"/>
          <w:szCs w:val="20"/>
          <w:color w:val="666666"/>
        </w:rPr>
      </w:pPr>
    </w:p>
    <w:p>
      <w:pPr>
        <w:ind w:left="328" w:hanging="328"/>
        <w:spacing w:after="0" w:line="239" w:lineRule="auto"/>
        <w:tabs>
          <w:tab w:leader="none" w:pos="328" w:val="left"/>
        </w:tabs>
        <w:numPr>
          <w:ilvl w:val="0"/>
          <w:numId w:val="10"/>
        </w:numPr>
        <w:rPr>
          <w:rFonts w:ascii="Arial" w:cs="Arial" w:eastAsia="Arial" w:hAnsi="Arial"/>
          <w:sz w:val="20"/>
          <w:szCs w:val="20"/>
          <w:color w:val="666666"/>
        </w:rPr>
      </w:pPr>
      <w:r>
        <w:rPr>
          <w:rFonts w:ascii="Arial" w:cs="Arial" w:eastAsia="Arial" w:hAnsi="Arial"/>
          <w:sz w:val="20"/>
          <w:szCs w:val="20"/>
          <w:color w:val="666666"/>
        </w:rPr>
        <w:t>Named in the top 10 Best for Vets by The Military Times 5 years running, and selected as a founding member of the VETS Index on the Nasdaq Composite, based on our military hiring awards and financial health indicators.</w:t>
      </w:r>
    </w:p>
    <w:p>
      <w:pPr>
        <w:jc w:val="both"/>
        <w:ind w:left="328" w:hanging="328"/>
        <w:spacing w:after="0" w:line="239" w:lineRule="auto"/>
        <w:tabs>
          <w:tab w:leader="none" w:pos="328" w:val="left"/>
        </w:tabs>
        <w:numPr>
          <w:ilvl w:val="0"/>
          <w:numId w:val="10"/>
        </w:numPr>
        <w:rPr>
          <w:rFonts w:ascii="Arial" w:cs="Arial" w:eastAsia="Arial" w:hAnsi="Arial"/>
          <w:sz w:val="20"/>
          <w:szCs w:val="20"/>
          <w:color w:val="666666"/>
        </w:rPr>
      </w:pPr>
      <w:r>
        <w:rPr>
          <w:rFonts w:ascii="Arial" w:cs="Arial" w:eastAsia="Arial" w:hAnsi="Arial"/>
          <w:sz w:val="20"/>
          <w:szCs w:val="20"/>
          <w:color w:val="666666"/>
        </w:rPr>
        <w:t>Continued a partnership with SEED SPOT, a nonprofit dedicated to helping entrepreneurs develop solutions to problems through incubator programs. Through sponsorship and by providing employees to serve as mentors, the firm focuses on improving veteran healthcare, supporting military families, and promoting women in STEM (science, technology, engineering, and mathematics) through new social impact initiatives.</w:t>
      </w:r>
    </w:p>
    <w:p>
      <w:pPr>
        <w:spacing w:after="0" w:line="1" w:lineRule="exact"/>
        <w:rPr>
          <w:rFonts w:ascii="Arial" w:cs="Arial" w:eastAsia="Arial" w:hAnsi="Arial"/>
          <w:sz w:val="20"/>
          <w:szCs w:val="20"/>
          <w:color w:val="666666"/>
        </w:rPr>
      </w:pPr>
    </w:p>
    <w:p>
      <w:pPr>
        <w:jc w:val="both"/>
        <w:ind w:left="328" w:hanging="328"/>
        <w:spacing w:after="0" w:line="239" w:lineRule="auto"/>
        <w:tabs>
          <w:tab w:leader="none" w:pos="328" w:val="left"/>
        </w:tabs>
        <w:numPr>
          <w:ilvl w:val="0"/>
          <w:numId w:val="10"/>
        </w:numPr>
        <w:rPr>
          <w:rFonts w:ascii="Arial" w:cs="Arial" w:eastAsia="Arial" w:hAnsi="Arial"/>
          <w:sz w:val="20"/>
          <w:szCs w:val="20"/>
          <w:color w:val="666666"/>
        </w:rPr>
      </w:pPr>
      <w:r>
        <w:rPr>
          <w:rFonts w:ascii="Arial" w:cs="Arial" w:eastAsia="Arial" w:hAnsi="Arial"/>
          <w:sz w:val="20"/>
          <w:szCs w:val="20"/>
          <w:color w:val="666666"/>
        </w:rPr>
        <w:t>Continued to disclose our greenhouse gas emissions on recognized international reporting platforms. Scored above both the sector average and the average for North America on carbon disclosure. Continued to disclose our approach to carbon management and supplier engagement, the latter measuring a critical element of environmental impact management -- looking beyond our own actions and supporting a responsible supply chain.</w:t>
      </w:r>
    </w:p>
    <w:p>
      <w:pPr>
        <w:spacing w:after="0" w:line="1" w:lineRule="exact"/>
        <w:rPr>
          <w:rFonts w:ascii="Arial" w:cs="Arial" w:eastAsia="Arial" w:hAnsi="Arial"/>
          <w:sz w:val="20"/>
          <w:szCs w:val="20"/>
          <w:color w:val="666666"/>
        </w:rPr>
      </w:pPr>
    </w:p>
    <w:p>
      <w:pPr>
        <w:ind w:left="328" w:hanging="328"/>
        <w:spacing w:after="0" w:line="239" w:lineRule="auto"/>
        <w:tabs>
          <w:tab w:leader="none" w:pos="328" w:val="left"/>
        </w:tabs>
        <w:numPr>
          <w:ilvl w:val="0"/>
          <w:numId w:val="10"/>
        </w:numPr>
        <w:rPr>
          <w:rFonts w:ascii="Arial" w:cs="Arial" w:eastAsia="Arial" w:hAnsi="Arial"/>
          <w:sz w:val="20"/>
          <w:szCs w:val="20"/>
          <w:color w:val="666666"/>
        </w:rPr>
      </w:pPr>
      <w:r>
        <w:rPr>
          <w:rFonts w:ascii="Arial" w:cs="Arial" w:eastAsia="Arial" w:hAnsi="Arial"/>
          <w:sz w:val="20"/>
          <w:szCs w:val="20"/>
          <w:color w:val="666666"/>
        </w:rPr>
        <w:t>Recognized by the Human Rights Campaign as a “Best Place to Work” for LGBTQ equality, receiving a perfect score on the Corporate Equality Index for the tenth year in a row.</w:t>
      </w:r>
    </w:p>
    <w:p>
      <w:pPr>
        <w:ind w:left="328" w:hanging="328"/>
        <w:spacing w:after="0" w:line="239" w:lineRule="auto"/>
        <w:tabs>
          <w:tab w:leader="none" w:pos="328" w:val="left"/>
        </w:tabs>
        <w:numPr>
          <w:ilvl w:val="0"/>
          <w:numId w:val="10"/>
        </w:numPr>
        <w:rPr>
          <w:rFonts w:ascii="Arial" w:cs="Arial" w:eastAsia="Arial" w:hAnsi="Arial"/>
          <w:sz w:val="20"/>
          <w:szCs w:val="20"/>
          <w:color w:val="666666"/>
        </w:rPr>
      </w:pPr>
      <w:r>
        <w:rPr>
          <w:rFonts w:ascii="Arial" w:cs="Arial" w:eastAsia="Arial" w:hAnsi="Arial"/>
          <w:sz w:val="20"/>
          <w:szCs w:val="20"/>
          <w:color w:val="666666"/>
        </w:rPr>
        <w:t>Recognized as a “Best Place to Work for Disability Inclusion,” receiving a perfect score on the Disability Equality Index for the fifth year in a row.</w:t>
      </w:r>
    </w:p>
    <w:p>
      <w:pPr>
        <w:ind w:left="328" w:hanging="328"/>
        <w:spacing w:after="0" w:line="239" w:lineRule="auto"/>
        <w:tabs>
          <w:tab w:leader="none" w:pos="328" w:val="left"/>
        </w:tabs>
        <w:numPr>
          <w:ilvl w:val="0"/>
          <w:numId w:val="10"/>
        </w:numPr>
        <w:rPr>
          <w:rFonts w:ascii="Arial" w:cs="Arial" w:eastAsia="Arial" w:hAnsi="Arial"/>
          <w:sz w:val="20"/>
          <w:szCs w:val="20"/>
          <w:color w:val="666666"/>
        </w:rPr>
      </w:pPr>
      <w:r>
        <w:rPr>
          <w:rFonts w:ascii="Arial" w:cs="Arial" w:eastAsia="Arial" w:hAnsi="Arial"/>
          <w:sz w:val="20"/>
          <w:szCs w:val="20"/>
          <w:color w:val="666666"/>
        </w:rPr>
        <w:t>Received the Washington Business Journal’s Business of Pride award, Mental Health America’s Corporate Excellence Award, and the U.S. Small Business Association’s Dwight D. Eisenhower’s Award for Excellence.</w:t>
      </w:r>
    </w:p>
    <w:p>
      <w:pPr>
        <w:ind w:left="328" w:hanging="328"/>
        <w:spacing w:after="0"/>
        <w:tabs>
          <w:tab w:leader="none" w:pos="328" w:val="left"/>
        </w:tabs>
        <w:numPr>
          <w:ilvl w:val="0"/>
          <w:numId w:val="10"/>
        </w:numPr>
        <w:rPr>
          <w:rFonts w:ascii="Arial" w:cs="Arial" w:eastAsia="Arial" w:hAnsi="Arial"/>
          <w:sz w:val="20"/>
          <w:szCs w:val="20"/>
          <w:color w:val="666666"/>
        </w:rPr>
      </w:pPr>
      <w:r>
        <w:rPr>
          <w:rFonts w:ascii="Arial" w:cs="Arial" w:eastAsia="Arial" w:hAnsi="Arial"/>
          <w:sz w:val="20"/>
          <w:szCs w:val="20"/>
          <w:color w:val="666666"/>
        </w:rPr>
        <w:t>Included in Fortune magazine’s “World’s Most Admired Companies” for the ninth consecutive year.</w:t>
      </w:r>
    </w:p>
    <w:p>
      <w:pPr>
        <w:spacing w:after="0" w:line="21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666666"/>
        </w:rPr>
        <w:t>5</w:t>
      </w:r>
    </w:p>
    <w:p>
      <w:pPr>
        <w:sectPr>
          <w:pgSz w:w="11900" w:h="16838" w:orient="portrait"/>
          <w:cols w:equalWidth="0" w:num="1">
            <w:col w:w="10908"/>
          </w:cols>
          <w:pgMar w:left="652" w:top="352"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31"/>
          <w:szCs w:val="31"/>
          <w:b w:val="1"/>
          <w:bCs w:val="1"/>
          <w:color w:val="547BCC"/>
        </w:rPr>
        <w:t>PROPOSAL 1: ELECTION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547BCC"/>
        </w:rPr>
        <w:t>Board Structure</w:t>
      </w:r>
    </w:p>
    <w:p>
      <w:pPr>
        <w:spacing w:after="0" w:line="18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The Company currently has twelve directors divided into three classes: four in Class I, four in Class II, and four in Class III. The terms of office of the four Class I directors expire at the 2020 Annual Meeting of Stockholders. Mr. Clare has decided not to stand for re-election and will no longer serve on the Board effective at the Annual Meeting. Following the 2020 Annual Meeting, the Company expects to reduce the size of the Board from twelve members to eleven members.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547BCC"/>
        </w:rPr>
        <w:t>Class I Election</w:t>
      </w:r>
    </w:p>
    <w:p>
      <w:pPr>
        <w:spacing w:after="0" w:line="18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The three nominees for election as Class I directors are listed below. If elected, the nominees for election as Class I directors will serve for a term of three years and until their successors are elected and qualify. Unless you instruct us on the proxy card to vote differently, we will vote signed, returned proxies FOR the election of such nominees. If for any reason any nominee cannot or will not serve as a director, we may vote such proxies for the election of a substitute nominee designated by the Board.</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547BCC"/>
        </w:rPr>
        <w:t>Class I Nominees</w:t>
      </w:r>
    </w:p>
    <w:p>
      <w:pPr>
        <w:spacing w:after="0" w:line="132" w:lineRule="exact"/>
        <w:rPr>
          <w:sz w:val="20"/>
          <w:szCs w:val="20"/>
          <w:color w:val="auto"/>
        </w:rPr>
      </w:pPr>
    </w:p>
    <w:p>
      <w:pPr>
        <w:jc w:val="both"/>
        <w:ind w:firstLine="432"/>
        <w:spacing w:after="0"/>
        <w:rPr>
          <w:sz w:val="20"/>
          <w:szCs w:val="20"/>
          <w:color w:val="auto"/>
        </w:rPr>
      </w:pPr>
      <w:r>
        <w:rPr>
          <w:rFonts w:ascii="Arial" w:cs="Arial" w:eastAsia="Arial" w:hAnsi="Arial"/>
          <w:sz w:val="20"/>
          <w:szCs w:val="20"/>
          <w:color w:val="666666"/>
        </w:rPr>
        <w:t>To be elected in an uncontested election, a nominee must receive a majority of the votes validly cast with respect to that nominee’s election at the annual meeting represented either in person or by proxy at the annual meeting. To be elected in a contested election, a nominee must receive the vote of a plurality of the votes validly cast at the annual meeting represented either in person or by proxy at the annual meeting. Any nominee who is an incumbent director and does not receive a majority of the votes cast in an election that is not a contested election must promptly tender his or her resignation contingent on the acceptance of that resignation by the Board to the chair of the Board following certification of the election results. The Nominating and Corporate Governance Committee and the Board believe that each Class I Nominee brings a strong and diverse set of skills and experiences to the Company, including significant government, public company, financial, and strategic experience, that will strengthen our Board's independent leadership and effectiveness with respect to our business and long-term strategy. The Class I Nominees are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0" w:type="dxa"/>
            <w:vAlign w:val="bottom"/>
          </w:tcPr>
          <w:p>
            <w:pPr>
              <w:jc w:val="center"/>
              <w:spacing w:after="0"/>
              <w:rPr>
                <w:sz w:val="20"/>
                <w:szCs w:val="20"/>
                <w:color w:val="auto"/>
              </w:rPr>
            </w:pPr>
            <w:r>
              <w:rPr>
                <w:rFonts w:ascii="Arial" w:cs="Arial" w:eastAsia="Arial" w:hAnsi="Arial"/>
                <w:sz w:val="18"/>
                <w:szCs w:val="18"/>
                <w:b w:val="1"/>
                <w:bCs w:val="1"/>
                <w:color w:val="666666"/>
                <w:w w:val="99"/>
              </w:rPr>
              <w:t>Principal Occupation, Business</w:t>
            </w:r>
          </w:p>
        </w:tc>
      </w:tr>
      <w:tr>
        <w:trPr>
          <w:trHeight w:val="246"/>
        </w:trPr>
        <w:tc>
          <w:tcPr>
            <w:tcW w:w="2340" w:type="dxa"/>
            <w:vAlign w:val="bottom"/>
            <w:tcBorders>
              <w:bottom w:val="single" w:sz="8" w:color="666666"/>
            </w:tcBorders>
          </w:tcPr>
          <w:p>
            <w:pPr>
              <w:ind w:left="820"/>
              <w:spacing w:after="0"/>
              <w:rPr>
                <w:sz w:val="20"/>
                <w:szCs w:val="20"/>
                <w:color w:val="auto"/>
              </w:rPr>
            </w:pPr>
            <w:r>
              <w:rPr>
                <w:rFonts w:ascii="Arial" w:cs="Arial" w:eastAsia="Arial" w:hAnsi="Arial"/>
                <w:sz w:val="18"/>
                <w:szCs w:val="18"/>
                <w:b w:val="1"/>
                <w:bCs w:val="1"/>
                <w:color w:val="666666"/>
              </w:rPr>
              <w:t>Director</w:t>
            </w:r>
          </w:p>
        </w:tc>
        <w:tc>
          <w:tcPr>
            <w:tcW w:w="440" w:type="dxa"/>
            <w:vAlign w:val="bottom"/>
          </w:tcPr>
          <w:p>
            <w:pPr>
              <w:spacing w:after="0"/>
              <w:rPr>
                <w:sz w:val="21"/>
                <w:szCs w:val="21"/>
                <w:color w:val="auto"/>
              </w:rPr>
            </w:pPr>
          </w:p>
        </w:tc>
        <w:tc>
          <w:tcPr>
            <w:tcW w:w="8400" w:type="dxa"/>
            <w:vAlign w:val="bottom"/>
            <w:tcBorders>
              <w:bottom w:val="single" w:sz="8" w:color="666666"/>
            </w:tcBorders>
          </w:tcPr>
          <w:p>
            <w:pPr>
              <w:jc w:val="center"/>
              <w:spacing w:after="0"/>
              <w:rPr>
                <w:sz w:val="20"/>
                <w:szCs w:val="20"/>
                <w:color w:val="auto"/>
              </w:rPr>
            </w:pPr>
            <w:r>
              <w:rPr>
                <w:rFonts w:ascii="Arial" w:cs="Arial" w:eastAsia="Arial" w:hAnsi="Arial"/>
                <w:sz w:val="18"/>
                <w:szCs w:val="18"/>
                <w:b w:val="1"/>
                <w:bCs w:val="1"/>
                <w:color w:val="666666"/>
              </w:rPr>
              <w:t>Experience and Other Directorships Held</w:t>
            </w:r>
          </w:p>
        </w:tc>
      </w:tr>
      <w:tr>
        <w:trPr>
          <w:trHeight w:val="553"/>
        </w:trPr>
        <w:tc>
          <w:tcPr>
            <w:tcW w:w="2780" w:type="dxa"/>
            <w:vAlign w:val="bottom"/>
            <w:gridSpan w:val="2"/>
          </w:tcPr>
          <w:p>
            <w:pPr>
              <w:ind w:left="20"/>
              <w:spacing w:after="0"/>
              <w:rPr>
                <w:sz w:val="20"/>
                <w:szCs w:val="20"/>
                <w:color w:val="auto"/>
              </w:rPr>
            </w:pPr>
            <w:r>
              <w:rPr>
                <w:rFonts w:ascii="Arial" w:cs="Arial" w:eastAsia="Arial" w:hAnsi="Arial"/>
                <w:sz w:val="18"/>
                <w:szCs w:val="18"/>
                <w:color w:val="5E5E61"/>
              </w:rPr>
              <w:t>Ralph W. Shrader</w:t>
            </w:r>
          </w:p>
        </w:tc>
        <w:tc>
          <w:tcPr>
            <w:tcW w:w="8400" w:type="dxa"/>
            <w:vAlign w:val="bottom"/>
          </w:tcPr>
          <w:p>
            <w:pPr>
              <w:jc w:val="center"/>
              <w:spacing w:after="0"/>
              <w:rPr>
                <w:sz w:val="20"/>
                <w:szCs w:val="20"/>
                <w:color w:val="auto"/>
              </w:rPr>
            </w:pPr>
            <w:r>
              <w:rPr>
                <w:rFonts w:ascii="Arial" w:cs="Arial" w:eastAsia="Arial" w:hAnsi="Arial"/>
                <w:sz w:val="18"/>
                <w:szCs w:val="18"/>
                <w:color w:val="666666"/>
              </w:rPr>
              <w:t>Dr. Shrader is our Chair and has served in this position since 2008. He previously served as our Chief</w:t>
            </w:r>
          </w:p>
        </w:tc>
      </w:tr>
      <w:tr>
        <w:trPr>
          <w:trHeight w:val="203"/>
        </w:trPr>
        <w:tc>
          <w:tcPr>
            <w:tcW w:w="2780" w:type="dxa"/>
            <w:vAlign w:val="bottom"/>
            <w:gridSpan w:val="2"/>
          </w:tcPr>
          <w:p>
            <w:pPr>
              <w:ind w:left="20"/>
              <w:spacing w:after="0" w:line="202" w:lineRule="exact"/>
              <w:rPr>
                <w:sz w:val="20"/>
                <w:szCs w:val="20"/>
                <w:color w:val="auto"/>
              </w:rPr>
            </w:pPr>
            <w:r>
              <w:rPr>
                <w:rFonts w:ascii="Arial" w:cs="Arial" w:eastAsia="Arial" w:hAnsi="Arial"/>
                <w:sz w:val="18"/>
                <w:szCs w:val="18"/>
                <w:color w:val="5E5E61"/>
              </w:rPr>
              <w:t>(Class I)</w:t>
            </w:r>
          </w:p>
        </w:tc>
        <w:tc>
          <w:tcPr>
            <w:tcW w:w="8400" w:type="dxa"/>
            <w:vAlign w:val="bottom"/>
          </w:tcPr>
          <w:p>
            <w:pPr>
              <w:jc w:val="center"/>
              <w:spacing w:after="0" w:line="202" w:lineRule="exact"/>
              <w:rPr>
                <w:sz w:val="20"/>
                <w:szCs w:val="20"/>
                <w:color w:val="auto"/>
              </w:rPr>
            </w:pPr>
            <w:r>
              <w:rPr>
                <w:rFonts w:ascii="Arial" w:cs="Arial" w:eastAsia="Arial" w:hAnsi="Arial"/>
                <w:sz w:val="18"/>
                <w:szCs w:val="18"/>
                <w:color w:val="666666"/>
              </w:rPr>
              <w:t>Executive Officer from 2008 to December 31, 2014 and as our President from 2008 to December 31,</w:t>
            </w:r>
          </w:p>
        </w:tc>
      </w:tr>
      <w:tr>
        <w:trPr>
          <w:trHeight w:val="203"/>
        </w:trPr>
        <w:tc>
          <w:tcPr>
            <w:tcW w:w="2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0" w:type="dxa"/>
            <w:vAlign w:val="bottom"/>
          </w:tcPr>
          <w:p>
            <w:pPr>
              <w:jc w:val="center"/>
              <w:spacing w:after="0" w:line="202" w:lineRule="exact"/>
              <w:rPr>
                <w:sz w:val="20"/>
                <w:szCs w:val="20"/>
                <w:color w:val="auto"/>
              </w:rPr>
            </w:pPr>
            <w:r>
              <w:rPr>
                <w:rFonts w:ascii="Arial" w:cs="Arial" w:eastAsia="Arial" w:hAnsi="Arial"/>
                <w:sz w:val="18"/>
                <w:szCs w:val="18"/>
                <w:color w:val="666666"/>
              </w:rPr>
              <w:t>2013. He has also served as Chair of Booz Allen Hamilton since 1999 and as Chief Executive Officer of</w:t>
            </w:r>
          </w:p>
        </w:tc>
      </w:tr>
      <w:tr>
        <w:trPr>
          <w:trHeight w:val="203"/>
        </w:trPr>
        <w:tc>
          <w:tcPr>
            <w:tcW w:w="2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0" w:type="dxa"/>
            <w:vAlign w:val="bottom"/>
          </w:tcPr>
          <w:p>
            <w:pPr>
              <w:jc w:val="center"/>
              <w:spacing w:after="0" w:line="202" w:lineRule="exact"/>
              <w:rPr>
                <w:sz w:val="20"/>
                <w:szCs w:val="20"/>
                <w:color w:val="auto"/>
              </w:rPr>
            </w:pPr>
            <w:r>
              <w:rPr>
                <w:rFonts w:ascii="Arial" w:cs="Arial" w:eastAsia="Arial" w:hAnsi="Arial"/>
                <w:sz w:val="18"/>
                <w:szCs w:val="18"/>
                <w:color w:val="666666"/>
              </w:rPr>
              <w:t>Booz Allen Hamilton from 1999 to December 31, 2014. Dr. Shrader has been an employee of our</w:t>
            </w:r>
          </w:p>
        </w:tc>
      </w:tr>
      <w:tr>
        <w:trPr>
          <w:trHeight w:val="203"/>
        </w:trPr>
        <w:tc>
          <w:tcPr>
            <w:tcW w:w="2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0" w:type="dxa"/>
            <w:vAlign w:val="bottom"/>
          </w:tcPr>
          <w:p>
            <w:pPr>
              <w:jc w:val="center"/>
              <w:spacing w:after="0" w:line="202" w:lineRule="exact"/>
              <w:rPr>
                <w:sz w:val="20"/>
                <w:szCs w:val="20"/>
                <w:color w:val="auto"/>
              </w:rPr>
            </w:pPr>
            <w:r>
              <w:rPr>
                <w:rFonts w:ascii="Arial" w:cs="Arial" w:eastAsia="Arial" w:hAnsi="Arial"/>
                <w:sz w:val="18"/>
                <w:szCs w:val="18"/>
                <w:color w:val="666666"/>
              </w:rPr>
              <w:t>Company since 1974. He is the seventh chair since our Company's founding in 1914 and has led our</w:t>
            </w:r>
          </w:p>
        </w:tc>
      </w:tr>
      <w:tr>
        <w:trPr>
          <w:trHeight w:val="203"/>
        </w:trPr>
        <w:tc>
          <w:tcPr>
            <w:tcW w:w="2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0" w:type="dxa"/>
            <w:vAlign w:val="bottom"/>
          </w:tcPr>
          <w:p>
            <w:pPr>
              <w:jc w:val="center"/>
              <w:spacing w:after="0" w:line="202" w:lineRule="exact"/>
              <w:rPr>
                <w:sz w:val="20"/>
                <w:szCs w:val="20"/>
                <w:color w:val="auto"/>
              </w:rPr>
            </w:pPr>
            <w:r>
              <w:rPr>
                <w:rFonts w:ascii="Arial" w:cs="Arial" w:eastAsia="Arial" w:hAnsi="Arial"/>
                <w:sz w:val="18"/>
                <w:szCs w:val="18"/>
                <w:color w:val="666666"/>
              </w:rPr>
              <w:t>Company through a significant period of growth and strategic realignment. Dr. Shrader is active in</w:t>
            </w:r>
          </w:p>
        </w:tc>
      </w:tr>
      <w:tr>
        <w:trPr>
          <w:trHeight w:val="203"/>
        </w:trPr>
        <w:tc>
          <w:tcPr>
            <w:tcW w:w="2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0" w:type="dxa"/>
            <w:vAlign w:val="bottom"/>
          </w:tcPr>
          <w:p>
            <w:pPr>
              <w:jc w:val="center"/>
              <w:spacing w:after="0" w:line="202" w:lineRule="exact"/>
              <w:rPr>
                <w:sz w:val="20"/>
                <w:szCs w:val="20"/>
                <w:color w:val="auto"/>
              </w:rPr>
            </w:pPr>
            <w:r>
              <w:rPr>
                <w:rFonts w:ascii="Arial" w:cs="Arial" w:eastAsia="Arial" w:hAnsi="Arial"/>
                <w:sz w:val="18"/>
                <w:szCs w:val="18"/>
                <w:color w:val="666666"/>
              </w:rPr>
              <w:t>professional  and  charitable  organizations  and  was  previously  Chairman  of  the  Armed  Forces</w:t>
            </w:r>
          </w:p>
        </w:tc>
      </w:tr>
      <w:tr>
        <w:trPr>
          <w:trHeight w:val="217"/>
        </w:trPr>
        <w:tc>
          <w:tcPr>
            <w:tcW w:w="2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0" w:type="dxa"/>
            <w:vAlign w:val="bottom"/>
          </w:tcPr>
          <w:p>
            <w:pPr>
              <w:ind w:left="40"/>
              <w:spacing w:after="0"/>
              <w:rPr>
                <w:sz w:val="20"/>
                <w:szCs w:val="20"/>
                <w:color w:val="auto"/>
              </w:rPr>
            </w:pPr>
            <w:r>
              <w:rPr>
                <w:rFonts w:ascii="Arial" w:cs="Arial" w:eastAsia="Arial" w:hAnsi="Arial"/>
                <w:sz w:val="18"/>
                <w:szCs w:val="18"/>
                <w:color w:val="666666"/>
              </w:rPr>
              <w:t>Communications and Electronics Association.</w:t>
            </w:r>
          </w:p>
        </w:tc>
      </w:tr>
    </w:tbl>
    <w:p>
      <w:pPr>
        <w:spacing w:after="0" w:line="200" w:lineRule="exact"/>
        <w:rPr>
          <w:sz w:val="20"/>
          <w:szCs w:val="20"/>
          <w:color w:val="auto"/>
        </w:rPr>
      </w:pPr>
    </w:p>
    <w:p>
      <w:pPr>
        <w:sectPr>
          <w:pgSz w:w="11900" w:h="16838" w:orient="portrait"/>
          <w:cols w:equalWidth="0" w:num="1">
            <w:col w:w="11240"/>
          </w:cols>
          <w:pgMar w:left="320" w:top="3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Arial" w:cs="Arial" w:eastAsia="Arial" w:hAnsi="Arial"/>
          <w:sz w:val="17"/>
          <w:szCs w:val="17"/>
          <w:color w:val="666666"/>
        </w:rPr>
        <w:t>Age: 75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666666"/>
        </w:rPr>
        <w:t>Specific qualifications, experience, skills, and expertise include:</w:t>
      </w:r>
    </w:p>
    <w:p>
      <w:pPr>
        <w:spacing w:after="0" w:line="21" w:lineRule="exact"/>
        <w:rPr>
          <w:sz w:val="20"/>
          <w:szCs w:val="20"/>
          <w:color w:val="auto"/>
        </w:rPr>
      </w:pPr>
    </w:p>
    <w:p>
      <w:pPr>
        <w:sectPr>
          <w:pgSz w:w="11900" w:h="16838" w:orient="portrait"/>
          <w:cols w:equalWidth="0" w:num="2">
            <w:col w:w="2140" w:space="720"/>
            <w:col w:w="8380"/>
          </w:cols>
          <w:pgMar w:left="320" w:top="324" w:right="339" w:bottom="1440" w:gutter="0" w:footer="0" w:header="0"/>
          <w:type w:val="continuous"/>
        </w:sectPr>
      </w:pPr>
    </w:p>
    <w:p>
      <w:pPr>
        <w:ind w:left="60"/>
        <w:spacing w:after="0"/>
        <w:rPr>
          <w:sz w:val="20"/>
          <w:szCs w:val="20"/>
          <w:color w:val="auto"/>
        </w:rPr>
      </w:pPr>
      <w:r>
        <w:rPr>
          <w:rFonts w:ascii="Arial" w:cs="Arial" w:eastAsia="Arial" w:hAnsi="Arial"/>
          <w:sz w:val="17"/>
          <w:szCs w:val="17"/>
          <w:color w:val="666666"/>
        </w:rPr>
        <w:t>Director since: 2008</w:t>
      </w:r>
    </w:p>
    <w:p>
      <w:pPr>
        <w:sectPr>
          <w:pgSz w:w="11900" w:h="16838" w:orient="portrait"/>
          <w:cols w:equalWidth="0" w:num="1">
            <w:col w:w="11240"/>
          </w:cols>
          <w:pgMar w:left="320" w:top="324" w:right="339" w:bottom="1440" w:gutter="0" w:footer="0" w:header="0"/>
          <w:type w:val="continuous"/>
        </w:sectPr>
      </w:pP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666666"/>
        </w:rPr>
        <w:t>Chair</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color w:val="666666"/>
        </w:rPr>
        <w:t>Committee:</w:t>
      </w:r>
    </w:p>
    <w:p>
      <w:pPr>
        <w:ind w:left="60"/>
        <w:spacing w:after="0"/>
        <w:rPr>
          <w:sz w:val="20"/>
          <w:szCs w:val="20"/>
          <w:color w:val="auto"/>
        </w:rPr>
      </w:pPr>
      <w:r>
        <w:rPr>
          <w:rFonts w:ascii="Arial" w:cs="Arial" w:eastAsia="Arial" w:hAnsi="Arial"/>
          <w:sz w:val="18"/>
          <w:szCs w:val="18"/>
          <w:color w:val="666666"/>
        </w:rPr>
        <w:t>• Executive (Chair)</w:t>
      </w:r>
    </w:p>
    <w:p>
      <w:pPr>
        <w:spacing w:after="0" w:line="20" w:lineRule="exact"/>
        <w:rPr>
          <w:sz w:val="20"/>
          <w:szCs w:val="20"/>
          <w:color w:val="auto"/>
        </w:rPr>
      </w:pPr>
      <w:r>
        <w:rPr>
          <w:sz w:val="20"/>
          <w:szCs w:val="20"/>
          <w:color w:val="auto"/>
        </w:rPr>
        <w:br w:type="column"/>
      </w:r>
    </w:p>
    <w:p>
      <w:pPr>
        <w:spacing w:after="0" w:line="226" w:lineRule="auto"/>
        <w:rPr>
          <w:sz w:val="20"/>
          <w:szCs w:val="20"/>
          <w:color w:val="auto"/>
        </w:rPr>
      </w:pPr>
      <w:r>
        <w:rPr>
          <w:rFonts w:ascii="Arial" w:cs="Arial" w:eastAsia="Arial" w:hAnsi="Arial"/>
          <w:sz w:val="18"/>
          <w:szCs w:val="18"/>
          <w:color w:val="666666"/>
        </w:rPr>
        <w:t>• Operating and management experience;</w:t>
      </w:r>
    </w:p>
    <w:p>
      <w:pPr>
        <w:spacing w:after="0" w:line="235" w:lineRule="auto"/>
        <w:rPr>
          <w:sz w:val="20"/>
          <w:szCs w:val="20"/>
          <w:color w:val="auto"/>
        </w:rPr>
      </w:pPr>
      <w:r>
        <w:rPr>
          <w:rFonts w:ascii="Arial" w:cs="Arial" w:eastAsia="Arial" w:hAnsi="Arial"/>
          <w:sz w:val="18"/>
          <w:szCs w:val="18"/>
          <w:color w:val="666666"/>
        </w:rPr>
        <w:t>• Understanding of government contracting;</w:t>
      </w:r>
    </w:p>
    <w:p>
      <w:pPr>
        <w:spacing w:after="0" w:line="234" w:lineRule="auto"/>
        <w:rPr>
          <w:sz w:val="20"/>
          <w:szCs w:val="20"/>
          <w:color w:val="auto"/>
        </w:rPr>
      </w:pPr>
      <w:r>
        <w:rPr>
          <w:rFonts w:ascii="Arial" w:cs="Arial" w:eastAsia="Arial" w:hAnsi="Arial"/>
          <w:sz w:val="18"/>
          <w:szCs w:val="18"/>
          <w:color w:val="666666"/>
        </w:rPr>
        <w:t>• Core business skills, including financial and strategic planning;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666666"/>
        </w:rPr>
        <w:t>• Deep understanding of our Company, its history, and culture.</w:t>
      </w:r>
    </w:p>
    <w:p>
      <w:pPr>
        <w:spacing w:after="0" w:line="402" w:lineRule="exact"/>
        <w:rPr>
          <w:sz w:val="20"/>
          <w:szCs w:val="20"/>
          <w:color w:val="auto"/>
        </w:rPr>
      </w:pPr>
    </w:p>
    <w:p>
      <w:pPr>
        <w:sectPr>
          <w:pgSz w:w="11900" w:h="16838" w:orient="portrait"/>
          <w:cols w:equalWidth="0" w:num="2">
            <w:col w:w="2220" w:space="720"/>
            <w:col w:w="8300"/>
          </w:cols>
          <w:pgMar w:left="320" w:top="324" w:right="339" w:bottom="1440" w:gutter="0" w:footer="0" w:header="0"/>
          <w:type w:val="continuous"/>
        </w:sectPr>
      </w:pP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666666"/>
        </w:rPr>
        <w:t>6</w:t>
      </w:r>
    </w:p>
    <w:p>
      <w:pPr>
        <w:sectPr>
          <w:pgSz w:w="11900" w:h="16838" w:orient="portrait"/>
          <w:cols w:equalWidth="0" w:num="1">
            <w:col w:w="11240"/>
          </w:cols>
          <w:pgMar w:left="320" w:top="324"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20"/>
                <w:szCs w:val="20"/>
                <w:color w:val="auto"/>
              </w:rPr>
            </w:pPr>
            <w:r>
              <w:rPr>
                <w:rFonts w:ascii="Arial" w:cs="Arial" w:eastAsia="Arial" w:hAnsi="Arial"/>
                <w:sz w:val="18"/>
                <w:szCs w:val="18"/>
                <w:color w:val="666666"/>
              </w:rPr>
              <w:t>Joan Lordi C. Amble</w:t>
            </w:r>
          </w:p>
        </w:tc>
        <w:tc>
          <w:tcPr>
            <w:tcW w:w="8900" w:type="dxa"/>
            <w:vAlign w:val="bottom"/>
          </w:tcPr>
          <w:p>
            <w:pPr>
              <w:ind w:left="580"/>
              <w:spacing w:after="0"/>
              <w:rPr>
                <w:sz w:val="20"/>
                <w:szCs w:val="20"/>
                <w:color w:val="auto"/>
              </w:rPr>
            </w:pPr>
            <w:r>
              <w:rPr>
                <w:rFonts w:ascii="Arial" w:cs="Arial" w:eastAsia="Arial" w:hAnsi="Arial"/>
                <w:sz w:val="18"/>
                <w:szCs w:val="18"/>
                <w:color w:val="666666"/>
              </w:rPr>
              <w:t>Ms. Amble was the Executive Vice President, Finance for the American Express Company from May</w:t>
            </w: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666666"/>
              </w:rPr>
              <w:t>(Class I)</w:t>
            </w: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2011 to December 2011, and also served as its Executive Vice President and Corporate Comptroller</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from December 2003 until May 2011. Prior to joining American Express, Ms. Amble served as Chief</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Operating Officer and Chief Financial Officer of GE Capital Markets, a service business within GE</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Capital Services, Inc., overseeing securitizations, debt placement, and syndication, as well as structured</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w w:val="99"/>
              </w:rPr>
              <w:t>equity transactions. From 1994 to March 2003, Ms. Amble served as vice president and controller for GE</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Capital and GE Financial Services. Ms. Amble is the President of JCA Consulting, LLC, and serves on</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the boards of directors of Zurich Insurance Group since April 2015, XM Radio Inc. since 2006, and the</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merged Sirius XM Holdings Inc. since 2008. In addition, she serves as an independent advisor to the</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Control and Risk Committee of the Executive Committee of the U.S. affiliate of Société Général, S.A.</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since October 2016 and has been a member of the Standing Advisory Group for the Public Company</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Accounting Oversight Board since 2014. Ms. Amble also served as a director at Brown-Forman</w:t>
            </w:r>
          </w:p>
        </w:tc>
        <w:tc>
          <w:tcPr>
            <w:tcW w:w="0" w:type="dxa"/>
            <w:vAlign w:val="bottom"/>
          </w:tcPr>
          <w:p>
            <w:pPr>
              <w:spacing w:after="0"/>
              <w:rPr>
                <w:sz w:val="1"/>
                <w:szCs w:val="1"/>
                <w:color w:val="auto"/>
              </w:rPr>
            </w:pPr>
          </w:p>
        </w:tc>
      </w:tr>
      <w:tr>
        <w:trPr>
          <w:trHeight w:val="217"/>
        </w:trPr>
        <w:tc>
          <w:tcPr>
            <w:tcW w:w="2220" w:type="dxa"/>
            <w:vAlign w:val="bottom"/>
          </w:tcPr>
          <w:p>
            <w:pPr>
              <w:spacing w:after="0"/>
              <w:rPr>
                <w:sz w:val="18"/>
                <w:szCs w:val="18"/>
                <w:color w:val="auto"/>
              </w:rPr>
            </w:pPr>
          </w:p>
        </w:tc>
        <w:tc>
          <w:tcPr>
            <w:tcW w:w="8900" w:type="dxa"/>
            <w:vAlign w:val="bottom"/>
          </w:tcPr>
          <w:p>
            <w:pPr>
              <w:ind w:left="580"/>
              <w:spacing w:after="0"/>
              <w:rPr>
                <w:sz w:val="20"/>
                <w:szCs w:val="20"/>
                <w:color w:val="auto"/>
              </w:rPr>
            </w:pPr>
            <w:r>
              <w:rPr>
                <w:rFonts w:ascii="Arial" w:cs="Arial" w:eastAsia="Arial" w:hAnsi="Arial"/>
                <w:sz w:val="18"/>
                <w:szCs w:val="18"/>
                <w:color w:val="666666"/>
              </w:rPr>
              <w:t>Corporation from 2011 to 2016 and Broadcom Corporation from 2009 to 2011.</w:t>
            </w:r>
          </w:p>
        </w:tc>
        <w:tc>
          <w:tcPr>
            <w:tcW w:w="0" w:type="dxa"/>
            <w:vAlign w:val="bottom"/>
          </w:tcPr>
          <w:p>
            <w:pPr>
              <w:spacing w:after="0"/>
              <w:rPr>
                <w:sz w:val="1"/>
                <w:szCs w:val="1"/>
                <w:color w:val="auto"/>
              </w:rPr>
            </w:pPr>
          </w:p>
        </w:tc>
      </w:tr>
      <w:tr>
        <w:trPr>
          <w:trHeight w:val="242"/>
        </w:trPr>
        <w:tc>
          <w:tcPr>
            <w:tcW w:w="2220" w:type="dxa"/>
            <w:vAlign w:val="bottom"/>
          </w:tcPr>
          <w:p>
            <w:pPr>
              <w:spacing w:after="0"/>
              <w:rPr>
                <w:sz w:val="20"/>
                <w:szCs w:val="20"/>
                <w:color w:val="auto"/>
              </w:rPr>
            </w:pPr>
            <w:r>
              <w:rPr>
                <w:rFonts w:ascii="Arial" w:cs="Arial" w:eastAsia="Arial" w:hAnsi="Arial"/>
                <w:sz w:val="18"/>
                <w:szCs w:val="18"/>
                <w:color w:val="666666"/>
              </w:rPr>
              <w:t>Age: 67</w:t>
            </w:r>
          </w:p>
        </w:tc>
        <w:tc>
          <w:tcPr>
            <w:tcW w:w="8900" w:type="dxa"/>
            <w:vAlign w:val="bottom"/>
          </w:tcPr>
          <w:p>
            <w:pPr>
              <w:ind w:left="580"/>
              <w:spacing w:after="0"/>
              <w:rPr>
                <w:sz w:val="20"/>
                <w:szCs w:val="20"/>
                <w:color w:val="auto"/>
              </w:rPr>
            </w:pPr>
            <w:r>
              <w:rPr>
                <w:rFonts w:ascii="Arial" w:cs="Arial" w:eastAsia="Arial" w:hAnsi="Arial"/>
                <w:sz w:val="18"/>
                <w:szCs w:val="18"/>
                <w:color w:val="666666"/>
              </w:rPr>
              <w:t>Specific qualifications, experience, skills, and expertise include:</w:t>
            </w: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666666"/>
              </w:rPr>
              <w:t>Director since: 2012</w:t>
            </w:r>
          </w:p>
        </w:tc>
        <w:tc>
          <w:tcPr>
            <w:tcW w:w="8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666666"/>
              </w:rPr>
              <w:t>Independent</w:t>
            </w:r>
          </w:p>
        </w:tc>
        <w:tc>
          <w:tcPr>
            <w:tcW w:w="8900" w:type="dxa"/>
            <w:vAlign w:val="bottom"/>
          </w:tcPr>
          <w:p>
            <w:pPr>
              <w:ind w:left="660"/>
              <w:spacing w:after="0" w:line="202" w:lineRule="exact"/>
              <w:rPr>
                <w:sz w:val="20"/>
                <w:szCs w:val="20"/>
                <w:color w:val="auto"/>
              </w:rPr>
            </w:pPr>
            <w:r>
              <w:rPr>
                <w:rFonts w:ascii="Arial" w:cs="Arial" w:eastAsia="Arial" w:hAnsi="Arial"/>
                <w:sz w:val="18"/>
                <w:szCs w:val="18"/>
                <w:color w:val="666666"/>
              </w:rPr>
              <w:t>• Public company directorship and audit committee experience;</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8900" w:type="dxa"/>
            <w:vAlign w:val="bottom"/>
          </w:tcPr>
          <w:p>
            <w:pPr>
              <w:ind w:left="660"/>
              <w:spacing w:after="0" w:line="202" w:lineRule="exact"/>
              <w:rPr>
                <w:sz w:val="20"/>
                <w:szCs w:val="20"/>
                <w:color w:val="auto"/>
              </w:rPr>
            </w:pPr>
            <w:r>
              <w:rPr>
                <w:rFonts w:ascii="Arial" w:cs="Arial" w:eastAsia="Arial" w:hAnsi="Arial"/>
                <w:sz w:val="18"/>
                <w:szCs w:val="18"/>
                <w:color w:val="666666"/>
              </w:rPr>
              <w:t>• Operating and management experience;</w:t>
            </w:r>
          </w:p>
        </w:tc>
        <w:tc>
          <w:tcPr>
            <w:tcW w:w="0" w:type="dxa"/>
            <w:vAlign w:val="bottom"/>
          </w:tcPr>
          <w:p>
            <w:pPr>
              <w:spacing w:after="0"/>
              <w:rPr>
                <w:sz w:val="1"/>
                <w:szCs w:val="1"/>
                <w:color w:val="auto"/>
              </w:rPr>
            </w:pPr>
          </w:p>
        </w:tc>
      </w:tr>
      <w:tr>
        <w:trPr>
          <w:trHeight w:val="203"/>
        </w:trPr>
        <w:tc>
          <w:tcPr>
            <w:tcW w:w="2220" w:type="dxa"/>
            <w:vAlign w:val="bottom"/>
            <w:vMerge w:val="restart"/>
          </w:tcPr>
          <w:p>
            <w:pPr>
              <w:spacing w:after="0"/>
              <w:rPr>
                <w:sz w:val="20"/>
                <w:szCs w:val="20"/>
                <w:color w:val="auto"/>
              </w:rPr>
            </w:pPr>
            <w:r>
              <w:rPr>
                <w:rFonts w:ascii="Arial" w:cs="Arial" w:eastAsia="Arial" w:hAnsi="Arial"/>
                <w:sz w:val="18"/>
                <w:szCs w:val="18"/>
                <w:i w:val="1"/>
                <w:iCs w:val="1"/>
                <w:color w:val="666666"/>
              </w:rPr>
              <w:t>Committee:</w:t>
            </w:r>
          </w:p>
        </w:tc>
        <w:tc>
          <w:tcPr>
            <w:tcW w:w="8900" w:type="dxa"/>
            <w:vAlign w:val="bottom"/>
          </w:tcPr>
          <w:p>
            <w:pPr>
              <w:ind w:left="660"/>
              <w:spacing w:after="0" w:line="202" w:lineRule="exact"/>
              <w:rPr>
                <w:sz w:val="20"/>
                <w:szCs w:val="20"/>
                <w:color w:val="auto"/>
              </w:rPr>
            </w:pPr>
            <w:r>
              <w:rPr>
                <w:rFonts w:ascii="Arial" w:cs="Arial" w:eastAsia="Arial" w:hAnsi="Arial"/>
                <w:sz w:val="18"/>
                <w:szCs w:val="18"/>
                <w:color w:val="666666"/>
              </w:rPr>
              <w:t>• Core business skills, including financial and strategic planning; and</w:t>
            </w:r>
          </w:p>
        </w:tc>
        <w:tc>
          <w:tcPr>
            <w:tcW w:w="0" w:type="dxa"/>
            <w:vAlign w:val="bottom"/>
          </w:tcPr>
          <w:p>
            <w:pPr>
              <w:spacing w:after="0"/>
              <w:rPr>
                <w:sz w:val="1"/>
                <w:szCs w:val="1"/>
                <w:color w:val="auto"/>
              </w:rPr>
            </w:pPr>
          </w:p>
        </w:tc>
      </w:tr>
      <w:tr>
        <w:trPr>
          <w:trHeight w:val="203"/>
        </w:trPr>
        <w:tc>
          <w:tcPr>
            <w:tcW w:w="2220" w:type="dxa"/>
            <w:vAlign w:val="bottom"/>
            <w:vMerge w:val="continue"/>
          </w:tcPr>
          <w:p>
            <w:pPr>
              <w:spacing w:after="0"/>
              <w:rPr>
                <w:sz w:val="17"/>
                <w:szCs w:val="17"/>
                <w:color w:val="auto"/>
              </w:rPr>
            </w:pPr>
          </w:p>
        </w:tc>
        <w:tc>
          <w:tcPr>
            <w:tcW w:w="8900" w:type="dxa"/>
            <w:vAlign w:val="bottom"/>
          </w:tcPr>
          <w:p>
            <w:pPr>
              <w:ind w:left="660"/>
              <w:spacing w:after="0" w:line="202" w:lineRule="exact"/>
              <w:rPr>
                <w:sz w:val="20"/>
                <w:szCs w:val="20"/>
                <w:color w:val="auto"/>
              </w:rPr>
            </w:pPr>
            <w:r>
              <w:rPr>
                <w:rFonts w:ascii="Arial" w:cs="Arial" w:eastAsia="Arial" w:hAnsi="Arial"/>
                <w:sz w:val="18"/>
                <w:szCs w:val="18"/>
                <w:color w:val="666666"/>
              </w:rPr>
              <w:t>• Expertise in finance, financial reporting, compliance and controls, and global businesses.</w:t>
            </w:r>
          </w:p>
        </w:tc>
        <w:tc>
          <w:tcPr>
            <w:tcW w:w="0" w:type="dxa"/>
            <w:vAlign w:val="bottom"/>
          </w:tcPr>
          <w:p>
            <w:pPr>
              <w:spacing w:after="0"/>
              <w:rPr>
                <w:sz w:val="1"/>
                <w:szCs w:val="1"/>
                <w:color w:val="auto"/>
              </w:rPr>
            </w:pPr>
          </w:p>
        </w:tc>
      </w:tr>
      <w:tr>
        <w:trPr>
          <w:trHeight w:val="217"/>
        </w:trPr>
        <w:tc>
          <w:tcPr>
            <w:tcW w:w="2220" w:type="dxa"/>
            <w:vAlign w:val="bottom"/>
          </w:tcPr>
          <w:p>
            <w:pPr>
              <w:ind w:left="60"/>
              <w:spacing w:after="0"/>
              <w:rPr>
                <w:sz w:val="20"/>
                <w:szCs w:val="20"/>
                <w:color w:val="auto"/>
              </w:rPr>
            </w:pPr>
            <w:r>
              <w:rPr>
                <w:rFonts w:ascii="Arial" w:cs="Arial" w:eastAsia="Arial" w:hAnsi="Arial"/>
                <w:sz w:val="18"/>
                <w:szCs w:val="18"/>
                <w:color w:val="666666"/>
              </w:rPr>
              <w:t>• Audit</w:t>
            </w: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8"/>
        </w:trPr>
        <w:tc>
          <w:tcPr>
            <w:tcW w:w="2220" w:type="dxa"/>
            <w:vAlign w:val="bottom"/>
          </w:tcPr>
          <w:p>
            <w:pPr>
              <w:spacing w:after="0"/>
              <w:rPr>
                <w:sz w:val="20"/>
                <w:szCs w:val="20"/>
                <w:color w:val="auto"/>
              </w:rPr>
            </w:pPr>
            <w:r>
              <w:rPr>
                <w:rFonts w:ascii="Arial" w:cs="Arial" w:eastAsia="Arial" w:hAnsi="Arial"/>
                <w:sz w:val="18"/>
                <w:szCs w:val="18"/>
                <w:color w:val="666666"/>
              </w:rPr>
              <w:t>Michèle A. Flournoy</w:t>
            </w:r>
          </w:p>
        </w:tc>
        <w:tc>
          <w:tcPr>
            <w:tcW w:w="8900" w:type="dxa"/>
            <w:vAlign w:val="bottom"/>
          </w:tcPr>
          <w:p>
            <w:pPr>
              <w:ind w:left="580"/>
              <w:spacing w:after="0"/>
              <w:rPr>
                <w:sz w:val="20"/>
                <w:szCs w:val="20"/>
                <w:color w:val="auto"/>
              </w:rPr>
            </w:pPr>
            <w:r>
              <w:rPr>
                <w:rFonts w:ascii="Arial" w:cs="Arial" w:eastAsia="Arial" w:hAnsi="Arial"/>
                <w:sz w:val="18"/>
                <w:szCs w:val="18"/>
                <w:color w:val="666666"/>
              </w:rPr>
              <w:t>Ms. Flournoy is co-founder and managing partner of WestExec Advisors, a strategic advisory firm</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666666"/>
              </w:rPr>
              <w:t>(Class I)</w:t>
            </w:r>
          </w:p>
        </w:tc>
        <w:tc>
          <w:tcPr>
            <w:tcW w:w="8900" w:type="dxa"/>
            <w:vAlign w:val="bottom"/>
          </w:tcPr>
          <w:p>
            <w:pPr>
              <w:ind w:left="580"/>
              <w:spacing w:after="0"/>
              <w:rPr>
                <w:sz w:val="20"/>
                <w:szCs w:val="20"/>
                <w:color w:val="auto"/>
              </w:rPr>
            </w:pPr>
            <w:r>
              <w:rPr>
                <w:rFonts w:ascii="Arial" w:cs="Arial" w:eastAsia="Arial" w:hAnsi="Arial"/>
                <w:sz w:val="18"/>
                <w:szCs w:val="18"/>
                <w:color w:val="666666"/>
              </w:rPr>
              <w:t>founded in 2017. Prior to her position, she served as the Under Secretary of Defense for Policy from</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2009 to 2012. She serves on the board of Amida Technology Solutions and nonprofit boards of the</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Center for a New American Security (CNAS), a bipartisan think tank which she co-founded in 2007 and</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served as its Chief Executive Officer from 2014 to 2016, The Mission Continues, CARE, and the United</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States Naval Academy Foundation. Previously, Ms. Flournoy served on the board of directors of CSRA</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Inc. from 2015 to 2018, The MITRE Corporation from 2013 to 2017, Rolls Royce North America, Inc.</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from 2012 to 2015 and was a senior advisor at Boston Consulting Group from 2012 to 2017. Ms.</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Flournoy previously served as a member of the Defense Policy Board, the President's Intelligence</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Advisory Board and the CIA Director's External Advisory Board. She remains a member of the Council</w:t>
            </w:r>
          </w:p>
        </w:tc>
        <w:tc>
          <w:tcPr>
            <w:tcW w:w="0" w:type="dxa"/>
            <w:vAlign w:val="bottom"/>
          </w:tcPr>
          <w:p>
            <w:pPr>
              <w:spacing w:after="0"/>
              <w:rPr>
                <w:sz w:val="1"/>
                <w:szCs w:val="1"/>
                <w:color w:val="auto"/>
              </w:rPr>
            </w:pPr>
          </w:p>
        </w:tc>
      </w:tr>
      <w:tr>
        <w:trPr>
          <w:trHeight w:val="202"/>
        </w:trPr>
        <w:tc>
          <w:tcPr>
            <w:tcW w:w="2220" w:type="dxa"/>
            <w:vAlign w:val="bottom"/>
          </w:tcPr>
          <w:p>
            <w:pPr>
              <w:spacing w:after="0"/>
              <w:rPr>
                <w:sz w:val="17"/>
                <w:szCs w:val="17"/>
                <w:color w:val="auto"/>
              </w:rPr>
            </w:pP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on Foreign Relations and the Aspen Strategy Group, and is a non-resident Senior Fellow at Harvard</w:t>
            </w:r>
          </w:p>
        </w:tc>
        <w:tc>
          <w:tcPr>
            <w:tcW w:w="0" w:type="dxa"/>
            <w:vAlign w:val="bottom"/>
          </w:tcPr>
          <w:p>
            <w:pPr>
              <w:spacing w:after="0"/>
              <w:rPr>
                <w:sz w:val="1"/>
                <w:szCs w:val="1"/>
                <w:color w:val="auto"/>
              </w:rPr>
            </w:pPr>
          </w:p>
        </w:tc>
      </w:tr>
      <w:tr>
        <w:trPr>
          <w:trHeight w:val="217"/>
        </w:trPr>
        <w:tc>
          <w:tcPr>
            <w:tcW w:w="2220" w:type="dxa"/>
            <w:vAlign w:val="bottom"/>
          </w:tcPr>
          <w:p>
            <w:pPr>
              <w:spacing w:after="0"/>
              <w:rPr>
                <w:sz w:val="18"/>
                <w:szCs w:val="18"/>
                <w:color w:val="auto"/>
              </w:rPr>
            </w:pPr>
          </w:p>
        </w:tc>
        <w:tc>
          <w:tcPr>
            <w:tcW w:w="8900" w:type="dxa"/>
            <w:vAlign w:val="bottom"/>
          </w:tcPr>
          <w:p>
            <w:pPr>
              <w:ind w:left="580"/>
              <w:spacing w:after="0"/>
              <w:rPr>
                <w:sz w:val="20"/>
                <w:szCs w:val="20"/>
                <w:color w:val="auto"/>
              </w:rPr>
            </w:pPr>
            <w:r>
              <w:rPr>
                <w:rFonts w:ascii="Arial" w:cs="Arial" w:eastAsia="Arial" w:hAnsi="Arial"/>
                <w:sz w:val="18"/>
                <w:szCs w:val="18"/>
                <w:color w:val="666666"/>
              </w:rPr>
              <w:t>University’s Belfer Center for Science and International Affairs.</w:t>
            </w:r>
          </w:p>
        </w:tc>
        <w:tc>
          <w:tcPr>
            <w:tcW w:w="0" w:type="dxa"/>
            <w:vAlign w:val="bottom"/>
          </w:tcPr>
          <w:p>
            <w:pPr>
              <w:spacing w:after="0"/>
              <w:rPr>
                <w:sz w:val="1"/>
                <w:szCs w:val="1"/>
                <w:color w:val="auto"/>
              </w:rPr>
            </w:pPr>
          </w:p>
        </w:tc>
      </w:tr>
      <w:tr>
        <w:trPr>
          <w:trHeight w:val="445"/>
        </w:trPr>
        <w:tc>
          <w:tcPr>
            <w:tcW w:w="2220" w:type="dxa"/>
            <w:vAlign w:val="bottom"/>
          </w:tcPr>
          <w:p>
            <w:pPr>
              <w:spacing w:after="0"/>
              <w:rPr>
                <w:sz w:val="20"/>
                <w:szCs w:val="20"/>
                <w:color w:val="auto"/>
              </w:rPr>
            </w:pPr>
            <w:r>
              <w:rPr>
                <w:rFonts w:ascii="Arial" w:cs="Arial" w:eastAsia="Arial" w:hAnsi="Arial"/>
                <w:sz w:val="18"/>
                <w:szCs w:val="18"/>
                <w:color w:val="666666"/>
              </w:rPr>
              <w:t>Age: 59</w:t>
            </w:r>
          </w:p>
        </w:tc>
        <w:tc>
          <w:tcPr>
            <w:tcW w:w="8900" w:type="dxa"/>
            <w:vAlign w:val="bottom"/>
          </w:tcPr>
          <w:p>
            <w:pPr>
              <w:ind w:left="580"/>
              <w:spacing w:after="0"/>
              <w:rPr>
                <w:sz w:val="20"/>
                <w:szCs w:val="20"/>
                <w:color w:val="auto"/>
              </w:rPr>
            </w:pPr>
            <w:r>
              <w:rPr>
                <w:rFonts w:ascii="Arial" w:cs="Arial" w:eastAsia="Arial" w:hAnsi="Arial"/>
                <w:sz w:val="18"/>
                <w:szCs w:val="18"/>
                <w:color w:val="666666"/>
              </w:rPr>
              <w:t>Specific qualifications, experience, skills, and expertise include:</w:t>
            </w: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666666"/>
              </w:rPr>
              <w:t>Director since: 2018</w:t>
            </w:r>
          </w:p>
        </w:tc>
        <w:tc>
          <w:tcPr>
            <w:tcW w:w="8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666666"/>
              </w:rPr>
              <w:t>Independent</w:t>
            </w:r>
          </w:p>
        </w:tc>
        <w:tc>
          <w:tcPr>
            <w:tcW w:w="8900" w:type="dxa"/>
            <w:vAlign w:val="bottom"/>
          </w:tcPr>
          <w:p>
            <w:pPr>
              <w:ind w:left="660"/>
              <w:spacing w:after="0" w:line="202" w:lineRule="exact"/>
              <w:rPr>
                <w:sz w:val="20"/>
                <w:szCs w:val="20"/>
                <w:color w:val="auto"/>
              </w:rPr>
            </w:pPr>
            <w:r>
              <w:rPr>
                <w:rFonts w:ascii="Arial" w:cs="Arial" w:eastAsia="Arial" w:hAnsi="Arial"/>
                <w:sz w:val="18"/>
                <w:szCs w:val="18"/>
                <w:color w:val="666666"/>
              </w:rPr>
              <w:t>• Significant government experience, particularly in national security and defense policies;</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8900" w:type="dxa"/>
            <w:vAlign w:val="bottom"/>
          </w:tcPr>
          <w:p>
            <w:pPr>
              <w:ind w:left="660"/>
              <w:spacing w:after="0" w:line="202" w:lineRule="exact"/>
              <w:rPr>
                <w:sz w:val="20"/>
                <w:szCs w:val="20"/>
                <w:color w:val="auto"/>
              </w:rPr>
            </w:pPr>
            <w:r>
              <w:rPr>
                <w:rFonts w:ascii="Arial" w:cs="Arial" w:eastAsia="Arial" w:hAnsi="Arial"/>
                <w:sz w:val="18"/>
                <w:szCs w:val="18"/>
                <w:color w:val="666666"/>
              </w:rPr>
              <w:t>• Public company directorship and committee experience; and</w:t>
            </w:r>
          </w:p>
        </w:tc>
        <w:tc>
          <w:tcPr>
            <w:tcW w:w="0" w:type="dxa"/>
            <w:vAlign w:val="bottom"/>
          </w:tcPr>
          <w:p>
            <w:pPr>
              <w:spacing w:after="0"/>
              <w:rPr>
                <w:sz w:val="1"/>
                <w:szCs w:val="1"/>
                <w:color w:val="auto"/>
              </w:rPr>
            </w:pPr>
          </w:p>
        </w:tc>
      </w:tr>
      <w:tr>
        <w:trPr>
          <w:trHeight w:val="203"/>
        </w:trPr>
        <w:tc>
          <w:tcPr>
            <w:tcW w:w="2220" w:type="dxa"/>
            <w:vAlign w:val="bottom"/>
            <w:vMerge w:val="restart"/>
          </w:tcPr>
          <w:p>
            <w:pPr>
              <w:spacing w:after="0"/>
              <w:rPr>
                <w:sz w:val="20"/>
                <w:szCs w:val="20"/>
                <w:color w:val="auto"/>
              </w:rPr>
            </w:pPr>
            <w:r>
              <w:rPr>
                <w:rFonts w:ascii="Arial" w:cs="Arial" w:eastAsia="Arial" w:hAnsi="Arial"/>
                <w:sz w:val="18"/>
                <w:szCs w:val="18"/>
                <w:i w:val="1"/>
                <w:iCs w:val="1"/>
                <w:color w:val="666666"/>
              </w:rPr>
              <w:t>Committees:</w:t>
            </w:r>
          </w:p>
        </w:tc>
        <w:tc>
          <w:tcPr>
            <w:tcW w:w="8900" w:type="dxa"/>
            <w:vAlign w:val="bottom"/>
          </w:tcPr>
          <w:p>
            <w:pPr>
              <w:ind w:left="660"/>
              <w:spacing w:after="0" w:line="202" w:lineRule="exact"/>
              <w:rPr>
                <w:sz w:val="20"/>
                <w:szCs w:val="20"/>
                <w:color w:val="auto"/>
              </w:rPr>
            </w:pPr>
            <w:r>
              <w:rPr>
                <w:rFonts w:ascii="Arial" w:cs="Arial" w:eastAsia="Arial" w:hAnsi="Arial"/>
                <w:sz w:val="18"/>
                <w:szCs w:val="18"/>
                <w:color w:val="666666"/>
              </w:rPr>
              <w:t>• Core business skills, including financial and strategic planning as well as leading not-for-profit</w:t>
            </w:r>
          </w:p>
        </w:tc>
        <w:tc>
          <w:tcPr>
            <w:tcW w:w="0" w:type="dxa"/>
            <w:vAlign w:val="bottom"/>
          </w:tcPr>
          <w:p>
            <w:pPr>
              <w:spacing w:after="0"/>
              <w:rPr>
                <w:sz w:val="1"/>
                <w:szCs w:val="1"/>
                <w:color w:val="auto"/>
              </w:rPr>
            </w:pPr>
          </w:p>
        </w:tc>
      </w:tr>
      <w:tr>
        <w:trPr>
          <w:trHeight w:val="203"/>
        </w:trPr>
        <w:tc>
          <w:tcPr>
            <w:tcW w:w="2220" w:type="dxa"/>
            <w:vAlign w:val="bottom"/>
            <w:vMerge w:val="continue"/>
          </w:tcPr>
          <w:p>
            <w:pPr>
              <w:spacing w:after="0"/>
              <w:rPr>
                <w:sz w:val="17"/>
                <w:szCs w:val="17"/>
                <w:color w:val="auto"/>
              </w:rPr>
            </w:pPr>
          </w:p>
        </w:tc>
        <w:tc>
          <w:tcPr>
            <w:tcW w:w="8900" w:type="dxa"/>
            <w:vAlign w:val="bottom"/>
          </w:tcPr>
          <w:p>
            <w:pPr>
              <w:ind w:left="980"/>
              <w:spacing w:after="0" w:line="202" w:lineRule="exact"/>
              <w:rPr>
                <w:sz w:val="20"/>
                <w:szCs w:val="20"/>
                <w:color w:val="auto"/>
              </w:rPr>
            </w:pPr>
            <w:r>
              <w:rPr>
                <w:rFonts w:ascii="Arial" w:cs="Arial" w:eastAsia="Arial" w:hAnsi="Arial"/>
                <w:sz w:val="18"/>
                <w:szCs w:val="18"/>
                <w:color w:val="666666"/>
              </w:rPr>
              <w:t>organizations.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-4885055</wp:posOffset>
            </wp:positionV>
            <wp:extent cx="1139825" cy="1139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39825" cy="11398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-1953260</wp:posOffset>
            </wp:positionV>
            <wp:extent cx="1148715" cy="1148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ind w:left="160" w:hanging="108"/>
        <w:spacing w:after="0" w:line="234" w:lineRule="auto"/>
        <w:tabs>
          <w:tab w:leader="none" w:pos="160" w:val="left"/>
        </w:tabs>
        <w:numPr>
          <w:ilvl w:val="0"/>
          <w:numId w:val="11"/>
        </w:numPr>
        <w:rPr>
          <w:rFonts w:ascii="Arial" w:cs="Arial" w:eastAsia="Arial" w:hAnsi="Arial"/>
          <w:sz w:val="18"/>
          <w:szCs w:val="18"/>
          <w:color w:val="666666"/>
        </w:rPr>
      </w:pPr>
      <w:r>
        <w:rPr>
          <w:rFonts w:ascii="Arial" w:cs="Arial" w:eastAsia="Arial" w:hAnsi="Arial"/>
          <w:sz w:val="18"/>
          <w:szCs w:val="18"/>
          <w:color w:val="666666"/>
        </w:rPr>
        <w:t>Compensation</w:t>
      </w:r>
    </w:p>
    <w:p>
      <w:pPr>
        <w:ind w:left="240" w:right="8840" w:hanging="188"/>
        <w:spacing w:after="0" w:line="246" w:lineRule="auto"/>
        <w:tabs>
          <w:tab w:leader="none" w:pos="160" w:val="left"/>
        </w:tabs>
        <w:numPr>
          <w:ilvl w:val="0"/>
          <w:numId w:val="11"/>
        </w:numPr>
        <w:rPr>
          <w:rFonts w:ascii="Arial" w:cs="Arial" w:eastAsia="Arial" w:hAnsi="Arial"/>
          <w:sz w:val="18"/>
          <w:szCs w:val="18"/>
          <w:color w:val="666666"/>
        </w:rPr>
      </w:pPr>
      <w:r>
        <w:rPr>
          <w:rFonts w:ascii="Arial" w:cs="Arial" w:eastAsia="Arial" w:hAnsi="Arial"/>
          <w:sz w:val="18"/>
          <w:szCs w:val="18"/>
          <w:color w:val="666666"/>
        </w:rPr>
        <w:t>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1051560</wp:posOffset>
            </wp:positionV>
            <wp:extent cx="5580380" cy="771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8038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547BCC"/>
        </w:rPr>
        <w:t>The Board of Directors recommends a vote FOR</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547BCC"/>
        </w:rPr>
        <w:t>each of the Class I nominees.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7</w:t>
      </w:r>
    </w:p>
    <w:p>
      <w:pPr>
        <w:sectPr>
          <w:pgSz w:w="11900" w:h="16838" w:orient="portrait"/>
          <w:cols w:equalWidth="0" w:num="1">
            <w:col w:w="11120"/>
          </w:cols>
          <w:pgMar w:left="380" w:top="620" w:right="39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31"/>
          <w:szCs w:val="31"/>
          <w:b w:val="1"/>
          <w:bCs w:val="1"/>
          <w:color w:val="547BCC"/>
        </w:rPr>
        <w:t>CONTINUING DIRECTORS</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20"/>
          <w:szCs w:val="20"/>
          <w:color w:val="666666"/>
        </w:rPr>
        <w:t>The eight directors whose terms will continue after the Annual Meeting and will expire at the 2021 Annual Meeting (Class II) or the 2022 Annual Meeting (Class III) are listed below.</w:t>
      </w:r>
    </w:p>
    <w:p>
      <w:pPr>
        <w:sectPr>
          <w:pgSz w:w="11900" w:h="16838" w:orient="portrait"/>
          <w:cols w:equalWidth="0" w:num="1">
            <w:col w:w="11240"/>
          </w:cols>
          <w:pgMar w:left="320" w:top="324"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66666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28575</wp:posOffset>
            </wp:positionV>
            <wp:extent cx="14230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9" w:lineRule="exact"/>
        <w:rPr>
          <w:sz w:val="20"/>
          <w:szCs w:val="20"/>
          <w:color w:val="auto"/>
        </w:rPr>
      </w:pPr>
    </w:p>
    <w:p>
      <w:pPr>
        <w:ind w:left="60" w:right="340"/>
        <w:spacing w:after="0" w:line="246" w:lineRule="auto"/>
        <w:rPr>
          <w:sz w:val="20"/>
          <w:szCs w:val="20"/>
          <w:color w:val="auto"/>
        </w:rPr>
      </w:pPr>
      <w:r>
        <w:rPr>
          <w:rFonts w:ascii="Arial" w:cs="Arial" w:eastAsia="Arial" w:hAnsi="Arial"/>
          <w:sz w:val="18"/>
          <w:szCs w:val="18"/>
          <w:color w:val="666666"/>
        </w:rPr>
        <w:t>Horacio D. Rozanski (Class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262890</wp:posOffset>
            </wp:positionV>
            <wp:extent cx="1139825" cy="11404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39825"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666666"/>
        </w:rPr>
        <w:t>Age: 52</w:t>
      </w:r>
    </w:p>
    <w:p>
      <w:pPr>
        <w:ind w:left="60"/>
        <w:spacing w:after="0"/>
        <w:rPr>
          <w:sz w:val="20"/>
          <w:szCs w:val="20"/>
          <w:color w:val="auto"/>
        </w:rPr>
      </w:pPr>
      <w:r>
        <w:rPr>
          <w:rFonts w:ascii="Arial" w:cs="Arial" w:eastAsia="Arial" w:hAnsi="Arial"/>
          <w:sz w:val="18"/>
          <w:szCs w:val="18"/>
          <w:color w:val="666666"/>
        </w:rPr>
        <w:t>Director since: 2014</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666666"/>
        </w:rPr>
        <w:t>Committee: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666666"/>
        </w:rPr>
        <w:t>• Executive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Arial" w:cs="Arial" w:eastAsia="Arial" w:hAnsi="Arial"/>
          <w:sz w:val="18"/>
          <w:szCs w:val="18"/>
          <w:color w:val="5E5E61"/>
        </w:rPr>
        <w:t>Ian Fujiyama</w:t>
      </w:r>
    </w:p>
    <w:p>
      <w:pPr>
        <w:ind w:left="60"/>
        <w:spacing w:after="0"/>
        <w:rPr>
          <w:sz w:val="20"/>
          <w:szCs w:val="20"/>
          <w:color w:val="auto"/>
        </w:rPr>
      </w:pPr>
      <w:r>
        <w:rPr>
          <w:rFonts w:ascii="Arial" w:cs="Arial" w:eastAsia="Arial" w:hAnsi="Arial"/>
          <w:sz w:val="18"/>
          <w:szCs w:val="18"/>
          <w:color w:val="5E5E61"/>
        </w:rPr>
        <w:t>(Class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1148715" cy="1148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color w:val="666666"/>
        </w:rPr>
        <w:t>Age: 47</w:t>
      </w:r>
    </w:p>
    <w:p>
      <w:pPr>
        <w:ind w:left="60" w:right="380"/>
        <w:spacing w:after="0" w:line="246" w:lineRule="auto"/>
        <w:rPr>
          <w:sz w:val="20"/>
          <w:szCs w:val="20"/>
          <w:color w:val="auto"/>
        </w:rPr>
      </w:pPr>
      <w:r>
        <w:rPr>
          <w:rFonts w:ascii="Arial" w:cs="Arial" w:eastAsia="Arial" w:hAnsi="Arial"/>
          <w:sz w:val="18"/>
          <w:szCs w:val="18"/>
          <w:color w:val="666666"/>
        </w:rPr>
        <w:t>Director since: 2008 Independent</w:t>
      </w:r>
    </w:p>
    <w:p>
      <w:pPr>
        <w:spacing w:after="0" w:line="3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666666"/>
        </w:rPr>
        <w:t>Committees:</w:t>
      </w:r>
    </w:p>
    <w:p>
      <w:pPr>
        <w:spacing w:after="0" w:line="9" w:lineRule="exact"/>
        <w:rPr>
          <w:sz w:val="20"/>
          <w:szCs w:val="20"/>
          <w:color w:val="auto"/>
        </w:rPr>
      </w:pPr>
    </w:p>
    <w:p>
      <w:pPr>
        <w:ind w:left="220" w:hanging="108"/>
        <w:spacing w:after="0"/>
        <w:tabs>
          <w:tab w:leader="none" w:pos="220" w:val="left"/>
        </w:tabs>
        <w:numPr>
          <w:ilvl w:val="0"/>
          <w:numId w:val="12"/>
        </w:numPr>
        <w:rPr>
          <w:rFonts w:ascii="Arial" w:cs="Arial" w:eastAsia="Arial" w:hAnsi="Arial"/>
          <w:sz w:val="18"/>
          <w:szCs w:val="18"/>
          <w:color w:val="666666"/>
        </w:rPr>
      </w:pPr>
      <w:r>
        <w:rPr>
          <w:rFonts w:ascii="Arial" w:cs="Arial" w:eastAsia="Arial" w:hAnsi="Arial"/>
          <w:sz w:val="18"/>
          <w:szCs w:val="18"/>
          <w:color w:val="666666"/>
        </w:rPr>
        <w:t>Executive</w:t>
      </w:r>
    </w:p>
    <w:p>
      <w:pPr>
        <w:ind w:left="220" w:hanging="108"/>
        <w:spacing w:after="0"/>
        <w:tabs>
          <w:tab w:leader="none" w:pos="220" w:val="left"/>
        </w:tabs>
        <w:numPr>
          <w:ilvl w:val="0"/>
          <w:numId w:val="12"/>
        </w:numPr>
        <w:rPr>
          <w:rFonts w:ascii="Arial" w:cs="Arial" w:eastAsia="Arial" w:hAnsi="Arial"/>
          <w:sz w:val="18"/>
          <w:szCs w:val="18"/>
          <w:color w:val="666666"/>
        </w:rPr>
      </w:pPr>
      <w:r>
        <w:rPr>
          <w:rFonts w:ascii="Arial" w:cs="Arial" w:eastAsia="Arial" w:hAnsi="Arial"/>
          <w:sz w:val="18"/>
          <w:szCs w:val="18"/>
          <w:color w:val="666666"/>
        </w:rPr>
        <w:t>Compensation</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666666"/>
        </w:rPr>
        <w:t>Principal Occupation, Business</w:t>
      </w:r>
    </w:p>
    <w:p>
      <w:pPr>
        <w:spacing w:after="0" w:line="1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666666"/>
        </w:rPr>
        <w:t>Experience and Other Directorships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143510</wp:posOffset>
            </wp:positionV>
            <wp:extent cx="5383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8353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666666"/>
        </w:rPr>
        <w:t>Mr. Rozanski is our President and Chief Executive Officer and served as our Chief Operating Officer until January 1, 2015. Mr. Rozanski served as Chief Strategy and Talent Officer in 2010 and prior to that, Chief Personnel Officer of our Company from 2002 through 2010. Mr. Rozanski joined our Company in 1992 and became an Executive Vice President in 2009, our President on January 1, 2014, and our Chief Executive Officer on January 1, 2015. He serves on the boards of directors of the United States Holocaust Memorial Museum's Committee on Conscience and the Children's National Medical Center, and as Vice Chair of the Corporate Fund for the John F. Kennedy Center for the Performing 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666666"/>
        </w:rPr>
        <w:t>Specific qualifications, experience, skills, and expertise include:</w:t>
      </w:r>
    </w:p>
    <w:p>
      <w:pPr>
        <w:spacing w:after="0" w:line="99" w:lineRule="exact"/>
        <w:rPr>
          <w:sz w:val="20"/>
          <w:szCs w:val="20"/>
          <w:color w:val="auto"/>
        </w:rPr>
      </w:pPr>
    </w:p>
    <w:p>
      <w:pPr>
        <w:ind w:left="180" w:hanging="104"/>
        <w:spacing w:after="0"/>
        <w:tabs>
          <w:tab w:leader="none" w:pos="180" w:val="left"/>
        </w:tabs>
        <w:numPr>
          <w:ilvl w:val="0"/>
          <w:numId w:val="13"/>
        </w:numPr>
        <w:rPr>
          <w:rFonts w:ascii="Arial" w:cs="Arial" w:eastAsia="Arial" w:hAnsi="Arial"/>
          <w:sz w:val="18"/>
          <w:szCs w:val="18"/>
          <w:color w:val="666666"/>
        </w:rPr>
      </w:pPr>
      <w:r>
        <w:rPr>
          <w:rFonts w:ascii="Arial" w:cs="Arial" w:eastAsia="Arial" w:hAnsi="Arial"/>
          <w:sz w:val="18"/>
          <w:szCs w:val="18"/>
          <w:color w:val="666666"/>
        </w:rPr>
        <w:t>Operating and management experience;</w:t>
      </w:r>
    </w:p>
    <w:p>
      <w:pPr>
        <w:ind w:left="180" w:hanging="104"/>
        <w:spacing w:after="0" w:line="234" w:lineRule="auto"/>
        <w:tabs>
          <w:tab w:leader="none" w:pos="180" w:val="left"/>
        </w:tabs>
        <w:numPr>
          <w:ilvl w:val="0"/>
          <w:numId w:val="13"/>
        </w:numPr>
        <w:rPr>
          <w:rFonts w:ascii="Arial" w:cs="Arial" w:eastAsia="Arial" w:hAnsi="Arial"/>
          <w:sz w:val="18"/>
          <w:szCs w:val="18"/>
          <w:color w:val="666666"/>
        </w:rPr>
      </w:pPr>
      <w:r>
        <w:rPr>
          <w:rFonts w:ascii="Arial" w:cs="Arial" w:eastAsia="Arial" w:hAnsi="Arial"/>
          <w:sz w:val="18"/>
          <w:szCs w:val="18"/>
          <w:color w:val="666666"/>
        </w:rPr>
        <w:t>Understanding of government contracting;</w:t>
      </w:r>
    </w:p>
    <w:p>
      <w:pPr>
        <w:ind w:left="180" w:hanging="104"/>
        <w:spacing w:after="0" w:line="234" w:lineRule="auto"/>
        <w:tabs>
          <w:tab w:leader="none" w:pos="180" w:val="left"/>
        </w:tabs>
        <w:numPr>
          <w:ilvl w:val="0"/>
          <w:numId w:val="13"/>
        </w:numPr>
        <w:rPr>
          <w:rFonts w:ascii="Arial" w:cs="Arial" w:eastAsia="Arial" w:hAnsi="Arial"/>
          <w:sz w:val="18"/>
          <w:szCs w:val="18"/>
          <w:color w:val="666666"/>
        </w:rPr>
      </w:pPr>
      <w:r>
        <w:rPr>
          <w:rFonts w:ascii="Arial" w:cs="Arial" w:eastAsia="Arial" w:hAnsi="Arial"/>
          <w:sz w:val="18"/>
          <w:szCs w:val="18"/>
          <w:color w:val="666666"/>
        </w:rPr>
        <w:t>Core business skills, including financial and strategic planning; and</w:t>
      </w:r>
    </w:p>
    <w:p>
      <w:pPr>
        <w:ind w:left="180" w:hanging="104"/>
        <w:spacing w:after="0"/>
        <w:tabs>
          <w:tab w:leader="none" w:pos="180" w:val="left"/>
        </w:tabs>
        <w:numPr>
          <w:ilvl w:val="0"/>
          <w:numId w:val="13"/>
        </w:numPr>
        <w:rPr>
          <w:rFonts w:ascii="Arial" w:cs="Arial" w:eastAsia="Arial" w:hAnsi="Arial"/>
          <w:sz w:val="18"/>
          <w:szCs w:val="18"/>
          <w:color w:val="666666"/>
        </w:rPr>
      </w:pPr>
      <w:r>
        <w:rPr>
          <w:rFonts w:ascii="Arial" w:cs="Arial" w:eastAsia="Arial" w:hAnsi="Arial"/>
          <w:sz w:val="18"/>
          <w:szCs w:val="18"/>
          <w:color w:val="666666"/>
        </w:rPr>
        <w:t>Deep understanding of our Company, its history, and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00" w:right="60"/>
        <w:spacing w:after="0" w:line="238" w:lineRule="auto"/>
        <w:rPr>
          <w:sz w:val="20"/>
          <w:szCs w:val="20"/>
          <w:color w:val="auto"/>
        </w:rPr>
      </w:pPr>
      <w:r>
        <w:rPr>
          <w:rFonts w:ascii="Arial" w:cs="Arial" w:eastAsia="Arial" w:hAnsi="Arial"/>
          <w:sz w:val="18"/>
          <w:szCs w:val="18"/>
          <w:color w:val="666666"/>
        </w:rPr>
        <w:t>Mr. Fujiyama is a Managing Director of Carlyle as well as a member of the firm's Aerospace, Defense, and Government Services team. In 1999, Mr. Fujiyama spent two years in Hong Kong and Seoul working with Carlyle's Asia buyout fund, Carlyle Asia Partners. He currently serves as a member of the board of directors of Dynamic Precision Group, Novetta Solutions LLC and NORDAM Group LLC and KLDiscovery. He served on the board of directors of ARINC Incorporated from 2007 to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0"/>
        <w:spacing w:after="0"/>
        <w:rPr>
          <w:sz w:val="20"/>
          <w:szCs w:val="20"/>
          <w:color w:val="auto"/>
        </w:rPr>
      </w:pPr>
      <w:r>
        <w:rPr>
          <w:rFonts w:ascii="Arial" w:cs="Arial" w:eastAsia="Arial" w:hAnsi="Arial"/>
          <w:sz w:val="18"/>
          <w:szCs w:val="18"/>
          <w:color w:val="666666"/>
        </w:rPr>
        <w:t>Specific qualifications, experience, skills, and expertise include:</w:t>
      </w:r>
    </w:p>
    <w:p>
      <w:pPr>
        <w:spacing w:after="0" w:line="194" w:lineRule="exact"/>
        <w:rPr>
          <w:sz w:val="20"/>
          <w:szCs w:val="20"/>
          <w:color w:val="auto"/>
        </w:rPr>
      </w:pPr>
    </w:p>
    <w:p>
      <w:pPr>
        <w:ind w:left="300" w:hanging="123"/>
        <w:spacing w:after="0"/>
        <w:tabs>
          <w:tab w:leader="none" w:pos="300" w:val="left"/>
        </w:tabs>
        <w:numPr>
          <w:ilvl w:val="0"/>
          <w:numId w:val="14"/>
        </w:numPr>
        <w:rPr>
          <w:rFonts w:ascii="Arial" w:cs="Arial" w:eastAsia="Arial" w:hAnsi="Arial"/>
          <w:sz w:val="18"/>
          <w:szCs w:val="18"/>
          <w:color w:val="666666"/>
        </w:rPr>
      </w:pPr>
      <w:r>
        <w:rPr>
          <w:rFonts w:ascii="Arial" w:cs="Arial" w:eastAsia="Arial" w:hAnsi="Arial"/>
          <w:sz w:val="18"/>
          <w:szCs w:val="18"/>
          <w:color w:val="666666"/>
        </w:rPr>
        <w:t>Operating experience;</w:t>
      </w:r>
    </w:p>
    <w:p>
      <w:pPr>
        <w:ind w:left="300" w:hanging="123"/>
        <w:spacing w:after="0" w:line="234" w:lineRule="auto"/>
        <w:tabs>
          <w:tab w:leader="none" w:pos="300" w:val="left"/>
        </w:tabs>
        <w:numPr>
          <w:ilvl w:val="0"/>
          <w:numId w:val="14"/>
        </w:numPr>
        <w:rPr>
          <w:rFonts w:ascii="Arial" w:cs="Arial" w:eastAsia="Arial" w:hAnsi="Arial"/>
          <w:sz w:val="18"/>
          <w:szCs w:val="18"/>
          <w:color w:val="666666"/>
        </w:rPr>
      </w:pPr>
      <w:r>
        <w:rPr>
          <w:rFonts w:ascii="Arial" w:cs="Arial" w:eastAsia="Arial" w:hAnsi="Arial"/>
          <w:sz w:val="18"/>
          <w:szCs w:val="18"/>
          <w:color w:val="666666"/>
        </w:rPr>
        <w:t>Understanding of government contracting;</w:t>
      </w:r>
    </w:p>
    <w:p>
      <w:pPr>
        <w:ind w:left="300" w:hanging="123"/>
        <w:spacing w:after="0" w:line="234" w:lineRule="auto"/>
        <w:tabs>
          <w:tab w:leader="none" w:pos="300" w:val="left"/>
        </w:tabs>
        <w:numPr>
          <w:ilvl w:val="0"/>
          <w:numId w:val="14"/>
        </w:numPr>
        <w:rPr>
          <w:rFonts w:ascii="Arial" w:cs="Arial" w:eastAsia="Arial" w:hAnsi="Arial"/>
          <w:sz w:val="18"/>
          <w:szCs w:val="18"/>
          <w:color w:val="666666"/>
        </w:rPr>
      </w:pPr>
      <w:r>
        <w:rPr>
          <w:rFonts w:ascii="Arial" w:cs="Arial" w:eastAsia="Arial" w:hAnsi="Arial"/>
          <w:sz w:val="18"/>
          <w:szCs w:val="18"/>
          <w:color w:val="666666"/>
        </w:rPr>
        <w:t>Core business skills, including financial and strategic planning;</w:t>
      </w:r>
    </w:p>
    <w:p>
      <w:pPr>
        <w:ind w:left="300" w:hanging="123"/>
        <w:spacing w:after="0" w:line="234" w:lineRule="auto"/>
        <w:tabs>
          <w:tab w:leader="none" w:pos="300" w:val="left"/>
        </w:tabs>
        <w:numPr>
          <w:ilvl w:val="0"/>
          <w:numId w:val="14"/>
        </w:numPr>
        <w:rPr>
          <w:rFonts w:ascii="Arial" w:cs="Arial" w:eastAsia="Arial" w:hAnsi="Arial"/>
          <w:sz w:val="18"/>
          <w:szCs w:val="18"/>
          <w:color w:val="666666"/>
        </w:rPr>
      </w:pPr>
      <w:r>
        <w:rPr>
          <w:rFonts w:ascii="Arial" w:cs="Arial" w:eastAsia="Arial" w:hAnsi="Arial"/>
          <w:sz w:val="18"/>
          <w:szCs w:val="18"/>
          <w:color w:val="666666"/>
        </w:rPr>
        <w:t>Experience in mergers and acquisitions; and</w:t>
      </w:r>
    </w:p>
    <w:p>
      <w:pPr>
        <w:ind w:left="300" w:hanging="123"/>
        <w:spacing w:after="0"/>
        <w:tabs>
          <w:tab w:leader="none" w:pos="300" w:val="left"/>
        </w:tabs>
        <w:numPr>
          <w:ilvl w:val="0"/>
          <w:numId w:val="14"/>
        </w:numPr>
        <w:rPr>
          <w:rFonts w:ascii="Arial" w:cs="Arial" w:eastAsia="Arial" w:hAnsi="Arial"/>
          <w:sz w:val="18"/>
          <w:szCs w:val="18"/>
          <w:color w:val="666666"/>
        </w:rPr>
      </w:pPr>
      <w:r>
        <w:rPr>
          <w:rFonts w:ascii="Arial" w:cs="Arial" w:eastAsia="Arial" w:hAnsi="Arial"/>
          <w:sz w:val="18"/>
          <w:szCs w:val="18"/>
          <w:color w:val="666666"/>
        </w:rPr>
        <w:t>Expertise in finance, financial reporting, compliance and controls, and global businesses.</w:t>
      </w:r>
    </w:p>
    <w:p>
      <w:pPr>
        <w:spacing w:after="0" w:line="402" w:lineRule="exact"/>
        <w:rPr>
          <w:sz w:val="20"/>
          <w:szCs w:val="20"/>
          <w:color w:val="auto"/>
        </w:rPr>
      </w:pPr>
    </w:p>
    <w:p>
      <w:pPr>
        <w:sectPr>
          <w:pgSz w:w="11900" w:h="16838" w:orient="portrait"/>
          <w:cols w:equalWidth="0" w:num="2">
            <w:col w:w="2040" w:space="720"/>
            <w:col w:w="8480"/>
          </w:cols>
          <w:pgMar w:left="320" w:top="3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666666"/>
        </w:rPr>
        <w:t>8</w:t>
      </w:r>
    </w:p>
    <w:p>
      <w:pPr>
        <w:sectPr>
          <w:pgSz w:w="11900" w:h="16838" w:orient="portrait"/>
          <w:cols w:equalWidth="0" w:num="1">
            <w:col w:w="11240"/>
          </w:cols>
          <w:pgMar w:left="320" w:top="324"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20"/>
                <w:szCs w:val="20"/>
                <w:color w:val="auto"/>
              </w:rPr>
            </w:pPr>
            <w:r>
              <w:rPr>
                <w:rFonts w:ascii="Arial" w:cs="Arial" w:eastAsia="Arial" w:hAnsi="Arial"/>
                <w:sz w:val="18"/>
                <w:szCs w:val="18"/>
                <w:color w:val="666666"/>
              </w:rPr>
              <w:t>Mark E. Gaumond</w:t>
            </w:r>
          </w:p>
        </w:tc>
        <w:tc>
          <w:tcPr>
            <w:tcW w:w="8900" w:type="dxa"/>
            <w:vAlign w:val="bottom"/>
          </w:tcPr>
          <w:p>
            <w:pPr>
              <w:ind w:left="500"/>
              <w:spacing w:after="0"/>
              <w:rPr>
                <w:sz w:val="20"/>
                <w:szCs w:val="20"/>
                <w:color w:val="auto"/>
              </w:rPr>
            </w:pPr>
            <w:r>
              <w:rPr>
                <w:rFonts w:ascii="Arial" w:cs="Arial" w:eastAsia="Arial" w:hAnsi="Arial"/>
                <w:sz w:val="18"/>
                <w:szCs w:val="18"/>
                <w:color w:val="666666"/>
              </w:rPr>
              <w:t>Mr. Gaumond has 35 years of experience working with senior management and audit committees of</w:t>
            </w:r>
          </w:p>
        </w:tc>
        <w:tc>
          <w:tcPr>
            <w:tcW w:w="0" w:type="dxa"/>
            <w:vAlign w:val="bottom"/>
          </w:tcPr>
          <w:p>
            <w:pPr>
              <w:spacing w:after="0"/>
              <w:rPr>
                <w:sz w:val="1"/>
                <w:szCs w:val="1"/>
                <w:color w:val="auto"/>
              </w:rPr>
            </w:pPr>
          </w:p>
        </w:tc>
      </w:tr>
      <w:tr>
        <w:trPr>
          <w:trHeight w:val="203"/>
        </w:trPr>
        <w:tc>
          <w:tcPr>
            <w:tcW w:w="2180" w:type="dxa"/>
            <w:vAlign w:val="bottom"/>
          </w:tcPr>
          <w:p>
            <w:pPr>
              <w:spacing w:after="0" w:line="202" w:lineRule="exact"/>
              <w:rPr>
                <w:sz w:val="20"/>
                <w:szCs w:val="20"/>
                <w:color w:val="auto"/>
              </w:rPr>
            </w:pPr>
            <w:r>
              <w:rPr>
                <w:rFonts w:ascii="Arial" w:cs="Arial" w:eastAsia="Arial" w:hAnsi="Arial"/>
                <w:sz w:val="18"/>
                <w:szCs w:val="18"/>
                <w:color w:val="666666"/>
              </w:rPr>
              <w:t>(Class II)</w:t>
            </w: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rPr>
              <w:t>public and privately-held companies. He held senior positions with E&amp;Y from 2002 to 2010, retiring from</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rPr>
              <w:t>the firm as Senior Vice Chair for the Americas, and previously was a partner with a 27-year career at</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rPr>
              <w:t>Andersen LLP. Mr. Gaumond has a BA from Georgetown University and an MBA from New York</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rPr>
              <w:t>University. He is a member of the American Institute of Certified Public Accountants. He serves as a</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rPr>
              <w:t>director of First American Funds since 2016, the Fishers Island Club since 2017, and the Walsh Park</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rPr>
              <w:t>Benevolent Corporation since 1992. Mr. Gaumond formerly served as a director of Cliff's Natural</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rPr>
              <w:t>Resources, Inc. from July 2013 to September 2014, Rayonier, Inc. from November 2010 to June 2014,</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rPr>
              <w:t>Rayonier Advanced Materials, Inc. from July 2014 to May 2020 and is a former trustee of The California</w:t>
            </w:r>
          </w:p>
        </w:tc>
        <w:tc>
          <w:tcPr>
            <w:tcW w:w="0" w:type="dxa"/>
            <w:vAlign w:val="bottom"/>
          </w:tcPr>
          <w:p>
            <w:pPr>
              <w:spacing w:after="0"/>
              <w:rPr>
                <w:sz w:val="1"/>
                <w:szCs w:val="1"/>
                <w:color w:val="auto"/>
              </w:rPr>
            </w:pPr>
          </w:p>
        </w:tc>
      </w:tr>
      <w:tr>
        <w:trPr>
          <w:trHeight w:val="217"/>
        </w:trPr>
        <w:tc>
          <w:tcPr>
            <w:tcW w:w="2180" w:type="dxa"/>
            <w:vAlign w:val="bottom"/>
          </w:tcPr>
          <w:p>
            <w:pPr>
              <w:spacing w:after="0"/>
              <w:rPr>
                <w:sz w:val="18"/>
                <w:szCs w:val="18"/>
                <w:color w:val="auto"/>
              </w:rPr>
            </w:pPr>
          </w:p>
        </w:tc>
        <w:tc>
          <w:tcPr>
            <w:tcW w:w="8900" w:type="dxa"/>
            <w:vAlign w:val="bottom"/>
          </w:tcPr>
          <w:p>
            <w:pPr>
              <w:ind w:left="500"/>
              <w:spacing w:after="0"/>
              <w:rPr>
                <w:sz w:val="20"/>
                <w:szCs w:val="20"/>
                <w:color w:val="auto"/>
              </w:rPr>
            </w:pPr>
            <w:r>
              <w:rPr>
                <w:rFonts w:ascii="Arial" w:cs="Arial" w:eastAsia="Arial" w:hAnsi="Arial"/>
                <w:sz w:val="18"/>
                <w:szCs w:val="18"/>
                <w:color w:val="666666"/>
              </w:rPr>
              <w:t>Academy of Sciences.</w:t>
            </w:r>
          </w:p>
        </w:tc>
        <w:tc>
          <w:tcPr>
            <w:tcW w:w="0" w:type="dxa"/>
            <w:vAlign w:val="bottom"/>
          </w:tcPr>
          <w:p>
            <w:pPr>
              <w:spacing w:after="0"/>
              <w:rPr>
                <w:sz w:val="1"/>
                <w:szCs w:val="1"/>
                <w:color w:val="auto"/>
              </w:rPr>
            </w:pPr>
          </w:p>
        </w:tc>
      </w:tr>
      <w:tr>
        <w:trPr>
          <w:trHeight w:val="458"/>
        </w:trPr>
        <w:tc>
          <w:tcPr>
            <w:tcW w:w="2180" w:type="dxa"/>
            <w:vAlign w:val="bottom"/>
          </w:tcPr>
          <w:p>
            <w:pPr>
              <w:spacing w:after="0"/>
              <w:rPr>
                <w:sz w:val="20"/>
                <w:szCs w:val="20"/>
                <w:color w:val="auto"/>
              </w:rPr>
            </w:pPr>
            <w:r>
              <w:rPr>
                <w:rFonts w:ascii="Arial" w:cs="Arial" w:eastAsia="Arial" w:hAnsi="Arial"/>
                <w:sz w:val="18"/>
                <w:szCs w:val="18"/>
                <w:color w:val="666666"/>
              </w:rPr>
              <w:t>Age: 69</w:t>
            </w:r>
          </w:p>
        </w:tc>
        <w:tc>
          <w:tcPr>
            <w:tcW w:w="8900" w:type="dxa"/>
            <w:vAlign w:val="bottom"/>
          </w:tcPr>
          <w:p>
            <w:pPr>
              <w:ind w:left="500"/>
              <w:spacing w:after="0"/>
              <w:rPr>
                <w:sz w:val="20"/>
                <w:szCs w:val="20"/>
                <w:color w:val="auto"/>
              </w:rPr>
            </w:pPr>
            <w:r>
              <w:rPr>
                <w:rFonts w:ascii="Arial" w:cs="Arial" w:eastAsia="Arial" w:hAnsi="Arial"/>
                <w:sz w:val="18"/>
                <w:szCs w:val="18"/>
                <w:color w:val="666666"/>
              </w:rPr>
              <w:t>Specific qualifications, experience, skills, and expertise include:</w:t>
            </w:r>
          </w:p>
        </w:tc>
        <w:tc>
          <w:tcPr>
            <w:tcW w:w="0" w:type="dxa"/>
            <w:vAlign w:val="bottom"/>
          </w:tcPr>
          <w:p>
            <w:pPr>
              <w:spacing w:after="0"/>
              <w:rPr>
                <w:sz w:val="1"/>
                <w:szCs w:val="1"/>
                <w:color w:val="auto"/>
              </w:rPr>
            </w:pPr>
          </w:p>
        </w:tc>
      </w:tr>
      <w:tr>
        <w:trPr>
          <w:trHeight w:val="203"/>
        </w:trPr>
        <w:tc>
          <w:tcPr>
            <w:tcW w:w="2180" w:type="dxa"/>
            <w:vAlign w:val="bottom"/>
          </w:tcPr>
          <w:p>
            <w:pPr>
              <w:spacing w:after="0" w:line="202" w:lineRule="exact"/>
              <w:rPr>
                <w:sz w:val="20"/>
                <w:szCs w:val="20"/>
                <w:color w:val="auto"/>
              </w:rPr>
            </w:pPr>
            <w:r>
              <w:rPr>
                <w:rFonts w:ascii="Arial" w:cs="Arial" w:eastAsia="Arial" w:hAnsi="Arial"/>
                <w:sz w:val="18"/>
                <w:szCs w:val="18"/>
                <w:color w:val="666666"/>
              </w:rPr>
              <w:t>Director since: 2011</w:t>
            </w:r>
          </w:p>
        </w:tc>
        <w:tc>
          <w:tcPr>
            <w:tcW w:w="8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line="202" w:lineRule="exact"/>
              <w:rPr>
                <w:sz w:val="20"/>
                <w:szCs w:val="20"/>
                <w:color w:val="auto"/>
              </w:rPr>
            </w:pPr>
            <w:r>
              <w:rPr>
                <w:rFonts w:ascii="Arial" w:cs="Arial" w:eastAsia="Arial" w:hAnsi="Arial"/>
                <w:sz w:val="18"/>
                <w:szCs w:val="18"/>
                <w:color w:val="666666"/>
              </w:rPr>
              <w:t>Independent</w:t>
            </w: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 Expertise in finance, financial planning, and compliance and controls;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80"/>
              <w:spacing w:after="0" w:line="202" w:lineRule="exact"/>
              <w:rPr>
                <w:sz w:val="20"/>
                <w:szCs w:val="20"/>
                <w:color w:val="auto"/>
              </w:rPr>
            </w:pPr>
            <w:r>
              <w:rPr>
                <w:rFonts w:ascii="Arial" w:cs="Arial" w:eastAsia="Arial" w:hAnsi="Arial"/>
                <w:sz w:val="18"/>
                <w:szCs w:val="18"/>
                <w:color w:val="666666"/>
              </w:rPr>
              <w:t>• Core business skills, including financial and strategic planning; and</w:t>
            </w:r>
          </w:p>
        </w:tc>
        <w:tc>
          <w:tcPr>
            <w:tcW w:w="0" w:type="dxa"/>
            <w:vAlign w:val="bottom"/>
          </w:tcPr>
          <w:p>
            <w:pPr>
              <w:spacing w:after="0"/>
              <w:rPr>
                <w:sz w:val="1"/>
                <w:szCs w:val="1"/>
                <w:color w:val="auto"/>
              </w:rPr>
            </w:pPr>
          </w:p>
        </w:tc>
      </w:tr>
      <w:tr>
        <w:trPr>
          <w:trHeight w:val="217"/>
        </w:trPr>
        <w:tc>
          <w:tcPr>
            <w:tcW w:w="2180" w:type="dxa"/>
            <w:vAlign w:val="bottom"/>
            <w:vMerge w:val="restart"/>
          </w:tcPr>
          <w:p>
            <w:pPr>
              <w:spacing w:after="0"/>
              <w:rPr>
                <w:sz w:val="20"/>
                <w:szCs w:val="20"/>
                <w:color w:val="auto"/>
              </w:rPr>
            </w:pPr>
            <w:r>
              <w:rPr>
                <w:rFonts w:ascii="Arial" w:cs="Arial" w:eastAsia="Arial" w:hAnsi="Arial"/>
                <w:sz w:val="18"/>
                <w:szCs w:val="18"/>
                <w:color w:val="666666"/>
              </w:rPr>
              <w:t>Committees:</w:t>
            </w:r>
          </w:p>
        </w:tc>
        <w:tc>
          <w:tcPr>
            <w:tcW w:w="8900" w:type="dxa"/>
            <w:vAlign w:val="bottom"/>
          </w:tcPr>
          <w:p>
            <w:pPr>
              <w:ind w:left="580"/>
              <w:spacing w:after="0"/>
              <w:rPr>
                <w:sz w:val="20"/>
                <w:szCs w:val="20"/>
                <w:color w:val="auto"/>
              </w:rPr>
            </w:pPr>
            <w:r>
              <w:rPr>
                <w:rFonts w:ascii="Arial" w:cs="Arial" w:eastAsia="Arial" w:hAnsi="Arial"/>
                <w:sz w:val="18"/>
                <w:szCs w:val="18"/>
                <w:color w:val="666666"/>
              </w:rPr>
              <w:t>• Public company audit committee experience.</w:t>
            </w:r>
          </w:p>
        </w:tc>
        <w:tc>
          <w:tcPr>
            <w:tcW w:w="0" w:type="dxa"/>
            <w:vAlign w:val="bottom"/>
          </w:tcPr>
          <w:p>
            <w:pPr>
              <w:spacing w:after="0"/>
              <w:rPr>
                <w:sz w:val="1"/>
                <w:szCs w:val="1"/>
                <w:color w:val="auto"/>
              </w:rPr>
            </w:pPr>
          </w:p>
        </w:tc>
      </w:tr>
      <w:tr>
        <w:trPr>
          <w:trHeight w:val="188"/>
        </w:trPr>
        <w:tc>
          <w:tcPr>
            <w:tcW w:w="2180" w:type="dxa"/>
            <w:vAlign w:val="bottom"/>
            <w:vMerge w:val="continue"/>
          </w:tcPr>
          <w:p>
            <w:pPr>
              <w:spacing w:after="0"/>
              <w:rPr>
                <w:sz w:val="16"/>
                <w:szCs w:val="16"/>
                <w:color w:val="auto"/>
              </w:rPr>
            </w:pPr>
          </w:p>
        </w:tc>
        <w:tc>
          <w:tcPr>
            <w:tcW w:w="8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line="202" w:lineRule="exact"/>
              <w:rPr>
                <w:sz w:val="20"/>
                <w:szCs w:val="20"/>
                <w:color w:val="auto"/>
              </w:rPr>
            </w:pPr>
            <w:r>
              <w:rPr>
                <w:rFonts w:ascii="Arial" w:cs="Arial" w:eastAsia="Arial" w:hAnsi="Arial"/>
                <w:sz w:val="18"/>
                <w:szCs w:val="18"/>
                <w:color w:val="666666"/>
              </w:rPr>
              <w:t>• Audit (Chair)</w:t>
            </w:r>
          </w:p>
        </w:tc>
        <w:tc>
          <w:tcPr>
            <w:tcW w:w="8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180" w:type="dxa"/>
            <w:vAlign w:val="bottom"/>
          </w:tcPr>
          <w:p>
            <w:pPr>
              <w:spacing w:after="0"/>
              <w:rPr>
                <w:sz w:val="20"/>
                <w:szCs w:val="20"/>
                <w:color w:val="auto"/>
              </w:rPr>
            </w:pPr>
            <w:r>
              <w:rPr>
                <w:rFonts w:ascii="Arial" w:cs="Arial" w:eastAsia="Arial" w:hAnsi="Arial"/>
                <w:sz w:val="18"/>
                <w:szCs w:val="18"/>
                <w:color w:val="666666"/>
              </w:rPr>
              <w:t>• Executive</w:t>
            </w: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3"/>
        </w:trPr>
        <w:tc>
          <w:tcPr>
            <w:tcW w:w="2180" w:type="dxa"/>
            <w:vAlign w:val="bottom"/>
          </w:tcPr>
          <w:p>
            <w:pPr>
              <w:spacing w:after="0"/>
              <w:rPr>
                <w:sz w:val="20"/>
                <w:szCs w:val="20"/>
                <w:color w:val="auto"/>
              </w:rPr>
            </w:pPr>
            <w:r>
              <w:rPr>
                <w:rFonts w:ascii="Arial" w:cs="Arial" w:eastAsia="Arial" w:hAnsi="Arial"/>
                <w:sz w:val="18"/>
                <w:szCs w:val="18"/>
                <w:color w:val="666666"/>
              </w:rPr>
              <w:t>Gretchen W. McClain</w:t>
            </w:r>
          </w:p>
        </w:tc>
        <w:tc>
          <w:tcPr>
            <w:tcW w:w="8900" w:type="dxa"/>
            <w:vAlign w:val="bottom"/>
          </w:tcPr>
          <w:p>
            <w:pPr>
              <w:ind w:left="500"/>
              <w:spacing w:after="0"/>
              <w:rPr>
                <w:sz w:val="20"/>
                <w:szCs w:val="20"/>
                <w:color w:val="auto"/>
              </w:rPr>
            </w:pPr>
            <w:r>
              <w:rPr>
                <w:rFonts w:ascii="Arial" w:cs="Arial" w:eastAsia="Arial" w:hAnsi="Arial"/>
                <w:sz w:val="18"/>
                <w:szCs w:val="18"/>
                <w:color w:val="666666"/>
              </w:rPr>
              <w:t>Ms. McClain was the founding President and Chief Executive Officer of Xylem, Inc. ("Xylem") from</w:t>
            </w:r>
          </w:p>
        </w:tc>
        <w:tc>
          <w:tcPr>
            <w:tcW w:w="0" w:type="dxa"/>
            <w:vAlign w:val="bottom"/>
          </w:tcPr>
          <w:p>
            <w:pPr>
              <w:spacing w:after="0"/>
              <w:rPr>
                <w:sz w:val="1"/>
                <w:szCs w:val="1"/>
                <w:color w:val="auto"/>
              </w:rPr>
            </w:pPr>
          </w:p>
        </w:tc>
      </w:tr>
      <w:tr>
        <w:trPr>
          <w:trHeight w:val="203"/>
        </w:trPr>
        <w:tc>
          <w:tcPr>
            <w:tcW w:w="2180" w:type="dxa"/>
            <w:vAlign w:val="bottom"/>
          </w:tcPr>
          <w:p>
            <w:pPr>
              <w:spacing w:after="0" w:line="202" w:lineRule="exact"/>
              <w:rPr>
                <w:sz w:val="20"/>
                <w:szCs w:val="20"/>
                <w:color w:val="auto"/>
              </w:rPr>
            </w:pPr>
            <w:r>
              <w:rPr>
                <w:rFonts w:ascii="Arial" w:cs="Arial" w:eastAsia="Arial" w:hAnsi="Arial"/>
                <w:sz w:val="18"/>
                <w:szCs w:val="18"/>
                <w:color w:val="666666"/>
              </w:rPr>
              <w:t>(Class II)</w:t>
            </w: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rPr>
              <w:t>October 2011 to September 2013. She joined Xylem as the founding CEO in 2011 when it was formed</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rPr>
              <w:t>and taken public from a spinoff of the water business of ITT Corporation ("ITT"). She joined ITT in 2005</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w w:val="99"/>
              </w:rPr>
              <w:t>as the President of the company's residential and commercial water business and served as the SVP and</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rPr>
              <w:t>President of ITT's commercial businesses from 2008 to 2011. Ms. McClain has served in a number of</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rPr>
              <w:t>senior executive positions at Honeywell Aerospace (formerly AlliedSignal), including VP and General</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rPr>
              <w:t>Manager of the Business, General Aviation and Helicopters Electronics division, and VP for Engineering</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rPr>
              <w:t>and Technology, as well as for Program Management in Honeywell Aerospace's Engines, Systems and</w:t>
            </w: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rPr>
              <w:t>Services Division. She also spent nine years with NASA and served as Deputy Associate Administrator</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rPr>
              <w:t>for Space Development, where she played a pivotal role in the successful development and launch of the</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rPr>
              <w:t>International Space Station Program as Chief Director of the Space Station and Deputy Director for</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rPr>
              <w:t>Space Flight. Ms. McClain graduated from the University of Utah with a BS in Mechanical Engineering.</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w w:val="99"/>
              </w:rPr>
              <w:t>She currently serves as a director of Ametek, Inc., Hennessy Capital Acquisition Corp. IV, and J.M. Huber</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rPr>
              <w:t>Corporation (a family-owned business), and previously served as a director of Xylem, Inc. from 2011 to</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rPr>
              <w:t>2013 and Con-Way Inc. from June 2015 to October 2015, Boart Longyear Limited from November 2015</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900" w:type="dxa"/>
            <w:vAlign w:val="bottom"/>
          </w:tcPr>
          <w:p>
            <w:pPr>
              <w:ind w:left="500"/>
              <w:spacing w:after="0" w:line="202" w:lineRule="exact"/>
              <w:rPr>
                <w:sz w:val="20"/>
                <w:szCs w:val="20"/>
                <w:color w:val="auto"/>
              </w:rPr>
            </w:pPr>
            <w:r>
              <w:rPr>
                <w:rFonts w:ascii="Arial" w:cs="Arial" w:eastAsia="Arial" w:hAnsi="Arial"/>
                <w:sz w:val="18"/>
                <w:szCs w:val="18"/>
                <w:color w:val="666666"/>
                <w:w w:val="99"/>
              </w:rPr>
              <w:t>to August 2019, and Faradyne Motors from 2009 to 2013. She also serves as Operating Executive for the</w:t>
            </w:r>
          </w:p>
        </w:tc>
        <w:tc>
          <w:tcPr>
            <w:tcW w:w="0" w:type="dxa"/>
            <w:vAlign w:val="bottom"/>
          </w:tcPr>
          <w:p>
            <w:pPr>
              <w:spacing w:after="0"/>
              <w:rPr>
                <w:sz w:val="1"/>
                <w:szCs w:val="1"/>
                <w:color w:val="auto"/>
              </w:rPr>
            </w:pPr>
          </w:p>
        </w:tc>
      </w:tr>
      <w:tr>
        <w:trPr>
          <w:trHeight w:val="217"/>
        </w:trPr>
        <w:tc>
          <w:tcPr>
            <w:tcW w:w="2180" w:type="dxa"/>
            <w:vAlign w:val="bottom"/>
          </w:tcPr>
          <w:p>
            <w:pPr>
              <w:spacing w:after="0"/>
              <w:rPr>
                <w:sz w:val="18"/>
                <w:szCs w:val="18"/>
                <w:color w:val="auto"/>
              </w:rPr>
            </w:pPr>
          </w:p>
        </w:tc>
        <w:tc>
          <w:tcPr>
            <w:tcW w:w="8900" w:type="dxa"/>
            <w:vAlign w:val="bottom"/>
          </w:tcPr>
          <w:p>
            <w:pPr>
              <w:ind w:left="500"/>
              <w:spacing w:after="0"/>
              <w:rPr>
                <w:sz w:val="20"/>
                <w:szCs w:val="20"/>
                <w:color w:val="auto"/>
              </w:rPr>
            </w:pPr>
            <w:r>
              <w:rPr>
                <w:rFonts w:ascii="Arial" w:cs="Arial" w:eastAsia="Arial" w:hAnsi="Arial"/>
                <w:sz w:val="18"/>
                <w:szCs w:val="18"/>
                <w:color w:val="666666"/>
              </w:rPr>
              <w:t>Carlyle Group.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-4645660</wp:posOffset>
            </wp:positionV>
            <wp:extent cx="1131570" cy="11315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31570" cy="11315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-1156335</wp:posOffset>
            </wp:positionV>
            <wp:extent cx="1131570" cy="11315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3157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Arial" w:cs="Arial" w:eastAsia="Arial" w:hAnsi="Arial"/>
                <w:sz w:val="18"/>
                <w:szCs w:val="18"/>
                <w:color w:val="666666"/>
              </w:rPr>
              <w:t>Age: 57</w:t>
            </w:r>
          </w:p>
        </w:tc>
        <w:tc>
          <w:tcPr>
            <w:tcW w:w="6060" w:type="dxa"/>
            <w:vAlign w:val="bottom"/>
          </w:tcPr>
          <w:p>
            <w:pPr>
              <w:ind w:left="540"/>
              <w:spacing w:after="0"/>
              <w:rPr>
                <w:sz w:val="20"/>
                <w:szCs w:val="20"/>
                <w:color w:val="auto"/>
              </w:rPr>
            </w:pPr>
            <w:r>
              <w:rPr>
                <w:rFonts w:ascii="Arial" w:cs="Arial" w:eastAsia="Arial" w:hAnsi="Arial"/>
                <w:sz w:val="18"/>
                <w:szCs w:val="18"/>
                <w:color w:val="666666"/>
              </w:rPr>
              <w:t>Specific qualifications, experience, skills, and expertise include:</w:t>
            </w: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666666"/>
              </w:rPr>
              <w:t>Director since: 2014</w:t>
            </w:r>
          </w:p>
        </w:tc>
        <w:tc>
          <w:tcPr>
            <w:tcW w:w="6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666666"/>
              </w:rPr>
              <w:t>Independent</w:t>
            </w:r>
          </w:p>
        </w:tc>
        <w:tc>
          <w:tcPr>
            <w:tcW w:w="6060" w:type="dxa"/>
            <w:vAlign w:val="bottom"/>
          </w:tcPr>
          <w:p>
            <w:pPr>
              <w:ind w:left="620"/>
              <w:spacing w:after="0" w:line="202" w:lineRule="exact"/>
              <w:rPr>
                <w:sz w:val="20"/>
                <w:szCs w:val="20"/>
                <w:color w:val="auto"/>
              </w:rPr>
            </w:pPr>
            <w:r>
              <w:rPr>
                <w:rFonts w:ascii="Arial" w:cs="Arial" w:eastAsia="Arial" w:hAnsi="Arial"/>
                <w:sz w:val="18"/>
                <w:szCs w:val="18"/>
                <w:color w:val="666666"/>
              </w:rPr>
              <w:t>• Operating and management experience;</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6060" w:type="dxa"/>
            <w:vAlign w:val="bottom"/>
          </w:tcPr>
          <w:p>
            <w:pPr>
              <w:ind w:left="620"/>
              <w:spacing w:after="0" w:line="202" w:lineRule="exact"/>
              <w:rPr>
                <w:sz w:val="20"/>
                <w:szCs w:val="20"/>
                <w:color w:val="auto"/>
              </w:rPr>
            </w:pPr>
            <w:r>
              <w:rPr>
                <w:rFonts w:ascii="Arial" w:cs="Arial" w:eastAsia="Arial" w:hAnsi="Arial"/>
                <w:sz w:val="18"/>
                <w:szCs w:val="18"/>
                <w:color w:val="666666"/>
                <w:w w:val="99"/>
              </w:rPr>
              <w:t>• Core business skills, including financial and strategic planning; and</w:t>
            </w:r>
          </w:p>
        </w:tc>
        <w:tc>
          <w:tcPr>
            <w:tcW w:w="0" w:type="dxa"/>
            <w:vAlign w:val="bottom"/>
          </w:tcPr>
          <w:p>
            <w:pPr>
              <w:spacing w:after="0"/>
              <w:rPr>
                <w:sz w:val="1"/>
                <w:szCs w:val="1"/>
                <w:color w:val="auto"/>
              </w:rPr>
            </w:pPr>
          </w:p>
        </w:tc>
      </w:tr>
      <w:tr>
        <w:trPr>
          <w:trHeight w:val="217"/>
        </w:trPr>
        <w:tc>
          <w:tcPr>
            <w:tcW w:w="2140" w:type="dxa"/>
            <w:vAlign w:val="bottom"/>
            <w:vMerge w:val="restart"/>
          </w:tcPr>
          <w:p>
            <w:pPr>
              <w:spacing w:after="0"/>
              <w:rPr>
                <w:sz w:val="20"/>
                <w:szCs w:val="20"/>
                <w:color w:val="auto"/>
              </w:rPr>
            </w:pPr>
            <w:r>
              <w:rPr>
                <w:rFonts w:ascii="Arial" w:cs="Arial" w:eastAsia="Arial" w:hAnsi="Arial"/>
                <w:sz w:val="18"/>
                <w:szCs w:val="18"/>
                <w:color w:val="666666"/>
              </w:rPr>
              <w:t>Committees:</w:t>
            </w:r>
          </w:p>
        </w:tc>
        <w:tc>
          <w:tcPr>
            <w:tcW w:w="6060" w:type="dxa"/>
            <w:vAlign w:val="bottom"/>
          </w:tcPr>
          <w:p>
            <w:pPr>
              <w:ind w:left="620"/>
              <w:spacing w:after="0"/>
              <w:rPr>
                <w:sz w:val="20"/>
                <w:szCs w:val="20"/>
                <w:color w:val="auto"/>
              </w:rPr>
            </w:pPr>
            <w:r>
              <w:rPr>
                <w:rFonts w:ascii="Arial" w:cs="Arial" w:eastAsia="Arial" w:hAnsi="Arial"/>
                <w:sz w:val="18"/>
                <w:szCs w:val="18"/>
                <w:color w:val="666666"/>
              </w:rPr>
              <w:t>• Public company directorship and audit committee experience.</w:t>
            </w:r>
          </w:p>
        </w:tc>
        <w:tc>
          <w:tcPr>
            <w:tcW w:w="0" w:type="dxa"/>
            <w:vAlign w:val="bottom"/>
          </w:tcPr>
          <w:p>
            <w:pPr>
              <w:spacing w:after="0"/>
              <w:rPr>
                <w:sz w:val="1"/>
                <w:szCs w:val="1"/>
                <w:color w:val="auto"/>
              </w:rPr>
            </w:pPr>
          </w:p>
        </w:tc>
      </w:tr>
      <w:tr>
        <w:trPr>
          <w:trHeight w:val="188"/>
        </w:trPr>
        <w:tc>
          <w:tcPr>
            <w:tcW w:w="2140" w:type="dxa"/>
            <w:vAlign w:val="bottom"/>
            <w:vMerge w:val="continue"/>
          </w:tcPr>
          <w:p>
            <w:pPr>
              <w:spacing w:after="0"/>
              <w:rPr>
                <w:sz w:val="16"/>
                <w:szCs w:val="16"/>
                <w:color w:val="auto"/>
              </w:rPr>
            </w:pPr>
          </w:p>
        </w:tc>
        <w:tc>
          <w:tcPr>
            <w:tcW w:w="6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20" w:hanging="118"/>
        <w:spacing w:after="0" w:line="234" w:lineRule="auto"/>
        <w:tabs>
          <w:tab w:leader="none" w:pos="120" w:val="left"/>
        </w:tabs>
        <w:numPr>
          <w:ilvl w:val="0"/>
          <w:numId w:val="15"/>
        </w:numPr>
        <w:rPr>
          <w:rFonts w:ascii="Arial" w:cs="Arial" w:eastAsia="Arial" w:hAnsi="Arial"/>
          <w:sz w:val="18"/>
          <w:szCs w:val="18"/>
          <w:color w:val="666666"/>
        </w:rPr>
      </w:pPr>
      <w:r>
        <w:rPr>
          <w:rFonts w:ascii="Arial" w:cs="Arial" w:eastAsia="Arial" w:hAnsi="Arial"/>
          <w:sz w:val="18"/>
          <w:szCs w:val="18"/>
          <w:color w:val="666666"/>
        </w:rPr>
        <w:t>Compensation (Chair)</w:t>
      </w:r>
    </w:p>
    <w:p>
      <w:pPr>
        <w:ind w:right="8860" w:firstLine="2"/>
        <w:spacing w:after="0" w:line="246" w:lineRule="auto"/>
        <w:tabs>
          <w:tab w:leader="none" w:pos="113" w:val="left"/>
        </w:tabs>
        <w:numPr>
          <w:ilvl w:val="0"/>
          <w:numId w:val="15"/>
        </w:numPr>
        <w:rPr>
          <w:rFonts w:ascii="Arial" w:cs="Arial" w:eastAsia="Arial" w:hAnsi="Arial"/>
          <w:sz w:val="18"/>
          <w:szCs w:val="18"/>
          <w:color w:val="666666"/>
        </w:rPr>
      </w:pPr>
      <w:r>
        <w:rPr>
          <w:rFonts w:ascii="Arial" w:cs="Arial" w:eastAsia="Arial" w:hAnsi="Arial"/>
          <w:sz w:val="18"/>
          <w:szCs w:val="18"/>
          <w:color w:val="666666"/>
        </w:rPr>
        <w:t>Nominating and Corporate Governance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9</w:t>
      </w:r>
    </w:p>
    <w:p>
      <w:pPr>
        <w:sectPr>
          <w:pgSz w:w="11900" w:h="16838" w:orient="portrait"/>
          <w:cols w:equalWidth="0" w:num="1">
            <w:col w:w="11080"/>
          </w:cols>
          <w:pgMar w:left="400" w:top="512" w:right="4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80" w:type="dxa"/>
            <w:vAlign w:val="bottom"/>
          </w:tcPr>
          <w:p>
            <w:pPr>
              <w:ind w:left="2880"/>
              <w:spacing w:after="0"/>
              <w:rPr>
                <w:sz w:val="20"/>
                <w:szCs w:val="20"/>
                <w:color w:val="auto"/>
              </w:rPr>
            </w:pPr>
            <w:r>
              <w:rPr>
                <w:rFonts w:ascii="Arial" w:cs="Arial" w:eastAsia="Arial" w:hAnsi="Arial"/>
                <w:sz w:val="18"/>
                <w:szCs w:val="18"/>
                <w:b w:val="1"/>
                <w:bCs w:val="1"/>
                <w:color w:val="666666"/>
              </w:rPr>
              <w:t>Principal Occupation, Business</w:t>
            </w:r>
          </w:p>
        </w:tc>
        <w:tc>
          <w:tcPr>
            <w:tcW w:w="0" w:type="dxa"/>
            <w:vAlign w:val="bottom"/>
          </w:tcPr>
          <w:p>
            <w:pPr>
              <w:spacing w:after="0"/>
              <w:rPr>
                <w:sz w:val="1"/>
                <w:szCs w:val="1"/>
                <w:color w:val="auto"/>
              </w:rPr>
            </w:pPr>
          </w:p>
        </w:tc>
      </w:tr>
      <w:tr>
        <w:trPr>
          <w:trHeight w:val="239"/>
        </w:trPr>
        <w:tc>
          <w:tcPr>
            <w:tcW w:w="2240" w:type="dxa"/>
            <w:vAlign w:val="bottom"/>
            <w:vMerge w:val="restart"/>
          </w:tcPr>
          <w:p>
            <w:pPr>
              <w:ind w:left="780"/>
              <w:spacing w:after="0"/>
              <w:rPr>
                <w:sz w:val="20"/>
                <w:szCs w:val="20"/>
                <w:color w:val="auto"/>
              </w:rPr>
            </w:pPr>
            <w:r>
              <w:rPr>
                <w:rFonts w:ascii="Arial" w:cs="Arial" w:eastAsia="Arial" w:hAnsi="Arial"/>
                <w:sz w:val="18"/>
                <w:szCs w:val="18"/>
                <w:b w:val="1"/>
                <w:bCs w:val="1"/>
                <w:color w:val="666666"/>
              </w:rPr>
              <w:t>Director</w:t>
            </w:r>
          </w:p>
        </w:tc>
        <w:tc>
          <w:tcPr>
            <w:tcW w:w="460" w:type="dxa"/>
            <w:vAlign w:val="bottom"/>
            <w:vMerge w:val="restart"/>
          </w:tcPr>
          <w:p>
            <w:pPr>
              <w:spacing w:after="0"/>
              <w:rPr>
                <w:sz w:val="20"/>
                <w:szCs w:val="20"/>
                <w:color w:val="auto"/>
              </w:rPr>
            </w:pPr>
          </w:p>
        </w:tc>
        <w:tc>
          <w:tcPr>
            <w:tcW w:w="8480" w:type="dxa"/>
            <w:vAlign w:val="bottom"/>
          </w:tcPr>
          <w:p>
            <w:pPr>
              <w:ind w:left="2480"/>
              <w:spacing w:after="0"/>
              <w:rPr>
                <w:sz w:val="20"/>
                <w:szCs w:val="20"/>
                <w:color w:val="auto"/>
              </w:rPr>
            </w:pPr>
            <w:r>
              <w:rPr>
                <w:rFonts w:ascii="Arial" w:cs="Arial" w:eastAsia="Arial" w:hAnsi="Arial"/>
                <w:sz w:val="18"/>
                <w:szCs w:val="18"/>
                <w:b w:val="1"/>
                <w:bCs w:val="1"/>
                <w:color w:val="666666"/>
              </w:rPr>
              <w:t>Experience and Other Directorships Held</w:t>
            </w:r>
          </w:p>
        </w:tc>
        <w:tc>
          <w:tcPr>
            <w:tcW w:w="0" w:type="dxa"/>
            <w:vAlign w:val="bottom"/>
          </w:tcPr>
          <w:p>
            <w:pPr>
              <w:spacing w:after="0"/>
              <w:rPr>
                <w:sz w:val="1"/>
                <w:szCs w:val="1"/>
                <w:color w:val="auto"/>
              </w:rPr>
            </w:pPr>
          </w:p>
        </w:tc>
      </w:tr>
      <w:tr>
        <w:trPr>
          <w:trHeight w:val="209"/>
        </w:trPr>
        <w:tc>
          <w:tcPr>
            <w:tcW w:w="2240" w:type="dxa"/>
            <w:vAlign w:val="bottom"/>
            <w:tcBorders>
              <w:bottom w:val="single" w:sz="8" w:color="666666"/>
            </w:tcBorders>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8480" w:type="dxa"/>
            <w:vAlign w:val="bottom"/>
            <w:tcBorders>
              <w:bottom w:val="single" w:sz="8" w:color="666666"/>
            </w:tcBorders>
          </w:tcPr>
          <w:p>
            <w:pPr>
              <w:spacing w:after="0"/>
              <w:rPr>
                <w:sz w:val="18"/>
                <w:szCs w:val="18"/>
                <w:color w:val="auto"/>
              </w:rPr>
            </w:pPr>
          </w:p>
        </w:tc>
        <w:tc>
          <w:tcPr>
            <w:tcW w:w="0" w:type="dxa"/>
            <w:vAlign w:val="bottom"/>
          </w:tcPr>
          <w:p>
            <w:pPr>
              <w:spacing w:after="0"/>
              <w:rPr>
                <w:sz w:val="1"/>
                <w:szCs w:val="1"/>
                <w:color w:val="auto"/>
              </w:rPr>
            </w:pPr>
          </w:p>
        </w:tc>
      </w:tr>
      <w:tr>
        <w:trPr>
          <w:trHeight w:val="553"/>
        </w:trPr>
        <w:tc>
          <w:tcPr>
            <w:tcW w:w="2700" w:type="dxa"/>
            <w:vAlign w:val="bottom"/>
            <w:gridSpan w:val="2"/>
          </w:tcPr>
          <w:p>
            <w:pPr>
              <w:ind w:left="20"/>
              <w:spacing w:after="0"/>
              <w:rPr>
                <w:sz w:val="20"/>
                <w:szCs w:val="20"/>
                <w:color w:val="auto"/>
              </w:rPr>
            </w:pPr>
            <w:r>
              <w:rPr>
                <w:rFonts w:ascii="Arial" w:cs="Arial" w:eastAsia="Arial" w:hAnsi="Arial"/>
                <w:sz w:val="18"/>
                <w:szCs w:val="18"/>
                <w:color w:val="5E5E61"/>
              </w:rPr>
              <w:t>Melody C. Barnes</w:t>
            </w:r>
          </w:p>
        </w:tc>
        <w:tc>
          <w:tcPr>
            <w:tcW w:w="8480" w:type="dxa"/>
            <w:vAlign w:val="bottom"/>
          </w:tcPr>
          <w:p>
            <w:pPr>
              <w:ind w:left="20"/>
              <w:spacing w:after="0"/>
              <w:rPr>
                <w:sz w:val="20"/>
                <w:szCs w:val="20"/>
                <w:color w:val="auto"/>
              </w:rPr>
            </w:pPr>
            <w:r>
              <w:rPr>
                <w:rFonts w:ascii="Arial" w:cs="Arial" w:eastAsia="Arial" w:hAnsi="Arial"/>
                <w:sz w:val="18"/>
                <w:szCs w:val="18"/>
                <w:color w:val="666666"/>
              </w:rPr>
              <w:t>Ms. Barnes is the Co-Director for Policy and Public Affairs of the Democracy Initiative at the University of</w:t>
            </w:r>
          </w:p>
        </w:tc>
        <w:tc>
          <w:tcPr>
            <w:tcW w:w="0" w:type="dxa"/>
            <w:vAlign w:val="bottom"/>
          </w:tcPr>
          <w:p>
            <w:pPr>
              <w:spacing w:after="0"/>
              <w:rPr>
                <w:sz w:val="1"/>
                <w:szCs w:val="1"/>
                <w:color w:val="auto"/>
              </w:rPr>
            </w:pPr>
          </w:p>
        </w:tc>
      </w:tr>
      <w:tr>
        <w:trPr>
          <w:trHeight w:val="203"/>
        </w:trPr>
        <w:tc>
          <w:tcPr>
            <w:tcW w:w="2700" w:type="dxa"/>
            <w:vAlign w:val="bottom"/>
            <w:gridSpan w:val="2"/>
          </w:tcPr>
          <w:p>
            <w:pPr>
              <w:ind w:left="20"/>
              <w:spacing w:after="0" w:line="202" w:lineRule="exact"/>
              <w:rPr>
                <w:sz w:val="20"/>
                <w:szCs w:val="20"/>
                <w:color w:val="auto"/>
              </w:rPr>
            </w:pPr>
            <w:r>
              <w:rPr>
                <w:rFonts w:ascii="Arial" w:cs="Arial" w:eastAsia="Arial" w:hAnsi="Arial"/>
                <w:sz w:val="18"/>
                <w:szCs w:val="18"/>
                <w:color w:val="5E5E61"/>
              </w:rPr>
              <w:t>(Class III)</w:t>
            </w:r>
          </w:p>
        </w:tc>
        <w:tc>
          <w:tcPr>
            <w:tcW w:w="8480" w:type="dxa"/>
            <w:vAlign w:val="bottom"/>
          </w:tcPr>
          <w:p>
            <w:pPr>
              <w:ind w:left="20"/>
              <w:spacing w:after="0" w:line="202" w:lineRule="exact"/>
              <w:rPr>
                <w:sz w:val="20"/>
                <w:szCs w:val="20"/>
                <w:color w:val="auto"/>
              </w:rPr>
            </w:pPr>
            <w:r>
              <w:rPr>
                <w:rFonts w:ascii="Arial" w:cs="Arial" w:eastAsia="Arial" w:hAnsi="Arial"/>
                <w:sz w:val="18"/>
                <w:szCs w:val="18"/>
                <w:color w:val="666666"/>
              </w:rPr>
              <w:t>Virginia; she also serves as the Dorothy Danforth Compton professor of practice at the Miller Center of</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80" w:type="dxa"/>
            <w:vAlign w:val="bottom"/>
          </w:tcPr>
          <w:p>
            <w:pPr>
              <w:ind w:left="20"/>
              <w:spacing w:after="0" w:line="202" w:lineRule="exact"/>
              <w:rPr>
                <w:sz w:val="20"/>
                <w:szCs w:val="20"/>
                <w:color w:val="auto"/>
              </w:rPr>
            </w:pPr>
            <w:r>
              <w:rPr>
                <w:rFonts w:ascii="Arial" w:cs="Arial" w:eastAsia="Arial" w:hAnsi="Arial"/>
                <w:sz w:val="18"/>
                <w:szCs w:val="18"/>
                <w:color w:val="666666"/>
              </w:rPr>
              <w:t>Public Affairs and a distinguished fellow in the School of Law. She is a co-founder of MB Squared</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80" w:type="dxa"/>
            <w:vAlign w:val="bottom"/>
          </w:tcPr>
          <w:p>
            <w:pPr>
              <w:ind w:left="20"/>
              <w:spacing w:after="0" w:line="202" w:lineRule="exact"/>
              <w:rPr>
                <w:sz w:val="20"/>
                <w:szCs w:val="20"/>
                <w:color w:val="auto"/>
              </w:rPr>
            </w:pPr>
            <w:r>
              <w:rPr>
                <w:rFonts w:ascii="Arial" w:cs="Arial" w:eastAsia="Arial" w:hAnsi="Arial"/>
                <w:sz w:val="18"/>
                <w:szCs w:val="18"/>
                <w:color w:val="666666"/>
              </w:rPr>
              <w:t>Solutions, LLC and serves as a director of Ventas Inc., a real estate investment trust. From January 2009</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80" w:type="dxa"/>
            <w:vAlign w:val="bottom"/>
          </w:tcPr>
          <w:p>
            <w:pPr>
              <w:ind w:left="20"/>
              <w:spacing w:after="0" w:line="202" w:lineRule="exact"/>
              <w:rPr>
                <w:sz w:val="20"/>
                <w:szCs w:val="20"/>
                <w:color w:val="auto"/>
              </w:rPr>
            </w:pPr>
            <w:r>
              <w:rPr>
                <w:rFonts w:ascii="Arial" w:cs="Arial" w:eastAsia="Arial" w:hAnsi="Arial"/>
                <w:sz w:val="18"/>
                <w:szCs w:val="18"/>
                <w:color w:val="666666"/>
              </w:rPr>
              <w:t>to January 2012, Ms. Barnes served in the White House as Director of the Domestic Policy Council. In</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80" w:type="dxa"/>
            <w:vAlign w:val="bottom"/>
          </w:tcPr>
          <w:p>
            <w:pPr>
              <w:ind w:left="20"/>
              <w:spacing w:after="0" w:line="202" w:lineRule="exact"/>
              <w:rPr>
                <w:sz w:val="20"/>
                <w:szCs w:val="20"/>
                <w:color w:val="auto"/>
              </w:rPr>
            </w:pPr>
            <w:r>
              <w:rPr>
                <w:rFonts w:ascii="Arial" w:cs="Arial" w:eastAsia="Arial" w:hAnsi="Arial"/>
                <w:sz w:val="18"/>
                <w:szCs w:val="18"/>
                <w:color w:val="666666"/>
              </w:rPr>
              <w:t>this role, she provided policy and strategic advice to President Obama and coordinated the domestic</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80" w:type="dxa"/>
            <w:vAlign w:val="bottom"/>
          </w:tcPr>
          <w:p>
            <w:pPr>
              <w:ind w:left="20"/>
              <w:spacing w:after="0" w:line="202" w:lineRule="exact"/>
              <w:rPr>
                <w:sz w:val="20"/>
                <w:szCs w:val="20"/>
                <w:color w:val="auto"/>
              </w:rPr>
            </w:pPr>
            <w:r>
              <w:rPr>
                <w:rFonts w:ascii="Arial" w:cs="Arial" w:eastAsia="Arial" w:hAnsi="Arial"/>
                <w:sz w:val="18"/>
                <w:szCs w:val="18"/>
                <w:color w:val="666666"/>
              </w:rPr>
              <w:t>policy-making process for his administration. Before joining the White House, she served as the senior</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80" w:type="dxa"/>
            <w:vAlign w:val="bottom"/>
          </w:tcPr>
          <w:p>
            <w:pPr>
              <w:ind w:left="20"/>
              <w:spacing w:after="0" w:line="202" w:lineRule="exact"/>
              <w:rPr>
                <w:sz w:val="20"/>
                <w:szCs w:val="20"/>
                <w:color w:val="auto"/>
              </w:rPr>
            </w:pPr>
            <w:r>
              <w:rPr>
                <w:rFonts w:ascii="Arial" w:cs="Arial" w:eastAsia="Arial" w:hAnsi="Arial"/>
                <w:sz w:val="18"/>
                <w:szCs w:val="18"/>
                <w:color w:val="666666"/>
              </w:rPr>
              <w:t>domestic policy advisor for then-Senator Obama’s 2008 presidential campaign. Ms. Barnes was the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80" w:type="dxa"/>
            <w:vAlign w:val="bottom"/>
          </w:tcPr>
          <w:p>
            <w:pPr>
              <w:ind w:left="20"/>
              <w:spacing w:after="0" w:line="202" w:lineRule="exact"/>
              <w:rPr>
                <w:sz w:val="20"/>
                <w:szCs w:val="20"/>
                <w:color w:val="auto"/>
              </w:rPr>
            </w:pPr>
            <w:r>
              <w:rPr>
                <w:rFonts w:ascii="Arial" w:cs="Arial" w:eastAsia="Arial" w:hAnsi="Arial"/>
                <w:sz w:val="18"/>
                <w:szCs w:val="18"/>
                <w:color w:val="666666"/>
              </w:rPr>
              <w:t>Executive Vice President for Policy at the Center for American Progress from 2005 to 2008 and Senior</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80" w:type="dxa"/>
            <w:vAlign w:val="bottom"/>
          </w:tcPr>
          <w:p>
            <w:pPr>
              <w:ind w:left="20"/>
              <w:spacing w:after="0" w:line="202" w:lineRule="exact"/>
              <w:rPr>
                <w:sz w:val="20"/>
                <w:szCs w:val="20"/>
                <w:color w:val="auto"/>
              </w:rPr>
            </w:pPr>
            <w:r>
              <w:rPr>
                <w:rFonts w:ascii="Arial" w:cs="Arial" w:eastAsia="Arial" w:hAnsi="Arial"/>
                <w:sz w:val="18"/>
                <w:szCs w:val="18"/>
                <w:color w:val="666666"/>
              </w:rPr>
              <w:t>Fellow there from 2003 to 2005, and prior to that she was a principal in the Raben Group LLC. She also</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80" w:type="dxa"/>
            <w:vAlign w:val="bottom"/>
          </w:tcPr>
          <w:p>
            <w:pPr>
              <w:ind w:left="20"/>
              <w:spacing w:after="0" w:line="202" w:lineRule="exact"/>
              <w:rPr>
                <w:sz w:val="20"/>
                <w:szCs w:val="20"/>
                <w:color w:val="auto"/>
              </w:rPr>
            </w:pPr>
            <w:r>
              <w:rPr>
                <w:rFonts w:ascii="Arial" w:cs="Arial" w:eastAsia="Arial" w:hAnsi="Arial"/>
                <w:sz w:val="18"/>
                <w:szCs w:val="18"/>
                <w:color w:val="666666"/>
              </w:rPr>
              <w:t>served as Chief Counsel to Senator Edward M. Kennedy on the Senate Judiciary Committee from 1998 to</w:t>
            </w:r>
          </w:p>
        </w:tc>
        <w:tc>
          <w:tcPr>
            <w:tcW w:w="0" w:type="dxa"/>
            <w:vAlign w:val="bottom"/>
          </w:tcPr>
          <w:p>
            <w:pPr>
              <w:spacing w:after="0"/>
              <w:rPr>
                <w:sz w:val="1"/>
                <w:szCs w:val="1"/>
                <w:color w:val="auto"/>
              </w:rPr>
            </w:pPr>
          </w:p>
        </w:tc>
      </w:tr>
      <w:tr>
        <w:trPr>
          <w:trHeight w:val="217"/>
        </w:trPr>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666666"/>
              </w:rPr>
              <w:t>2003 and General Counsel for him from 1995 to 1998.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-1036320</wp:posOffset>
            </wp:positionV>
            <wp:extent cx="1139825" cy="11398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39825" cy="1139825"/>
                    </a:xfrm>
                    <a:prstGeom prst="rect">
                      <a:avLst/>
                    </a:prstGeom>
                    <a:noFill/>
                  </pic:spPr>
                </pic:pic>
              </a:graphicData>
            </a:graphic>
          </wp:anchor>
        </w:drawing>
      </w:r>
    </w:p>
    <w:p>
      <w:pPr>
        <w:sectPr>
          <w:pgSz w:w="11900" w:h="16838" w:orient="portrait"/>
          <w:cols w:equalWidth="0" w:num="1">
            <w:col w:w="11180"/>
          </w:cols>
          <w:pgMar w:left="360" w:top="490" w:right="35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color w:val="666666"/>
        </w:rPr>
        <w:t>Age: 56</w:t>
      </w:r>
    </w:p>
    <w:p>
      <w:pPr>
        <w:ind w:left="20"/>
        <w:spacing w:after="0" w:line="234" w:lineRule="auto"/>
        <w:rPr>
          <w:sz w:val="20"/>
          <w:szCs w:val="20"/>
          <w:color w:val="auto"/>
        </w:rPr>
      </w:pPr>
      <w:r>
        <w:rPr>
          <w:rFonts w:ascii="Arial" w:cs="Arial" w:eastAsia="Arial" w:hAnsi="Arial"/>
          <w:sz w:val="18"/>
          <w:szCs w:val="18"/>
          <w:color w:val="666666"/>
        </w:rPr>
        <w:t>Director since: 2015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666666"/>
        </w:rPr>
        <w:t>Independent</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666666"/>
        </w:rPr>
        <w:t>Committees:</w:t>
      </w:r>
    </w:p>
    <w:p>
      <w:pPr>
        <w:spacing w:after="0" w:line="9" w:lineRule="exact"/>
        <w:rPr>
          <w:sz w:val="20"/>
          <w:szCs w:val="20"/>
          <w:color w:val="auto"/>
        </w:rPr>
      </w:pPr>
    </w:p>
    <w:p>
      <w:pPr>
        <w:ind w:left="200" w:hanging="121"/>
        <w:spacing w:after="0"/>
        <w:tabs>
          <w:tab w:leader="none" w:pos="200" w:val="left"/>
        </w:tabs>
        <w:numPr>
          <w:ilvl w:val="0"/>
          <w:numId w:val="16"/>
        </w:numPr>
        <w:rPr>
          <w:rFonts w:ascii="Arial" w:cs="Arial" w:eastAsia="Arial" w:hAnsi="Arial"/>
          <w:sz w:val="18"/>
          <w:szCs w:val="18"/>
          <w:color w:val="666666"/>
        </w:rPr>
      </w:pPr>
      <w:r>
        <w:rPr>
          <w:rFonts w:ascii="Arial" w:cs="Arial" w:eastAsia="Arial" w:hAnsi="Arial"/>
          <w:sz w:val="18"/>
          <w:szCs w:val="18"/>
          <w:color w:val="666666"/>
        </w:rPr>
        <w:t>Compensation</w:t>
      </w:r>
    </w:p>
    <w:p>
      <w:pPr>
        <w:ind w:left="280" w:hanging="201"/>
        <w:spacing w:after="0" w:line="246" w:lineRule="auto"/>
        <w:tabs>
          <w:tab w:leader="none" w:pos="200" w:val="left"/>
        </w:tabs>
        <w:numPr>
          <w:ilvl w:val="0"/>
          <w:numId w:val="16"/>
        </w:numPr>
        <w:rPr>
          <w:rFonts w:ascii="Arial" w:cs="Arial" w:eastAsia="Arial" w:hAnsi="Arial"/>
          <w:sz w:val="18"/>
          <w:szCs w:val="18"/>
          <w:color w:val="666666"/>
        </w:rPr>
      </w:pPr>
      <w:r>
        <w:rPr>
          <w:rFonts w:ascii="Arial" w:cs="Arial" w:eastAsia="Arial" w:hAnsi="Arial"/>
          <w:sz w:val="18"/>
          <w:szCs w:val="18"/>
          <w:color w:val="666666"/>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666666"/>
        </w:rPr>
        <w:t>Specific qualifications, experience, skills, and expertise include:</w:t>
      </w:r>
    </w:p>
    <w:p>
      <w:pPr>
        <w:spacing w:after="0" w:line="99" w:lineRule="exact"/>
        <w:rPr>
          <w:sz w:val="20"/>
          <w:szCs w:val="20"/>
          <w:color w:val="auto"/>
        </w:rPr>
      </w:pPr>
    </w:p>
    <w:p>
      <w:pPr>
        <w:ind w:left="180" w:hanging="104"/>
        <w:spacing w:after="0"/>
        <w:tabs>
          <w:tab w:leader="none" w:pos="180" w:val="left"/>
        </w:tabs>
        <w:numPr>
          <w:ilvl w:val="0"/>
          <w:numId w:val="17"/>
        </w:numPr>
        <w:rPr>
          <w:rFonts w:ascii="Arial" w:cs="Arial" w:eastAsia="Arial" w:hAnsi="Arial"/>
          <w:sz w:val="18"/>
          <w:szCs w:val="18"/>
          <w:color w:val="666666"/>
        </w:rPr>
      </w:pPr>
      <w:r>
        <w:rPr>
          <w:rFonts w:ascii="Arial" w:cs="Arial" w:eastAsia="Arial" w:hAnsi="Arial"/>
          <w:sz w:val="18"/>
          <w:szCs w:val="18"/>
          <w:color w:val="666666"/>
        </w:rPr>
        <w:t>Significant government experience and strong skills in public policy;</w:t>
      </w:r>
    </w:p>
    <w:p>
      <w:pPr>
        <w:ind w:left="180" w:hanging="104"/>
        <w:spacing w:after="0" w:line="234" w:lineRule="auto"/>
        <w:tabs>
          <w:tab w:leader="none" w:pos="180" w:val="left"/>
        </w:tabs>
        <w:numPr>
          <w:ilvl w:val="0"/>
          <w:numId w:val="17"/>
        </w:numPr>
        <w:rPr>
          <w:rFonts w:ascii="Arial" w:cs="Arial" w:eastAsia="Arial" w:hAnsi="Arial"/>
          <w:sz w:val="18"/>
          <w:szCs w:val="18"/>
          <w:color w:val="666666"/>
        </w:rPr>
      </w:pPr>
      <w:r>
        <w:rPr>
          <w:rFonts w:ascii="Arial" w:cs="Arial" w:eastAsia="Arial" w:hAnsi="Arial"/>
          <w:sz w:val="18"/>
          <w:szCs w:val="18"/>
          <w:color w:val="666666"/>
        </w:rPr>
        <w:t>Public company directorship; and</w:t>
      </w:r>
    </w:p>
    <w:p>
      <w:pPr>
        <w:ind w:left="400" w:right="840" w:hanging="324"/>
        <w:spacing w:after="0" w:line="246" w:lineRule="auto"/>
        <w:tabs>
          <w:tab w:leader="none" w:pos="189" w:val="left"/>
        </w:tabs>
        <w:numPr>
          <w:ilvl w:val="0"/>
          <w:numId w:val="17"/>
        </w:numPr>
        <w:rPr>
          <w:rFonts w:ascii="Arial" w:cs="Arial" w:eastAsia="Arial" w:hAnsi="Arial"/>
          <w:sz w:val="18"/>
          <w:szCs w:val="18"/>
          <w:color w:val="666666"/>
        </w:rPr>
      </w:pPr>
      <w:r>
        <w:rPr>
          <w:rFonts w:ascii="Arial" w:cs="Arial" w:eastAsia="Arial" w:hAnsi="Arial"/>
          <w:sz w:val="18"/>
          <w:szCs w:val="18"/>
          <w:color w:val="666666"/>
        </w:rPr>
        <w:t>Core business skills, including financial and strategic planning as well as leading not-for-profit organizations.</w:t>
      </w:r>
    </w:p>
    <w:p>
      <w:pPr>
        <w:spacing w:after="0" w:line="902" w:lineRule="exact"/>
        <w:rPr>
          <w:sz w:val="20"/>
          <w:szCs w:val="20"/>
          <w:color w:val="auto"/>
        </w:rPr>
      </w:pPr>
    </w:p>
    <w:p>
      <w:pPr>
        <w:sectPr>
          <w:pgSz w:w="11900" w:h="16838" w:orient="portrait"/>
          <w:cols w:equalWidth="0" w:num="2">
            <w:col w:w="2300" w:space="420"/>
            <w:col w:w="8460"/>
          </w:cols>
          <w:pgMar w:left="360" w:top="490" w:right="359" w:bottom="1440" w:gutter="0" w:footer="0" w:header="0"/>
          <w:type w:val="continuous"/>
        </w:sect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160" w:type="dxa"/>
            <w:vAlign w:val="bottom"/>
          </w:tcPr>
          <w:p>
            <w:pPr>
              <w:spacing w:after="0"/>
              <w:rPr>
                <w:sz w:val="20"/>
                <w:szCs w:val="20"/>
                <w:color w:val="auto"/>
              </w:rPr>
            </w:pPr>
            <w:r>
              <w:rPr>
                <w:rFonts w:ascii="Arial" w:cs="Arial" w:eastAsia="Arial" w:hAnsi="Arial"/>
                <w:sz w:val="18"/>
                <w:szCs w:val="18"/>
                <w:color w:val="5E5E61"/>
              </w:rPr>
              <w:t>Ellen Jewett</w:t>
            </w:r>
          </w:p>
        </w:tc>
        <w:tc>
          <w:tcPr>
            <w:tcW w:w="8960" w:type="dxa"/>
            <w:vAlign w:val="bottom"/>
          </w:tcPr>
          <w:p>
            <w:pPr>
              <w:ind w:left="540"/>
              <w:spacing w:after="0"/>
              <w:rPr>
                <w:sz w:val="20"/>
                <w:szCs w:val="20"/>
                <w:color w:val="auto"/>
              </w:rPr>
            </w:pPr>
            <w:r>
              <w:rPr>
                <w:rFonts w:ascii="Arial" w:cs="Arial" w:eastAsia="Arial" w:hAnsi="Arial"/>
                <w:sz w:val="18"/>
                <w:szCs w:val="18"/>
                <w:color w:val="666666"/>
              </w:rPr>
              <w:t>Ms. Jewett has served as managing partner at Canoe Point Capital LLC, an investment firm focusing on</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5E5E61"/>
              </w:rPr>
              <w:t>(Class III)</w:t>
            </w: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early stage social ventures, since 2015. Prior to that position, she served as managing director and head</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of U.S. Government and Infrastructure for BMO Capital Markets covering airports and infrastructure</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banking from 2010 to 2015. Prior to that, Ms. Jewett spent more than 20 years at Goldman Sachs</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specializing in airport infrastructure financing, most recently serving as head of the public sector</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transportation group, and previously as head of the airport finance group. Ms. Jewett has served on the</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board of JetBlue since 2011 where she chairs the Governance and Nominating Committee and</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Fundamental Credit Opportunities (FCO) U.S. and Offshore Feeder Funds since 2016 and the nonprofit</w:t>
            </w:r>
          </w:p>
        </w:tc>
        <w:tc>
          <w:tcPr>
            <w:tcW w:w="0" w:type="dxa"/>
            <w:vAlign w:val="bottom"/>
          </w:tcPr>
          <w:p>
            <w:pPr>
              <w:spacing w:after="0"/>
              <w:rPr>
                <w:sz w:val="1"/>
                <w:szCs w:val="1"/>
                <w:color w:val="auto"/>
              </w:rPr>
            </w:pPr>
          </w:p>
        </w:tc>
      </w:tr>
      <w:tr>
        <w:trPr>
          <w:trHeight w:val="202"/>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board of Children's Aid since 2019. She currently serves as emerita trustee of Wesleyan University and</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the Brearley School, having previously served in leadership positions on the board of trustees of both</w:t>
            </w:r>
          </w:p>
        </w:tc>
        <w:tc>
          <w:tcPr>
            <w:tcW w:w="0" w:type="dxa"/>
            <w:vAlign w:val="bottom"/>
          </w:tcPr>
          <w:p>
            <w:pPr>
              <w:spacing w:after="0"/>
              <w:rPr>
                <w:sz w:val="1"/>
                <w:szCs w:val="1"/>
                <w:color w:val="auto"/>
              </w:rPr>
            </w:pPr>
          </w:p>
        </w:tc>
      </w:tr>
      <w:tr>
        <w:trPr>
          <w:trHeight w:val="217"/>
        </w:trPr>
        <w:tc>
          <w:tcPr>
            <w:tcW w:w="2160" w:type="dxa"/>
            <w:vAlign w:val="bottom"/>
          </w:tcPr>
          <w:p>
            <w:pPr>
              <w:spacing w:after="0"/>
              <w:rPr>
                <w:sz w:val="18"/>
                <w:szCs w:val="18"/>
                <w:color w:val="auto"/>
              </w:rPr>
            </w:pPr>
          </w:p>
        </w:tc>
        <w:tc>
          <w:tcPr>
            <w:tcW w:w="8960" w:type="dxa"/>
            <w:vAlign w:val="bottom"/>
          </w:tcPr>
          <w:p>
            <w:pPr>
              <w:ind w:left="540"/>
              <w:spacing w:after="0"/>
              <w:rPr>
                <w:sz w:val="20"/>
                <w:szCs w:val="20"/>
                <w:color w:val="auto"/>
              </w:rPr>
            </w:pPr>
            <w:r>
              <w:rPr>
                <w:rFonts w:ascii="Arial" w:cs="Arial" w:eastAsia="Arial" w:hAnsi="Arial"/>
                <w:sz w:val="18"/>
                <w:szCs w:val="18"/>
                <w:color w:val="666666"/>
              </w:rPr>
              <w:t>academic institutions.</w:t>
            </w:r>
          </w:p>
        </w:tc>
        <w:tc>
          <w:tcPr>
            <w:tcW w:w="0" w:type="dxa"/>
            <w:vAlign w:val="bottom"/>
          </w:tcPr>
          <w:p>
            <w:pPr>
              <w:spacing w:after="0"/>
              <w:rPr>
                <w:sz w:val="1"/>
                <w:szCs w:val="1"/>
                <w:color w:val="auto"/>
              </w:rPr>
            </w:pPr>
          </w:p>
        </w:tc>
      </w:tr>
      <w:tr>
        <w:trPr>
          <w:trHeight w:val="445"/>
        </w:trPr>
        <w:tc>
          <w:tcPr>
            <w:tcW w:w="2160" w:type="dxa"/>
            <w:vAlign w:val="bottom"/>
          </w:tcPr>
          <w:p>
            <w:pPr>
              <w:spacing w:after="0"/>
              <w:rPr>
                <w:sz w:val="20"/>
                <w:szCs w:val="20"/>
                <w:color w:val="auto"/>
              </w:rPr>
            </w:pPr>
            <w:r>
              <w:rPr>
                <w:rFonts w:ascii="Arial" w:cs="Arial" w:eastAsia="Arial" w:hAnsi="Arial"/>
                <w:sz w:val="18"/>
                <w:szCs w:val="18"/>
                <w:color w:val="666666"/>
              </w:rPr>
              <w:t>Age: 61</w:t>
            </w:r>
          </w:p>
        </w:tc>
        <w:tc>
          <w:tcPr>
            <w:tcW w:w="8960" w:type="dxa"/>
            <w:vAlign w:val="bottom"/>
          </w:tcPr>
          <w:p>
            <w:pPr>
              <w:ind w:left="540"/>
              <w:spacing w:after="0"/>
              <w:rPr>
                <w:sz w:val="20"/>
                <w:szCs w:val="20"/>
                <w:color w:val="auto"/>
              </w:rPr>
            </w:pPr>
            <w:r>
              <w:rPr>
                <w:rFonts w:ascii="Arial" w:cs="Arial" w:eastAsia="Arial" w:hAnsi="Arial"/>
                <w:sz w:val="18"/>
                <w:szCs w:val="18"/>
                <w:color w:val="666666"/>
              </w:rPr>
              <w:t>Specific qualifications, experience, skills, and expertise include:</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666666"/>
              </w:rPr>
              <w:t>Director since: 2018</w:t>
            </w:r>
          </w:p>
        </w:tc>
        <w:tc>
          <w:tcPr>
            <w:tcW w:w="8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666666"/>
              </w:rPr>
              <w:t>Independent</w:t>
            </w:r>
          </w:p>
        </w:tc>
        <w:tc>
          <w:tcPr>
            <w:tcW w:w="8960" w:type="dxa"/>
            <w:vAlign w:val="bottom"/>
          </w:tcPr>
          <w:p>
            <w:pPr>
              <w:ind w:left="620"/>
              <w:spacing w:after="0" w:line="202" w:lineRule="exact"/>
              <w:rPr>
                <w:sz w:val="20"/>
                <w:szCs w:val="20"/>
                <w:color w:val="auto"/>
              </w:rPr>
            </w:pPr>
            <w:r>
              <w:rPr>
                <w:rFonts w:ascii="Arial" w:cs="Arial" w:eastAsia="Arial" w:hAnsi="Arial"/>
                <w:sz w:val="18"/>
                <w:szCs w:val="18"/>
                <w:color w:val="666666"/>
              </w:rPr>
              <w:t>• Public company directorship and committee experience;</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620"/>
              <w:spacing w:after="0" w:line="202" w:lineRule="exact"/>
              <w:rPr>
                <w:sz w:val="20"/>
                <w:szCs w:val="20"/>
                <w:color w:val="auto"/>
              </w:rPr>
            </w:pPr>
            <w:r>
              <w:rPr>
                <w:rFonts w:ascii="Arial" w:cs="Arial" w:eastAsia="Arial" w:hAnsi="Arial"/>
                <w:sz w:val="18"/>
                <w:szCs w:val="18"/>
                <w:color w:val="666666"/>
              </w:rPr>
              <w:t>• Experience in domestic and international finance and talent management; and</w:t>
            </w:r>
          </w:p>
        </w:tc>
        <w:tc>
          <w:tcPr>
            <w:tcW w:w="0" w:type="dxa"/>
            <w:vAlign w:val="bottom"/>
          </w:tcPr>
          <w:p>
            <w:pPr>
              <w:spacing w:after="0"/>
              <w:rPr>
                <w:sz w:val="1"/>
                <w:szCs w:val="1"/>
                <w:color w:val="auto"/>
              </w:rPr>
            </w:pPr>
          </w:p>
        </w:tc>
      </w:tr>
      <w:tr>
        <w:trPr>
          <w:trHeight w:val="217"/>
        </w:trPr>
        <w:tc>
          <w:tcPr>
            <w:tcW w:w="2160" w:type="dxa"/>
            <w:vAlign w:val="bottom"/>
            <w:vMerge w:val="restart"/>
          </w:tcPr>
          <w:p>
            <w:pPr>
              <w:spacing w:after="0"/>
              <w:rPr>
                <w:sz w:val="20"/>
                <w:szCs w:val="20"/>
                <w:color w:val="auto"/>
              </w:rPr>
            </w:pPr>
            <w:r>
              <w:rPr>
                <w:rFonts w:ascii="Arial" w:cs="Arial" w:eastAsia="Arial" w:hAnsi="Arial"/>
                <w:sz w:val="18"/>
                <w:szCs w:val="18"/>
                <w:i w:val="1"/>
                <w:iCs w:val="1"/>
                <w:color w:val="666666"/>
              </w:rPr>
              <w:t>Committee:</w:t>
            </w:r>
          </w:p>
        </w:tc>
        <w:tc>
          <w:tcPr>
            <w:tcW w:w="8960" w:type="dxa"/>
            <w:vAlign w:val="bottom"/>
          </w:tcPr>
          <w:p>
            <w:pPr>
              <w:ind w:left="620"/>
              <w:spacing w:after="0"/>
              <w:rPr>
                <w:sz w:val="20"/>
                <w:szCs w:val="20"/>
                <w:color w:val="auto"/>
              </w:rPr>
            </w:pPr>
            <w:r>
              <w:rPr>
                <w:rFonts w:ascii="Arial" w:cs="Arial" w:eastAsia="Arial" w:hAnsi="Arial"/>
                <w:sz w:val="18"/>
                <w:szCs w:val="18"/>
                <w:color w:val="666666"/>
              </w:rPr>
              <w:t>• Core business skills, including financial and strategic planning.</w:t>
            </w:r>
          </w:p>
        </w:tc>
        <w:tc>
          <w:tcPr>
            <w:tcW w:w="0" w:type="dxa"/>
            <w:vAlign w:val="bottom"/>
          </w:tcPr>
          <w:p>
            <w:pPr>
              <w:spacing w:after="0"/>
              <w:rPr>
                <w:sz w:val="1"/>
                <w:szCs w:val="1"/>
                <w:color w:val="auto"/>
              </w:rPr>
            </w:pPr>
          </w:p>
        </w:tc>
      </w:tr>
      <w:tr>
        <w:trPr>
          <w:trHeight w:val="188"/>
        </w:trPr>
        <w:tc>
          <w:tcPr>
            <w:tcW w:w="2160" w:type="dxa"/>
            <w:vAlign w:val="bottom"/>
            <w:vMerge w:val="continue"/>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60" w:type="dxa"/>
            <w:vAlign w:val="bottom"/>
          </w:tcPr>
          <w:p>
            <w:pPr>
              <w:ind w:left="60"/>
              <w:spacing w:after="0"/>
              <w:rPr>
                <w:sz w:val="20"/>
                <w:szCs w:val="20"/>
                <w:color w:val="auto"/>
              </w:rPr>
            </w:pPr>
            <w:r>
              <w:rPr>
                <w:rFonts w:ascii="Arial" w:cs="Arial" w:eastAsia="Arial" w:hAnsi="Arial"/>
                <w:sz w:val="18"/>
                <w:szCs w:val="18"/>
                <w:color w:val="666666"/>
              </w:rPr>
              <w:t>• Audit</w:t>
            </w:r>
          </w:p>
        </w:tc>
        <w:tc>
          <w:tcPr>
            <w:tcW w:w="8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160" w:type="dxa"/>
            <w:vAlign w:val="bottom"/>
          </w:tcPr>
          <w:p>
            <w:pPr>
              <w:spacing w:after="0"/>
              <w:rPr>
                <w:sz w:val="24"/>
                <w:szCs w:val="24"/>
                <w:color w:val="auto"/>
              </w:rPr>
            </w:pPr>
          </w:p>
        </w:tc>
        <w:tc>
          <w:tcPr>
            <w:tcW w:w="8960" w:type="dxa"/>
            <w:vAlign w:val="bottom"/>
          </w:tcPr>
          <w:p>
            <w:pPr>
              <w:ind w:left="3300"/>
              <w:spacing w:after="0"/>
              <w:rPr>
                <w:sz w:val="20"/>
                <w:szCs w:val="20"/>
                <w:color w:val="auto"/>
              </w:rPr>
            </w:pPr>
            <w:r>
              <w:rPr>
                <w:rFonts w:ascii="Arial" w:cs="Arial" w:eastAsia="Arial" w:hAnsi="Arial"/>
                <w:sz w:val="18"/>
                <w:szCs w:val="18"/>
                <w:color w:val="666666"/>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-2365375</wp:posOffset>
            </wp:positionV>
            <wp:extent cx="1139825" cy="1140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39825" cy="1140460"/>
                    </a:xfrm>
                    <a:prstGeom prst="rect">
                      <a:avLst/>
                    </a:prstGeom>
                    <a:noFill/>
                  </pic:spPr>
                </pic:pic>
              </a:graphicData>
            </a:graphic>
          </wp:anchor>
        </w:drawing>
      </w:r>
    </w:p>
    <w:p>
      <w:pPr>
        <w:sectPr>
          <w:pgSz w:w="11900" w:h="16838" w:orient="portrait"/>
          <w:cols w:equalWidth="0" w:num="1">
            <w:col w:w="11180"/>
          </w:cols>
          <w:pgMar w:left="360" w:top="490" w:right="35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20"/>
                <w:szCs w:val="20"/>
                <w:color w:val="auto"/>
              </w:rPr>
            </w:pPr>
            <w:r>
              <w:rPr>
                <w:rFonts w:ascii="Arial" w:cs="Arial" w:eastAsia="Arial" w:hAnsi="Arial"/>
                <w:sz w:val="18"/>
                <w:szCs w:val="18"/>
                <w:color w:val="5E5E61"/>
              </w:rPr>
              <w:t>Arthur E. Johnson</w:t>
            </w:r>
          </w:p>
        </w:tc>
        <w:tc>
          <w:tcPr>
            <w:tcW w:w="8960" w:type="dxa"/>
            <w:vAlign w:val="bottom"/>
          </w:tcPr>
          <w:p>
            <w:pPr>
              <w:ind w:left="540"/>
              <w:spacing w:after="0"/>
              <w:rPr>
                <w:sz w:val="20"/>
                <w:szCs w:val="20"/>
                <w:color w:val="auto"/>
              </w:rPr>
            </w:pPr>
            <w:r>
              <w:rPr>
                <w:rFonts w:ascii="Arial" w:cs="Arial" w:eastAsia="Arial" w:hAnsi="Arial"/>
                <w:sz w:val="18"/>
                <w:szCs w:val="18"/>
                <w:color w:val="666666"/>
                <w:w w:val="99"/>
              </w:rPr>
              <w:t>Mr. Johnson retired as Senior Vice President, Corporate Strategic Development of Lockheed Martin Corp.</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5E5E61"/>
              </w:rPr>
              <w:t>(Class III)</w:t>
            </w: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in 2009, a position he held since 1999. Mr. Johnson has over 20 years of senior leadership experience in</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the information technology and defense businesses. Mr. Johnson brings extensive IT management</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w w:val="99"/>
              </w:rPr>
              <w:t>experience to the Board, having held senior positions at IBM, Loral Corporation, and Lockheed Martin. He</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serves as an independent trustee of the Fixed Income and Asset Allocation funds of Fidelity Investments</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since 2008. Mr. Johnson served as a director of Delta Airlines from 2005 to 2007, IKON Office Solutions</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Corporation from 1999 to 2008, AGL Resources from 2002 to 2016 and Eaton Corporation, plc since</w:t>
            </w:r>
          </w:p>
        </w:tc>
        <w:tc>
          <w:tcPr>
            <w:tcW w:w="0" w:type="dxa"/>
            <w:vAlign w:val="bottom"/>
          </w:tcPr>
          <w:p>
            <w:pPr>
              <w:spacing w:after="0"/>
              <w:rPr>
                <w:sz w:val="1"/>
                <w:szCs w:val="1"/>
                <w:color w:val="auto"/>
              </w:rPr>
            </w:pPr>
          </w:p>
        </w:tc>
      </w:tr>
      <w:tr>
        <w:trPr>
          <w:trHeight w:val="217"/>
        </w:trPr>
        <w:tc>
          <w:tcPr>
            <w:tcW w:w="2160" w:type="dxa"/>
            <w:vAlign w:val="bottom"/>
          </w:tcPr>
          <w:p>
            <w:pPr>
              <w:spacing w:after="0"/>
              <w:rPr>
                <w:sz w:val="18"/>
                <w:szCs w:val="18"/>
                <w:color w:val="auto"/>
              </w:rPr>
            </w:pPr>
          </w:p>
        </w:tc>
        <w:tc>
          <w:tcPr>
            <w:tcW w:w="8960" w:type="dxa"/>
            <w:vAlign w:val="bottom"/>
          </w:tcPr>
          <w:p>
            <w:pPr>
              <w:ind w:left="540"/>
              <w:spacing w:after="0"/>
              <w:rPr>
                <w:sz w:val="20"/>
                <w:szCs w:val="20"/>
                <w:color w:val="auto"/>
              </w:rPr>
            </w:pPr>
            <w:r>
              <w:rPr>
                <w:rFonts w:ascii="Arial" w:cs="Arial" w:eastAsia="Arial" w:hAnsi="Arial"/>
                <w:sz w:val="18"/>
                <w:szCs w:val="18"/>
                <w:color w:val="666666"/>
              </w:rPr>
              <w:t>2009 until 2019.</w:t>
            </w:r>
          </w:p>
        </w:tc>
        <w:tc>
          <w:tcPr>
            <w:tcW w:w="0" w:type="dxa"/>
            <w:vAlign w:val="bottom"/>
          </w:tcPr>
          <w:p>
            <w:pPr>
              <w:spacing w:after="0"/>
              <w:rPr>
                <w:sz w:val="1"/>
                <w:szCs w:val="1"/>
                <w:color w:val="auto"/>
              </w:rPr>
            </w:pPr>
          </w:p>
        </w:tc>
      </w:tr>
      <w:tr>
        <w:trPr>
          <w:trHeight w:val="877"/>
        </w:trPr>
        <w:tc>
          <w:tcPr>
            <w:tcW w:w="2160" w:type="dxa"/>
            <w:vAlign w:val="bottom"/>
          </w:tcPr>
          <w:p>
            <w:pPr>
              <w:spacing w:after="0"/>
              <w:rPr>
                <w:sz w:val="20"/>
                <w:szCs w:val="20"/>
                <w:color w:val="auto"/>
              </w:rPr>
            </w:pPr>
            <w:r>
              <w:rPr>
                <w:rFonts w:ascii="Arial" w:cs="Arial" w:eastAsia="Arial" w:hAnsi="Arial"/>
                <w:sz w:val="18"/>
                <w:szCs w:val="18"/>
                <w:color w:val="666666"/>
              </w:rPr>
              <w:t>Age: 73</w:t>
            </w:r>
          </w:p>
        </w:tc>
        <w:tc>
          <w:tcPr>
            <w:tcW w:w="8960" w:type="dxa"/>
            <w:vAlign w:val="bottom"/>
          </w:tcPr>
          <w:p>
            <w:pPr>
              <w:ind w:left="540"/>
              <w:spacing w:after="0"/>
              <w:rPr>
                <w:sz w:val="20"/>
                <w:szCs w:val="20"/>
                <w:color w:val="auto"/>
              </w:rPr>
            </w:pPr>
            <w:r>
              <w:rPr>
                <w:rFonts w:ascii="Arial" w:cs="Arial" w:eastAsia="Arial" w:hAnsi="Arial"/>
                <w:sz w:val="18"/>
                <w:szCs w:val="18"/>
                <w:color w:val="666666"/>
              </w:rPr>
              <w:t>Specific qualifications, experience, skills, and expertise include:</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666666"/>
              </w:rPr>
              <w:t>Director since: 2011</w:t>
            </w:r>
          </w:p>
        </w:tc>
        <w:tc>
          <w:tcPr>
            <w:tcW w:w="8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666666"/>
              </w:rPr>
              <w:t>Independent</w:t>
            </w:r>
          </w:p>
        </w:tc>
        <w:tc>
          <w:tcPr>
            <w:tcW w:w="8960" w:type="dxa"/>
            <w:vAlign w:val="bottom"/>
          </w:tcPr>
          <w:p>
            <w:pPr>
              <w:ind w:left="620"/>
              <w:spacing w:after="0" w:line="202" w:lineRule="exact"/>
              <w:rPr>
                <w:sz w:val="20"/>
                <w:szCs w:val="20"/>
                <w:color w:val="auto"/>
              </w:rPr>
            </w:pPr>
            <w:r>
              <w:rPr>
                <w:rFonts w:ascii="Arial" w:cs="Arial" w:eastAsia="Arial" w:hAnsi="Arial"/>
                <w:sz w:val="18"/>
                <w:szCs w:val="18"/>
                <w:color w:val="666666"/>
              </w:rPr>
              <w:t>• Public company directorship and audit committee experience;</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620"/>
              <w:spacing w:after="0" w:line="202" w:lineRule="exact"/>
              <w:rPr>
                <w:sz w:val="20"/>
                <w:szCs w:val="20"/>
                <w:color w:val="auto"/>
              </w:rPr>
            </w:pPr>
            <w:r>
              <w:rPr>
                <w:rFonts w:ascii="Arial" w:cs="Arial" w:eastAsia="Arial" w:hAnsi="Arial"/>
                <w:sz w:val="18"/>
                <w:szCs w:val="18"/>
                <w:color w:val="666666"/>
              </w:rPr>
              <w:t>• Operating and management experience;</w:t>
            </w:r>
          </w:p>
        </w:tc>
        <w:tc>
          <w:tcPr>
            <w:tcW w:w="0" w:type="dxa"/>
            <w:vAlign w:val="bottom"/>
          </w:tcPr>
          <w:p>
            <w:pPr>
              <w:spacing w:after="0"/>
              <w:rPr>
                <w:sz w:val="1"/>
                <w:szCs w:val="1"/>
                <w:color w:val="auto"/>
              </w:rPr>
            </w:pPr>
          </w:p>
        </w:tc>
      </w:tr>
      <w:tr>
        <w:trPr>
          <w:trHeight w:val="203"/>
        </w:trPr>
        <w:tc>
          <w:tcPr>
            <w:tcW w:w="2160" w:type="dxa"/>
            <w:vAlign w:val="bottom"/>
            <w:vMerge w:val="restart"/>
          </w:tcPr>
          <w:p>
            <w:pPr>
              <w:spacing w:after="0"/>
              <w:rPr>
                <w:sz w:val="20"/>
                <w:szCs w:val="20"/>
                <w:color w:val="auto"/>
              </w:rPr>
            </w:pPr>
            <w:r>
              <w:rPr>
                <w:rFonts w:ascii="Arial" w:cs="Arial" w:eastAsia="Arial" w:hAnsi="Arial"/>
                <w:sz w:val="18"/>
                <w:szCs w:val="18"/>
                <w:i w:val="1"/>
                <w:iCs w:val="1"/>
                <w:color w:val="666666"/>
              </w:rPr>
              <w:t>Committee:</w:t>
            </w:r>
          </w:p>
        </w:tc>
        <w:tc>
          <w:tcPr>
            <w:tcW w:w="8960" w:type="dxa"/>
            <w:vAlign w:val="bottom"/>
          </w:tcPr>
          <w:p>
            <w:pPr>
              <w:ind w:left="620"/>
              <w:spacing w:after="0" w:line="202" w:lineRule="exact"/>
              <w:rPr>
                <w:sz w:val="20"/>
                <w:szCs w:val="20"/>
                <w:color w:val="auto"/>
              </w:rPr>
            </w:pPr>
            <w:r>
              <w:rPr>
                <w:rFonts w:ascii="Arial" w:cs="Arial" w:eastAsia="Arial" w:hAnsi="Arial"/>
                <w:sz w:val="18"/>
                <w:szCs w:val="18"/>
                <w:color w:val="666666"/>
              </w:rPr>
              <w:t>• Understanding of government contracting; and</w:t>
            </w:r>
          </w:p>
        </w:tc>
        <w:tc>
          <w:tcPr>
            <w:tcW w:w="0" w:type="dxa"/>
            <w:vAlign w:val="bottom"/>
          </w:tcPr>
          <w:p>
            <w:pPr>
              <w:spacing w:after="0"/>
              <w:rPr>
                <w:sz w:val="1"/>
                <w:szCs w:val="1"/>
                <w:color w:val="auto"/>
              </w:rPr>
            </w:pPr>
          </w:p>
        </w:tc>
      </w:tr>
      <w:tr>
        <w:trPr>
          <w:trHeight w:val="203"/>
        </w:trPr>
        <w:tc>
          <w:tcPr>
            <w:tcW w:w="2160" w:type="dxa"/>
            <w:vAlign w:val="bottom"/>
            <w:vMerge w:val="continue"/>
          </w:tcPr>
          <w:p>
            <w:pPr>
              <w:spacing w:after="0"/>
              <w:rPr>
                <w:sz w:val="17"/>
                <w:szCs w:val="17"/>
                <w:color w:val="auto"/>
              </w:rPr>
            </w:pPr>
          </w:p>
        </w:tc>
        <w:tc>
          <w:tcPr>
            <w:tcW w:w="8960" w:type="dxa"/>
            <w:vAlign w:val="bottom"/>
          </w:tcPr>
          <w:p>
            <w:pPr>
              <w:ind w:left="620"/>
              <w:spacing w:after="0" w:line="202" w:lineRule="exact"/>
              <w:rPr>
                <w:sz w:val="20"/>
                <w:szCs w:val="20"/>
                <w:color w:val="auto"/>
              </w:rPr>
            </w:pPr>
            <w:r>
              <w:rPr>
                <w:rFonts w:ascii="Arial" w:cs="Arial" w:eastAsia="Arial" w:hAnsi="Arial"/>
                <w:sz w:val="18"/>
                <w:szCs w:val="18"/>
                <w:color w:val="666666"/>
              </w:rPr>
              <w:t>• Core business skills, including financial and strategic planning.</w:t>
            </w:r>
          </w:p>
        </w:tc>
        <w:tc>
          <w:tcPr>
            <w:tcW w:w="0" w:type="dxa"/>
            <w:vAlign w:val="bottom"/>
          </w:tcPr>
          <w:p>
            <w:pPr>
              <w:spacing w:after="0"/>
              <w:rPr>
                <w:sz w:val="1"/>
                <w:szCs w:val="1"/>
                <w:color w:val="auto"/>
              </w:rPr>
            </w:pPr>
          </w:p>
        </w:tc>
      </w:tr>
      <w:tr>
        <w:trPr>
          <w:trHeight w:val="217"/>
        </w:trPr>
        <w:tc>
          <w:tcPr>
            <w:tcW w:w="2160" w:type="dxa"/>
            <w:vAlign w:val="bottom"/>
          </w:tcPr>
          <w:p>
            <w:pPr>
              <w:ind w:left="60"/>
              <w:spacing w:after="0"/>
              <w:rPr>
                <w:sz w:val="20"/>
                <w:szCs w:val="20"/>
                <w:color w:val="auto"/>
              </w:rPr>
            </w:pPr>
            <w:r>
              <w:rPr>
                <w:rFonts w:ascii="Arial" w:cs="Arial" w:eastAsia="Arial" w:hAnsi="Arial"/>
                <w:sz w:val="18"/>
                <w:szCs w:val="18"/>
                <w:color w:val="666666"/>
              </w:rPr>
              <w:t>• Audit</w:t>
            </w:r>
          </w:p>
        </w:tc>
        <w:tc>
          <w:tcPr>
            <w:tcW w:w="8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2160" w:type="dxa"/>
            <w:vAlign w:val="bottom"/>
          </w:tcPr>
          <w:p>
            <w:pPr>
              <w:spacing w:after="0"/>
              <w:rPr>
                <w:sz w:val="20"/>
                <w:szCs w:val="20"/>
                <w:color w:val="auto"/>
              </w:rPr>
            </w:pPr>
            <w:r>
              <w:rPr>
                <w:rFonts w:ascii="Arial" w:cs="Arial" w:eastAsia="Arial" w:hAnsi="Arial"/>
                <w:sz w:val="18"/>
                <w:szCs w:val="18"/>
                <w:color w:val="666666"/>
              </w:rPr>
              <w:t>Charles O. Rossotti</w:t>
            </w:r>
          </w:p>
        </w:tc>
        <w:tc>
          <w:tcPr>
            <w:tcW w:w="8960" w:type="dxa"/>
            <w:vAlign w:val="bottom"/>
          </w:tcPr>
          <w:p>
            <w:pPr>
              <w:ind w:left="540"/>
              <w:spacing w:after="0"/>
              <w:rPr>
                <w:sz w:val="20"/>
                <w:szCs w:val="20"/>
                <w:color w:val="auto"/>
              </w:rPr>
            </w:pPr>
            <w:r>
              <w:rPr>
                <w:rFonts w:ascii="Arial" w:cs="Arial" w:eastAsia="Arial" w:hAnsi="Arial"/>
                <w:sz w:val="18"/>
                <w:szCs w:val="18"/>
                <w:color w:val="666666"/>
                <w:w w:val="99"/>
              </w:rPr>
              <w:t>Mr. Rossotti has served as a Senior Advisor to Carlyle since June 2003. Prior to this position, Mr. Rossotti</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666666"/>
              </w:rPr>
              <w:t>(Class III)</w:t>
            </w: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served as the Commissioner of the Internal Revenue Service from 1997 to 2002. Mr. Rossotti co-founded</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American Management Systems, Inc., an international business and information technology consulting</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firm in 1970, where he served at various times as President, Chief Executive Officer and Chairman of the</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Board until 1997. Mr. Rossotti served as a director for the AES Corporation since 2003 and as its</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Chairman until April 2018, Coalfire Systems Inc. since September 2015, Novetta Solutions LLC since</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March 2016 and Accelerated Learning Inc. since December 2018. Mr. Rossotti formerly served as a</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director of Merrill Lynch &amp; Co., Inc., from 2004 to 2008, Bank of America Corporation from 2009 to 2013,</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Compusearch Software Systems from 2005 to 2010, Wall Street Institute from 2005 to 2010, Apollo</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Global from 2006 to 2012, Quorum Management Solutions from 2010 to 2014, Carlyle Select Trust from</w:t>
            </w:r>
          </w:p>
        </w:tc>
        <w:tc>
          <w:tcPr>
            <w:tcW w:w="0" w:type="dxa"/>
            <w:vAlign w:val="bottom"/>
          </w:tcPr>
          <w:p>
            <w:pPr>
              <w:spacing w:after="0"/>
              <w:rPr>
                <w:sz w:val="1"/>
                <w:szCs w:val="1"/>
                <w:color w:val="auto"/>
              </w:rPr>
            </w:pPr>
          </w:p>
        </w:tc>
      </w:tr>
      <w:tr>
        <w:trPr>
          <w:trHeight w:val="202"/>
        </w:trPr>
        <w:tc>
          <w:tcPr>
            <w:tcW w:w="2160" w:type="dxa"/>
            <w:vAlign w:val="bottom"/>
          </w:tcPr>
          <w:p>
            <w:pPr>
              <w:spacing w:after="0"/>
              <w:rPr>
                <w:sz w:val="17"/>
                <w:szCs w:val="17"/>
                <w:color w:val="auto"/>
              </w:rPr>
            </w:pPr>
          </w:p>
        </w:tc>
        <w:tc>
          <w:tcPr>
            <w:tcW w:w="8960" w:type="dxa"/>
            <w:vAlign w:val="bottom"/>
          </w:tcPr>
          <w:p>
            <w:pPr>
              <w:ind w:left="540"/>
              <w:spacing w:after="0" w:line="202" w:lineRule="exact"/>
              <w:rPr>
                <w:sz w:val="20"/>
                <w:szCs w:val="20"/>
                <w:color w:val="auto"/>
              </w:rPr>
            </w:pPr>
            <w:r>
              <w:rPr>
                <w:rFonts w:ascii="Arial" w:cs="Arial" w:eastAsia="Arial" w:hAnsi="Arial"/>
                <w:sz w:val="18"/>
                <w:szCs w:val="18"/>
                <w:color w:val="666666"/>
              </w:rPr>
              <w:t>2014 to 2015, Primatics Financial from 2011 to 2015, and ECi Software Solutions from 2014 to April</w:t>
            </w:r>
          </w:p>
        </w:tc>
        <w:tc>
          <w:tcPr>
            <w:tcW w:w="0" w:type="dxa"/>
            <w:vAlign w:val="bottom"/>
          </w:tcPr>
          <w:p>
            <w:pPr>
              <w:spacing w:after="0"/>
              <w:rPr>
                <w:sz w:val="1"/>
                <w:szCs w:val="1"/>
                <w:color w:val="auto"/>
              </w:rPr>
            </w:pPr>
          </w:p>
        </w:tc>
      </w:tr>
      <w:tr>
        <w:trPr>
          <w:trHeight w:val="217"/>
        </w:trPr>
        <w:tc>
          <w:tcPr>
            <w:tcW w:w="2160" w:type="dxa"/>
            <w:vAlign w:val="bottom"/>
          </w:tcPr>
          <w:p>
            <w:pPr>
              <w:spacing w:after="0"/>
              <w:rPr>
                <w:sz w:val="18"/>
                <w:szCs w:val="18"/>
                <w:color w:val="auto"/>
              </w:rPr>
            </w:pPr>
          </w:p>
        </w:tc>
        <w:tc>
          <w:tcPr>
            <w:tcW w:w="8960" w:type="dxa"/>
            <w:vAlign w:val="bottom"/>
          </w:tcPr>
          <w:p>
            <w:pPr>
              <w:ind w:left="540"/>
              <w:spacing w:after="0"/>
              <w:rPr>
                <w:sz w:val="20"/>
                <w:szCs w:val="20"/>
                <w:color w:val="auto"/>
              </w:rPr>
            </w:pPr>
            <w:r>
              <w:rPr>
                <w:rFonts w:ascii="Arial" w:cs="Arial" w:eastAsia="Arial" w:hAnsi="Arial"/>
                <w:sz w:val="18"/>
                <w:szCs w:val="18"/>
                <w:color w:val="666666"/>
              </w:rPr>
              <w:t>2017.</w:t>
            </w:r>
          </w:p>
        </w:tc>
        <w:tc>
          <w:tcPr>
            <w:tcW w:w="0" w:type="dxa"/>
            <w:vAlign w:val="bottom"/>
          </w:tcPr>
          <w:p>
            <w:pPr>
              <w:spacing w:after="0"/>
              <w:rPr>
                <w:sz w:val="1"/>
                <w:szCs w:val="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18"/>
                <w:szCs w:val="18"/>
                <w:color w:val="666666"/>
              </w:rPr>
              <w:t>Age: 79</w:t>
            </w:r>
          </w:p>
        </w:tc>
        <w:tc>
          <w:tcPr>
            <w:tcW w:w="8960" w:type="dxa"/>
            <w:vAlign w:val="bottom"/>
          </w:tcPr>
          <w:p>
            <w:pPr>
              <w:ind w:left="540"/>
              <w:spacing w:after="0"/>
              <w:rPr>
                <w:sz w:val="20"/>
                <w:szCs w:val="20"/>
                <w:color w:val="auto"/>
              </w:rPr>
            </w:pPr>
            <w:r>
              <w:rPr>
                <w:rFonts w:ascii="Arial" w:cs="Arial" w:eastAsia="Arial" w:hAnsi="Arial"/>
                <w:sz w:val="18"/>
                <w:szCs w:val="18"/>
                <w:color w:val="666666"/>
              </w:rPr>
              <w:t>Specific qualifications, experience, skills, and expertise include:</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666666"/>
              </w:rPr>
              <w:t>Director since: 2008</w:t>
            </w:r>
          </w:p>
        </w:tc>
        <w:tc>
          <w:tcPr>
            <w:tcW w:w="8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666666"/>
              </w:rPr>
              <w:t>Independent</w:t>
            </w:r>
          </w:p>
        </w:tc>
        <w:tc>
          <w:tcPr>
            <w:tcW w:w="8960" w:type="dxa"/>
            <w:vAlign w:val="bottom"/>
          </w:tcPr>
          <w:p>
            <w:pPr>
              <w:ind w:left="620"/>
              <w:spacing w:after="0" w:line="202" w:lineRule="exact"/>
              <w:rPr>
                <w:sz w:val="20"/>
                <w:szCs w:val="20"/>
                <w:color w:val="auto"/>
              </w:rPr>
            </w:pPr>
            <w:r>
              <w:rPr>
                <w:rFonts w:ascii="Arial" w:cs="Arial" w:eastAsia="Arial" w:hAnsi="Arial"/>
                <w:sz w:val="18"/>
                <w:szCs w:val="18"/>
                <w:color w:val="666666"/>
              </w:rPr>
              <w:t>• Public company directorship and audit committee experience;</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960" w:type="dxa"/>
            <w:vAlign w:val="bottom"/>
          </w:tcPr>
          <w:p>
            <w:pPr>
              <w:ind w:left="620"/>
              <w:spacing w:after="0" w:line="202" w:lineRule="exact"/>
              <w:rPr>
                <w:sz w:val="20"/>
                <w:szCs w:val="20"/>
                <w:color w:val="auto"/>
              </w:rPr>
            </w:pPr>
            <w:r>
              <w:rPr>
                <w:rFonts w:ascii="Arial" w:cs="Arial" w:eastAsia="Arial" w:hAnsi="Arial"/>
                <w:sz w:val="18"/>
                <w:szCs w:val="18"/>
                <w:color w:val="666666"/>
              </w:rPr>
              <w:t>• Operating and management experience;</w:t>
            </w:r>
          </w:p>
        </w:tc>
        <w:tc>
          <w:tcPr>
            <w:tcW w:w="0" w:type="dxa"/>
            <w:vAlign w:val="bottom"/>
          </w:tcPr>
          <w:p>
            <w:pPr>
              <w:spacing w:after="0"/>
              <w:rPr>
                <w:sz w:val="1"/>
                <w:szCs w:val="1"/>
                <w:color w:val="auto"/>
              </w:rPr>
            </w:pPr>
          </w:p>
        </w:tc>
      </w:tr>
      <w:tr>
        <w:trPr>
          <w:trHeight w:val="203"/>
        </w:trPr>
        <w:tc>
          <w:tcPr>
            <w:tcW w:w="2160" w:type="dxa"/>
            <w:vAlign w:val="bottom"/>
            <w:vMerge w:val="restart"/>
          </w:tcPr>
          <w:p>
            <w:pPr>
              <w:spacing w:after="0"/>
              <w:rPr>
                <w:sz w:val="20"/>
                <w:szCs w:val="20"/>
                <w:color w:val="auto"/>
              </w:rPr>
            </w:pPr>
            <w:r>
              <w:rPr>
                <w:rFonts w:ascii="Arial" w:cs="Arial" w:eastAsia="Arial" w:hAnsi="Arial"/>
                <w:sz w:val="18"/>
                <w:szCs w:val="18"/>
                <w:i w:val="1"/>
                <w:iCs w:val="1"/>
                <w:color w:val="666666"/>
              </w:rPr>
              <w:t>Committee:</w:t>
            </w:r>
          </w:p>
        </w:tc>
        <w:tc>
          <w:tcPr>
            <w:tcW w:w="8960" w:type="dxa"/>
            <w:vAlign w:val="bottom"/>
          </w:tcPr>
          <w:p>
            <w:pPr>
              <w:ind w:left="620"/>
              <w:spacing w:after="0" w:line="202" w:lineRule="exact"/>
              <w:rPr>
                <w:sz w:val="20"/>
                <w:szCs w:val="20"/>
                <w:color w:val="auto"/>
              </w:rPr>
            </w:pPr>
            <w:r>
              <w:rPr>
                <w:rFonts w:ascii="Arial" w:cs="Arial" w:eastAsia="Arial" w:hAnsi="Arial"/>
                <w:sz w:val="18"/>
                <w:szCs w:val="18"/>
                <w:color w:val="666666"/>
              </w:rPr>
              <w:t>• Understanding of government contracting;</w:t>
            </w:r>
          </w:p>
        </w:tc>
        <w:tc>
          <w:tcPr>
            <w:tcW w:w="0" w:type="dxa"/>
            <w:vAlign w:val="bottom"/>
          </w:tcPr>
          <w:p>
            <w:pPr>
              <w:spacing w:after="0"/>
              <w:rPr>
                <w:sz w:val="1"/>
                <w:szCs w:val="1"/>
                <w:color w:val="auto"/>
              </w:rPr>
            </w:pPr>
          </w:p>
        </w:tc>
      </w:tr>
      <w:tr>
        <w:trPr>
          <w:trHeight w:val="203"/>
        </w:trPr>
        <w:tc>
          <w:tcPr>
            <w:tcW w:w="2160" w:type="dxa"/>
            <w:vAlign w:val="bottom"/>
            <w:vMerge w:val="continue"/>
          </w:tcPr>
          <w:p>
            <w:pPr>
              <w:spacing w:after="0"/>
              <w:rPr>
                <w:sz w:val="17"/>
                <w:szCs w:val="17"/>
                <w:color w:val="auto"/>
              </w:rPr>
            </w:pPr>
          </w:p>
        </w:tc>
        <w:tc>
          <w:tcPr>
            <w:tcW w:w="8960" w:type="dxa"/>
            <w:vAlign w:val="bottom"/>
          </w:tcPr>
          <w:p>
            <w:pPr>
              <w:ind w:left="620"/>
              <w:spacing w:after="0" w:line="202" w:lineRule="exact"/>
              <w:rPr>
                <w:sz w:val="20"/>
                <w:szCs w:val="20"/>
                <w:color w:val="auto"/>
              </w:rPr>
            </w:pPr>
            <w:r>
              <w:rPr>
                <w:rFonts w:ascii="Arial" w:cs="Arial" w:eastAsia="Arial" w:hAnsi="Arial"/>
                <w:sz w:val="18"/>
                <w:szCs w:val="18"/>
                <w:color w:val="666666"/>
              </w:rPr>
              <w:t>• Core business skills, including financial and strategic planning; and</w:t>
            </w:r>
          </w:p>
        </w:tc>
        <w:tc>
          <w:tcPr>
            <w:tcW w:w="0" w:type="dxa"/>
            <w:vAlign w:val="bottom"/>
          </w:tcPr>
          <w:p>
            <w:pPr>
              <w:spacing w:after="0"/>
              <w:rPr>
                <w:sz w:val="1"/>
                <w:szCs w:val="1"/>
                <w:color w:val="auto"/>
              </w:rPr>
            </w:pPr>
          </w:p>
        </w:tc>
      </w:tr>
      <w:tr>
        <w:trPr>
          <w:trHeight w:val="217"/>
        </w:trPr>
        <w:tc>
          <w:tcPr>
            <w:tcW w:w="2160" w:type="dxa"/>
            <w:vAlign w:val="bottom"/>
          </w:tcPr>
          <w:p>
            <w:pPr>
              <w:ind w:left="60"/>
              <w:spacing w:after="0"/>
              <w:rPr>
                <w:sz w:val="20"/>
                <w:szCs w:val="20"/>
                <w:color w:val="auto"/>
              </w:rPr>
            </w:pPr>
            <w:r>
              <w:rPr>
                <w:rFonts w:ascii="Arial" w:cs="Arial" w:eastAsia="Arial" w:hAnsi="Arial"/>
                <w:sz w:val="18"/>
                <w:szCs w:val="18"/>
                <w:color w:val="666666"/>
              </w:rPr>
              <w:t>• Audit</w:t>
            </w:r>
          </w:p>
        </w:tc>
        <w:tc>
          <w:tcPr>
            <w:tcW w:w="8960" w:type="dxa"/>
            <w:vAlign w:val="bottom"/>
          </w:tcPr>
          <w:p>
            <w:pPr>
              <w:ind w:left="620"/>
              <w:spacing w:after="0"/>
              <w:rPr>
                <w:sz w:val="20"/>
                <w:szCs w:val="20"/>
                <w:color w:val="auto"/>
              </w:rPr>
            </w:pPr>
            <w:r>
              <w:rPr>
                <w:rFonts w:ascii="Arial" w:cs="Arial" w:eastAsia="Arial" w:hAnsi="Arial"/>
                <w:sz w:val="18"/>
                <w:szCs w:val="18"/>
                <w:color w:val="666666"/>
              </w:rPr>
              <w:t>• Expertise in finance, financial reporting, compliance and controls, and global businesses.</w:t>
            </w:r>
          </w:p>
        </w:tc>
        <w:tc>
          <w:tcPr>
            <w:tcW w:w="0" w:type="dxa"/>
            <w:vAlign w:val="bottom"/>
          </w:tcPr>
          <w:p>
            <w:pPr>
              <w:spacing w:after="0"/>
              <w:rPr>
                <w:sz w:val="1"/>
                <w:szCs w:val="1"/>
                <w:color w:val="auto"/>
              </w:rPr>
            </w:pPr>
          </w:p>
        </w:tc>
      </w:tr>
      <w:tr>
        <w:trPr>
          <w:trHeight w:val="864"/>
        </w:trPr>
        <w:tc>
          <w:tcPr>
            <w:tcW w:w="2160" w:type="dxa"/>
            <w:vAlign w:val="bottom"/>
          </w:tcPr>
          <w:p>
            <w:pPr>
              <w:spacing w:after="0"/>
              <w:rPr>
                <w:sz w:val="24"/>
                <w:szCs w:val="24"/>
                <w:color w:val="auto"/>
              </w:rPr>
            </w:pPr>
          </w:p>
        </w:tc>
        <w:tc>
          <w:tcPr>
            <w:tcW w:w="8960" w:type="dxa"/>
            <w:vAlign w:val="bottom"/>
          </w:tcPr>
          <w:p>
            <w:pPr>
              <w:ind w:left="3300"/>
              <w:spacing w:after="0"/>
              <w:rPr>
                <w:sz w:val="20"/>
                <w:szCs w:val="20"/>
                <w:color w:val="auto"/>
              </w:rPr>
            </w:pPr>
            <w:r>
              <w:rPr>
                <w:rFonts w:ascii="Arial" w:cs="Arial" w:eastAsia="Arial" w:hAnsi="Arial"/>
                <w:sz w:val="18"/>
                <w:szCs w:val="18"/>
                <w:color w:val="666666"/>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-5228590</wp:posOffset>
            </wp:positionV>
            <wp:extent cx="1139825" cy="11404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39825" cy="114046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-2631440</wp:posOffset>
            </wp:positionV>
            <wp:extent cx="1139825" cy="11398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39825" cy="1139825"/>
                    </a:xfrm>
                    <a:prstGeom prst="rect">
                      <a:avLst/>
                    </a:prstGeom>
                    <a:noFill/>
                  </pic:spPr>
                </pic:pic>
              </a:graphicData>
            </a:graphic>
          </wp:anchor>
        </w:drawing>
      </w:r>
    </w:p>
    <w:p>
      <w:pPr>
        <w:sectPr>
          <w:pgSz w:w="11900" w:h="16838" w:orient="portrait"/>
          <w:cols w:equalWidth="0" w:num="1">
            <w:col w:w="11120"/>
          </w:cols>
          <w:pgMar w:left="380" w:top="512" w:right="399" w:bottom="1440" w:gutter="0" w:footer="0" w:header="0"/>
        </w:sectPr>
      </w:pPr>
    </w:p>
    <w:bookmarkStart w:id="20" w:name="page21"/>
    <w:bookmarkEnd w:id="20"/>
    <w:p>
      <w:pPr>
        <w:jc w:val="center"/>
        <w:ind w:left="340" w:right="140"/>
        <w:spacing w:after="0" w:line="279" w:lineRule="auto"/>
        <w:rPr>
          <w:sz w:val="20"/>
          <w:szCs w:val="20"/>
          <w:color w:val="auto"/>
        </w:rPr>
      </w:pPr>
      <w:r>
        <w:rPr>
          <w:rFonts w:ascii="Arial" w:cs="Arial" w:eastAsia="Arial" w:hAnsi="Arial"/>
          <w:sz w:val="31"/>
          <w:szCs w:val="31"/>
          <w:b w:val="1"/>
          <w:bCs w:val="1"/>
          <w:color w:val="547BCC"/>
        </w:rPr>
        <w:t>CORPORATE GOVERNANCE AND GENERAL INFORMATION CONCERNING THE BOARD OF DIRECTORS AND ITS COMMITTEES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Our Board of Directors</w:t>
      </w:r>
    </w:p>
    <w:p>
      <w:pPr>
        <w:spacing w:after="0" w:line="18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The Board is responsible for providing governance and oversight over the strategy, risk, operations, and management of the Company. The primary focus of the Board is promoting stockholder value by fostering the long-term success of the Company. The Board is responsible for supporting and overseeing management, to which the Board has delegated the responsibility to manage the day-to-day strategy and operations of the Company.</w:t>
      </w:r>
    </w:p>
    <w:p>
      <w:pPr>
        <w:spacing w:after="0" w:line="156"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The Board generally holds four regular meetings per year, and special meetings as necessary. The Board meets in executive session during each regular meeting; non-management directors also typically meet in executive sessions during each regular meeting. Consistent with the Company’s Corporate Governance Guidelines, Mr. Clare was appointed by the non-management directors to serve as the Presiding Director on May 23, 2013. Mr. Clare has decided not to stand for re-election and will no longer serve as the Presiding Director. Following the 2020 Annual Meeting, the non-management directors will elect a new Presiding Director. The Presiding Director presides over executive sessions at which the Chair is not present. At least annually, independent directors also meet in executive session during a regular Board meeting.</w:t>
      </w:r>
    </w:p>
    <w:p>
      <w:pPr>
        <w:spacing w:after="0" w:line="159"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The Board and its committees establish annual calendars of activities to guide the development of their agendas during the year. All directors are invited to propose agenda topics when the annual calendars are established as well as in advance of each regular Board meeting. In addition, directors are encouraged to raise topics that are not on a meeting agenda or suggest topics for future agendas. Each director is provided written materials in advance of each meeting, and the Board and its committees provide feedback to and make requests of management at each of their meetings.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Corporate Governance Guidelines</w:t>
      </w:r>
    </w:p>
    <w:p>
      <w:pPr>
        <w:spacing w:after="0" w:line="18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As noted above, the Board has adopted Corporate Governance Guidelines. The Board and the Nominating and Corporate Governance Committee are responsible for reviewing and amending these guidelines as they deem necessary and appropriate. The Nominating and Corporate Governance Committee is responsible for overseeing the system of corporate governance of the Company. The Corporate Governance Guidelines are available without charge on the Investor Relations portion of our website, www.boozallen.com.</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Codes of Conduct and Ethics</w:t>
      </w:r>
    </w:p>
    <w:p>
      <w:pPr>
        <w:spacing w:after="0" w:line="18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color w:val="666666"/>
        </w:rPr>
        <w:t>Our website also includes the Company’s Code of Business Ethics and Conduct, which is applicable to our directors and all employees, and the Company's Code of Ethics for Senior Financial Officers, each of which was adopted by the Board and each of which may be accessed without charge. The Code of Ethics for Senior Financial Officers applies to the Company’s Chief Executive Officer, Chief Financial Officer, Controller and any other persons performing similar functions. We will disclose on the Investor Relations portion of our website any amendments to the Code of Business Ethics and Conduct or Code of Ethics for Senior Financial Officers and any waiver granted to an executive officer or director under these codes. In fiscal year 2020, no such waivers were sought or granted. The information found on the Company's website is not part of this proxy statement nor is it incorporated into any other filings the Company makes with the Securities and Exchange Commission (the "SEC").</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Board Meetings and Attendance</w:t>
      </w:r>
    </w:p>
    <w:p>
      <w:pPr>
        <w:spacing w:after="0" w:line="186"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Directors are expected to attend each Board meeting, each meeting of the committees on which they serve, and the Annual Meeting of Stockholders. During fiscal year 2020, the Board held six meetings and acted by written consent. Each of our directors who served as a director during fiscal 2020 attended 75% or more of the aggregate total number of meetings of the Board and the Board Committees on which he or she served that were held during the time he or she was a director in fiscal 2020, except Mr. Clare. The average director attendance was approximately 90% and 91%, respectively, for Board and Board committee meetings during fiscal 2020. Eleven directors who served at the time of our 2019 Annual Meeting of Stockholders attended that meeting.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12</w:t>
      </w:r>
    </w:p>
    <w:p>
      <w:pPr>
        <w:sectPr>
          <w:pgSz w:w="11900" w:h="16838" w:orient="portrait"/>
          <w:cols w:equalWidth="0" w:num="1">
            <w:col w:w="11240"/>
          </w:cols>
          <w:pgMar w:left="320" w:top="324" w:right="33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u w:val="single" w:color="auto"/>
          <w:color w:val="547BCC"/>
        </w:rPr>
        <w:t>Board Leadership Structure</w:t>
      </w:r>
    </w:p>
    <w:p>
      <w:pPr>
        <w:spacing w:after="0" w:line="186"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As noted in our Corporate Governance Guidelines, the Board has no policy with respect to the separation of the offices of Chair and Chief Executive Officer. The Board believes that it is important to retain its flexibility to allocate the responsibilities of the offices of the Chair and Chief Executive Officer in any way that is in the best interests of the Company at a given point in time. The Board has concluded that it is currently in the best interest of the stockholders for Dr. Shrader to continue his service as Chair, retaining his four decades of experience at the Company with a focus on continuing to build stockholder value, managing risk, and supporting the Company's executive management. In his role as President and Chief Executive Officer, Mr. Rozanski will continue to work closely with the Board in establishing the overall strategy and direction of the Company, and to effectively communicate our strategy to our stockholders, clients, and employees.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Succession Planning and Talent Reviews</w:t>
      </w:r>
    </w:p>
    <w:p>
      <w:pPr>
        <w:spacing w:after="0" w:line="253"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The Board believes that executive management succession planning is one of its most important responsibilities. Accordingly, the Board regularly undertakes executive management succession planning and talent reviews. On an annual basis, the Chair leads the Board in an in-depth discussion concerning Chief Executive Officer succession and the Chief Executive Officer leads the Board in a discussion concerning senior management succession. Chief Executive Officer succession is also discussed by the Board in an executive session outside the presence of any management directors. Management also updates the Board on key talent indicators such as recruiting and retention for the overall employee population throughout the year.</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Risk Oversight</w:t>
      </w:r>
    </w:p>
    <w:p>
      <w:pPr>
        <w:spacing w:after="0" w:line="253"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The Board and its committees play an important role in overseeing the Company's risk management processes, and risk management considerations form a regular element of the Board's dialogue with management. One of the primary tools that facilitates the Board’s oversight of risk (and actions being taken to mitigate it) is the Company’s Enterprise Risk Management Framework, or ERM Framework. Under the leadership of our President and Chief Executive Officer, the ERM Framework is designed to enable effective and efficient identification of risks and facilitate the evaluation of risks as an integral part of decision making. As part of the ERM Framework, the Company:</w:t>
      </w:r>
    </w:p>
    <w:p>
      <w:pPr>
        <w:spacing w:after="0" w:line="22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0"/>
          <w:szCs w:val="20"/>
          <w:color w:val="666666"/>
        </w:rPr>
      </w:pPr>
      <w:r>
        <w:rPr>
          <w:rFonts w:ascii="Arial" w:cs="Arial" w:eastAsia="Arial" w:hAnsi="Arial"/>
          <w:sz w:val="20"/>
          <w:szCs w:val="20"/>
          <w:color w:val="666666"/>
        </w:rPr>
        <w:t>Identifies and classifies into tiers the top risks facing the business;</w:t>
      </w:r>
    </w:p>
    <w:p>
      <w:pPr>
        <w:spacing w:after="0" w:line="53" w:lineRule="exact"/>
        <w:rPr>
          <w:rFonts w:ascii="Arial" w:cs="Arial" w:eastAsia="Arial" w:hAnsi="Arial"/>
          <w:sz w:val="20"/>
          <w:szCs w:val="20"/>
          <w:color w:val="666666"/>
        </w:rPr>
      </w:pPr>
    </w:p>
    <w:p>
      <w:pPr>
        <w:ind w:left="660" w:hanging="328"/>
        <w:spacing w:after="0"/>
        <w:tabs>
          <w:tab w:leader="none" w:pos="660" w:val="left"/>
        </w:tabs>
        <w:numPr>
          <w:ilvl w:val="0"/>
          <w:numId w:val="18"/>
        </w:numPr>
        <w:rPr>
          <w:rFonts w:ascii="Arial" w:cs="Arial" w:eastAsia="Arial" w:hAnsi="Arial"/>
          <w:sz w:val="20"/>
          <w:szCs w:val="20"/>
          <w:color w:val="666666"/>
        </w:rPr>
      </w:pPr>
      <w:r>
        <w:rPr>
          <w:rFonts w:ascii="Arial" w:cs="Arial" w:eastAsia="Arial" w:hAnsi="Arial"/>
          <w:sz w:val="20"/>
          <w:szCs w:val="20"/>
          <w:color w:val="666666"/>
        </w:rPr>
        <w:t>Discusses and evaluates the Company’s risk appetite with respect to different types of operational risk; and</w:t>
      </w:r>
    </w:p>
    <w:p>
      <w:pPr>
        <w:spacing w:after="0" w:line="53" w:lineRule="exact"/>
        <w:rPr>
          <w:rFonts w:ascii="Arial" w:cs="Arial" w:eastAsia="Arial" w:hAnsi="Arial"/>
          <w:sz w:val="20"/>
          <w:szCs w:val="20"/>
          <w:color w:val="666666"/>
        </w:rPr>
      </w:pPr>
    </w:p>
    <w:p>
      <w:pPr>
        <w:ind w:left="660" w:hanging="328"/>
        <w:spacing w:after="0"/>
        <w:tabs>
          <w:tab w:leader="none" w:pos="660" w:val="left"/>
        </w:tabs>
        <w:numPr>
          <w:ilvl w:val="0"/>
          <w:numId w:val="18"/>
        </w:numPr>
        <w:rPr>
          <w:rFonts w:ascii="Arial" w:cs="Arial" w:eastAsia="Arial" w:hAnsi="Arial"/>
          <w:sz w:val="20"/>
          <w:szCs w:val="20"/>
          <w:color w:val="666666"/>
        </w:rPr>
      </w:pPr>
      <w:r>
        <w:rPr>
          <w:rFonts w:ascii="Arial" w:cs="Arial" w:eastAsia="Arial" w:hAnsi="Arial"/>
          <w:sz w:val="20"/>
          <w:szCs w:val="20"/>
          <w:color w:val="666666"/>
        </w:rPr>
        <w:t>Develops action plans to mitigate and monitor risk.</w:t>
      </w:r>
    </w:p>
    <w:p>
      <w:pPr>
        <w:spacing w:after="0" w:line="229"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The process for regularly updating the ERM Framework enables effective and efficient identification of risks and facilitates the evaluation of risks as an integral part of decision making. Under the ERM Framework, our President and Chief Executive Officer leads an annual risk identification, analysis, and mitigation discussion with the Board and prepares a quarterly update for the Board of our enterprise risks. In addition to updates provided through the ERM Framework, the Board receives other information and briefings as part of its risk oversight role. During the course of the year, the lead management official with responsibility for each of our major markets provides a comprehensive overview of the market, including risks and challenges. The Board is also regularly updated by other elements of management, including the Chief Financial Officer, Chief Legal Officer, and Chief Information Officer concerning significant risks facing the Company and processes that have been implemented to mitigate these risks.</w:t>
      </w:r>
    </w:p>
    <w:p>
      <w:pPr>
        <w:spacing w:after="0" w:line="225"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As the COVID-19 pandemic has developed, the Board has convened additional meetings, received frequent management updates on the impact to the Company’s employees, operations and clients and reviewed with management the various measures being taken to protect people’s health and maintain continuity of service for clients. The Board has provided oversight and guidance to management on the implementation and execution of the Company’s crisis management plan, which includes plans to ensure the health and safety of our employees, as well as support our clients and the communities affected.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13</w:t>
      </w:r>
    </w:p>
    <w:p>
      <w:pPr>
        <w:sectPr>
          <w:pgSz w:w="11900" w:h="16838" w:orient="portrait"/>
          <w:cols w:equalWidth="0" w:num="1">
            <w:col w:w="11240"/>
          </w:cols>
          <w:pgMar w:left="320" w:top="881" w:right="339" w:bottom="1440" w:gutter="0" w:footer="0" w:header="0"/>
        </w:sectPr>
      </w:pPr>
    </w:p>
    <w:bookmarkStart w:id="22" w:name="page23"/>
    <w:bookmarkEnd w:id="22"/>
    <w:p>
      <w:pPr>
        <w:ind w:right="20" w:firstLine="324"/>
        <w:spacing w:after="0" w:line="246" w:lineRule="auto"/>
        <w:rPr>
          <w:sz w:val="20"/>
          <w:szCs w:val="20"/>
          <w:color w:val="auto"/>
        </w:rPr>
      </w:pPr>
      <w:r>
        <w:rPr>
          <w:rFonts w:ascii="Arial" w:cs="Arial" w:eastAsia="Arial" w:hAnsi="Arial"/>
          <w:sz w:val="20"/>
          <w:szCs w:val="20"/>
          <w:color w:val="666666"/>
        </w:rPr>
        <w:t>In addition to this dialogue between management and the entire Board, the Board's committees have more specific roles concerning elements of the Company's risk management processes.</w:t>
      </w:r>
    </w:p>
    <w:p>
      <w:pPr>
        <w:spacing w:after="0" w:line="197" w:lineRule="exact"/>
        <w:rPr>
          <w:sz w:val="20"/>
          <w:szCs w:val="20"/>
          <w:color w:val="auto"/>
        </w:rPr>
      </w:pPr>
    </w:p>
    <w:p>
      <w:pPr>
        <w:jc w:val="both"/>
        <w:ind w:left="660" w:hanging="328"/>
        <w:spacing w:after="0" w:line="246" w:lineRule="auto"/>
        <w:tabs>
          <w:tab w:leader="none" w:pos="660" w:val="left"/>
        </w:tabs>
        <w:numPr>
          <w:ilvl w:val="0"/>
          <w:numId w:val="19"/>
        </w:numPr>
        <w:rPr>
          <w:rFonts w:ascii="Arial" w:cs="Arial" w:eastAsia="Arial" w:hAnsi="Arial"/>
          <w:sz w:val="20"/>
          <w:szCs w:val="20"/>
          <w:color w:val="666666"/>
        </w:rPr>
      </w:pPr>
      <w:r>
        <w:rPr>
          <w:rFonts w:ascii="Arial" w:cs="Arial" w:eastAsia="Arial" w:hAnsi="Arial"/>
          <w:sz w:val="20"/>
          <w:szCs w:val="20"/>
          <w:i w:val="1"/>
          <w:iCs w:val="1"/>
          <w:color w:val="666666"/>
        </w:rPr>
        <w:t>Audit Committee</w:t>
      </w:r>
      <w:r>
        <w:rPr>
          <w:rFonts w:ascii="Arial" w:cs="Arial" w:eastAsia="Arial" w:hAnsi="Arial"/>
          <w:sz w:val="20"/>
          <w:szCs w:val="20"/>
          <w:color w:val="666666"/>
        </w:rPr>
        <w:t>: The Audit Committee is regularly updated by the Chief Legal Officer, Chief Ethics and Compliance</w:t>
      </w:r>
      <w:r>
        <w:rPr>
          <w:rFonts w:ascii="Arial" w:cs="Arial" w:eastAsia="Arial" w:hAnsi="Arial"/>
          <w:sz w:val="20"/>
          <w:szCs w:val="20"/>
          <w:i w:val="1"/>
          <w:iCs w:val="1"/>
          <w:color w:val="666666"/>
        </w:rPr>
        <w:t xml:space="preserve"> </w:t>
      </w:r>
      <w:r>
        <w:rPr>
          <w:rFonts w:ascii="Arial" w:cs="Arial" w:eastAsia="Arial" w:hAnsi="Arial"/>
          <w:sz w:val="20"/>
          <w:szCs w:val="20"/>
          <w:color w:val="666666"/>
        </w:rPr>
        <w:t>Officer, Director of Internal Audit, and Chief Information Officer and receives regular reports concerning the status of the Company's ethics and compliance program, internal controls over financial reporting and other operational compliance areas, and significant communications from the Company's regulators. The Audit Committee also leads the Board's efforts with respect to the oversight of cybersecurity risk.</w:t>
      </w:r>
    </w:p>
    <w:p>
      <w:pPr>
        <w:spacing w:after="0" w:line="22" w:lineRule="exact"/>
        <w:rPr>
          <w:rFonts w:ascii="Arial" w:cs="Arial" w:eastAsia="Arial" w:hAnsi="Arial"/>
          <w:sz w:val="20"/>
          <w:szCs w:val="20"/>
          <w:color w:val="666666"/>
        </w:rPr>
      </w:pPr>
    </w:p>
    <w:p>
      <w:pPr>
        <w:ind w:left="660" w:hanging="328"/>
        <w:spacing w:after="0" w:line="267" w:lineRule="auto"/>
        <w:tabs>
          <w:tab w:leader="none" w:pos="660" w:val="left"/>
        </w:tabs>
        <w:numPr>
          <w:ilvl w:val="0"/>
          <w:numId w:val="19"/>
        </w:numPr>
        <w:rPr>
          <w:rFonts w:ascii="Arial" w:cs="Arial" w:eastAsia="Arial" w:hAnsi="Arial"/>
          <w:sz w:val="20"/>
          <w:szCs w:val="20"/>
          <w:color w:val="666666"/>
        </w:rPr>
      </w:pPr>
      <w:r>
        <w:rPr>
          <w:rFonts w:ascii="Arial" w:cs="Arial" w:eastAsia="Arial" w:hAnsi="Arial"/>
          <w:sz w:val="20"/>
          <w:szCs w:val="20"/>
          <w:i w:val="1"/>
          <w:iCs w:val="1"/>
          <w:color w:val="666666"/>
        </w:rPr>
        <w:t>Compensation Committee</w:t>
      </w:r>
      <w:r>
        <w:rPr>
          <w:rFonts w:ascii="Arial" w:cs="Arial" w:eastAsia="Arial" w:hAnsi="Arial"/>
          <w:sz w:val="20"/>
          <w:szCs w:val="20"/>
          <w:color w:val="666666"/>
        </w:rPr>
        <w:t>: The Compensation Committee is responsible for overseeing risks related to the Company's</w:t>
      </w:r>
      <w:r>
        <w:rPr>
          <w:rFonts w:ascii="Arial" w:cs="Arial" w:eastAsia="Arial" w:hAnsi="Arial"/>
          <w:sz w:val="20"/>
          <w:szCs w:val="20"/>
          <w:i w:val="1"/>
          <w:iCs w:val="1"/>
          <w:color w:val="666666"/>
        </w:rPr>
        <w:t xml:space="preserve"> </w:t>
      </w:r>
      <w:r>
        <w:rPr>
          <w:rFonts w:ascii="Arial" w:cs="Arial" w:eastAsia="Arial" w:hAnsi="Arial"/>
          <w:sz w:val="20"/>
          <w:szCs w:val="20"/>
          <w:color w:val="666666"/>
        </w:rPr>
        <w:t>executive compensation policies and practices.</w:t>
      </w:r>
    </w:p>
    <w:p>
      <w:pPr>
        <w:spacing w:after="0" w:line="1" w:lineRule="exact"/>
        <w:rPr>
          <w:rFonts w:ascii="Arial" w:cs="Arial" w:eastAsia="Arial" w:hAnsi="Arial"/>
          <w:sz w:val="20"/>
          <w:szCs w:val="20"/>
          <w:color w:val="666666"/>
        </w:rPr>
      </w:pPr>
    </w:p>
    <w:p>
      <w:pPr>
        <w:jc w:val="both"/>
        <w:ind w:left="660" w:hanging="328"/>
        <w:spacing w:after="0" w:line="253" w:lineRule="auto"/>
        <w:tabs>
          <w:tab w:leader="none" w:pos="660" w:val="left"/>
        </w:tabs>
        <w:numPr>
          <w:ilvl w:val="0"/>
          <w:numId w:val="19"/>
        </w:numPr>
        <w:rPr>
          <w:rFonts w:ascii="Arial" w:cs="Arial" w:eastAsia="Arial" w:hAnsi="Arial"/>
          <w:sz w:val="20"/>
          <w:szCs w:val="20"/>
          <w:color w:val="666666"/>
        </w:rPr>
      </w:pPr>
      <w:r>
        <w:rPr>
          <w:rFonts w:ascii="Arial" w:cs="Arial" w:eastAsia="Arial" w:hAnsi="Arial"/>
          <w:sz w:val="20"/>
          <w:szCs w:val="20"/>
          <w:i w:val="1"/>
          <w:iCs w:val="1"/>
          <w:color w:val="666666"/>
        </w:rPr>
        <w:t>Nominating and Corporate Governance Committee</w:t>
      </w:r>
      <w:r>
        <w:rPr>
          <w:rFonts w:ascii="Arial" w:cs="Arial" w:eastAsia="Arial" w:hAnsi="Arial"/>
          <w:sz w:val="20"/>
          <w:szCs w:val="20"/>
          <w:color w:val="666666"/>
        </w:rPr>
        <w:t>: The Nominating and Corporate Governance Committee oversees</w:t>
      </w:r>
      <w:r>
        <w:rPr>
          <w:rFonts w:ascii="Arial" w:cs="Arial" w:eastAsia="Arial" w:hAnsi="Arial"/>
          <w:sz w:val="20"/>
          <w:szCs w:val="20"/>
          <w:i w:val="1"/>
          <w:iCs w:val="1"/>
          <w:color w:val="666666"/>
        </w:rPr>
        <w:t xml:space="preserve"> </w:t>
      </w:r>
      <w:r>
        <w:rPr>
          <w:rFonts w:ascii="Arial" w:cs="Arial" w:eastAsia="Arial" w:hAnsi="Arial"/>
          <w:sz w:val="20"/>
          <w:szCs w:val="20"/>
          <w:color w:val="666666"/>
        </w:rPr>
        <w:t>risks arising from the Company's governance processes and practices related to corporate citizenship and environmental, social, and governance (ESG) matters.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Annual Board Performance Assessment</w:t>
      </w:r>
    </w:p>
    <w:p>
      <w:pPr>
        <w:spacing w:after="0" w:line="253"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The Board and each of the Audit, Compensation, and Nominating and Corporate Governance committees perform an annual assessment of their operations and effectiveness, and set goals for the future. The core of this process involves our Chief Legal Officer interviewing each director individually. The comments of the directors are compiled and presented, as applicable, to the Chair, the applicable committee Chair and the full Board, with further discussion with the appropriate committee as needed. The key matters to be addressed are identified, and these matters become part of future agendas for the Board and its committees.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Board Independence</w:t>
      </w:r>
    </w:p>
    <w:p>
      <w:pPr>
        <w:spacing w:after="0" w:line="18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Eleven of our twelve current directors are independent under our Corporate Governance Guidelines and applicable New York Stock Exchange ("NYSE") listing standards. In order for a director to be considered independent, the Board must determine, after consideration of all relevant facts and circumstances, that he or she has no material relationship with the Company directly or as a partner, stockholder, or officer of an organization that has a relationship with the Company. The independence criteria adopted by the Board are set forth in the Company's Corporate Governance Guidelines.</w:t>
      </w:r>
    </w:p>
    <w:p>
      <w:pPr>
        <w:spacing w:after="0" w:line="155"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The Board has determined that Messrs. Clare, Fujiyama, Gaumond, Johnson, Rossotti, and Shrader, and Mses. Amble, Barnes, Flournoy, Jewett, and McClain are independent under the independence criteria for directors established by the NYSE and the independence criteria adopted by the Board. As a result, we currently have a majority of independent directors and satisfy the applicable rule of the NYSE. Mr. Rozanski is an employee of the Company and is not independent under the NYSE listing standards or our Corporate Governance Guidelines, which can be found in the investor relations portion of our website, www.boozallen.com.</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Selection of Nominees for Election to the Board</w:t>
      </w:r>
    </w:p>
    <w:p>
      <w:pPr>
        <w:spacing w:after="0" w:line="18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9"/>
          <w:szCs w:val="19"/>
          <w:color w:val="666666"/>
        </w:rPr>
        <w:t>The Nominating and Corporate Governance Committee recommends to the Board appropriate criteria for the selection of new directors based on the strategic needs of the Company and the Board, and periodically reviews the criteria adopted by the Board and, if deemed desirable, recommends to the Board changes to such criteria. The Board seeks members from diverse backgrounds who combine a broad spectrum of experience and expertise with a reputation for integrity. While the Board does not have a formal policy with respect to diversity, it is a critical factor the Nominating and Corporate Governance Committee considers when recommending director nominees to the Board. The Nominating and Corporate Governance Committee defines diversity in an expansive manner to be reflective of the diversity of the Company and representative of the clients it serves. Exceptional candidates who do not meet all of these criteria may still be considered. The Board seeks director candidates who have experience in positions with a high degree of responsibility and are, or have been, leaders in the companies or institutions with which they are, or have been, affiliated, and are selected based upon the contributions they can make to the Company.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14</w:t>
      </w:r>
    </w:p>
    <w:p>
      <w:pPr>
        <w:sectPr>
          <w:pgSz w:w="11900" w:h="16838" w:orient="portrait"/>
          <w:cols w:equalWidth="0" w:num="1">
            <w:col w:w="11240"/>
          </w:cols>
          <w:pgMar w:left="320" w:top="352" w:right="339" w:bottom="1440" w:gutter="0" w:footer="0" w:header="0"/>
        </w:sectPr>
      </w:pPr>
    </w:p>
    <w:bookmarkStart w:id="23" w:name="page24"/>
    <w:bookmarkEnd w:id="23"/>
    <w:p>
      <w:pPr>
        <w:ind w:left="340"/>
        <w:spacing w:after="0"/>
        <w:rPr>
          <w:sz w:val="20"/>
          <w:szCs w:val="20"/>
          <w:color w:val="auto"/>
        </w:rPr>
      </w:pPr>
      <w:r>
        <w:rPr>
          <w:rFonts w:ascii="Arial" w:cs="Arial" w:eastAsia="Arial" w:hAnsi="Arial"/>
          <w:sz w:val="20"/>
          <w:szCs w:val="20"/>
          <w:b w:val="1"/>
          <w:bCs w:val="1"/>
          <w:i w:val="1"/>
          <w:iCs w:val="1"/>
          <w:color w:val="547BCC"/>
        </w:rPr>
        <w:t>Our Commitment to Board Diversity</w:t>
      </w:r>
    </w:p>
    <w:p>
      <w:pPr>
        <w:spacing w:after="0" w:line="18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666666"/>
        </w:rPr>
        <w:t>Consistent with the Company's long-standing commitment in this regard, the Nominating and Corporate Governance Committee is focused on enhancing the diversity of the Board and works actively to achieve this goal, as reflected below:</w:t>
      </w:r>
    </w:p>
    <w:p>
      <w:pPr>
        <w:spacing w:after="0" w:line="288" w:lineRule="exact"/>
        <w:rPr>
          <w:sz w:val="20"/>
          <w:szCs w:val="20"/>
          <w:color w:val="auto"/>
        </w:rPr>
      </w:pPr>
    </w:p>
    <w:tbl>
      <w:tblPr>
        <w:tblLayout w:type="fixed"/>
        <w:tblInd w:w="220" w:type="dxa"/>
        <w:tblCellMar>
          <w:top w:w="0" w:type="dxa"/>
          <w:left w:w="0" w:type="dxa"/>
          <w:bottom w:w="0" w:type="dxa"/>
          <w:right w:w="0" w:type="dxa"/>
        </w:tblCellMar>
      </w:tblPr>
      <w:tr>
        <w:trPr>
          <w:trHeight w:val="266"/>
        </w:trPr>
        <w:tc>
          <w:tcPr>
            <w:tcW w:w="236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ind w:left="540"/>
              <w:spacing w:after="0"/>
              <w:rPr>
                <w:sz w:val="20"/>
                <w:szCs w:val="20"/>
                <w:color w:val="auto"/>
              </w:rPr>
            </w:pPr>
            <w:r>
              <w:rPr>
                <w:rFonts w:ascii="Arial" w:cs="Arial" w:eastAsia="Arial" w:hAnsi="Arial"/>
                <w:sz w:val="20"/>
                <w:szCs w:val="20"/>
                <w:b w:val="1"/>
                <w:bCs w:val="1"/>
                <w:color w:val="547BCC"/>
              </w:rPr>
              <w:t>Women</w:t>
            </w:r>
          </w:p>
        </w:tc>
        <w:tc>
          <w:tcPr>
            <w:tcW w:w="2000" w:type="dxa"/>
            <w:vAlign w:val="bottom"/>
            <w:tcBorders>
              <w:bottom w:val="single" w:sz="8" w:color="auto"/>
            </w:tcBorders>
          </w:tcPr>
          <w:p>
            <w:pPr>
              <w:ind w:left="700"/>
              <w:spacing w:after="0"/>
              <w:rPr>
                <w:sz w:val="20"/>
                <w:szCs w:val="20"/>
                <w:color w:val="auto"/>
              </w:rPr>
            </w:pPr>
            <w:r>
              <w:rPr>
                <w:rFonts w:ascii="Arial" w:cs="Arial" w:eastAsia="Arial" w:hAnsi="Arial"/>
                <w:sz w:val="20"/>
                <w:szCs w:val="20"/>
                <w:b w:val="1"/>
                <w:bCs w:val="1"/>
                <w:color w:val="547BCC"/>
              </w:rPr>
              <w:t>Hispanic</w:t>
            </w:r>
          </w:p>
        </w:tc>
        <w:tc>
          <w:tcPr>
            <w:tcW w:w="2640" w:type="dxa"/>
            <w:vAlign w:val="bottom"/>
            <w:tcBorders>
              <w:bottom w:val="single" w:sz="8" w:color="auto"/>
            </w:tcBorders>
          </w:tcPr>
          <w:p>
            <w:pPr>
              <w:ind w:left="460"/>
              <w:spacing w:after="0"/>
              <w:rPr>
                <w:sz w:val="20"/>
                <w:szCs w:val="20"/>
                <w:color w:val="auto"/>
              </w:rPr>
            </w:pPr>
            <w:r>
              <w:rPr>
                <w:rFonts w:ascii="Arial" w:cs="Arial" w:eastAsia="Arial" w:hAnsi="Arial"/>
                <w:sz w:val="20"/>
                <w:szCs w:val="20"/>
                <w:b w:val="1"/>
                <w:bCs w:val="1"/>
                <w:color w:val="547BCC"/>
              </w:rPr>
              <w:t>African-American</w:t>
            </w:r>
          </w:p>
        </w:tc>
        <w:tc>
          <w:tcPr>
            <w:tcW w:w="1880" w:type="dxa"/>
            <w:vAlign w:val="bottom"/>
            <w:tcBorders>
              <w:bottom w:val="single" w:sz="8" w:color="auto"/>
            </w:tcBorders>
          </w:tcPr>
          <w:p>
            <w:pPr>
              <w:ind w:left="520"/>
              <w:spacing w:after="0"/>
              <w:rPr>
                <w:sz w:val="20"/>
                <w:szCs w:val="20"/>
                <w:color w:val="auto"/>
              </w:rPr>
            </w:pPr>
            <w:r>
              <w:rPr>
                <w:rFonts w:ascii="Arial" w:cs="Arial" w:eastAsia="Arial" w:hAnsi="Arial"/>
                <w:sz w:val="20"/>
                <w:szCs w:val="20"/>
                <w:b w:val="1"/>
                <w:bCs w:val="1"/>
                <w:color w:val="547BCC"/>
              </w:rPr>
              <w:t>Asian</w:t>
            </w:r>
          </w:p>
        </w:tc>
      </w:tr>
      <w:tr>
        <w:trPr>
          <w:trHeight w:val="268"/>
        </w:trPr>
        <w:tc>
          <w:tcPr>
            <w:tcW w:w="2360" w:type="dxa"/>
            <w:vAlign w:val="bottom"/>
            <w:shd w:val="clear" w:color="auto" w:fill="E9E5FF"/>
          </w:tcPr>
          <w:p>
            <w:pPr>
              <w:jc w:val="center"/>
              <w:ind w:right="101"/>
              <w:spacing w:after="0"/>
              <w:rPr>
                <w:sz w:val="20"/>
                <w:szCs w:val="20"/>
                <w:color w:val="auto"/>
              </w:rPr>
            </w:pPr>
            <w:r>
              <w:rPr>
                <w:rFonts w:ascii="Arial" w:cs="Arial" w:eastAsia="Arial" w:hAnsi="Arial"/>
                <w:sz w:val="20"/>
                <w:szCs w:val="20"/>
                <w:b w:val="1"/>
                <w:bCs w:val="1"/>
                <w:color w:val="5E5E61"/>
                <w:w w:val="98"/>
              </w:rPr>
              <w:t>No. of Directors</w:t>
            </w:r>
          </w:p>
        </w:tc>
        <w:tc>
          <w:tcPr>
            <w:tcW w:w="1940" w:type="dxa"/>
            <w:vAlign w:val="bottom"/>
            <w:shd w:val="clear" w:color="auto" w:fill="E9E5FF"/>
          </w:tcPr>
          <w:p>
            <w:pPr>
              <w:jc w:val="right"/>
              <w:ind w:right="901"/>
              <w:spacing w:after="0"/>
              <w:rPr>
                <w:sz w:val="20"/>
                <w:szCs w:val="20"/>
                <w:color w:val="auto"/>
              </w:rPr>
            </w:pPr>
            <w:r>
              <w:rPr>
                <w:rFonts w:ascii="Arial" w:cs="Arial" w:eastAsia="Arial" w:hAnsi="Arial"/>
                <w:sz w:val="20"/>
                <w:szCs w:val="20"/>
                <w:b w:val="1"/>
                <w:bCs w:val="1"/>
                <w:color w:val="5E5E61"/>
              </w:rPr>
              <w:t>5</w:t>
            </w:r>
          </w:p>
        </w:tc>
        <w:tc>
          <w:tcPr>
            <w:tcW w:w="2000" w:type="dxa"/>
            <w:vAlign w:val="bottom"/>
            <w:shd w:val="clear" w:color="auto" w:fill="E9E5FF"/>
          </w:tcPr>
          <w:p>
            <w:pPr>
              <w:jc w:val="right"/>
              <w:ind w:right="721"/>
              <w:spacing w:after="0"/>
              <w:rPr>
                <w:sz w:val="20"/>
                <w:szCs w:val="20"/>
                <w:color w:val="auto"/>
              </w:rPr>
            </w:pPr>
            <w:r>
              <w:rPr>
                <w:rFonts w:ascii="Arial" w:cs="Arial" w:eastAsia="Arial" w:hAnsi="Arial"/>
                <w:sz w:val="20"/>
                <w:szCs w:val="20"/>
                <w:b w:val="1"/>
                <w:bCs w:val="1"/>
                <w:color w:val="5E5E61"/>
              </w:rPr>
              <w:t>1</w:t>
            </w:r>
          </w:p>
        </w:tc>
        <w:tc>
          <w:tcPr>
            <w:tcW w:w="2640" w:type="dxa"/>
            <w:vAlign w:val="bottom"/>
            <w:shd w:val="clear" w:color="auto" w:fill="E9E5FF"/>
          </w:tcPr>
          <w:p>
            <w:pPr>
              <w:jc w:val="right"/>
              <w:ind w:right="1201"/>
              <w:spacing w:after="0"/>
              <w:rPr>
                <w:sz w:val="20"/>
                <w:szCs w:val="20"/>
                <w:color w:val="auto"/>
              </w:rPr>
            </w:pPr>
            <w:r>
              <w:rPr>
                <w:rFonts w:ascii="Arial" w:cs="Arial" w:eastAsia="Arial" w:hAnsi="Arial"/>
                <w:sz w:val="20"/>
                <w:szCs w:val="20"/>
                <w:b w:val="1"/>
                <w:bCs w:val="1"/>
                <w:color w:val="5E5E61"/>
              </w:rPr>
              <w:t>2</w:t>
            </w:r>
          </w:p>
        </w:tc>
        <w:tc>
          <w:tcPr>
            <w:tcW w:w="1880" w:type="dxa"/>
            <w:vAlign w:val="bottom"/>
            <w:shd w:val="clear" w:color="auto" w:fill="E9E5FF"/>
          </w:tcPr>
          <w:p>
            <w:pPr>
              <w:jc w:val="right"/>
              <w:ind w:right="921"/>
              <w:spacing w:after="0"/>
              <w:rPr>
                <w:sz w:val="20"/>
                <w:szCs w:val="20"/>
                <w:color w:val="auto"/>
              </w:rPr>
            </w:pPr>
            <w:r>
              <w:rPr>
                <w:rFonts w:ascii="Arial" w:cs="Arial" w:eastAsia="Arial" w:hAnsi="Arial"/>
                <w:sz w:val="20"/>
                <w:szCs w:val="20"/>
                <w:b w:val="1"/>
                <w:bCs w:val="1"/>
                <w:color w:val="5E5E61"/>
              </w:rPr>
              <w:t>1</w:t>
            </w:r>
          </w:p>
        </w:tc>
      </w:tr>
      <w:tr>
        <w:trPr>
          <w:trHeight w:val="266"/>
        </w:trPr>
        <w:tc>
          <w:tcPr>
            <w:tcW w:w="236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b w:val="1"/>
                <w:bCs w:val="1"/>
                <w:color w:val="5E5E61"/>
                <w:w w:val="98"/>
              </w:rPr>
              <w:t>% of Directors</w:t>
            </w:r>
          </w:p>
        </w:tc>
        <w:tc>
          <w:tcPr>
            <w:tcW w:w="1940" w:type="dxa"/>
            <w:vAlign w:val="bottom"/>
            <w:tcBorders>
              <w:bottom w:val="single" w:sz="8" w:color="auto"/>
            </w:tcBorders>
          </w:tcPr>
          <w:p>
            <w:pPr>
              <w:jc w:val="right"/>
              <w:ind w:right="761"/>
              <w:spacing w:after="0"/>
              <w:rPr>
                <w:sz w:val="20"/>
                <w:szCs w:val="20"/>
                <w:color w:val="auto"/>
              </w:rPr>
            </w:pPr>
            <w:r>
              <w:rPr>
                <w:rFonts w:ascii="Arial" w:cs="Arial" w:eastAsia="Arial" w:hAnsi="Arial"/>
                <w:sz w:val="20"/>
                <w:szCs w:val="20"/>
                <w:b w:val="1"/>
                <w:bCs w:val="1"/>
                <w:color w:val="5E5E61"/>
              </w:rPr>
              <w:t>42%</w:t>
            </w:r>
          </w:p>
        </w:tc>
        <w:tc>
          <w:tcPr>
            <w:tcW w:w="200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b w:val="1"/>
                <w:bCs w:val="1"/>
                <w:color w:val="5E5E61"/>
              </w:rPr>
              <w:t>8%</w:t>
            </w:r>
          </w:p>
        </w:tc>
        <w:tc>
          <w:tcPr>
            <w:tcW w:w="2640" w:type="dxa"/>
            <w:vAlign w:val="bottom"/>
            <w:tcBorders>
              <w:bottom w:val="single" w:sz="8" w:color="auto"/>
            </w:tcBorders>
          </w:tcPr>
          <w:p>
            <w:pPr>
              <w:jc w:val="right"/>
              <w:ind w:right="1061"/>
              <w:spacing w:after="0"/>
              <w:rPr>
                <w:sz w:val="20"/>
                <w:szCs w:val="20"/>
                <w:color w:val="auto"/>
              </w:rPr>
            </w:pPr>
            <w:r>
              <w:rPr>
                <w:rFonts w:ascii="Arial" w:cs="Arial" w:eastAsia="Arial" w:hAnsi="Arial"/>
                <w:sz w:val="20"/>
                <w:szCs w:val="20"/>
                <w:b w:val="1"/>
                <w:bCs w:val="1"/>
                <w:color w:val="5E5E61"/>
              </w:rPr>
              <w:t>17%</w:t>
            </w:r>
          </w:p>
        </w:tc>
        <w:tc>
          <w:tcPr>
            <w:tcW w:w="188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b w:val="1"/>
                <w:bCs w:val="1"/>
                <w:color w:val="5E5E61"/>
              </w:rPr>
              <w:t>8%</w:t>
            </w: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547BCC"/>
        </w:rPr>
        <w:t>Board Tenure</w:t>
      </w:r>
    </w:p>
    <w:p>
      <w:pPr>
        <w:spacing w:after="0" w:line="18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666666"/>
        </w:rPr>
        <w:t>We believe that Board tenure diversity is important and directors with many years of service provide the Board with a deep knowledge of our Company, while newer directors lend fresh perspectives. The chart below reflects the Board tenure of our current directors, which on average is approximately 7.6 years.</w:t>
      </w:r>
    </w:p>
    <w:p>
      <w:pPr>
        <w:spacing w:after="0" w:line="128"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5E5E61"/>
        </w:rPr>
        <w:t>Board Tenure is Diversified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257175</wp:posOffset>
            </wp:positionV>
            <wp:extent cx="3025775" cy="1423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2577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547BCC"/>
        </w:rPr>
        <w:t>Process for Stockholders to Recommend Director Nominees</w:t>
      </w:r>
    </w:p>
    <w:p>
      <w:pPr>
        <w:spacing w:after="0" w:line="18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Stockholders wishing to nominate a candidate for director must provide written notice in care of the Secretary to 8283 Greensboro Drive, McLean, Virginia 22102, not fewer than 90 days nor more than 120 days prior to the first anniversary of the preceding year's annual meeting. Our bylaws set forth the requirements for direct nomination of an individual by a stockholder for election to the Board.</w:t>
      </w:r>
    </w:p>
    <w:p>
      <w:pPr>
        <w:spacing w:after="0" w:line="15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666666"/>
        </w:rPr>
        <w:t>There is no difference in the manner in which the Nominating and Corporate Governance Committee evaluates a nominee for director designated by our Chief Executive Officer or recommended by a stockholder.</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Director Orientation and Continuing Education</w:t>
      </w:r>
    </w:p>
    <w:p>
      <w:pPr>
        <w:spacing w:after="0" w:line="253"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New directors are provided a multi-phase orientation generally timed to coincide with our Board meetings as part of our effort to integrate them in their role as directors and familiarize them with the Company. Orientation sessions are led by members of management and are focused on various elements of our business strategy, client service offerings, internal business operations, and corporate governance, among other areas. During the course of the year, representatives of management brief the Board on topics designed to provide directors a deeper understanding of various aspects of our business such as applicable legal developments, ethics and compliance programs, and the evolving regulatory environment. In addition, the Board holds an annual business strategy session with management. Directors are also encouraged to participate in continuing education programs to better understand and execute their duties and responsibilities.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15</w:t>
      </w:r>
    </w:p>
    <w:p>
      <w:pPr>
        <w:sectPr>
          <w:pgSz w:w="11900" w:h="16838" w:orient="portrait"/>
          <w:cols w:equalWidth="0" w:num="1">
            <w:col w:w="11240"/>
          </w:cols>
          <w:pgMar w:left="320" w:top="881"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u w:val="single" w:color="auto"/>
          <w:color w:val="547BCC"/>
        </w:rPr>
        <w:t>Communications with the Board</w:t>
      </w:r>
    </w:p>
    <w:p>
      <w:pPr>
        <w:spacing w:after="0" w:line="186"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Stockholders, or other interested third parties, who wish to contact our Board may send written correspondence, in care of the Secretary, to 8283 Greensboro Drive, McLean, Virginia 22102. Communications may be addressed to an individual director, to the non-management directors as a group, or to the Board as a whole, marked as confidential or otherwise. Communications not submitted confidentially, which are addressed to directors that discuss business or other matters relevant to the activities of our Board, will be preliminarily reviewed by the office of the Secretary and then distributed either in summary form or by delivering a copy of the communication. Communications marked as confidential will be distributed, without review by the office of the Secretary, to the director, or group of directors, to whom they are addressed. With respect to other correspondence received by the Company that is addressed to one or more directors, the Board has requested that the following items not be distributed to directors, because they generally fall into the purview of management, rather than the Board: junk mail and mass mailings, service complaints and inquiries, résumés and other forms of job inquiries, solicitations for charitable donations, surveys, business solicitations, and advertisements.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Board Committees</w:t>
      </w:r>
    </w:p>
    <w:p>
      <w:pPr>
        <w:spacing w:after="0" w:line="18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666666"/>
        </w:rPr>
        <w:t>Our Board has four standing committees: an Executive Committee, an Audit Committee, a Compensation Committee, and a Nominating and Corporate Governance Committee. The charter of each committee is available without charge on the Investor Relations portion of our website, www.boozallen.com.</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0"/>
          <w:szCs w:val="20"/>
          <w:color w:val="666666"/>
        </w:rPr>
        <w:t>The following chart identifies the members and chair of each standing committee, as well as related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70485</wp:posOffset>
            </wp:positionV>
            <wp:extent cx="5400675" cy="30346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00675"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color w:val="666666"/>
        </w:rPr>
        <w:t>The following is a brief description of our committees.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547BCC"/>
        </w:rPr>
        <w:t>The Executive Committee</w:t>
      </w:r>
    </w:p>
    <w:p>
      <w:pPr>
        <w:spacing w:after="0" w:line="18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Our Executive Committee is responsible, among its other duties and responsibilities, for assisting our Board in fulfilling its responsibilities. Our Executive Committee is responsible for approving certain corporate actions and transactions, including acquisitions of assets other than in the ordinary course of business. The members of our Executive Committee are Dr. Shrader (Chair) and Messrs. Fujiyama, Gaumond, and Rozanski. The Executive Committee acted by written consent during fiscal year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16</w:t>
      </w:r>
    </w:p>
    <w:p>
      <w:pPr>
        <w:sectPr>
          <w:pgSz w:w="11900" w:h="16838" w:orient="portrait"/>
          <w:cols w:equalWidth="0" w:num="1">
            <w:col w:w="11240"/>
          </w:cols>
          <w:pgMar w:left="320" w:top="490" w:right="339" w:bottom="1440" w:gutter="0" w:footer="0" w:header="0"/>
        </w:sectPr>
      </w:pPr>
    </w:p>
    <w:bookmarkStart w:id="25" w:name="page26"/>
    <w:bookmarkEnd w:id="25"/>
    <w:p>
      <w:pPr>
        <w:ind w:left="340"/>
        <w:spacing w:after="0"/>
        <w:rPr>
          <w:sz w:val="20"/>
          <w:szCs w:val="20"/>
          <w:color w:val="auto"/>
        </w:rPr>
      </w:pPr>
      <w:r>
        <w:rPr>
          <w:rFonts w:ascii="Arial" w:cs="Arial" w:eastAsia="Arial" w:hAnsi="Arial"/>
          <w:sz w:val="20"/>
          <w:szCs w:val="20"/>
          <w:b w:val="1"/>
          <w:bCs w:val="1"/>
          <w:i w:val="1"/>
          <w:iCs w:val="1"/>
          <w:color w:val="547BCC"/>
        </w:rPr>
        <w:t>The Audit Committee</w:t>
      </w:r>
    </w:p>
    <w:p>
      <w:pPr>
        <w:spacing w:after="0" w:line="186"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Our Audit Committee is responsible, among its other duties and responsibilities, for overseeing our accounting and financial reporting processes, the audits of our financial statements, the qualifications and independence of our independent registered public accounting firm, the effectiveness of our internal control over financial reporting, and the performance of our internal audit function and independent registered public accounting firm. Our Audit Committee reviews and assesses the qualitative aspects of our financial reporting, our processes to manage business and financial risks, and our compliance with significant applicable legal, ethical, and regulatory requirements. Our Audit Committee is directly responsible for the appointment, compensation, retention, and oversight of our independent registered public accounting firm.</w:t>
      </w:r>
    </w:p>
    <w:p>
      <w:pPr>
        <w:spacing w:after="0" w:line="159"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The members of our Audit Committee are Messrs. Gaumond (Chair), Johnson, and Rossotti, and Mses. Amble and Jewett, each of whom is an independent director as required by NYSE listing standards and Rule 10A-3 of the Securities Exchange Act of 1934, as amended, or the Exchange Act. The Board has determined that each member of our Audit Committee is financially literate and that Messrs. Gaumond and Rossotti and Mses. Amble and Jewett are each an “audit committee financial expert” as such term is defined under Item 407(d)(5) of Regulation S-K promulgated under the Securities Act of 1933, as amended, or the Securities Act.</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20"/>
          <w:szCs w:val="20"/>
          <w:color w:val="666666"/>
        </w:rPr>
        <w:t>The Audit Committee met four times during fiscal year 2020.</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547BCC"/>
        </w:rPr>
        <w:t>The Compensation Committee</w:t>
      </w:r>
    </w:p>
    <w:p>
      <w:pPr>
        <w:spacing w:after="0" w:line="18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Our Compensation Committee is responsible for, among its other duties and responsibilities, reviewing and approving all forms of compensation to be provided to, and employment letter agreements with, the executives and directors of our Company and its subsidiaries (including the Chief Executive Officer), establishing and reviewing the general compensation philosophy of our Company and its subsidiaries, and reviewing, approving, and overseeing the administration of the employee benefits plans of our Company and its subsidiaries.</w:t>
      </w:r>
    </w:p>
    <w:p>
      <w:pPr>
        <w:spacing w:after="0" w:line="155"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The members of our Compensation Committee are Messrs. Clare, and Fujiyama, and Mses. Barnes, Flournoy and McClain (Chair), each of whom is an independent director as required by NYSE listing standards. The Compensation Committee charter requires that at least two members of the Compensation Committee must satisfy the requirements of “non-employee director” for purposes of Rule 16b-3 under the Exchange Act. Each of the members currently satisfies these requirements. Mr. Clare has decided not to stand for re-election and will no longer be a member of the Compensation Committee effective at the 2020 Annual Meeting.</w:t>
      </w:r>
    </w:p>
    <w:p>
      <w:pPr>
        <w:spacing w:after="0" w:line="159"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666666"/>
        </w:rPr>
        <w:t>The Compensation Committee has the authority to delegate any of its responsibilities to subcommittees as the Compensation Committee may deem appropriate, provided that the subcommittees are composed entirely of directors satisfying the independence standards then applicable to the Compensation Committee generally.</w:t>
      </w:r>
    </w:p>
    <w:p>
      <w:pPr>
        <w:spacing w:after="0" w:line="152"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The Compensation Committee has not engaged a compensation consultant; however, the Compensation Committee is briefed by management, which consults with Korn Ferry. The Company engaged Korn Ferry to provide market assessments and recommendations on the Company’s director compensation and assist management with compensation decisions regarding our named executive officers, executive compensation philosophy and strategy, and other matters related to the Company’s long-term performance plan as well as insight related to the Company’s compensation disclosure in the proxy statement. In addition, Korn Ferry provided other consulting services. The aggregate fees paid to Korn Ferry for services related to executive compensation and other consulting services were $234,791 and $ 1,225,670, respectively, for fiscal year 2020. The Compensation Committee assessed the independence of Korn Ferry and concluded that Korn Ferry's work for the Company did not raise any conflicts of interest.</w:t>
      </w:r>
    </w:p>
    <w:p>
      <w:pPr>
        <w:spacing w:after="0" w:line="158"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666666"/>
        </w:rPr>
        <w:t>Each of our executive officers, who collectively comprise our Leadership Team, participates in the discussion and consideration of compensation to be awarded to all executives. See “Compensation Discussion and Analysis—Setting Executive Compensation.”</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0"/>
          <w:szCs w:val="20"/>
          <w:color w:val="666666"/>
        </w:rPr>
        <w:t>The Compensation Committee met five times during fiscal year 2020 and also acted by written consent.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17</w:t>
      </w:r>
    </w:p>
    <w:p>
      <w:pPr>
        <w:sectPr>
          <w:pgSz w:w="11900" w:h="16838" w:orient="portrait"/>
          <w:cols w:equalWidth="0" w:num="1">
            <w:col w:w="11240"/>
          </w:cols>
          <w:pgMar w:left="320" w:top="490" w:right="339" w:bottom="1440" w:gutter="0" w:footer="0" w:header="0"/>
        </w:sectPr>
      </w:pPr>
    </w:p>
    <w:bookmarkStart w:id="26" w:name="page27"/>
    <w:bookmarkEnd w:id="26"/>
    <w:p>
      <w:pPr>
        <w:ind w:left="340"/>
        <w:spacing w:after="0"/>
        <w:rPr>
          <w:sz w:val="20"/>
          <w:szCs w:val="20"/>
          <w:color w:val="auto"/>
        </w:rPr>
      </w:pPr>
      <w:r>
        <w:rPr>
          <w:rFonts w:ascii="Arial" w:cs="Arial" w:eastAsia="Arial" w:hAnsi="Arial"/>
          <w:sz w:val="20"/>
          <w:szCs w:val="20"/>
          <w:b w:val="1"/>
          <w:bCs w:val="1"/>
          <w:i w:val="1"/>
          <w:iCs w:val="1"/>
          <w:color w:val="547BCC"/>
        </w:rPr>
        <w:t>The Nominating and Corporate Governance Committee</w:t>
      </w:r>
    </w:p>
    <w:p>
      <w:pPr>
        <w:spacing w:after="0" w:line="18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Our Nominating and Corporate Governance Committee is responsible for, among its other duties and responsibilities, identifying and recommending candidates to the Board for election to our Board (including candidates proposed by stockholders), reviewing the composition of the Board and its committees, developing and recommending to the Board corporate governance guidelines that are applicable to us, overseeing Board and Board committee evaluations, and overseeing practices related to corporate governance, corporate citizenship and ESG matters.</w:t>
      </w:r>
    </w:p>
    <w:p>
      <w:pPr>
        <w:spacing w:after="0" w:line="155"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The members of our Nominating and Corporate Governance Committee are Mr. Clare (Chair), and Mses. Barnes, Flournoy and McClain, each of whom is an independent director as required by NYSE listing standards. Mr. Clare has decided not to stand for re-election and will no longer be a member of the Nominating and Corporate Governance Committee. Following the 2020 Annual Meeting, the Board will designate a new Chair of the Nominating and Corporate Governance Committee.</w:t>
      </w:r>
    </w:p>
    <w:p>
      <w:pPr>
        <w:spacing w:after="0" w:line="15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666666"/>
        </w:rPr>
        <w:t>The Nominating and Corporate Governance Committee met three times during fiscal year 2020 and also acted by written consent.</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Director Compensation</w:t>
      </w:r>
    </w:p>
    <w:p>
      <w:pPr>
        <w:spacing w:after="0" w:line="18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Directors who are employed by us do not receive any additional compensation for their services as directors. The Compensation Committee reviews director compensation on an annual basis. In July 2019, with assistance from Korn Ferry, the Committee reviewed director compensation data for the peer group used for benchmarking executive compensation and the general market. Based on that review, the Compensation Committee made no changes to compensation levels for directors for their service from August 2019 to July 2020.</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20"/>
          <w:szCs w:val="20"/>
          <w:color w:val="666666"/>
        </w:rPr>
        <w:t>Director compensation included the following:</w:t>
      </w:r>
    </w:p>
    <w:p>
      <w:pPr>
        <w:spacing w:after="0" w:line="314" w:lineRule="exact"/>
        <w:rPr>
          <w:sz w:val="20"/>
          <w:szCs w:val="20"/>
          <w:color w:val="auto"/>
        </w:rPr>
      </w:pPr>
    </w:p>
    <w:tbl>
      <w:tblPr>
        <w:tblLayout w:type="fixed"/>
        <w:tblInd w:w="2000" w:type="dxa"/>
        <w:tblCellMar>
          <w:top w:w="0" w:type="dxa"/>
          <w:left w:w="0" w:type="dxa"/>
          <w:bottom w:w="0" w:type="dxa"/>
          <w:right w:w="0" w:type="dxa"/>
        </w:tblCellMar>
      </w:tblPr>
      <w:tr>
        <w:trPr>
          <w:trHeight w:val="196"/>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666666"/>
              </w:rPr>
              <w:t>Component</w:t>
            </w:r>
          </w:p>
        </w:tc>
        <w:tc>
          <w:tcPr>
            <w:tcW w:w="33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666666"/>
              </w:rPr>
              <w:t>Annual Amount</w:t>
            </w:r>
          </w:p>
        </w:tc>
      </w:tr>
      <w:tr>
        <w:trPr>
          <w:trHeight w:val="216"/>
        </w:trPr>
        <w:tc>
          <w:tcPr>
            <w:tcW w:w="3920" w:type="dxa"/>
            <w:vAlign w:val="bottom"/>
            <w:shd w:val="clear" w:color="auto" w:fill="E9E5FF"/>
          </w:tcPr>
          <w:p>
            <w:pPr>
              <w:ind w:left="20"/>
              <w:spacing w:after="0"/>
              <w:rPr>
                <w:sz w:val="20"/>
                <w:szCs w:val="20"/>
                <w:color w:val="auto"/>
              </w:rPr>
            </w:pPr>
            <w:r>
              <w:rPr>
                <w:rFonts w:ascii="Arial" w:cs="Arial" w:eastAsia="Arial" w:hAnsi="Arial"/>
                <w:sz w:val="14"/>
                <w:szCs w:val="14"/>
                <w:color w:val="666666"/>
              </w:rPr>
              <w:t>Annual Board Chair Retainer</w:t>
            </w:r>
          </w:p>
        </w:tc>
        <w:tc>
          <w:tcPr>
            <w:tcW w:w="3340" w:type="dxa"/>
            <w:vAlign w:val="bottom"/>
            <w:shd w:val="clear" w:color="auto" w:fill="E9E5FF"/>
          </w:tcPr>
          <w:p>
            <w:pPr>
              <w:ind w:left="620"/>
              <w:spacing w:after="0"/>
              <w:rPr>
                <w:sz w:val="20"/>
                <w:szCs w:val="20"/>
                <w:color w:val="auto"/>
              </w:rPr>
            </w:pPr>
            <w:r>
              <w:rPr>
                <w:rFonts w:ascii="Arial" w:cs="Arial" w:eastAsia="Arial" w:hAnsi="Arial"/>
                <w:sz w:val="14"/>
                <w:szCs w:val="14"/>
                <w:color w:val="666666"/>
              </w:rPr>
              <w:t>$300,000</w:t>
            </w:r>
          </w:p>
        </w:tc>
      </w:tr>
      <w:tr>
        <w:trPr>
          <w:trHeight w:val="210"/>
        </w:trPr>
        <w:tc>
          <w:tcPr>
            <w:tcW w:w="3920" w:type="dxa"/>
            <w:vAlign w:val="bottom"/>
          </w:tcPr>
          <w:p>
            <w:pPr>
              <w:ind w:left="20"/>
              <w:spacing w:after="0"/>
              <w:rPr>
                <w:sz w:val="20"/>
                <w:szCs w:val="20"/>
                <w:color w:val="auto"/>
              </w:rPr>
            </w:pPr>
            <w:r>
              <w:rPr>
                <w:rFonts w:ascii="Arial" w:cs="Arial" w:eastAsia="Arial" w:hAnsi="Arial"/>
                <w:sz w:val="14"/>
                <w:szCs w:val="14"/>
                <w:color w:val="666666"/>
              </w:rPr>
              <w:t>Annual Board Retainer (non-Chair)</w:t>
            </w:r>
          </w:p>
        </w:tc>
        <w:tc>
          <w:tcPr>
            <w:tcW w:w="3340" w:type="dxa"/>
            <w:vAlign w:val="bottom"/>
          </w:tcPr>
          <w:p>
            <w:pPr>
              <w:ind w:left="620"/>
              <w:spacing w:after="0"/>
              <w:rPr>
                <w:sz w:val="20"/>
                <w:szCs w:val="20"/>
                <w:color w:val="auto"/>
              </w:rPr>
            </w:pPr>
            <w:r>
              <w:rPr>
                <w:rFonts w:ascii="Arial" w:cs="Arial" w:eastAsia="Arial" w:hAnsi="Arial"/>
                <w:sz w:val="14"/>
                <w:szCs w:val="14"/>
                <w:color w:val="666666"/>
              </w:rPr>
              <w:t>$100,000</w:t>
            </w:r>
          </w:p>
        </w:tc>
      </w:tr>
      <w:tr>
        <w:trPr>
          <w:trHeight w:val="222"/>
        </w:trPr>
        <w:tc>
          <w:tcPr>
            <w:tcW w:w="3920" w:type="dxa"/>
            <w:vAlign w:val="bottom"/>
            <w:shd w:val="clear" w:color="auto" w:fill="E9E5FF"/>
          </w:tcPr>
          <w:p>
            <w:pPr>
              <w:ind w:left="20"/>
              <w:spacing w:after="0"/>
              <w:rPr>
                <w:sz w:val="20"/>
                <w:szCs w:val="20"/>
                <w:color w:val="auto"/>
              </w:rPr>
            </w:pPr>
            <w:r>
              <w:rPr>
                <w:rFonts w:ascii="Arial" w:cs="Arial" w:eastAsia="Arial" w:hAnsi="Arial"/>
                <w:sz w:val="14"/>
                <w:szCs w:val="14"/>
                <w:color w:val="666666"/>
              </w:rPr>
              <w:t>Annual Equity Award</w:t>
            </w:r>
          </w:p>
        </w:tc>
        <w:tc>
          <w:tcPr>
            <w:tcW w:w="3340" w:type="dxa"/>
            <w:vAlign w:val="bottom"/>
            <w:shd w:val="clear" w:color="auto" w:fill="E9E5FF"/>
          </w:tcPr>
          <w:p>
            <w:pPr>
              <w:ind w:left="620"/>
              <w:spacing w:after="0"/>
              <w:rPr>
                <w:sz w:val="20"/>
                <w:szCs w:val="20"/>
                <w:color w:val="auto"/>
              </w:rPr>
            </w:pPr>
            <w:r>
              <w:rPr>
                <w:rFonts w:ascii="Arial" w:cs="Arial" w:eastAsia="Arial" w:hAnsi="Arial"/>
                <w:sz w:val="14"/>
                <w:szCs w:val="14"/>
                <w:color w:val="666666"/>
              </w:rPr>
              <w:t>$150,000</w:t>
            </w:r>
          </w:p>
        </w:tc>
      </w:tr>
      <w:tr>
        <w:trPr>
          <w:trHeight w:val="210"/>
        </w:trPr>
        <w:tc>
          <w:tcPr>
            <w:tcW w:w="3920" w:type="dxa"/>
            <w:vAlign w:val="bottom"/>
          </w:tcPr>
          <w:p>
            <w:pPr>
              <w:ind w:left="20"/>
              <w:spacing w:after="0"/>
              <w:rPr>
                <w:sz w:val="20"/>
                <w:szCs w:val="20"/>
                <w:color w:val="auto"/>
              </w:rPr>
            </w:pPr>
            <w:r>
              <w:rPr>
                <w:rFonts w:ascii="Arial" w:cs="Arial" w:eastAsia="Arial" w:hAnsi="Arial"/>
                <w:sz w:val="14"/>
                <w:szCs w:val="14"/>
                <w:color w:val="666666"/>
              </w:rPr>
              <w:t>Audit Committee Chair Additional Retainer</w:t>
            </w:r>
          </w:p>
        </w:tc>
        <w:tc>
          <w:tcPr>
            <w:tcW w:w="3340" w:type="dxa"/>
            <w:vAlign w:val="bottom"/>
          </w:tcPr>
          <w:p>
            <w:pPr>
              <w:ind w:left="620"/>
              <w:spacing w:after="0"/>
              <w:rPr>
                <w:sz w:val="20"/>
                <w:szCs w:val="20"/>
                <w:color w:val="auto"/>
              </w:rPr>
            </w:pPr>
            <w:r>
              <w:rPr>
                <w:rFonts w:ascii="Arial" w:cs="Arial" w:eastAsia="Arial" w:hAnsi="Arial"/>
                <w:sz w:val="14"/>
                <w:szCs w:val="14"/>
                <w:color w:val="666666"/>
              </w:rPr>
              <w:t>$30,000</w:t>
            </w:r>
          </w:p>
        </w:tc>
      </w:tr>
      <w:tr>
        <w:trPr>
          <w:trHeight w:val="222"/>
        </w:trPr>
        <w:tc>
          <w:tcPr>
            <w:tcW w:w="3920" w:type="dxa"/>
            <w:vAlign w:val="bottom"/>
            <w:shd w:val="clear" w:color="auto" w:fill="E9E5FF"/>
          </w:tcPr>
          <w:p>
            <w:pPr>
              <w:ind w:left="20"/>
              <w:spacing w:after="0"/>
              <w:rPr>
                <w:sz w:val="20"/>
                <w:szCs w:val="20"/>
                <w:color w:val="auto"/>
              </w:rPr>
            </w:pPr>
            <w:r>
              <w:rPr>
                <w:rFonts w:ascii="Arial" w:cs="Arial" w:eastAsia="Arial" w:hAnsi="Arial"/>
                <w:sz w:val="14"/>
                <w:szCs w:val="14"/>
                <w:color w:val="666666"/>
              </w:rPr>
              <w:t>Compensation Committee Chair Additional Retainer</w:t>
            </w:r>
          </w:p>
        </w:tc>
        <w:tc>
          <w:tcPr>
            <w:tcW w:w="3340" w:type="dxa"/>
            <w:vAlign w:val="bottom"/>
            <w:shd w:val="clear" w:color="auto" w:fill="E9E5FF"/>
          </w:tcPr>
          <w:p>
            <w:pPr>
              <w:ind w:left="620"/>
              <w:spacing w:after="0"/>
              <w:rPr>
                <w:sz w:val="20"/>
                <w:szCs w:val="20"/>
                <w:color w:val="auto"/>
              </w:rPr>
            </w:pPr>
            <w:r>
              <w:rPr>
                <w:rFonts w:ascii="Arial" w:cs="Arial" w:eastAsia="Arial" w:hAnsi="Arial"/>
                <w:sz w:val="14"/>
                <w:szCs w:val="14"/>
                <w:color w:val="666666"/>
              </w:rPr>
              <w:t>$15,000</w:t>
            </w:r>
          </w:p>
        </w:tc>
      </w:tr>
    </w:tbl>
    <w:p>
      <w:pPr>
        <w:spacing w:after="0" w:line="158"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The annual equity awards are granted in the form of restricted stock under our Equity Incentive Plan, as amended and restated from time to time. Half of the annual award vests approximately six months from the date of grant on January 31 of the following year, and the other half vests on July 31 following the first vesting date. Directors may also elect to receive all or a portion of their annual retainer and any additional payments for service as a committee chair in the form of restricted stock. Our directors do not receive additional fees for attending Board or committee meetings.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18</w:t>
      </w:r>
    </w:p>
    <w:p>
      <w:pPr>
        <w:sectPr>
          <w:pgSz w:w="11900" w:h="16838" w:orient="portrait"/>
          <w:cols w:equalWidth="0" w:num="1">
            <w:col w:w="11240"/>
          </w:cols>
          <w:pgMar w:left="320" w:top="490" w:right="339" w:bottom="1440" w:gutter="0" w:footer="0" w:header="0"/>
        </w:sectPr>
      </w:pPr>
    </w:p>
    <w:bookmarkStart w:id="27" w:name="page28"/>
    <w:bookmarkEnd w:id="27"/>
    <w:p>
      <w:pPr>
        <w:jc w:val="center"/>
        <w:ind w:right="140"/>
        <w:spacing w:after="0"/>
        <w:rPr>
          <w:sz w:val="20"/>
          <w:szCs w:val="20"/>
          <w:color w:val="auto"/>
        </w:rPr>
      </w:pPr>
      <w:r>
        <w:rPr>
          <w:rFonts w:ascii="Arial" w:cs="Arial" w:eastAsia="Arial" w:hAnsi="Arial"/>
          <w:sz w:val="20"/>
          <w:szCs w:val="20"/>
          <w:b w:val="1"/>
          <w:bCs w:val="1"/>
          <w:i w:val="1"/>
          <w:iCs w:val="1"/>
          <w:color w:val="547BCC"/>
        </w:rPr>
        <w:t>Director Compensation Table</w:t>
      </w:r>
    </w:p>
    <w:p>
      <w:pPr>
        <w:spacing w:after="0" w:line="365" w:lineRule="exact"/>
        <w:rPr>
          <w:sz w:val="20"/>
          <w:szCs w:val="20"/>
          <w:color w:val="auto"/>
        </w:rPr>
      </w:pPr>
    </w:p>
    <w:tbl>
      <w:tblPr>
        <w:tblLayout w:type="fixed"/>
        <w:tblInd w:w="182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666666"/>
                <w:w w:val="99"/>
              </w:rPr>
              <w:t>Stock</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660" w:type="dxa"/>
            <w:vAlign w:val="bottom"/>
            <w:gridSpan w:val="2"/>
          </w:tcPr>
          <w:p>
            <w:pPr>
              <w:ind w:left="300"/>
              <w:spacing w:after="0"/>
              <w:rPr>
                <w:sz w:val="20"/>
                <w:szCs w:val="20"/>
                <w:color w:val="auto"/>
              </w:rPr>
            </w:pPr>
            <w:r>
              <w:rPr>
                <w:rFonts w:ascii="Arial" w:cs="Arial" w:eastAsia="Arial" w:hAnsi="Arial"/>
                <w:sz w:val="14"/>
                <w:szCs w:val="14"/>
                <w:b w:val="1"/>
                <w:bCs w:val="1"/>
                <w:color w:val="666666"/>
              </w:rPr>
              <w:t>Fees Earned</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666666"/>
              </w:rPr>
              <w:t>Awards</w:t>
            </w:r>
          </w:p>
        </w:tc>
        <w:tc>
          <w:tcPr>
            <w:tcW w:w="1420" w:type="dxa"/>
            <w:vAlign w:val="bottom"/>
          </w:tcPr>
          <w:p>
            <w:pPr>
              <w:jc w:val="right"/>
              <w:ind w:right="468"/>
              <w:spacing w:after="0"/>
              <w:rPr>
                <w:sz w:val="20"/>
                <w:szCs w:val="20"/>
                <w:color w:val="auto"/>
              </w:rPr>
            </w:pPr>
            <w:r>
              <w:rPr>
                <w:rFonts w:ascii="Arial" w:cs="Arial" w:eastAsia="Arial" w:hAnsi="Arial"/>
                <w:sz w:val="14"/>
                <w:szCs w:val="14"/>
                <w:b w:val="1"/>
                <w:bCs w:val="1"/>
                <w:color w:val="666666"/>
              </w:rPr>
              <w:t>Total</w:t>
            </w:r>
          </w:p>
        </w:tc>
        <w:tc>
          <w:tcPr>
            <w:tcW w:w="0" w:type="dxa"/>
            <w:vAlign w:val="bottom"/>
          </w:tcPr>
          <w:p>
            <w:pPr>
              <w:spacing w:after="0"/>
              <w:rPr>
                <w:sz w:val="1"/>
                <w:szCs w:val="1"/>
                <w:color w:val="auto"/>
              </w:rPr>
            </w:pPr>
          </w:p>
        </w:tc>
      </w:tr>
      <w:tr>
        <w:trPr>
          <w:trHeight w:val="196"/>
        </w:trPr>
        <w:tc>
          <w:tcPr>
            <w:tcW w:w="2580" w:type="dxa"/>
            <w:vAlign w:val="bottom"/>
          </w:tcPr>
          <w:p>
            <w:pPr>
              <w:spacing w:after="0"/>
              <w:rPr>
                <w:sz w:val="20"/>
                <w:szCs w:val="20"/>
                <w:color w:val="auto"/>
              </w:rPr>
            </w:pPr>
            <w:r>
              <w:rPr>
                <w:rFonts w:ascii="Arial" w:cs="Arial" w:eastAsia="Arial" w:hAnsi="Arial"/>
                <w:sz w:val="14"/>
                <w:szCs w:val="14"/>
                <w:b w:val="1"/>
                <w:bCs w:val="1"/>
                <w:color w:val="666666"/>
              </w:rPr>
              <w:t>Name</w:t>
            </w:r>
          </w:p>
        </w:tc>
        <w:tc>
          <w:tcPr>
            <w:tcW w:w="1440" w:type="dxa"/>
            <w:vAlign w:val="bottom"/>
            <w:tcBorders>
              <w:bottom w:val="single" w:sz="8" w:color="666666"/>
            </w:tcBorders>
          </w:tcPr>
          <w:p>
            <w:pPr>
              <w:jc w:val="right"/>
              <w:ind w:right="568"/>
              <w:spacing w:after="0"/>
              <w:rPr>
                <w:sz w:val="20"/>
                <w:szCs w:val="20"/>
                <w:color w:val="auto"/>
              </w:rPr>
            </w:pPr>
            <w:r>
              <w:rPr>
                <w:rFonts w:ascii="Arial" w:cs="Arial" w:eastAsia="Arial" w:hAnsi="Arial"/>
                <w:sz w:val="14"/>
                <w:szCs w:val="14"/>
                <w:b w:val="1"/>
                <w:bCs w:val="1"/>
                <w:color w:val="666666"/>
              </w:rPr>
              <w:t>($)</w:t>
            </w:r>
          </w:p>
        </w:tc>
        <w:tc>
          <w:tcPr>
            <w:tcW w:w="220" w:type="dxa"/>
            <w:vAlign w:val="bottom"/>
          </w:tcPr>
          <w:p>
            <w:pPr>
              <w:spacing w:after="0"/>
              <w:rPr>
                <w:sz w:val="17"/>
                <w:szCs w:val="17"/>
                <w:color w:val="auto"/>
              </w:rPr>
            </w:pPr>
          </w:p>
        </w:tc>
        <w:tc>
          <w:tcPr>
            <w:tcW w:w="1460" w:type="dxa"/>
            <w:vAlign w:val="bottom"/>
            <w:tcBorders>
              <w:bottom w:val="single" w:sz="8" w:color="666666"/>
            </w:tcBorders>
          </w:tcPr>
          <w:p>
            <w:pPr>
              <w:jc w:val="center"/>
              <w:spacing w:after="0"/>
              <w:rPr>
                <w:sz w:val="20"/>
                <w:szCs w:val="20"/>
                <w:color w:val="auto"/>
              </w:rPr>
            </w:pPr>
            <w:r>
              <w:rPr>
                <w:rFonts w:ascii="Arial" w:cs="Arial" w:eastAsia="Arial" w:hAnsi="Arial"/>
                <w:sz w:val="14"/>
                <w:szCs w:val="14"/>
                <w:b w:val="1"/>
                <w:bCs w:val="1"/>
                <w:color w:val="666666"/>
              </w:rPr>
              <w:t>($)(1)(13)</w:t>
            </w:r>
          </w:p>
        </w:tc>
        <w:tc>
          <w:tcPr>
            <w:tcW w:w="220" w:type="dxa"/>
            <w:vAlign w:val="bottom"/>
          </w:tcPr>
          <w:p>
            <w:pPr>
              <w:spacing w:after="0"/>
              <w:rPr>
                <w:sz w:val="17"/>
                <w:szCs w:val="17"/>
                <w:color w:val="auto"/>
              </w:rPr>
            </w:pPr>
          </w:p>
        </w:tc>
        <w:tc>
          <w:tcPr>
            <w:tcW w:w="1420" w:type="dxa"/>
            <w:vAlign w:val="bottom"/>
            <w:tcBorders>
              <w:bottom w:val="single" w:sz="8" w:color="666666"/>
            </w:tcBorders>
          </w:tcPr>
          <w:p>
            <w:pPr>
              <w:jc w:val="right"/>
              <w:ind w:right="548"/>
              <w:spacing w:after="0"/>
              <w:rPr>
                <w:sz w:val="20"/>
                <w:szCs w:val="20"/>
                <w:color w:val="auto"/>
              </w:rPr>
            </w:pPr>
            <w:r>
              <w:rPr>
                <w:rFonts w:ascii="Arial" w:cs="Arial" w:eastAsia="Arial" w:hAnsi="Arial"/>
                <w:sz w:val="14"/>
                <w:szCs w:val="14"/>
                <w:b w:val="1"/>
                <w:bCs w:val="1"/>
                <w:color w:val="666666"/>
              </w:rPr>
              <w:t>($)</w:t>
            </w:r>
          </w:p>
        </w:tc>
        <w:tc>
          <w:tcPr>
            <w:tcW w:w="0" w:type="dxa"/>
            <w:vAlign w:val="bottom"/>
          </w:tcPr>
          <w:p>
            <w:pPr>
              <w:spacing w:after="0"/>
              <w:rPr>
                <w:sz w:val="1"/>
                <w:szCs w:val="1"/>
                <w:color w:val="auto"/>
              </w:rPr>
            </w:pPr>
          </w:p>
        </w:tc>
      </w:tr>
      <w:tr>
        <w:trPr>
          <w:trHeight w:val="288"/>
        </w:trPr>
        <w:tc>
          <w:tcPr>
            <w:tcW w:w="2580" w:type="dxa"/>
            <w:vAlign w:val="bottom"/>
          </w:tcPr>
          <w:p>
            <w:pPr>
              <w:spacing w:after="0"/>
              <w:rPr>
                <w:sz w:val="20"/>
                <w:szCs w:val="20"/>
                <w:color w:val="auto"/>
              </w:rPr>
            </w:pPr>
            <w:r>
              <w:rPr>
                <w:rFonts w:ascii="Arial" w:cs="Arial" w:eastAsia="Arial" w:hAnsi="Arial"/>
                <w:sz w:val="14"/>
                <w:szCs w:val="14"/>
                <w:color w:val="666666"/>
              </w:rPr>
              <w:t>Joan Lordi C. Amble</w:t>
            </w:r>
          </w:p>
        </w:tc>
        <w:tc>
          <w:tcPr>
            <w:tcW w:w="1440" w:type="dxa"/>
            <w:vAlign w:val="bottom"/>
          </w:tcPr>
          <w:p>
            <w:pPr>
              <w:jc w:val="right"/>
              <w:spacing w:after="0"/>
              <w:rPr>
                <w:sz w:val="20"/>
                <w:szCs w:val="20"/>
                <w:color w:val="auto"/>
              </w:rPr>
            </w:pPr>
            <w:r>
              <w:rPr>
                <w:rFonts w:ascii="Arial" w:cs="Arial" w:eastAsia="Arial" w:hAnsi="Arial"/>
                <w:sz w:val="14"/>
                <w:szCs w:val="14"/>
                <w:color w:val="666666"/>
              </w:rPr>
              <w:t>100,000</w:t>
            </w:r>
            <w:r>
              <w:rPr>
                <w:rFonts w:ascii="Arial" w:cs="Arial" w:eastAsia="Arial" w:hAnsi="Arial"/>
                <w:sz w:val="23"/>
                <w:szCs w:val="23"/>
                <w:color w:val="666666"/>
                <w:vertAlign w:val="superscript"/>
              </w:rPr>
              <w:t>(2)</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666666"/>
              </w:rPr>
              <w:t>150,013</w:t>
            </w:r>
            <w:r>
              <w:rPr>
                <w:rFonts w:ascii="Arial" w:cs="Arial" w:eastAsia="Arial" w:hAnsi="Arial"/>
                <w:sz w:val="23"/>
                <w:szCs w:val="23"/>
                <w:color w:val="666666"/>
                <w:vertAlign w:val="superscript"/>
              </w:rPr>
              <w:t>(2)</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666666"/>
              </w:rPr>
              <w:t>250,013</w:t>
            </w:r>
          </w:p>
        </w:tc>
        <w:tc>
          <w:tcPr>
            <w:tcW w:w="0" w:type="dxa"/>
            <w:vAlign w:val="bottom"/>
          </w:tcPr>
          <w:p>
            <w:pPr>
              <w:spacing w:after="0"/>
              <w:rPr>
                <w:sz w:val="1"/>
                <w:szCs w:val="1"/>
                <w:color w:val="auto"/>
              </w:rPr>
            </w:pPr>
          </w:p>
        </w:tc>
      </w:tr>
      <w:tr>
        <w:trPr>
          <w:trHeight w:val="172"/>
        </w:trPr>
        <w:tc>
          <w:tcPr>
            <w:tcW w:w="2580" w:type="dxa"/>
            <w:vAlign w:val="bottom"/>
          </w:tcPr>
          <w:p>
            <w:pPr>
              <w:spacing w:after="0"/>
              <w:rPr>
                <w:sz w:val="20"/>
                <w:szCs w:val="20"/>
                <w:color w:val="auto"/>
              </w:rPr>
            </w:pPr>
            <w:r>
              <w:rPr>
                <w:rFonts w:ascii="Arial" w:cs="Arial" w:eastAsia="Arial" w:hAnsi="Arial"/>
                <w:sz w:val="14"/>
                <w:szCs w:val="14"/>
                <w:color w:val="666666"/>
              </w:rPr>
              <w:t>Melody C. Barnes</w:t>
            </w:r>
          </w:p>
        </w:tc>
        <w:tc>
          <w:tcPr>
            <w:tcW w:w="1440" w:type="dxa"/>
            <w:vAlign w:val="bottom"/>
            <w:vMerge w:val="restart"/>
          </w:tcPr>
          <w:p>
            <w:pPr>
              <w:jc w:val="right"/>
              <w:spacing w:after="0"/>
              <w:rPr>
                <w:sz w:val="20"/>
                <w:szCs w:val="20"/>
                <w:color w:val="auto"/>
              </w:rPr>
            </w:pPr>
            <w:r>
              <w:rPr>
                <w:rFonts w:ascii="Arial" w:cs="Arial" w:eastAsia="Arial" w:hAnsi="Arial"/>
                <w:sz w:val="14"/>
                <w:szCs w:val="14"/>
                <w:color w:val="666666"/>
              </w:rPr>
              <w:t>100,000</w:t>
            </w:r>
            <w:r>
              <w:rPr>
                <w:rFonts w:ascii="Arial" w:cs="Arial" w:eastAsia="Arial" w:hAnsi="Arial"/>
                <w:sz w:val="23"/>
                <w:szCs w:val="23"/>
                <w:color w:val="666666"/>
                <w:vertAlign w:val="superscript"/>
              </w:rPr>
              <w:t>(3)</w:t>
            </w:r>
          </w:p>
        </w:tc>
        <w:tc>
          <w:tcPr>
            <w:tcW w:w="2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666666"/>
              </w:rPr>
              <w:t>150,035</w:t>
            </w:r>
            <w:r>
              <w:rPr>
                <w:rFonts w:ascii="Arial" w:cs="Arial" w:eastAsia="Arial" w:hAnsi="Arial"/>
                <w:sz w:val="23"/>
                <w:szCs w:val="23"/>
                <w:color w:val="666666"/>
                <w:vertAlign w:val="superscript"/>
              </w:rPr>
              <w:t>(3)</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666666"/>
              </w:rPr>
              <w:t>250,035</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580" w:type="dxa"/>
            <w:vAlign w:val="bottom"/>
          </w:tcPr>
          <w:p>
            <w:pPr>
              <w:spacing w:after="0"/>
              <w:rPr>
                <w:sz w:val="20"/>
                <w:szCs w:val="20"/>
                <w:color w:val="auto"/>
              </w:rPr>
            </w:pPr>
            <w:r>
              <w:rPr>
                <w:rFonts w:ascii="Arial" w:cs="Arial" w:eastAsia="Arial" w:hAnsi="Arial"/>
                <w:sz w:val="14"/>
                <w:szCs w:val="14"/>
                <w:color w:val="666666"/>
              </w:rPr>
              <w:t>Peter Clare</w:t>
            </w:r>
          </w:p>
        </w:tc>
        <w:tc>
          <w:tcPr>
            <w:tcW w:w="1440" w:type="dxa"/>
            <w:vAlign w:val="bottom"/>
            <w:vMerge w:val="restart"/>
          </w:tcPr>
          <w:p>
            <w:pPr>
              <w:jc w:val="right"/>
              <w:spacing w:after="0"/>
              <w:rPr>
                <w:sz w:val="20"/>
                <w:szCs w:val="20"/>
                <w:color w:val="auto"/>
              </w:rPr>
            </w:pPr>
            <w:r>
              <w:rPr>
                <w:rFonts w:ascii="Arial" w:cs="Arial" w:eastAsia="Arial" w:hAnsi="Arial"/>
                <w:sz w:val="14"/>
                <w:szCs w:val="14"/>
                <w:color w:val="666666"/>
              </w:rPr>
              <w:t>100,000</w:t>
            </w:r>
            <w:r>
              <w:rPr>
                <w:rFonts w:ascii="Arial" w:cs="Arial" w:eastAsia="Arial" w:hAnsi="Arial"/>
                <w:sz w:val="23"/>
                <w:szCs w:val="23"/>
                <w:color w:val="666666"/>
                <w:vertAlign w:val="superscript"/>
              </w:rPr>
              <w:t>(4)</w:t>
            </w:r>
          </w:p>
        </w:tc>
        <w:tc>
          <w:tcPr>
            <w:tcW w:w="2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666666"/>
              </w:rPr>
              <w:t>150,013</w:t>
            </w:r>
            <w:r>
              <w:rPr>
                <w:rFonts w:ascii="Arial" w:cs="Arial" w:eastAsia="Arial" w:hAnsi="Arial"/>
                <w:sz w:val="23"/>
                <w:szCs w:val="23"/>
                <w:color w:val="666666"/>
                <w:vertAlign w:val="superscript"/>
              </w:rPr>
              <w:t>(4)</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666666"/>
              </w:rPr>
              <w:t>250,013</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580" w:type="dxa"/>
            <w:vAlign w:val="bottom"/>
          </w:tcPr>
          <w:p>
            <w:pPr>
              <w:spacing w:after="0"/>
              <w:rPr>
                <w:sz w:val="20"/>
                <w:szCs w:val="20"/>
                <w:color w:val="auto"/>
              </w:rPr>
            </w:pPr>
            <w:r>
              <w:rPr>
                <w:rFonts w:ascii="Arial" w:cs="Arial" w:eastAsia="Arial" w:hAnsi="Arial"/>
                <w:sz w:val="14"/>
                <w:szCs w:val="14"/>
                <w:color w:val="666666"/>
              </w:rPr>
              <w:t>Michèle A. Flournoy</w:t>
            </w:r>
          </w:p>
        </w:tc>
        <w:tc>
          <w:tcPr>
            <w:tcW w:w="1440" w:type="dxa"/>
            <w:vAlign w:val="bottom"/>
            <w:vMerge w:val="restart"/>
          </w:tcPr>
          <w:p>
            <w:pPr>
              <w:jc w:val="right"/>
              <w:spacing w:after="0"/>
              <w:rPr>
                <w:sz w:val="20"/>
                <w:szCs w:val="20"/>
                <w:color w:val="auto"/>
              </w:rPr>
            </w:pPr>
            <w:r>
              <w:rPr>
                <w:rFonts w:ascii="Arial" w:cs="Arial" w:eastAsia="Arial" w:hAnsi="Arial"/>
                <w:sz w:val="14"/>
                <w:szCs w:val="14"/>
                <w:color w:val="666666"/>
              </w:rPr>
              <w:t>100,000</w:t>
            </w:r>
            <w:r>
              <w:rPr>
                <w:rFonts w:ascii="Arial" w:cs="Arial" w:eastAsia="Arial" w:hAnsi="Arial"/>
                <w:sz w:val="23"/>
                <w:szCs w:val="23"/>
                <w:color w:val="666666"/>
                <w:vertAlign w:val="superscript"/>
              </w:rPr>
              <w:t>(5)</w:t>
            </w:r>
          </w:p>
        </w:tc>
        <w:tc>
          <w:tcPr>
            <w:tcW w:w="2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666666"/>
              </w:rPr>
              <w:t>150,035</w:t>
            </w:r>
            <w:r>
              <w:rPr>
                <w:rFonts w:ascii="Arial" w:cs="Arial" w:eastAsia="Arial" w:hAnsi="Arial"/>
                <w:sz w:val="23"/>
                <w:szCs w:val="23"/>
                <w:color w:val="666666"/>
                <w:vertAlign w:val="superscript"/>
              </w:rPr>
              <w:t>(5)</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666666"/>
              </w:rPr>
              <w:t>250,035</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580" w:type="dxa"/>
            <w:vAlign w:val="bottom"/>
          </w:tcPr>
          <w:p>
            <w:pPr>
              <w:spacing w:after="0"/>
              <w:rPr>
                <w:sz w:val="20"/>
                <w:szCs w:val="20"/>
                <w:color w:val="auto"/>
              </w:rPr>
            </w:pPr>
            <w:r>
              <w:rPr>
                <w:rFonts w:ascii="Arial" w:cs="Arial" w:eastAsia="Arial" w:hAnsi="Arial"/>
                <w:sz w:val="14"/>
                <w:szCs w:val="14"/>
                <w:color w:val="666666"/>
              </w:rPr>
              <w:t>Ian Fujiyama</w:t>
            </w:r>
          </w:p>
        </w:tc>
        <w:tc>
          <w:tcPr>
            <w:tcW w:w="1440" w:type="dxa"/>
            <w:vAlign w:val="bottom"/>
            <w:vMerge w:val="restart"/>
          </w:tcPr>
          <w:p>
            <w:pPr>
              <w:jc w:val="right"/>
              <w:spacing w:after="0"/>
              <w:rPr>
                <w:sz w:val="20"/>
                <w:szCs w:val="20"/>
                <w:color w:val="auto"/>
              </w:rPr>
            </w:pPr>
            <w:r>
              <w:rPr>
                <w:rFonts w:ascii="Arial" w:cs="Arial" w:eastAsia="Arial" w:hAnsi="Arial"/>
                <w:sz w:val="14"/>
                <w:szCs w:val="14"/>
                <w:color w:val="666666"/>
              </w:rPr>
              <w:t>100,000</w:t>
            </w:r>
            <w:r>
              <w:rPr>
                <w:rFonts w:ascii="Arial" w:cs="Arial" w:eastAsia="Arial" w:hAnsi="Arial"/>
                <w:sz w:val="23"/>
                <w:szCs w:val="23"/>
                <w:color w:val="666666"/>
                <w:vertAlign w:val="superscript"/>
              </w:rPr>
              <w:t>(6)</w:t>
            </w:r>
          </w:p>
        </w:tc>
        <w:tc>
          <w:tcPr>
            <w:tcW w:w="2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666666"/>
              </w:rPr>
              <w:t>150,013</w:t>
            </w:r>
            <w:r>
              <w:rPr>
                <w:rFonts w:ascii="Arial" w:cs="Arial" w:eastAsia="Arial" w:hAnsi="Arial"/>
                <w:sz w:val="23"/>
                <w:szCs w:val="23"/>
                <w:color w:val="666666"/>
                <w:vertAlign w:val="superscript"/>
              </w:rPr>
              <w:t>(6)</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666666"/>
              </w:rPr>
              <w:t>250,013</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580" w:type="dxa"/>
            <w:vAlign w:val="bottom"/>
          </w:tcPr>
          <w:p>
            <w:pPr>
              <w:spacing w:after="0"/>
              <w:rPr>
                <w:sz w:val="20"/>
                <w:szCs w:val="20"/>
                <w:color w:val="auto"/>
              </w:rPr>
            </w:pPr>
            <w:r>
              <w:rPr>
                <w:rFonts w:ascii="Arial" w:cs="Arial" w:eastAsia="Arial" w:hAnsi="Arial"/>
                <w:sz w:val="14"/>
                <w:szCs w:val="14"/>
                <w:color w:val="666666"/>
              </w:rPr>
              <w:t>Mark E. Gaumond</w:t>
            </w:r>
          </w:p>
        </w:tc>
        <w:tc>
          <w:tcPr>
            <w:tcW w:w="1440" w:type="dxa"/>
            <w:vAlign w:val="bottom"/>
            <w:vMerge w:val="restart"/>
          </w:tcPr>
          <w:p>
            <w:pPr>
              <w:jc w:val="right"/>
              <w:spacing w:after="0"/>
              <w:rPr>
                <w:sz w:val="20"/>
                <w:szCs w:val="20"/>
                <w:color w:val="auto"/>
              </w:rPr>
            </w:pPr>
            <w:r>
              <w:rPr>
                <w:rFonts w:ascii="Arial" w:cs="Arial" w:eastAsia="Arial" w:hAnsi="Arial"/>
                <w:sz w:val="14"/>
                <w:szCs w:val="14"/>
                <w:color w:val="666666"/>
              </w:rPr>
              <w:t>130,000</w:t>
            </w:r>
            <w:r>
              <w:rPr>
                <w:rFonts w:ascii="Arial" w:cs="Arial" w:eastAsia="Arial" w:hAnsi="Arial"/>
                <w:sz w:val="23"/>
                <w:szCs w:val="23"/>
                <w:color w:val="666666"/>
                <w:vertAlign w:val="superscript"/>
              </w:rPr>
              <w:t>(7)</w:t>
            </w:r>
          </w:p>
        </w:tc>
        <w:tc>
          <w:tcPr>
            <w:tcW w:w="2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666666"/>
              </w:rPr>
              <w:t>150,028</w:t>
            </w:r>
            <w:r>
              <w:rPr>
                <w:rFonts w:ascii="Arial" w:cs="Arial" w:eastAsia="Arial" w:hAnsi="Arial"/>
                <w:sz w:val="23"/>
                <w:szCs w:val="23"/>
                <w:color w:val="666666"/>
                <w:vertAlign w:val="superscript"/>
              </w:rPr>
              <w:t>(7)</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666666"/>
              </w:rPr>
              <w:t>280,028</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580" w:type="dxa"/>
            <w:vAlign w:val="bottom"/>
          </w:tcPr>
          <w:p>
            <w:pPr>
              <w:spacing w:after="0"/>
              <w:rPr>
                <w:sz w:val="20"/>
                <w:szCs w:val="20"/>
                <w:color w:val="auto"/>
              </w:rPr>
            </w:pPr>
            <w:r>
              <w:rPr>
                <w:rFonts w:ascii="Arial" w:cs="Arial" w:eastAsia="Arial" w:hAnsi="Arial"/>
                <w:sz w:val="14"/>
                <w:szCs w:val="14"/>
                <w:color w:val="666666"/>
              </w:rPr>
              <w:t>Ellen Jewett</w:t>
            </w:r>
          </w:p>
        </w:tc>
        <w:tc>
          <w:tcPr>
            <w:tcW w:w="1440" w:type="dxa"/>
            <w:vAlign w:val="bottom"/>
            <w:vMerge w:val="restart"/>
          </w:tcPr>
          <w:p>
            <w:pPr>
              <w:jc w:val="right"/>
              <w:spacing w:after="0"/>
              <w:rPr>
                <w:sz w:val="20"/>
                <w:szCs w:val="20"/>
                <w:color w:val="auto"/>
              </w:rPr>
            </w:pPr>
            <w:r>
              <w:rPr>
                <w:rFonts w:ascii="Arial" w:cs="Arial" w:eastAsia="Arial" w:hAnsi="Arial"/>
                <w:sz w:val="14"/>
                <w:szCs w:val="14"/>
                <w:color w:val="666666"/>
              </w:rPr>
              <w:t>100,000</w:t>
            </w:r>
            <w:r>
              <w:rPr>
                <w:rFonts w:ascii="Arial" w:cs="Arial" w:eastAsia="Arial" w:hAnsi="Arial"/>
                <w:sz w:val="23"/>
                <w:szCs w:val="23"/>
                <w:color w:val="666666"/>
                <w:vertAlign w:val="superscript"/>
              </w:rPr>
              <w:t>(8)</w:t>
            </w:r>
          </w:p>
        </w:tc>
        <w:tc>
          <w:tcPr>
            <w:tcW w:w="2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666666"/>
              </w:rPr>
              <w:t>150,035</w:t>
            </w:r>
            <w:r>
              <w:rPr>
                <w:rFonts w:ascii="Arial" w:cs="Arial" w:eastAsia="Arial" w:hAnsi="Arial"/>
                <w:sz w:val="23"/>
                <w:szCs w:val="23"/>
                <w:color w:val="666666"/>
                <w:vertAlign w:val="superscript"/>
              </w:rPr>
              <w:t>(8)</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666666"/>
              </w:rPr>
              <w:t>250,035</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580" w:type="dxa"/>
            <w:vAlign w:val="bottom"/>
          </w:tcPr>
          <w:p>
            <w:pPr>
              <w:spacing w:after="0"/>
              <w:rPr>
                <w:sz w:val="20"/>
                <w:szCs w:val="20"/>
                <w:color w:val="auto"/>
              </w:rPr>
            </w:pPr>
            <w:r>
              <w:rPr>
                <w:rFonts w:ascii="Arial" w:cs="Arial" w:eastAsia="Arial" w:hAnsi="Arial"/>
                <w:sz w:val="14"/>
                <w:szCs w:val="14"/>
                <w:color w:val="666666"/>
              </w:rPr>
              <w:t>Arthur E. Johnson</w:t>
            </w:r>
          </w:p>
        </w:tc>
        <w:tc>
          <w:tcPr>
            <w:tcW w:w="1440" w:type="dxa"/>
            <w:vAlign w:val="bottom"/>
            <w:vMerge w:val="restart"/>
          </w:tcPr>
          <w:p>
            <w:pPr>
              <w:jc w:val="right"/>
              <w:spacing w:after="0"/>
              <w:rPr>
                <w:sz w:val="20"/>
                <w:szCs w:val="20"/>
                <w:color w:val="auto"/>
              </w:rPr>
            </w:pPr>
            <w:r>
              <w:rPr>
                <w:rFonts w:ascii="Arial" w:cs="Arial" w:eastAsia="Arial" w:hAnsi="Arial"/>
                <w:sz w:val="14"/>
                <w:szCs w:val="14"/>
                <w:color w:val="666666"/>
              </w:rPr>
              <w:t>100,000</w:t>
            </w:r>
            <w:r>
              <w:rPr>
                <w:rFonts w:ascii="Arial" w:cs="Arial" w:eastAsia="Arial" w:hAnsi="Arial"/>
                <w:sz w:val="23"/>
                <w:szCs w:val="23"/>
                <w:color w:val="666666"/>
                <w:vertAlign w:val="superscript"/>
              </w:rPr>
              <w:t>(9)</w:t>
            </w:r>
          </w:p>
        </w:tc>
        <w:tc>
          <w:tcPr>
            <w:tcW w:w="2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666666"/>
              </w:rPr>
              <w:t>150,035</w:t>
            </w:r>
            <w:r>
              <w:rPr>
                <w:rFonts w:ascii="Arial" w:cs="Arial" w:eastAsia="Arial" w:hAnsi="Arial"/>
                <w:sz w:val="23"/>
                <w:szCs w:val="23"/>
                <w:color w:val="666666"/>
                <w:vertAlign w:val="superscript"/>
              </w:rPr>
              <w:t>(9)</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666666"/>
              </w:rPr>
              <w:t>250,035</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580" w:type="dxa"/>
            <w:vAlign w:val="bottom"/>
          </w:tcPr>
          <w:p>
            <w:pPr>
              <w:spacing w:after="0"/>
              <w:rPr>
                <w:sz w:val="20"/>
                <w:szCs w:val="20"/>
                <w:color w:val="auto"/>
              </w:rPr>
            </w:pPr>
            <w:r>
              <w:rPr>
                <w:rFonts w:ascii="Arial" w:cs="Arial" w:eastAsia="Arial" w:hAnsi="Arial"/>
                <w:sz w:val="14"/>
                <w:szCs w:val="14"/>
                <w:color w:val="666666"/>
              </w:rPr>
              <w:t>Gretchen W. McClain</w:t>
            </w:r>
          </w:p>
        </w:tc>
        <w:tc>
          <w:tcPr>
            <w:tcW w:w="1440" w:type="dxa"/>
            <w:vAlign w:val="bottom"/>
            <w:vMerge w:val="restart"/>
          </w:tcPr>
          <w:p>
            <w:pPr>
              <w:jc w:val="right"/>
              <w:spacing w:after="0"/>
              <w:rPr>
                <w:sz w:val="20"/>
                <w:szCs w:val="20"/>
                <w:color w:val="auto"/>
              </w:rPr>
            </w:pPr>
            <w:r>
              <w:rPr>
                <w:rFonts w:ascii="Arial" w:cs="Arial" w:eastAsia="Arial" w:hAnsi="Arial"/>
                <w:sz w:val="14"/>
                <w:szCs w:val="14"/>
                <w:color w:val="666666"/>
              </w:rPr>
              <w:t>115,000</w:t>
            </w:r>
            <w:r>
              <w:rPr>
                <w:rFonts w:ascii="Arial" w:cs="Arial" w:eastAsia="Arial" w:hAnsi="Arial"/>
                <w:sz w:val="23"/>
                <w:szCs w:val="23"/>
                <w:color w:val="666666"/>
                <w:vertAlign w:val="superscript"/>
              </w:rPr>
              <w:t>(10)</w:t>
            </w:r>
          </w:p>
        </w:tc>
        <w:tc>
          <w:tcPr>
            <w:tcW w:w="2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666666"/>
              </w:rPr>
              <w:t>150,066</w:t>
            </w:r>
            <w:r>
              <w:rPr>
                <w:rFonts w:ascii="Arial" w:cs="Arial" w:eastAsia="Arial" w:hAnsi="Arial"/>
                <w:sz w:val="23"/>
                <w:szCs w:val="23"/>
                <w:color w:val="666666"/>
                <w:vertAlign w:val="superscript"/>
              </w:rPr>
              <w:t>(10)</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666666"/>
              </w:rPr>
              <w:t>265,066</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580" w:type="dxa"/>
            <w:vAlign w:val="bottom"/>
          </w:tcPr>
          <w:p>
            <w:pPr>
              <w:spacing w:after="0"/>
              <w:rPr>
                <w:sz w:val="20"/>
                <w:szCs w:val="20"/>
                <w:color w:val="auto"/>
              </w:rPr>
            </w:pPr>
            <w:r>
              <w:rPr>
                <w:rFonts w:ascii="Arial" w:cs="Arial" w:eastAsia="Arial" w:hAnsi="Arial"/>
                <w:sz w:val="14"/>
                <w:szCs w:val="14"/>
                <w:color w:val="666666"/>
              </w:rPr>
              <w:t>Charles O. Rossotti</w:t>
            </w:r>
          </w:p>
        </w:tc>
        <w:tc>
          <w:tcPr>
            <w:tcW w:w="1440" w:type="dxa"/>
            <w:vAlign w:val="bottom"/>
            <w:vMerge w:val="restart"/>
          </w:tcPr>
          <w:p>
            <w:pPr>
              <w:jc w:val="right"/>
              <w:spacing w:after="0"/>
              <w:rPr>
                <w:sz w:val="20"/>
                <w:szCs w:val="20"/>
                <w:color w:val="auto"/>
              </w:rPr>
            </w:pPr>
            <w:r>
              <w:rPr>
                <w:rFonts w:ascii="Arial" w:cs="Arial" w:eastAsia="Arial" w:hAnsi="Arial"/>
                <w:sz w:val="14"/>
                <w:szCs w:val="14"/>
                <w:color w:val="666666"/>
              </w:rPr>
              <w:t>100,000</w:t>
            </w:r>
            <w:r>
              <w:rPr>
                <w:rFonts w:ascii="Arial" w:cs="Arial" w:eastAsia="Arial" w:hAnsi="Arial"/>
                <w:sz w:val="23"/>
                <w:szCs w:val="23"/>
                <w:color w:val="666666"/>
                <w:vertAlign w:val="superscript"/>
              </w:rPr>
              <w:t>(11)</w:t>
            </w:r>
          </w:p>
        </w:tc>
        <w:tc>
          <w:tcPr>
            <w:tcW w:w="2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666666"/>
              </w:rPr>
              <w:t>150,013</w:t>
            </w:r>
            <w:r>
              <w:rPr>
                <w:rFonts w:ascii="Arial" w:cs="Arial" w:eastAsia="Arial" w:hAnsi="Arial"/>
                <w:sz w:val="23"/>
                <w:szCs w:val="23"/>
                <w:color w:val="666666"/>
                <w:vertAlign w:val="superscript"/>
              </w:rPr>
              <w:t>(11)</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666666"/>
              </w:rPr>
              <w:t>250,013</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580" w:type="dxa"/>
            <w:vAlign w:val="bottom"/>
          </w:tcPr>
          <w:p>
            <w:pPr>
              <w:spacing w:after="0"/>
              <w:rPr>
                <w:sz w:val="20"/>
                <w:szCs w:val="20"/>
                <w:color w:val="auto"/>
              </w:rPr>
            </w:pPr>
            <w:r>
              <w:rPr>
                <w:rFonts w:ascii="Arial" w:cs="Arial" w:eastAsia="Arial" w:hAnsi="Arial"/>
                <w:sz w:val="14"/>
                <w:szCs w:val="14"/>
                <w:color w:val="666666"/>
              </w:rPr>
              <w:t>Ralph W. Shrader</w:t>
            </w:r>
          </w:p>
        </w:tc>
        <w:tc>
          <w:tcPr>
            <w:tcW w:w="1440" w:type="dxa"/>
            <w:vAlign w:val="bottom"/>
            <w:vMerge w:val="restart"/>
          </w:tcPr>
          <w:p>
            <w:pPr>
              <w:jc w:val="right"/>
              <w:spacing w:after="0"/>
              <w:rPr>
                <w:sz w:val="20"/>
                <w:szCs w:val="20"/>
                <w:color w:val="auto"/>
              </w:rPr>
            </w:pPr>
            <w:r>
              <w:rPr>
                <w:rFonts w:ascii="Arial" w:cs="Arial" w:eastAsia="Arial" w:hAnsi="Arial"/>
                <w:sz w:val="14"/>
                <w:szCs w:val="14"/>
                <w:color w:val="666666"/>
              </w:rPr>
              <w:t>300,000</w:t>
            </w:r>
            <w:r>
              <w:rPr>
                <w:rFonts w:ascii="Arial" w:cs="Arial" w:eastAsia="Arial" w:hAnsi="Arial"/>
                <w:sz w:val="23"/>
                <w:szCs w:val="23"/>
                <w:color w:val="666666"/>
                <w:vertAlign w:val="superscript"/>
              </w:rPr>
              <w:t>(12)</w:t>
            </w:r>
          </w:p>
        </w:tc>
        <w:tc>
          <w:tcPr>
            <w:tcW w:w="2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666666"/>
              </w:rPr>
              <w:t>150,035</w:t>
            </w:r>
            <w:r>
              <w:rPr>
                <w:rFonts w:ascii="Arial" w:cs="Arial" w:eastAsia="Arial" w:hAnsi="Arial"/>
                <w:sz w:val="23"/>
                <w:szCs w:val="23"/>
                <w:color w:val="666666"/>
                <w:vertAlign w:val="superscript"/>
              </w:rPr>
              <w:t>(12)</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666666"/>
              </w:rPr>
              <w:t>450,035</w:t>
            </w:r>
          </w:p>
        </w:tc>
        <w:tc>
          <w:tcPr>
            <w:tcW w:w="0" w:type="dxa"/>
            <w:vAlign w:val="bottom"/>
          </w:tcPr>
          <w:p>
            <w:pPr>
              <w:spacing w:after="0"/>
              <w:rPr>
                <w:sz w:val="1"/>
                <w:szCs w:val="1"/>
                <w:color w:val="auto"/>
              </w:rPr>
            </w:pPr>
          </w:p>
        </w:tc>
      </w:tr>
      <w:tr>
        <w:trPr>
          <w:trHeight w:val="184"/>
        </w:trPr>
        <w:tc>
          <w:tcPr>
            <w:tcW w:w="25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440" w:hanging="410"/>
        <w:spacing w:after="0" w:line="244" w:lineRule="auto"/>
        <w:tabs>
          <w:tab w:leader="none" w:pos="440" w:val="left"/>
        </w:tabs>
        <w:numPr>
          <w:ilvl w:val="1"/>
          <w:numId w:val="20"/>
        </w:numPr>
        <w:rPr>
          <w:rFonts w:ascii="Arial" w:cs="Arial" w:eastAsia="Arial" w:hAnsi="Arial"/>
          <w:sz w:val="14"/>
          <w:szCs w:val="14"/>
          <w:color w:val="666666"/>
        </w:rPr>
      </w:pPr>
      <w:r>
        <w:rPr>
          <w:rFonts w:ascii="Arial" w:cs="Arial" w:eastAsia="Arial" w:hAnsi="Arial"/>
          <w:sz w:val="14"/>
          <w:szCs w:val="14"/>
          <w:color w:val="666666"/>
        </w:rPr>
        <w:t>This column represents the grant date fair value of the stock awards granted to our directors in fiscal year 2020. Where the stock awards were the result of voluntary elections to receive cash retainers in stock, the value reflected in the Stock Awards column represents only the excess of the fair market value of the stock awards over the cash retainer amount paid if in the form of stock. The aggregate fair value of the awards was computed in accordance with FASB ASC Topic 718 using the valuation methodology and assumptions set forth in Note 19 to our financial statements for the fiscal year ended March 31, 2020, which are incorporated by reference herein, modified to exclude any forfeiture assumptions related to service-based vesting conditions. The amounts in this column do not reflect the value, if any, that ultimately may be realized by the director.</w:t>
      </w:r>
    </w:p>
    <w:p>
      <w:pPr>
        <w:spacing w:after="0" w:line="97" w:lineRule="exact"/>
        <w:rPr>
          <w:rFonts w:ascii="Arial" w:cs="Arial" w:eastAsia="Arial" w:hAnsi="Arial"/>
          <w:sz w:val="14"/>
          <w:szCs w:val="14"/>
          <w:color w:val="666666"/>
        </w:rPr>
      </w:pPr>
    </w:p>
    <w:p>
      <w:pPr>
        <w:ind w:left="720" w:right="20" w:hanging="717"/>
        <w:spacing w:after="0" w:line="249" w:lineRule="auto"/>
        <w:tabs>
          <w:tab w:leader="none" w:pos="415" w:val="left"/>
        </w:tabs>
        <w:numPr>
          <w:ilvl w:val="0"/>
          <w:numId w:val="21"/>
        </w:numPr>
        <w:rPr>
          <w:rFonts w:ascii="Arial" w:cs="Arial" w:eastAsia="Arial" w:hAnsi="Arial"/>
          <w:sz w:val="14"/>
          <w:szCs w:val="14"/>
          <w:color w:val="666666"/>
        </w:rPr>
      </w:pPr>
      <w:r>
        <w:rPr>
          <w:rFonts w:ascii="Arial" w:cs="Arial" w:eastAsia="Arial" w:hAnsi="Arial"/>
          <w:sz w:val="14"/>
          <w:szCs w:val="14"/>
          <w:color w:val="666666"/>
        </w:rPr>
        <w:t>Ms. Amble elected to receive her annual retainer in the form of restricted stock, and was granted a total of 3,626 shares of restricted stock in lieu of the annual retainer and for her annual equity grant. The grant date fair market value of the shares was $250,013, based on the $68.95 closing price of our stock on the August 1, 2019 grant date.</w:t>
      </w:r>
    </w:p>
    <w:p>
      <w:pPr>
        <w:spacing w:after="0" w:line="92" w:lineRule="exact"/>
        <w:rPr>
          <w:rFonts w:ascii="Arial" w:cs="Arial" w:eastAsia="Arial" w:hAnsi="Arial"/>
          <w:sz w:val="14"/>
          <w:szCs w:val="14"/>
          <w:color w:val="666666"/>
        </w:rPr>
      </w:pPr>
    </w:p>
    <w:p>
      <w:pPr>
        <w:ind w:left="400" w:hanging="397"/>
        <w:spacing w:after="0" w:line="258" w:lineRule="auto"/>
        <w:tabs>
          <w:tab w:leader="none" w:pos="400" w:val="left"/>
        </w:tabs>
        <w:numPr>
          <w:ilvl w:val="0"/>
          <w:numId w:val="21"/>
        </w:numPr>
        <w:rPr>
          <w:rFonts w:ascii="Arial" w:cs="Arial" w:eastAsia="Arial" w:hAnsi="Arial"/>
          <w:sz w:val="14"/>
          <w:szCs w:val="14"/>
          <w:color w:val="666666"/>
        </w:rPr>
      </w:pPr>
      <w:r>
        <w:rPr>
          <w:rFonts w:ascii="Arial" w:cs="Arial" w:eastAsia="Arial" w:hAnsi="Arial"/>
          <w:sz w:val="14"/>
          <w:szCs w:val="14"/>
          <w:color w:val="666666"/>
        </w:rPr>
        <w:t>Ms. Barnes elected to receive her annual retainer in the form of cash, and was granted a total of 2,176 shares of restricted stock for her annual equity grant. The grant date fair market value of the shares was $150,035, based on the $68.95 closing price of our stock on the August 1, 2019 grant date.</w:t>
      </w:r>
    </w:p>
    <w:p>
      <w:pPr>
        <w:spacing w:after="0" w:line="85" w:lineRule="exact"/>
        <w:rPr>
          <w:rFonts w:ascii="Arial" w:cs="Arial" w:eastAsia="Arial" w:hAnsi="Arial"/>
          <w:sz w:val="14"/>
          <w:szCs w:val="14"/>
          <w:color w:val="666666"/>
        </w:rPr>
      </w:pPr>
    </w:p>
    <w:p>
      <w:pPr>
        <w:jc w:val="both"/>
        <w:ind w:left="400" w:hanging="397"/>
        <w:spacing w:after="0" w:line="253" w:lineRule="auto"/>
        <w:tabs>
          <w:tab w:leader="none" w:pos="400" w:val="left"/>
        </w:tabs>
        <w:numPr>
          <w:ilvl w:val="0"/>
          <w:numId w:val="21"/>
        </w:numPr>
        <w:rPr>
          <w:rFonts w:ascii="Arial" w:cs="Arial" w:eastAsia="Arial" w:hAnsi="Arial"/>
          <w:sz w:val="14"/>
          <w:szCs w:val="14"/>
          <w:color w:val="666666"/>
        </w:rPr>
      </w:pPr>
      <w:r>
        <w:rPr>
          <w:rFonts w:ascii="Arial" w:cs="Arial" w:eastAsia="Arial" w:hAnsi="Arial"/>
          <w:sz w:val="14"/>
          <w:szCs w:val="14"/>
          <w:color w:val="666666"/>
        </w:rPr>
        <w:t>Mr. Clare elected to receive his annual retainer in the form of restricted stock, and was granted a total of 3,626 shares of restricted stock in lieu of his annual retainer and for his annual equity grant. The grant date fair market value of the shares was $250,013, based on the $68.95 closing price of our stock on the August 1, 2019 grant date.</w:t>
      </w:r>
    </w:p>
    <w:p>
      <w:pPr>
        <w:spacing w:after="0" w:line="254" w:lineRule="exact"/>
        <w:rPr>
          <w:rFonts w:ascii="Arial" w:cs="Arial" w:eastAsia="Arial" w:hAnsi="Arial"/>
          <w:sz w:val="14"/>
          <w:szCs w:val="14"/>
          <w:color w:val="666666"/>
        </w:rPr>
      </w:pPr>
    </w:p>
    <w:p>
      <w:pPr>
        <w:ind w:left="400" w:hanging="397"/>
        <w:spacing w:after="0" w:line="258" w:lineRule="auto"/>
        <w:tabs>
          <w:tab w:leader="none" w:pos="400" w:val="left"/>
        </w:tabs>
        <w:numPr>
          <w:ilvl w:val="0"/>
          <w:numId w:val="21"/>
        </w:numPr>
        <w:rPr>
          <w:rFonts w:ascii="Arial" w:cs="Arial" w:eastAsia="Arial" w:hAnsi="Arial"/>
          <w:sz w:val="14"/>
          <w:szCs w:val="14"/>
          <w:color w:val="666666"/>
        </w:rPr>
      </w:pPr>
      <w:r>
        <w:rPr>
          <w:rFonts w:ascii="Arial" w:cs="Arial" w:eastAsia="Arial" w:hAnsi="Arial"/>
          <w:sz w:val="14"/>
          <w:szCs w:val="14"/>
          <w:color w:val="666666"/>
        </w:rPr>
        <w:t>Ms. Flournoy elected to receive her annual retainer in the form of cash, and was granted a total of 2,176 shares of restricted stock for her annual equity grant. The grant date fair market value of the shares was $150,035 based on the $68.95 closing price of our stock on the August 1, 2019 grant date.</w:t>
      </w:r>
    </w:p>
    <w:p>
      <w:pPr>
        <w:spacing w:after="0" w:line="85" w:lineRule="exact"/>
        <w:rPr>
          <w:rFonts w:ascii="Arial" w:cs="Arial" w:eastAsia="Arial" w:hAnsi="Arial"/>
          <w:sz w:val="14"/>
          <w:szCs w:val="14"/>
          <w:color w:val="666666"/>
        </w:rPr>
      </w:pPr>
    </w:p>
    <w:p>
      <w:pPr>
        <w:jc w:val="both"/>
        <w:ind w:left="400" w:hanging="397"/>
        <w:spacing w:after="0" w:line="253" w:lineRule="auto"/>
        <w:tabs>
          <w:tab w:leader="none" w:pos="400" w:val="left"/>
        </w:tabs>
        <w:numPr>
          <w:ilvl w:val="0"/>
          <w:numId w:val="21"/>
        </w:numPr>
        <w:rPr>
          <w:rFonts w:ascii="Arial" w:cs="Arial" w:eastAsia="Arial" w:hAnsi="Arial"/>
          <w:sz w:val="14"/>
          <w:szCs w:val="14"/>
          <w:color w:val="666666"/>
        </w:rPr>
      </w:pPr>
      <w:r>
        <w:rPr>
          <w:rFonts w:ascii="Arial" w:cs="Arial" w:eastAsia="Arial" w:hAnsi="Arial"/>
          <w:sz w:val="14"/>
          <w:szCs w:val="14"/>
          <w:color w:val="666666"/>
        </w:rPr>
        <w:t>Mr. Fujiyama elected to receive his annual retainer in the form of restricted stock, and was granted a total of 3,626 shares of restricted stock in lieu of his annual retainer and for his annual equity grant. The grant date fair market value of the shares was $250,013, based on the $68.95 closing price of our stock on the August 1, 2019 grant date.</w:t>
      </w:r>
    </w:p>
    <w:p>
      <w:pPr>
        <w:spacing w:after="0" w:line="254" w:lineRule="exact"/>
        <w:rPr>
          <w:rFonts w:ascii="Arial" w:cs="Arial" w:eastAsia="Arial" w:hAnsi="Arial"/>
          <w:sz w:val="14"/>
          <w:szCs w:val="14"/>
          <w:color w:val="666666"/>
        </w:rPr>
      </w:pPr>
    </w:p>
    <w:p>
      <w:pPr>
        <w:jc w:val="both"/>
        <w:ind w:left="400" w:hanging="397"/>
        <w:spacing w:after="0" w:line="249" w:lineRule="auto"/>
        <w:tabs>
          <w:tab w:leader="none" w:pos="400" w:val="left"/>
        </w:tabs>
        <w:numPr>
          <w:ilvl w:val="0"/>
          <w:numId w:val="21"/>
        </w:numPr>
        <w:rPr>
          <w:rFonts w:ascii="Arial" w:cs="Arial" w:eastAsia="Arial" w:hAnsi="Arial"/>
          <w:sz w:val="14"/>
          <w:szCs w:val="14"/>
          <w:color w:val="666666"/>
        </w:rPr>
      </w:pPr>
      <w:r>
        <w:rPr>
          <w:rFonts w:ascii="Arial" w:cs="Arial" w:eastAsia="Arial" w:hAnsi="Arial"/>
          <w:sz w:val="14"/>
          <w:szCs w:val="14"/>
          <w:color w:val="666666"/>
        </w:rPr>
        <w:t>Mr. Gaumond elected to receive his annual retainer in the form of cash and his additional payment for service as the chair of the Audit Committee in the form of restricted stock, and was awarded a total of 2,611 shares of restricted stock in lieu of $30,000 for the chair retainer and for his annual equity grant. The grant date fair market value of the shares was $180,028, based on the $68.95 closing price of our stock on the August 1, 2019 grant date.</w:t>
      </w:r>
    </w:p>
    <w:p>
      <w:pPr>
        <w:spacing w:after="0" w:line="92" w:lineRule="exact"/>
        <w:rPr>
          <w:rFonts w:ascii="Arial" w:cs="Arial" w:eastAsia="Arial" w:hAnsi="Arial"/>
          <w:sz w:val="14"/>
          <w:szCs w:val="14"/>
          <w:color w:val="666666"/>
        </w:rPr>
      </w:pPr>
    </w:p>
    <w:p>
      <w:pPr>
        <w:ind w:left="400" w:hanging="397"/>
        <w:spacing w:after="0" w:line="258" w:lineRule="auto"/>
        <w:tabs>
          <w:tab w:leader="none" w:pos="400" w:val="left"/>
        </w:tabs>
        <w:numPr>
          <w:ilvl w:val="0"/>
          <w:numId w:val="21"/>
        </w:numPr>
        <w:rPr>
          <w:rFonts w:ascii="Arial" w:cs="Arial" w:eastAsia="Arial" w:hAnsi="Arial"/>
          <w:sz w:val="14"/>
          <w:szCs w:val="14"/>
          <w:color w:val="666666"/>
        </w:rPr>
      </w:pPr>
      <w:r>
        <w:rPr>
          <w:rFonts w:ascii="Arial" w:cs="Arial" w:eastAsia="Arial" w:hAnsi="Arial"/>
          <w:sz w:val="14"/>
          <w:szCs w:val="14"/>
          <w:color w:val="666666"/>
        </w:rPr>
        <w:t>Ms. Jewett elected to receive her pro-rated annual retainer in the form of cash, and was granted a total of 2,176 shares of restricted stock for her annual equity grant. The grant date fair market value of the shares was $150,035, based on the $68.95 closing price of our stock on the August 1, 2019 grant date.</w:t>
      </w:r>
    </w:p>
    <w:p>
      <w:pPr>
        <w:spacing w:after="0" w:line="85" w:lineRule="exact"/>
        <w:rPr>
          <w:rFonts w:ascii="Arial" w:cs="Arial" w:eastAsia="Arial" w:hAnsi="Arial"/>
          <w:sz w:val="14"/>
          <w:szCs w:val="14"/>
          <w:color w:val="666666"/>
        </w:rPr>
      </w:pPr>
    </w:p>
    <w:p>
      <w:pPr>
        <w:ind w:left="400" w:hanging="397"/>
        <w:spacing w:after="0" w:line="258" w:lineRule="auto"/>
        <w:tabs>
          <w:tab w:leader="none" w:pos="400" w:val="left"/>
        </w:tabs>
        <w:numPr>
          <w:ilvl w:val="0"/>
          <w:numId w:val="21"/>
        </w:numPr>
        <w:rPr>
          <w:rFonts w:ascii="Arial" w:cs="Arial" w:eastAsia="Arial" w:hAnsi="Arial"/>
          <w:sz w:val="14"/>
          <w:szCs w:val="14"/>
          <w:color w:val="666666"/>
        </w:rPr>
      </w:pPr>
      <w:r>
        <w:rPr>
          <w:rFonts w:ascii="Arial" w:cs="Arial" w:eastAsia="Arial" w:hAnsi="Arial"/>
          <w:sz w:val="14"/>
          <w:szCs w:val="14"/>
          <w:color w:val="666666"/>
        </w:rPr>
        <w:t>Mr. Johnson elected to receive his annual retainer in the form of cash, and was awarded 2,176 shares of restricted stock for his annual equity grant. The grant date fair market value of the shares was $150,035, based on the $68.95 closing price of our stock on the August 1, 2019 grant date.</w:t>
      </w:r>
    </w:p>
    <w:p>
      <w:pPr>
        <w:spacing w:after="0" w:line="85" w:lineRule="exact"/>
        <w:rPr>
          <w:rFonts w:ascii="Arial" w:cs="Arial" w:eastAsia="Arial" w:hAnsi="Arial"/>
          <w:sz w:val="14"/>
          <w:szCs w:val="14"/>
          <w:color w:val="666666"/>
        </w:rPr>
      </w:pPr>
    </w:p>
    <w:p>
      <w:pPr>
        <w:jc w:val="both"/>
        <w:ind w:left="400" w:hanging="397"/>
        <w:spacing w:after="0" w:line="249" w:lineRule="auto"/>
        <w:tabs>
          <w:tab w:leader="none" w:pos="400" w:val="left"/>
        </w:tabs>
        <w:numPr>
          <w:ilvl w:val="0"/>
          <w:numId w:val="21"/>
        </w:numPr>
        <w:rPr>
          <w:rFonts w:ascii="Arial" w:cs="Arial" w:eastAsia="Arial" w:hAnsi="Arial"/>
          <w:sz w:val="14"/>
          <w:szCs w:val="14"/>
          <w:color w:val="666666"/>
        </w:rPr>
      </w:pPr>
      <w:r>
        <w:rPr>
          <w:rFonts w:ascii="Arial" w:cs="Arial" w:eastAsia="Arial" w:hAnsi="Arial"/>
          <w:sz w:val="14"/>
          <w:szCs w:val="14"/>
          <w:color w:val="666666"/>
        </w:rPr>
        <w:t>Ms. McClain elected to receive her annual retainer in the form of cash and her additional payment for service as the chair of the Compensation Committee in the form of restricted stock. She was awarded a total of 2,394 shares of restricted stock in lieu of $15,000 for the chair retainer and for her annual equity grant. The grant date fair market value of the shares was $165,066, based on the $68.95 closing price of our stock on the August 1, 2019 grant date.</w:t>
      </w:r>
    </w:p>
    <w:p>
      <w:pPr>
        <w:spacing w:after="0" w:line="92" w:lineRule="exact"/>
        <w:rPr>
          <w:rFonts w:ascii="Arial" w:cs="Arial" w:eastAsia="Arial" w:hAnsi="Arial"/>
          <w:sz w:val="14"/>
          <w:szCs w:val="14"/>
          <w:color w:val="666666"/>
        </w:rPr>
      </w:pPr>
    </w:p>
    <w:p>
      <w:pPr>
        <w:jc w:val="both"/>
        <w:ind w:left="400" w:hanging="397"/>
        <w:spacing w:after="0" w:line="253" w:lineRule="auto"/>
        <w:tabs>
          <w:tab w:leader="none" w:pos="400" w:val="left"/>
        </w:tabs>
        <w:numPr>
          <w:ilvl w:val="0"/>
          <w:numId w:val="21"/>
        </w:numPr>
        <w:rPr>
          <w:rFonts w:ascii="Arial" w:cs="Arial" w:eastAsia="Arial" w:hAnsi="Arial"/>
          <w:sz w:val="14"/>
          <w:szCs w:val="14"/>
          <w:color w:val="666666"/>
        </w:rPr>
      </w:pPr>
      <w:r>
        <w:rPr>
          <w:rFonts w:ascii="Arial" w:cs="Arial" w:eastAsia="Arial" w:hAnsi="Arial"/>
          <w:sz w:val="14"/>
          <w:szCs w:val="14"/>
          <w:color w:val="666666"/>
        </w:rPr>
        <w:t>Mr. Rossotti elected to receive his annual retainer in the form of restricted stock, and was granted a total of 3,626 shares of restricted stock in lieu of the annual retainer and for his annual equity grant. The grant date fair market value of the shares was $250,013, based on the $68.95 closing price of our stock on the August 1, 2019 grant date.</w:t>
      </w:r>
    </w:p>
    <w:p>
      <w:pPr>
        <w:spacing w:after="0" w:line="254" w:lineRule="exact"/>
        <w:rPr>
          <w:rFonts w:ascii="Arial" w:cs="Arial" w:eastAsia="Arial" w:hAnsi="Arial"/>
          <w:sz w:val="14"/>
          <w:szCs w:val="14"/>
          <w:color w:val="666666"/>
        </w:rPr>
      </w:pPr>
    </w:p>
    <w:p>
      <w:pPr>
        <w:ind w:left="400" w:hanging="397"/>
        <w:spacing w:after="0" w:line="258" w:lineRule="auto"/>
        <w:tabs>
          <w:tab w:leader="none" w:pos="400" w:val="left"/>
        </w:tabs>
        <w:numPr>
          <w:ilvl w:val="0"/>
          <w:numId w:val="21"/>
        </w:numPr>
        <w:rPr>
          <w:rFonts w:ascii="Arial" w:cs="Arial" w:eastAsia="Arial" w:hAnsi="Arial"/>
          <w:sz w:val="14"/>
          <w:szCs w:val="14"/>
          <w:color w:val="666666"/>
        </w:rPr>
      </w:pPr>
      <w:r>
        <w:rPr>
          <w:rFonts w:ascii="Arial" w:cs="Arial" w:eastAsia="Arial" w:hAnsi="Arial"/>
          <w:sz w:val="14"/>
          <w:szCs w:val="14"/>
          <w:color w:val="666666"/>
        </w:rPr>
        <w:t>Dr. Shrader elected to receive his annual retainer as Chair in the form of cash, and was awarded 2,176 shares of restricted stock for his annual equity grant. The grant date fair market value of the shares was $150,035, based on the $68.95 closing price of our stock on the August 1, 2019 grant date.</w:t>
      </w:r>
    </w:p>
    <w:p>
      <w:pPr>
        <w:spacing w:after="0" w:line="85" w:lineRule="exact"/>
        <w:rPr>
          <w:rFonts w:ascii="Arial" w:cs="Arial" w:eastAsia="Arial" w:hAnsi="Arial"/>
          <w:sz w:val="14"/>
          <w:szCs w:val="14"/>
          <w:color w:val="666666"/>
        </w:rPr>
      </w:pPr>
    </w:p>
    <w:p>
      <w:pPr>
        <w:ind w:left="400" w:hanging="397"/>
        <w:spacing w:after="0"/>
        <w:tabs>
          <w:tab w:leader="none" w:pos="400" w:val="left"/>
        </w:tabs>
        <w:numPr>
          <w:ilvl w:val="0"/>
          <w:numId w:val="21"/>
        </w:numPr>
        <w:rPr>
          <w:rFonts w:ascii="Arial" w:cs="Arial" w:eastAsia="Arial" w:hAnsi="Arial"/>
          <w:sz w:val="14"/>
          <w:szCs w:val="14"/>
          <w:color w:val="666666"/>
        </w:rPr>
      </w:pPr>
      <w:r>
        <w:rPr>
          <w:rFonts w:ascii="Arial" w:cs="Arial" w:eastAsia="Arial" w:hAnsi="Arial"/>
          <w:sz w:val="14"/>
          <w:szCs w:val="14"/>
          <w:color w:val="666666"/>
        </w:rPr>
        <w:t>The following table sets forth the aggregate number of equity awards outstanding at the end of fiscal year 2020.</w:t>
      </w:r>
    </w:p>
    <w:p>
      <w:pPr>
        <w:spacing w:after="0" w:line="200" w:lineRule="exact"/>
        <w:rPr>
          <w:sz w:val="20"/>
          <w:szCs w:val="20"/>
          <w:color w:val="auto"/>
        </w:rPr>
      </w:pPr>
    </w:p>
    <w:p>
      <w:pPr>
        <w:spacing w:after="0" w:line="38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666666"/>
        </w:rPr>
        <w:t>19</w:t>
      </w:r>
    </w:p>
    <w:p>
      <w:pPr>
        <w:sectPr>
          <w:pgSz w:w="11900" w:h="16838" w:orient="portrait"/>
          <w:cols w:equalWidth="0" w:num="1">
            <w:col w:w="11100"/>
          </w:cols>
          <w:pgMar w:left="460" w:top="490" w:right="339" w:bottom="1440" w:gutter="0" w:footer="0" w:header="0"/>
        </w:sectPr>
      </w:pPr>
    </w:p>
    <w:bookmarkStart w:id="28" w:name="page29"/>
    <w:bookmarkEnd w:id="28"/>
    <w:p>
      <w:pPr>
        <w:ind w:left="3689"/>
        <w:spacing w:after="0"/>
        <w:rPr>
          <w:sz w:val="20"/>
          <w:szCs w:val="20"/>
          <w:color w:val="auto"/>
        </w:rPr>
      </w:pPr>
      <w:r>
        <w:rPr>
          <w:rFonts w:ascii="Arial" w:cs="Arial" w:eastAsia="Arial" w:hAnsi="Arial"/>
          <w:sz w:val="18"/>
          <w:szCs w:val="18"/>
          <w:b w:val="1"/>
          <w:bCs w:val="1"/>
          <w:i w:val="1"/>
          <w:iCs w:val="1"/>
          <w:color w:val="547BCC"/>
        </w:rPr>
        <w:t>Equity Awards for Service as a Director</w:t>
      </w:r>
    </w:p>
    <w:p>
      <w:pPr>
        <w:spacing w:after="0" w:line="397" w:lineRule="exact"/>
        <w:rPr>
          <w:sz w:val="20"/>
          <w:szCs w:val="20"/>
          <w:color w:val="auto"/>
        </w:rPr>
      </w:pPr>
    </w:p>
    <w:tbl>
      <w:tblPr>
        <w:tblLayout w:type="fixed"/>
        <w:tblInd w:w="3029"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666666"/>
              </w:rPr>
              <w:t>Unvested Restricted</w:t>
            </w:r>
          </w:p>
        </w:tc>
      </w:tr>
      <w:tr>
        <w:trPr>
          <w:trHeight w:val="196"/>
        </w:trPr>
        <w:tc>
          <w:tcPr>
            <w:tcW w:w="2860" w:type="dxa"/>
            <w:vAlign w:val="bottom"/>
            <w:tcBorders>
              <w:bottom w:val="single" w:sz="8" w:color="666666"/>
            </w:tcBorders>
          </w:tcPr>
          <w:p>
            <w:pPr>
              <w:ind w:left="1240"/>
              <w:spacing w:after="0"/>
              <w:rPr>
                <w:sz w:val="20"/>
                <w:szCs w:val="20"/>
                <w:color w:val="auto"/>
              </w:rPr>
            </w:pPr>
            <w:r>
              <w:rPr>
                <w:rFonts w:ascii="Arial" w:cs="Arial" w:eastAsia="Arial" w:hAnsi="Arial"/>
                <w:sz w:val="14"/>
                <w:szCs w:val="14"/>
                <w:b w:val="1"/>
                <w:bCs w:val="1"/>
                <w:color w:val="666666"/>
              </w:rPr>
              <w:t>Name</w:t>
            </w:r>
          </w:p>
        </w:tc>
        <w:tc>
          <w:tcPr>
            <w:tcW w:w="220" w:type="dxa"/>
            <w:vAlign w:val="bottom"/>
          </w:tcPr>
          <w:p>
            <w:pPr>
              <w:spacing w:after="0"/>
              <w:rPr>
                <w:sz w:val="17"/>
                <w:szCs w:val="17"/>
                <w:color w:val="auto"/>
              </w:rPr>
            </w:pPr>
          </w:p>
        </w:tc>
        <w:tc>
          <w:tcPr>
            <w:tcW w:w="16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b w:val="1"/>
                <w:bCs w:val="1"/>
                <w:color w:val="666666"/>
              </w:rPr>
              <w:t>Stock(a)</w:t>
            </w:r>
          </w:p>
        </w:tc>
      </w:tr>
      <w:tr>
        <w:trPr>
          <w:trHeight w:val="244"/>
        </w:trPr>
        <w:tc>
          <w:tcPr>
            <w:tcW w:w="3080" w:type="dxa"/>
            <w:vAlign w:val="bottom"/>
            <w:gridSpan w:val="2"/>
          </w:tcPr>
          <w:p>
            <w:pPr>
              <w:ind w:left="20"/>
              <w:spacing w:after="0"/>
              <w:rPr>
                <w:sz w:val="20"/>
                <w:szCs w:val="20"/>
                <w:color w:val="auto"/>
              </w:rPr>
            </w:pPr>
            <w:r>
              <w:rPr>
                <w:rFonts w:ascii="Arial" w:cs="Arial" w:eastAsia="Arial" w:hAnsi="Arial"/>
                <w:sz w:val="14"/>
                <w:szCs w:val="14"/>
                <w:color w:val="666666"/>
              </w:rPr>
              <w:t>Joan Lordi C. Amble</w:t>
            </w:r>
          </w:p>
        </w:tc>
        <w:tc>
          <w:tcPr>
            <w:tcW w:w="1620" w:type="dxa"/>
            <w:vAlign w:val="bottom"/>
          </w:tcPr>
          <w:p>
            <w:pPr>
              <w:jc w:val="right"/>
              <w:spacing w:after="0"/>
              <w:rPr>
                <w:sz w:val="20"/>
                <w:szCs w:val="20"/>
                <w:color w:val="auto"/>
              </w:rPr>
            </w:pPr>
            <w:r>
              <w:rPr>
                <w:rFonts w:ascii="Arial" w:cs="Arial" w:eastAsia="Arial" w:hAnsi="Arial"/>
                <w:sz w:val="14"/>
                <w:szCs w:val="14"/>
                <w:color w:val="666666"/>
              </w:rPr>
              <w:t>1,813</w:t>
            </w:r>
          </w:p>
        </w:tc>
      </w:tr>
    </w:tbl>
    <w:p>
      <w:pPr>
        <w:spacing w:after="0" w:line="44" w:lineRule="exact"/>
        <w:rPr>
          <w:sz w:val="20"/>
          <w:szCs w:val="20"/>
          <w:color w:val="auto"/>
        </w:rPr>
      </w:pPr>
    </w:p>
    <w:tbl>
      <w:tblPr>
        <w:tblLayout w:type="fixed"/>
        <w:tblInd w:w="3049" w:type="dxa"/>
        <w:tblCellMar>
          <w:top w:w="0" w:type="dxa"/>
          <w:left w:w="0" w:type="dxa"/>
          <w:bottom w:w="0" w:type="dxa"/>
          <w:right w:w="0" w:type="dxa"/>
        </w:tblCellMar>
      </w:tblPr>
      <w:tr>
        <w:trPr>
          <w:trHeight w:val="172"/>
        </w:trPr>
        <w:tc>
          <w:tcPr>
            <w:tcW w:w="2820" w:type="dxa"/>
            <w:vAlign w:val="bottom"/>
          </w:tcPr>
          <w:p>
            <w:pPr>
              <w:spacing w:after="0"/>
              <w:rPr>
                <w:sz w:val="20"/>
                <w:szCs w:val="20"/>
                <w:color w:val="auto"/>
              </w:rPr>
            </w:pPr>
            <w:r>
              <w:rPr>
                <w:rFonts w:ascii="Arial" w:cs="Arial" w:eastAsia="Arial" w:hAnsi="Arial"/>
                <w:sz w:val="14"/>
                <w:szCs w:val="14"/>
                <w:color w:val="666666"/>
              </w:rPr>
              <w:t>Melody C. Barnes</w:t>
            </w:r>
          </w:p>
        </w:tc>
        <w:tc>
          <w:tcPr>
            <w:tcW w:w="1800" w:type="dxa"/>
            <w:vAlign w:val="bottom"/>
            <w:vMerge w:val="restart"/>
          </w:tcPr>
          <w:p>
            <w:pPr>
              <w:jc w:val="right"/>
              <w:spacing w:after="0"/>
              <w:rPr>
                <w:sz w:val="20"/>
                <w:szCs w:val="20"/>
                <w:color w:val="auto"/>
              </w:rPr>
            </w:pPr>
            <w:r>
              <w:rPr>
                <w:rFonts w:ascii="Arial" w:cs="Arial" w:eastAsia="Arial" w:hAnsi="Arial"/>
                <w:sz w:val="14"/>
                <w:szCs w:val="14"/>
                <w:color w:val="666666"/>
              </w:rPr>
              <w:t>1,088</w:t>
            </w: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4"/>
                <w:szCs w:val="14"/>
                <w:color w:val="666666"/>
              </w:rPr>
              <w:t>Peter Clare</w:t>
            </w:r>
          </w:p>
        </w:tc>
        <w:tc>
          <w:tcPr>
            <w:tcW w:w="1800" w:type="dxa"/>
            <w:vAlign w:val="bottom"/>
            <w:vMerge w:val="restart"/>
          </w:tcPr>
          <w:p>
            <w:pPr>
              <w:jc w:val="right"/>
              <w:spacing w:after="0"/>
              <w:rPr>
                <w:sz w:val="20"/>
                <w:szCs w:val="20"/>
                <w:color w:val="auto"/>
              </w:rPr>
            </w:pPr>
            <w:r>
              <w:rPr>
                <w:rFonts w:ascii="Arial" w:cs="Arial" w:eastAsia="Arial" w:hAnsi="Arial"/>
                <w:sz w:val="14"/>
                <w:szCs w:val="14"/>
                <w:color w:val="666666"/>
              </w:rPr>
              <w:t>1,813</w:t>
            </w: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4"/>
                <w:szCs w:val="14"/>
                <w:color w:val="666666"/>
              </w:rPr>
              <w:t>Michèle A. Flournoy</w:t>
            </w:r>
          </w:p>
        </w:tc>
        <w:tc>
          <w:tcPr>
            <w:tcW w:w="1800" w:type="dxa"/>
            <w:vAlign w:val="bottom"/>
            <w:vMerge w:val="restart"/>
          </w:tcPr>
          <w:p>
            <w:pPr>
              <w:jc w:val="right"/>
              <w:spacing w:after="0"/>
              <w:rPr>
                <w:sz w:val="20"/>
                <w:szCs w:val="20"/>
                <w:color w:val="auto"/>
              </w:rPr>
            </w:pPr>
            <w:r>
              <w:rPr>
                <w:rFonts w:ascii="Arial" w:cs="Arial" w:eastAsia="Arial" w:hAnsi="Arial"/>
                <w:sz w:val="14"/>
                <w:szCs w:val="14"/>
                <w:color w:val="666666"/>
              </w:rPr>
              <w:t>1,088</w:t>
            </w: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4"/>
                <w:szCs w:val="14"/>
                <w:color w:val="666666"/>
              </w:rPr>
              <w:t>Ian Fujiyama</w:t>
            </w:r>
          </w:p>
        </w:tc>
        <w:tc>
          <w:tcPr>
            <w:tcW w:w="1800" w:type="dxa"/>
            <w:vAlign w:val="bottom"/>
            <w:vMerge w:val="restart"/>
          </w:tcPr>
          <w:p>
            <w:pPr>
              <w:jc w:val="right"/>
              <w:spacing w:after="0"/>
              <w:rPr>
                <w:sz w:val="20"/>
                <w:szCs w:val="20"/>
                <w:color w:val="auto"/>
              </w:rPr>
            </w:pPr>
            <w:r>
              <w:rPr>
                <w:rFonts w:ascii="Arial" w:cs="Arial" w:eastAsia="Arial" w:hAnsi="Arial"/>
                <w:sz w:val="14"/>
                <w:szCs w:val="14"/>
                <w:color w:val="666666"/>
              </w:rPr>
              <w:t>1,813</w:t>
            </w: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4"/>
                <w:szCs w:val="14"/>
                <w:color w:val="666666"/>
              </w:rPr>
              <w:t>Mark E. Gaumond</w:t>
            </w:r>
          </w:p>
        </w:tc>
        <w:tc>
          <w:tcPr>
            <w:tcW w:w="1800" w:type="dxa"/>
            <w:vAlign w:val="bottom"/>
            <w:vMerge w:val="restart"/>
          </w:tcPr>
          <w:p>
            <w:pPr>
              <w:jc w:val="right"/>
              <w:spacing w:after="0"/>
              <w:rPr>
                <w:sz w:val="20"/>
                <w:szCs w:val="20"/>
                <w:color w:val="auto"/>
              </w:rPr>
            </w:pPr>
            <w:r>
              <w:rPr>
                <w:rFonts w:ascii="Arial" w:cs="Arial" w:eastAsia="Arial" w:hAnsi="Arial"/>
                <w:sz w:val="14"/>
                <w:szCs w:val="14"/>
                <w:color w:val="666666"/>
              </w:rPr>
              <w:t>1,305</w:t>
            </w: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4"/>
                <w:szCs w:val="14"/>
                <w:color w:val="666666"/>
              </w:rPr>
              <w:t>Ellen Jewett</w:t>
            </w:r>
          </w:p>
        </w:tc>
        <w:tc>
          <w:tcPr>
            <w:tcW w:w="1800" w:type="dxa"/>
            <w:vAlign w:val="bottom"/>
            <w:vMerge w:val="restart"/>
          </w:tcPr>
          <w:p>
            <w:pPr>
              <w:jc w:val="right"/>
              <w:spacing w:after="0"/>
              <w:rPr>
                <w:sz w:val="20"/>
                <w:szCs w:val="20"/>
                <w:color w:val="auto"/>
              </w:rPr>
            </w:pPr>
            <w:r>
              <w:rPr>
                <w:rFonts w:ascii="Arial" w:cs="Arial" w:eastAsia="Arial" w:hAnsi="Arial"/>
                <w:sz w:val="14"/>
                <w:szCs w:val="14"/>
                <w:color w:val="666666"/>
              </w:rPr>
              <w:t>1,088</w:t>
            </w: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4"/>
                <w:szCs w:val="14"/>
                <w:color w:val="666666"/>
              </w:rPr>
              <w:t>Arthur E. Johnson</w:t>
            </w:r>
          </w:p>
        </w:tc>
        <w:tc>
          <w:tcPr>
            <w:tcW w:w="1800" w:type="dxa"/>
            <w:vAlign w:val="bottom"/>
            <w:vMerge w:val="restart"/>
          </w:tcPr>
          <w:p>
            <w:pPr>
              <w:jc w:val="right"/>
              <w:spacing w:after="0"/>
              <w:rPr>
                <w:sz w:val="20"/>
                <w:szCs w:val="20"/>
                <w:color w:val="auto"/>
              </w:rPr>
            </w:pPr>
            <w:r>
              <w:rPr>
                <w:rFonts w:ascii="Arial" w:cs="Arial" w:eastAsia="Arial" w:hAnsi="Arial"/>
                <w:sz w:val="14"/>
                <w:szCs w:val="14"/>
                <w:color w:val="666666"/>
              </w:rPr>
              <w:t>1,088</w:t>
            </w: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4"/>
                <w:szCs w:val="14"/>
                <w:color w:val="666666"/>
              </w:rPr>
              <w:t>Gretchen W. McClain</w:t>
            </w:r>
          </w:p>
        </w:tc>
        <w:tc>
          <w:tcPr>
            <w:tcW w:w="1800" w:type="dxa"/>
            <w:vAlign w:val="bottom"/>
            <w:vMerge w:val="restart"/>
          </w:tcPr>
          <w:p>
            <w:pPr>
              <w:jc w:val="right"/>
              <w:spacing w:after="0"/>
              <w:rPr>
                <w:sz w:val="20"/>
                <w:szCs w:val="20"/>
                <w:color w:val="auto"/>
              </w:rPr>
            </w:pPr>
            <w:r>
              <w:rPr>
                <w:rFonts w:ascii="Arial" w:cs="Arial" w:eastAsia="Arial" w:hAnsi="Arial"/>
                <w:sz w:val="14"/>
                <w:szCs w:val="14"/>
                <w:color w:val="666666"/>
              </w:rPr>
              <w:t>1,197</w:t>
            </w: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4"/>
                <w:szCs w:val="14"/>
                <w:color w:val="666666"/>
              </w:rPr>
              <w:t>Charles O. Rossotti</w:t>
            </w:r>
          </w:p>
        </w:tc>
        <w:tc>
          <w:tcPr>
            <w:tcW w:w="1800" w:type="dxa"/>
            <w:vAlign w:val="bottom"/>
            <w:vMerge w:val="restart"/>
          </w:tcPr>
          <w:p>
            <w:pPr>
              <w:jc w:val="right"/>
              <w:spacing w:after="0"/>
              <w:rPr>
                <w:sz w:val="20"/>
                <w:szCs w:val="20"/>
                <w:color w:val="auto"/>
              </w:rPr>
            </w:pPr>
            <w:r>
              <w:rPr>
                <w:rFonts w:ascii="Arial" w:cs="Arial" w:eastAsia="Arial" w:hAnsi="Arial"/>
                <w:sz w:val="14"/>
                <w:szCs w:val="14"/>
                <w:color w:val="666666"/>
              </w:rPr>
              <w:t>1,813</w:t>
            </w: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4"/>
                <w:szCs w:val="14"/>
                <w:color w:val="666666"/>
              </w:rPr>
              <w:t>Ralph W. Shrader</w:t>
            </w:r>
          </w:p>
        </w:tc>
        <w:tc>
          <w:tcPr>
            <w:tcW w:w="1800" w:type="dxa"/>
            <w:vAlign w:val="bottom"/>
            <w:vMerge w:val="restart"/>
          </w:tcPr>
          <w:p>
            <w:pPr>
              <w:jc w:val="right"/>
              <w:spacing w:after="0"/>
              <w:rPr>
                <w:sz w:val="20"/>
                <w:szCs w:val="20"/>
                <w:color w:val="auto"/>
              </w:rPr>
            </w:pPr>
            <w:r>
              <w:rPr>
                <w:rFonts w:ascii="Arial" w:cs="Arial" w:eastAsia="Arial" w:hAnsi="Arial"/>
                <w:sz w:val="14"/>
                <w:szCs w:val="14"/>
                <w:color w:val="666666"/>
              </w:rPr>
              <w:t>1,088</w:t>
            </w: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409" w:hanging="409"/>
        <w:spacing w:after="0"/>
        <w:tabs>
          <w:tab w:leader="none" w:pos="409" w:val="left"/>
        </w:tabs>
        <w:numPr>
          <w:ilvl w:val="0"/>
          <w:numId w:val="22"/>
        </w:numPr>
        <w:rPr>
          <w:rFonts w:ascii="Arial" w:cs="Arial" w:eastAsia="Arial" w:hAnsi="Arial"/>
          <w:sz w:val="14"/>
          <w:szCs w:val="14"/>
          <w:color w:val="666666"/>
        </w:rPr>
      </w:pPr>
      <w:r>
        <w:rPr>
          <w:rFonts w:ascii="Arial" w:cs="Arial" w:eastAsia="Arial" w:hAnsi="Arial"/>
          <w:sz w:val="14"/>
          <w:szCs w:val="14"/>
          <w:color w:val="666666"/>
        </w:rPr>
        <w:t>The shares of restricted stock in this column all vest on July 31, 2020.</w:t>
      </w:r>
    </w:p>
    <w:p>
      <w:pPr>
        <w:spacing w:after="0" w:line="200" w:lineRule="exact"/>
        <w:rPr>
          <w:sz w:val="20"/>
          <w:szCs w:val="20"/>
          <w:color w:val="auto"/>
        </w:rPr>
      </w:pPr>
    </w:p>
    <w:p>
      <w:pPr>
        <w:spacing w:after="0" w:line="335" w:lineRule="exact"/>
        <w:rPr>
          <w:sz w:val="20"/>
          <w:szCs w:val="20"/>
          <w:color w:val="auto"/>
        </w:rPr>
      </w:pPr>
    </w:p>
    <w:p>
      <w:pPr>
        <w:ind w:left="5269"/>
        <w:spacing w:after="0"/>
        <w:rPr>
          <w:sz w:val="20"/>
          <w:szCs w:val="20"/>
          <w:color w:val="auto"/>
        </w:rPr>
      </w:pPr>
      <w:r>
        <w:rPr>
          <w:rFonts w:ascii="Arial" w:cs="Arial" w:eastAsia="Arial" w:hAnsi="Arial"/>
          <w:sz w:val="18"/>
          <w:szCs w:val="18"/>
          <w:color w:val="666666"/>
        </w:rPr>
        <w:t>20</w:t>
      </w:r>
    </w:p>
    <w:p>
      <w:pPr>
        <w:sectPr>
          <w:pgSz w:w="11900" w:h="16838" w:orient="portrait"/>
          <w:cols w:equalWidth="0" w:num="1">
            <w:col w:w="9888"/>
          </w:cols>
          <w:pgMar w:left="571" w:top="495" w:right="1440"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u w:val="single" w:color="auto"/>
          <w:color w:val="547BCC"/>
        </w:rPr>
        <w:t>Director Ownership Guidelines</w:t>
      </w:r>
    </w:p>
    <w:p>
      <w:pPr>
        <w:spacing w:after="0" w:line="186"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Equity ownership guidelines for all of our non-employee directors are in place to further align their interests to those of our stockholders. Each of our non-employee directors has five years from the date of commencement of his/her service on the Board to achieve equity ownership with a value equivalent to five times his/her annual retainer. In calculating a director’s ownership, Class A common stock, and vested in-the-money options and vested and unvested restricted stock issued under the Equity Incentive Plan will be considered owned by the non-employee director. Each of our directors who has served on the Board for five years or more has regularly exceeded and currently exceeds the equity ownership guidelines. For a description of the guidelines applicable to executive officers, see our CD&amp;A beginning on page 27.</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Policy on Hedging, Short Sales, and Speculative Transactions</w:t>
      </w:r>
    </w:p>
    <w:p>
      <w:pPr>
        <w:spacing w:after="0" w:line="18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The Company’s personnel, including directors, officers and employees, and their immediate family members and other persons living in their households are prohibited from engaging in (i) short sales of securities of the Company, (ii) transactions in puts, calls or other derivative securities with respect to the securities of the Company, (iii) hedging transactions with respect to securities of the Company, (iv) holding securities of the Company in a margin account and (v) pledging the securities of the Company as collateral for a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21</w:t>
      </w:r>
    </w:p>
    <w:p>
      <w:pPr>
        <w:sectPr>
          <w:pgSz w:w="11900" w:h="16838" w:orient="portrait"/>
          <w:cols w:equalWidth="0" w:num="1">
            <w:col w:w="11240"/>
          </w:cols>
          <w:pgMar w:left="320" w:top="49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31"/>
          <w:szCs w:val="31"/>
          <w:b w:val="1"/>
          <w:bCs w:val="1"/>
          <w:color w:val="547BCC"/>
        </w:rPr>
        <w:t>COMPENSATION COMMITTEE INTERLOCKS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547BCC"/>
        </w:rPr>
        <w:t>AND INSIDER PARTICIPATION</w:t>
      </w:r>
    </w:p>
    <w:p>
      <w:pPr>
        <w:spacing w:after="0" w:line="160"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666666"/>
        </w:rPr>
        <w:t>The current members of our Compensation Committee are Messrs. Clare, and Fujiyama, and Mses. Barnes, Flournoy, and McClain. No member of our Compensation Committee serves as a member of the board or compensation committee of any other entity that has one or more executive officers serving as a member of our Board or Compensation Committee.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22</w:t>
      </w:r>
    </w:p>
    <w:p>
      <w:pPr>
        <w:sectPr>
          <w:pgSz w:w="11900" w:h="16838" w:orient="portrait"/>
          <w:cols w:equalWidth="0" w:num="1">
            <w:col w:w="11240"/>
          </w:cols>
          <w:pgMar w:left="320" w:top="486" w:right="339" w:bottom="1440" w:gutter="0" w:footer="0" w:header="0"/>
        </w:sectPr>
      </w:pPr>
    </w:p>
    <w:bookmarkStart w:id="31" w:name="page32"/>
    <w:bookmarkEnd w:id="31"/>
    <w:p>
      <w:pPr>
        <w:ind w:left="2760"/>
        <w:spacing w:after="0"/>
        <w:rPr>
          <w:sz w:val="20"/>
          <w:szCs w:val="20"/>
          <w:color w:val="auto"/>
        </w:rPr>
      </w:pPr>
      <w:r>
        <w:rPr>
          <w:rFonts w:ascii="Arial" w:cs="Arial" w:eastAsia="Arial" w:hAnsi="Arial"/>
          <w:sz w:val="31"/>
          <w:szCs w:val="31"/>
          <w:b w:val="1"/>
          <w:bCs w:val="1"/>
          <w:color w:val="547BCC"/>
        </w:rPr>
        <w:t>SECURITY OWNERSHIP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Security Ownership of Directors and Executive Officers</w:t>
      </w:r>
    </w:p>
    <w:p>
      <w:pPr>
        <w:spacing w:after="0" w:line="186" w:lineRule="exact"/>
        <w:rPr>
          <w:sz w:val="20"/>
          <w:szCs w:val="20"/>
          <w:color w:val="auto"/>
        </w:rPr>
      </w:pPr>
    </w:p>
    <w:p>
      <w:pPr>
        <w:jc w:val="both"/>
        <w:ind w:right="20" w:firstLine="432"/>
        <w:spacing w:after="0" w:line="246" w:lineRule="auto"/>
        <w:rPr>
          <w:sz w:val="20"/>
          <w:szCs w:val="20"/>
          <w:color w:val="auto"/>
        </w:rPr>
      </w:pPr>
      <w:r>
        <w:rPr>
          <w:rFonts w:ascii="Arial" w:cs="Arial" w:eastAsia="Arial" w:hAnsi="Arial"/>
          <w:sz w:val="20"/>
          <w:szCs w:val="20"/>
          <w:color w:val="666666"/>
        </w:rPr>
        <w:t>The following table indicates information as of May 26, 2020 regarding the beneficial ownership of our Class A common stock by each of our directors, each of the named executive officers, and all of our directors and executive officers as a group.</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20"/>
          <w:szCs w:val="20"/>
          <w:color w:val="666666"/>
        </w:rPr>
        <w:t>The percentages shown are based on 138,114,388 shares of Class A common stock outstanding as of May 26, 2020.</w:t>
      </w:r>
    </w:p>
    <w:p>
      <w:pPr>
        <w:spacing w:after="0"/>
        <w:rPr>
          <w:sz w:val="20"/>
          <w:szCs w:val="20"/>
          <w:color w:val="auto"/>
        </w:rPr>
      </w:pPr>
      <w:r>
        <w:rPr>
          <w:rFonts w:ascii="Arial" w:cs="Arial" w:eastAsia="Arial" w:hAnsi="Arial"/>
          <w:sz w:val="20"/>
          <w:szCs w:val="20"/>
          <w:color w:val="666666"/>
        </w:rPr>
        <w:t>Class A common stock is entitled to one vote per share on all matters voted on by our stockholders.</w:t>
      </w:r>
    </w:p>
    <w:p>
      <w:pPr>
        <w:spacing w:after="0" w:line="162"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The amounts and percentages owned are reported on the basis of the SEC’s rules governing the determination of beneficial ownership of securities. The SEC’s rules generally attribute beneficial ownership of securities to each person who possesses, either solely or shared with others, the voting power or investment power, which includes the power to dispose of those securities. The rules also treat as outstanding all shares of capital stock that a person would receive upon exercise of stock options or warrants held by that person that are immediately exercisable or exercisable within 60 days. These shares are deemed to be outstanding and to be beneficially owned by the person holding those options for the purpose of computing the number of shares beneficially owned and the percentage ownership of that person, but they are not treated as outstanding for the purpose of computing the percentage ownership of any other person. Under these rules, one or more persons may be a deemed beneficial owner of the same securities and a person may be deemed a beneficial owner of securities to which such person has no economic interest. Unless otherwise indicated, the persons or entities identified in this table have sole voting and investment power with respect to all shares shown as beneficially owned by them, subject to applicable community property laws.</w:t>
      </w:r>
    </w:p>
    <w:p>
      <w:pPr>
        <w:spacing w:after="0" w:line="309" w:lineRule="exact"/>
        <w:rPr>
          <w:sz w:val="20"/>
          <w:szCs w:val="20"/>
          <w:color w:val="auto"/>
        </w:rPr>
      </w:pPr>
    </w:p>
    <w:tbl>
      <w:tblPr>
        <w:tblLayout w:type="fixed"/>
        <w:tblInd w:w="22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666666"/>
              </w:rPr>
              <w:t>Shares Beneficially</w:t>
            </w:r>
          </w:p>
        </w:tc>
        <w:tc>
          <w:tcPr>
            <w:tcW w:w="1580" w:type="dxa"/>
            <w:vAlign w:val="bottom"/>
          </w:tcPr>
          <w:p>
            <w:pPr>
              <w:spacing w:after="0"/>
              <w:rPr>
                <w:sz w:val="14"/>
                <w:szCs w:val="14"/>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666666"/>
              </w:rPr>
              <w:t>Name</w:t>
            </w:r>
          </w:p>
        </w:tc>
        <w:tc>
          <w:tcPr>
            <w:tcW w:w="26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666666"/>
              </w:rPr>
              <w:t>Owned</w:t>
            </w:r>
          </w:p>
        </w:tc>
        <w:tc>
          <w:tcPr>
            <w:tcW w:w="24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666666"/>
              </w:rPr>
              <w:t>Percentage of Class</w:t>
            </w:r>
          </w:p>
        </w:tc>
      </w:tr>
      <w:tr>
        <w:trPr>
          <w:trHeight w:val="202"/>
        </w:trPr>
        <w:tc>
          <w:tcPr>
            <w:tcW w:w="20" w:type="dxa"/>
            <w:vAlign w:val="bottom"/>
          </w:tcPr>
          <w:p>
            <w:pPr>
              <w:spacing w:after="0"/>
              <w:rPr>
                <w:sz w:val="17"/>
                <w:szCs w:val="17"/>
                <w:color w:val="auto"/>
              </w:rPr>
            </w:pPr>
          </w:p>
        </w:tc>
        <w:tc>
          <w:tcPr>
            <w:tcW w:w="3400" w:type="dxa"/>
            <w:vAlign w:val="bottom"/>
            <w:gridSpan w:val="3"/>
          </w:tcPr>
          <w:p>
            <w:pPr>
              <w:spacing w:after="0"/>
              <w:rPr>
                <w:sz w:val="20"/>
                <w:szCs w:val="20"/>
                <w:color w:val="auto"/>
              </w:rPr>
            </w:pPr>
            <w:r>
              <w:rPr>
                <w:rFonts w:ascii="Arial" w:cs="Arial" w:eastAsia="Arial" w:hAnsi="Arial"/>
                <w:sz w:val="14"/>
                <w:szCs w:val="14"/>
                <w:b w:val="1"/>
                <w:bCs w:val="1"/>
                <w:color w:val="666666"/>
              </w:rPr>
              <w:t>Directors and nominees</w:t>
            </w: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640" w:type="dxa"/>
            <w:vAlign w:val="bottom"/>
            <w:tcBorders>
              <w:top w:val="single" w:sz="8" w:color="666666"/>
            </w:tcBorders>
          </w:tcPr>
          <w:p>
            <w:pPr>
              <w:spacing w:after="0"/>
              <w:rPr>
                <w:sz w:val="4"/>
                <w:szCs w:val="4"/>
                <w:color w:val="auto"/>
              </w:rPr>
            </w:pPr>
          </w:p>
        </w:tc>
        <w:tc>
          <w:tcPr>
            <w:tcW w:w="1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50"/>
        </w:trPr>
        <w:tc>
          <w:tcPr>
            <w:tcW w:w="20" w:type="dxa"/>
            <w:vAlign w:val="bottom"/>
            <w:tcBorders>
              <w:bottom w:val="single" w:sz="8" w:color="E9E5FF"/>
            </w:tcBorders>
            <w:shd w:val="clear" w:color="auto" w:fill="E9E5FF"/>
          </w:tcPr>
          <w:p>
            <w:pPr>
              <w:spacing w:after="0"/>
              <w:rPr>
                <w:sz w:val="21"/>
                <w:szCs w:val="21"/>
                <w:color w:val="auto"/>
              </w:rPr>
            </w:pPr>
          </w:p>
        </w:tc>
        <w:tc>
          <w:tcPr>
            <w:tcW w:w="3400" w:type="dxa"/>
            <w:vAlign w:val="bottom"/>
            <w:tcBorders>
              <w:bottom w:val="single" w:sz="8" w:color="E9E5FF"/>
            </w:tcBorders>
            <w:gridSpan w:val="3"/>
            <w:shd w:val="clear" w:color="auto" w:fill="E9E5FF"/>
          </w:tcPr>
          <w:p>
            <w:pPr>
              <w:spacing w:after="0"/>
              <w:rPr>
                <w:sz w:val="20"/>
                <w:szCs w:val="20"/>
                <w:color w:val="auto"/>
              </w:rPr>
            </w:pPr>
            <w:r>
              <w:rPr>
                <w:rFonts w:ascii="Arial" w:cs="Arial" w:eastAsia="Arial" w:hAnsi="Arial"/>
                <w:sz w:val="14"/>
                <w:szCs w:val="14"/>
                <w:color w:val="666666"/>
              </w:rPr>
              <w:t>Joan Lordi C. Amble</w:t>
            </w:r>
          </w:p>
        </w:tc>
        <w:tc>
          <w:tcPr>
            <w:tcW w:w="1540" w:type="dxa"/>
            <w:vAlign w:val="bottom"/>
            <w:tcBorders>
              <w:bottom w:val="single" w:sz="8" w:color="E9E5FF"/>
            </w:tcBorders>
            <w:shd w:val="clear" w:color="auto" w:fill="E9E5FF"/>
          </w:tcPr>
          <w:p>
            <w:pPr>
              <w:jc w:val="center"/>
              <w:spacing w:after="0"/>
              <w:rPr>
                <w:sz w:val="20"/>
                <w:szCs w:val="20"/>
                <w:color w:val="auto"/>
              </w:rPr>
            </w:pPr>
            <w:r>
              <w:rPr>
                <w:rFonts w:ascii="Arial" w:cs="Arial" w:eastAsia="Arial" w:hAnsi="Arial"/>
                <w:sz w:val="14"/>
                <w:szCs w:val="14"/>
                <w:color w:val="666666"/>
              </w:rPr>
              <w:t>39,672</w:t>
            </w:r>
          </w:p>
        </w:tc>
        <w:tc>
          <w:tcPr>
            <w:tcW w:w="240" w:type="dxa"/>
            <w:vAlign w:val="bottom"/>
            <w:tcBorders>
              <w:bottom w:val="single" w:sz="8" w:color="E9E5FF"/>
            </w:tcBorders>
            <w:shd w:val="clear" w:color="auto" w:fill="E9E5FF"/>
          </w:tcPr>
          <w:p>
            <w:pPr>
              <w:spacing w:after="0"/>
              <w:rPr>
                <w:sz w:val="21"/>
                <w:szCs w:val="21"/>
                <w:color w:val="auto"/>
              </w:rPr>
            </w:pPr>
          </w:p>
        </w:tc>
        <w:tc>
          <w:tcPr>
            <w:tcW w:w="1580" w:type="dxa"/>
            <w:vAlign w:val="bottom"/>
            <w:tcBorders>
              <w:bottom w:val="single" w:sz="8" w:color="E9E5FF"/>
            </w:tcBorders>
            <w:shd w:val="clear" w:color="auto" w:fill="E9E5FF"/>
          </w:tcPr>
          <w:p>
            <w:pPr>
              <w:jc w:val="center"/>
              <w:spacing w:after="0"/>
              <w:rPr>
                <w:sz w:val="20"/>
                <w:szCs w:val="20"/>
                <w:color w:val="auto"/>
              </w:rPr>
            </w:pPr>
            <w:r>
              <w:rPr>
                <w:rFonts w:ascii="Arial" w:cs="Arial" w:eastAsia="Arial" w:hAnsi="Arial"/>
                <w:sz w:val="14"/>
                <w:szCs w:val="14"/>
                <w:color w:val="666666"/>
              </w:rPr>
              <w:t>*</w:t>
            </w:r>
          </w:p>
        </w:tc>
      </w:tr>
      <w:tr>
        <w:trPr>
          <w:trHeight w:val="231"/>
        </w:trPr>
        <w:tc>
          <w:tcPr>
            <w:tcW w:w="20" w:type="dxa"/>
            <w:vAlign w:val="bottom"/>
          </w:tcPr>
          <w:p>
            <w:pPr>
              <w:spacing w:after="0"/>
              <w:rPr>
                <w:sz w:val="20"/>
                <w:szCs w:val="20"/>
                <w:color w:val="auto"/>
              </w:rPr>
            </w:pPr>
          </w:p>
        </w:tc>
        <w:tc>
          <w:tcPr>
            <w:tcW w:w="3400" w:type="dxa"/>
            <w:vAlign w:val="bottom"/>
            <w:gridSpan w:val="3"/>
          </w:tcPr>
          <w:p>
            <w:pPr>
              <w:spacing w:after="0"/>
              <w:rPr>
                <w:sz w:val="20"/>
                <w:szCs w:val="20"/>
                <w:color w:val="auto"/>
              </w:rPr>
            </w:pPr>
            <w:r>
              <w:rPr>
                <w:rFonts w:ascii="Arial" w:cs="Arial" w:eastAsia="Arial" w:hAnsi="Arial"/>
                <w:sz w:val="14"/>
                <w:szCs w:val="14"/>
                <w:color w:val="666666"/>
              </w:rPr>
              <w:t>Melody C. Barnes</w:t>
            </w:r>
          </w:p>
        </w:tc>
        <w:tc>
          <w:tcPr>
            <w:tcW w:w="1540" w:type="dxa"/>
            <w:vAlign w:val="bottom"/>
          </w:tcPr>
          <w:p>
            <w:pPr>
              <w:jc w:val="center"/>
              <w:spacing w:after="0"/>
              <w:rPr>
                <w:sz w:val="20"/>
                <w:szCs w:val="20"/>
                <w:color w:val="auto"/>
              </w:rPr>
            </w:pPr>
            <w:r>
              <w:rPr>
                <w:rFonts w:ascii="Arial" w:cs="Arial" w:eastAsia="Arial" w:hAnsi="Arial"/>
                <w:sz w:val="14"/>
                <w:szCs w:val="14"/>
                <w:color w:val="666666"/>
              </w:rPr>
              <w:t>14,772</w:t>
            </w:r>
          </w:p>
        </w:tc>
        <w:tc>
          <w:tcPr>
            <w:tcW w:w="2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666666"/>
              </w:rPr>
              <w:t>*</w:t>
            </w:r>
          </w:p>
        </w:tc>
      </w:tr>
      <w:tr>
        <w:trPr>
          <w:trHeight w:val="39"/>
        </w:trPr>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0"/>
        </w:trPr>
        <w:tc>
          <w:tcPr>
            <w:tcW w:w="20" w:type="dxa"/>
            <w:vAlign w:val="bottom"/>
            <w:tcBorders>
              <w:bottom w:val="single" w:sz="8" w:color="E9E5FF"/>
            </w:tcBorders>
            <w:shd w:val="clear" w:color="auto" w:fill="E9E5FF"/>
          </w:tcPr>
          <w:p>
            <w:pPr>
              <w:spacing w:after="0"/>
              <w:rPr>
                <w:sz w:val="21"/>
                <w:szCs w:val="21"/>
                <w:color w:val="auto"/>
              </w:rPr>
            </w:pPr>
          </w:p>
        </w:tc>
        <w:tc>
          <w:tcPr>
            <w:tcW w:w="3400" w:type="dxa"/>
            <w:vAlign w:val="bottom"/>
            <w:tcBorders>
              <w:bottom w:val="single" w:sz="8" w:color="E9E5FF"/>
            </w:tcBorders>
            <w:gridSpan w:val="3"/>
            <w:shd w:val="clear" w:color="auto" w:fill="E9E5FF"/>
          </w:tcPr>
          <w:p>
            <w:pPr>
              <w:spacing w:after="0"/>
              <w:rPr>
                <w:sz w:val="20"/>
                <w:szCs w:val="20"/>
                <w:color w:val="auto"/>
              </w:rPr>
            </w:pPr>
            <w:r>
              <w:rPr>
                <w:rFonts w:ascii="Arial" w:cs="Arial" w:eastAsia="Arial" w:hAnsi="Arial"/>
                <w:sz w:val="14"/>
                <w:szCs w:val="14"/>
                <w:color w:val="666666"/>
              </w:rPr>
              <w:t>Peter Clare</w:t>
            </w:r>
          </w:p>
        </w:tc>
        <w:tc>
          <w:tcPr>
            <w:tcW w:w="1540" w:type="dxa"/>
            <w:vAlign w:val="bottom"/>
            <w:tcBorders>
              <w:bottom w:val="single" w:sz="8" w:color="E9E5FF"/>
            </w:tcBorders>
            <w:shd w:val="clear" w:color="auto" w:fill="E9E5FF"/>
          </w:tcPr>
          <w:p>
            <w:pPr>
              <w:jc w:val="center"/>
              <w:spacing w:after="0"/>
              <w:rPr>
                <w:sz w:val="20"/>
                <w:szCs w:val="20"/>
                <w:color w:val="auto"/>
              </w:rPr>
            </w:pPr>
            <w:r>
              <w:rPr>
                <w:rFonts w:ascii="Arial" w:cs="Arial" w:eastAsia="Arial" w:hAnsi="Arial"/>
                <w:sz w:val="14"/>
                <w:szCs w:val="14"/>
                <w:color w:val="666666"/>
              </w:rPr>
              <w:t>28,747</w:t>
            </w:r>
          </w:p>
        </w:tc>
        <w:tc>
          <w:tcPr>
            <w:tcW w:w="240" w:type="dxa"/>
            <w:vAlign w:val="bottom"/>
            <w:tcBorders>
              <w:bottom w:val="single" w:sz="8" w:color="E9E5FF"/>
            </w:tcBorders>
            <w:shd w:val="clear" w:color="auto" w:fill="E9E5FF"/>
          </w:tcPr>
          <w:p>
            <w:pPr>
              <w:spacing w:after="0"/>
              <w:rPr>
                <w:sz w:val="21"/>
                <w:szCs w:val="21"/>
                <w:color w:val="auto"/>
              </w:rPr>
            </w:pPr>
          </w:p>
        </w:tc>
        <w:tc>
          <w:tcPr>
            <w:tcW w:w="1580" w:type="dxa"/>
            <w:vAlign w:val="bottom"/>
            <w:tcBorders>
              <w:bottom w:val="single" w:sz="8" w:color="E9E5FF"/>
            </w:tcBorders>
            <w:shd w:val="clear" w:color="auto" w:fill="E9E5FF"/>
          </w:tcPr>
          <w:p>
            <w:pPr>
              <w:jc w:val="center"/>
              <w:spacing w:after="0"/>
              <w:rPr>
                <w:sz w:val="20"/>
                <w:szCs w:val="20"/>
                <w:color w:val="auto"/>
              </w:rPr>
            </w:pPr>
            <w:r>
              <w:rPr>
                <w:rFonts w:ascii="Arial" w:cs="Arial" w:eastAsia="Arial" w:hAnsi="Arial"/>
                <w:sz w:val="14"/>
                <w:szCs w:val="14"/>
                <w:color w:val="666666"/>
              </w:rPr>
              <w:t>*</w:t>
            </w:r>
          </w:p>
        </w:tc>
      </w:tr>
      <w:tr>
        <w:trPr>
          <w:trHeight w:val="231"/>
        </w:trPr>
        <w:tc>
          <w:tcPr>
            <w:tcW w:w="20" w:type="dxa"/>
            <w:vAlign w:val="bottom"/>
          </w:tcPr>
          <w:p>
            <w:pPr>
              <w:spacing w:after="0"/>
              <w:rPr>
                <w:sz w:val="20"/>
                <w:szCs w:val="20"/>
                <w:color w:val="auto"/>
              </w:rPr>
            </w:pPr>
          </w:p>
        </w:tc>
        <w:tc>
          <w:tcPr>
            <w:tcW w:w="3400" w:type="dxa"/>
            <w:vAlign w:val="bottom"/>
            <w:gridSpan w:val="3"/>
          </w:tcPr>
          <w:p>
            <w:pPr>
              <w:spacing w:after="0"/>
              <w:rPr>
                <w:sz w:val="20"/>
                <w:szCs w:val="20"/>
                <w:color w:val="auto"/>
              </w:rPr>
            </w:pPr>
            <w:r>
              <w:rPr>
                <w:rFonts w:ascii="Arial" w:cs="Arial" w:eastAsia="Arial" w:hAnsi="Arial"/>
                <w:sz w:val="14"/>
                <w:szCs w:val="14"/>
                <w:color w:val="666666"/>
              </w:rPr>
              <w:t>Michèle A. Flournoy</w:t>
            </w:r>
          </w:p>
        </w:tc>
        <w:tc>
          <w:tcPr>
            <w:tcW w:w="1540" w:type="dxa"/>
            <w:vAlign w:val="bottom"/>
          </w:tcPr>
          <w:p>
            <w:pPr>
              <w:jc w:val="center"/>
              <w:spacing w:after="0"/>
              <w:rPr>
                <w:sz w:val="20"/>
                <w:szCs w:val="20"/>
                <w:color w:val="auto"/>
              </w:rPr>
            </w:pPr>
            <w:r>
              <w:rPr>
                <w:rFonts w:ascii="Arial" w:cs="Arial" w:eastAsia="Arial" w:hAnsi="Arial"/>
                <w:sz w:val="14"/>
                <w:szCs w:val="14"/>
                <w:color w:val="666666"/>
              </w:rPr>
              <w:t>4,577</w:t>
            </w:r>
          </w:p>
        </w:tc>
        <w:tc>
          <w:tcPr>
            <w:tcW w:w="2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666666"/>
              </w:rPr>
              <w:t>*</w:t>
            </w:r>
          </w:p>
        </w:tc>
      </w:tr>
      <w:tr>
        <w:trPr>
          <w:trHeight w:val="39"/>
        </w:trPr>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0"/>
        </w:trPr>
        <w:tc>
          <w:tcPr>
            <w:tcW w:w="20" w:type="dxa"/>
            <w:vAlign w:val="bottom"/>
            <w:tcBorders>
              <w:bottom w:val="single" w:sz="8" w:color="E9E5FF"/>
            </w:tcBorders>
            <w:shd w:val="clear" w:color="auto" w:fill="E9E5FF"/>
          </w:tcPr>
          <w:p>
            <w:pPr>
              <w:spacing w:after="0"/>
              <w:rPr>
                <w:sz w:val="21"/>
                <w:szCs w:val="21"/>
                <w:color w:val="auto"/>
              </w:rPr>
            </w:pPr>
          </w:p>
        </w:tc>
        <w:tc>
          <w:tcPr>
            <w:tcW w:w="3400" w:type="dxa"/>
            <w:vAlign w:val="bottom"/>
            <w:tcBorders>
              <w:bottom w:val="single" w:sz="8" w:color="E9E5FF"/>
            </w:tcBorders>
            <w:gridSpan w:val="3"/>
            <w:shd w:val="clear" w:color="auto" w:fill="E9E5FF"/>
          </w:tcPr>
          <w:p>
            <w:pPr>
              <w:spacing w:after="0"/>
              <w:rPr>
                <w:sz w:val="20"/>
                <w:szCs w:val="20"/>
                <w:color w:val="auto"/>
              </w:rPr>
            </w:pPr>
            <w:r>
              <w:rPr>
                <w:rFonts w:ascii="Arial" w:cs="Arial" w:eastAsia="Arial" w:hAnsi="Arial"/>
                <w:sz w:val="14"/>
                <w:szCs w:val="14"/>
                <w:color w:val="666666"/>
              </w:rPr>
              <w:t>Ian Fujiyama</w:t>
            </w:r>
          </w:p>
        </w:tc>
        <w:tc>
          <w:tcPr>
            <w:tcW w:w="1540" w:type="dxa"/>
            <w:vAlign w:val="bottom"/>
            <w:tcBorders>
              <w:bottom w:val="single" w:sz="8" w:color="E9E5FF"/>
            </w:tcBorders>
            <w:shd w:val="clear" w:color="auto" w:fill="E9E5FF"/>
          </w:tcPr>
          <w:p>
            <w:pPr>
              <w:jc w:val="center"/>
              <w:spacing w:after="0"/>
              <w:rPr>
                <w:sz w:val="20"/>
                <w:szCs w:val="20"/>
                <w:color w:val="auto"/>
              </w:rPr>
            </w:pPr>
            <w:r>
              <w:rPr>
                <w:rFonts w:ascii="Arial" w:cs="Arial" w:eastAsia="Arial" w:hAnsi="Arial"/>
                <w:sz w:val="14"/>
                <w:szCs w:val="14"/>
                <w:color w:val="666666"/>
              </w:rPr>
              <w:t>33,747</w:t>
            </w:r>
          </w:p>
        </w:tc>
        <w:tc>
          <w:tcPr>
            <w:tcW w:w="240" w:type="dxa"/>
            <w:vAlign w:val="bottom"/>
            <w:tcBorders>
              <w:bottom w:val="single" w:sz="8" w:color="E9E5FF"/>
            </w:tcBorders>
            <w:shd w:val="clear" w:color="auto" w:fill="E9E5FF"/>
          </w:tcPr>
          <w:p>
            <w:pPr>
              <w:spacing w:after="0"/>
              <w:rPr>
                <w:sz w:val="21"/>
                <w:szCs w:val="21"/>
                <w:color w:val="auto"/>
              </w:rPr>
            </w:pPr>
          </w:p>
        </w:tc>
        <w:tc>
          <w:tcPr>
            <w:tcW w:w="1580" w:type="dxa"/>
            <w:vAlign w:val="bottom"/>
            <w:tcBorders>
              <w:bottom w:val="single" w:sz="8" w:color="E9E5FF"/>
            </w:tcBorders>
            <w:shd w:val="clear" w:color="auto" w:fill="E9E5FF"/>
          </w:tcPr>
          <w:p>
            <w:pPr>
              <w:jc w:val="center"/>
              <w:spacing w:after="0"/>
              <w:rPr>
                <w:sz w:val="20"/>
                <w:szCs w:val="20"/>
                <w:color w:val="auto"/>
              </w:rPr>
            </w:pPr>
            <w:r>
              <w:rPr>
                <w:rFonts w:ascii="Arial" w:cs="Arial" w:eastAsia="Arial" w:hAnsi="Arial"/>
                <w:sz w:val="14"/>
                <w:szCs w:val="14"/>
                <w:color w:val="666666"/>
              </w:rPr>
              <w:t>*</w:t>
            </w:r>
          </w:p>
        </w:tc>
      </w:tr>
      <w:tr>
        <w:trPr>
          <w:trHeight w:val="231"/>
        </w:trPr>
        <w:tc>
          <w:tcPr>
            <w:tcW w:w="20" w:type="dxa"/>
            <w:vAlign w:val="bottom"/>
          </w:tcPr>
          <w:p>
            <w:pPr>
              <w:spacing w:after="0"/>
              <w:rPr>
                <w:sz w:val="20"/>
                <w:szCs w:val="20"/>
                <w:color w:val="auto"/>
              </w:rPr>
            </w:pPr>
          </w:p>
        </w:tc>
        <w:tc>
          <w:tcPr>
            <w:tcW w:w="3400" w:type="dxa"/>
            <w:vAlign w:val="bottom"/>
            <w:gridSpan w:val="3"/>
          </w:tcPr>
          <w:p>
            <w:pPr>
              <w:spacing w:after="0"/>
              <w:rPr>
                <w:sz w:val="20"/>
                <w:szCs w:val="20"/>
                <w:color w:val="auto"/>
              </w:rPr>
            </w:pPr>
            <w:r>
              <w:rPr>
                <w:rFonts w:ascii="Arial" w:cs="Arial" w:eastAsia="Arial" w:hAnsi="Arial"/>
                <w:sz w:val="14"/>
                <w:szCs w:val="14"/>
                <w:color w:val="666666"/>
              </w:rPr>
              <w:t>Mark E. Gaumond</w:t>
            </w:r>
          </w:p>
        </w:tc>
        <w:tc>
          <w:tcPr>
            <w:tcW w:w="1540" w:type="dxa"/>
            <w:vAlign w:val="bottom"/>
          </w:tcPr>
          <w:p>
            <w:pPr>
              <w:jc w:val="center"/>
              <w:spacing w:after="0"/>
              <w:rPr>
                <w:sz w:val="20"/>
                <w:szCs w:val="20"/>
                <w:color w:val="auto"/>
              </w:rPr>
            </w:pPr>
            <w:r>
              <w:rPr>
                <w:rFonts w:ascii="Arial" w:cs="Arial" w:eastAsia="Arial" w:hAnsi="Arial"/>
                <w:sz w:val="14"/>
                <w:szCs w:val="14"/>
                <w:color w:val="666666"/>
              </w:rPr>
              <w:t>49,375</w:t>
            </w:r>
          </w:p>
        </w:tc>
        <w:tc>
          <w:tcPr>
            <w:tcW w:w="2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666666"/>
              </w:rPr>
              <w:t>*</w:t>
            </w:r>
          </w:p>
        </w:tc>
      </w:tr>
      <w:tr>
        <w:trPr>
          <w:trHeight w:val="39"/>
        </w:trPr>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0"/>
        </w:trPr>
        <w:tc>
          <w:tcPr>
            <w:tcW w:w="20" w:type="dxa"/>
            <w:vAlign w:val="bottom"/>
            <w:tcBorders>
              <w:bottom w:val="single" w:sz="8" w:color="E9E5FF"/>
            </w:tcBorders>
            <w:shd w:val="clear" w:color="auto" w:fill="E9E5FF"/>
          </w:tcPr>
          <w:p>
            <w:pPr>
              <w:spacing w:after="0"/>
              <w:rPr>
                <w:sz w:val="21"/>
                <w:szCs w:val="21"/>
                <w:color w:val="auto"/>
              </w:rPr>
            </w:pPr>
          </w:p>
        </w:tc>
        <w:tc>
          <w:tcPr>
            <w:tcW w:w="3400" w:type="dxa"/>
            <w:vAlign w:val="bottom"/>
            <w:tcBorders>
              <w:bottom w:val="single" w:sz="8" w:color="E9E5FF"/>
            </w:tcBorders>
            <w:gridSpan w:val="3"/>
            <w:shd w:val="clear" w:color="auto" w:fill="E9E5FF"/>
          </w:tcPr>
          <w:p>
            <w:pPr>
              <w:spacing w:after="0"/>
              <w:rPr>
                <w:sz w:val="20"/>
                <w:szCs w:val="20"/>
                <w:color w:val="auto"/>
              </w:rPr>
            </w:pPr>
            <w:r>
              <w:rPr>
                <w:rFonts w:ascii="Arial" w:cs="Arial" w:eastAsia="Arial" w:hAnsi="Arial"/>
                <w:sz w:val="14"/>
                <w:szCs w:val="14"/>
                <w:color w:val="666666"/>
              </w:rPr>
              <w:t>Ellen Jewett</w:t>
            </w:r>
          </w:p>
        </w:tc>
        <w:tc>
          <w:tcPr>
            <w:tcW w:w="1540" w:type="dxa"/>
            <w:vAlign w:val="bottom"/>
            <w:tcBorders>
              <w:bottom w:val="single" w:sz="8" w:color="E9E5FF"/>
            </w:tcBorders>
            <w:shd w:val="clear" w:color="auto" w:fill="E9E5FF"/>
          </w:tcPr>
          <w:p>
            <w:pPr>
              <w:jc w:val="center"/>
              <w:spacing w:after="0"/>
              <w:rPr>
                <w:sz w:val="20"/>
                <w:szCs w:val="20"/>
                <w:color w:val="auto"/>
              </w:rPr>
            </w:pPr>
            <w:r>
              <w:rPr>
                <w:rFonts w:ascii="Arial" w:cs="Arial" w:eastAsia="Arial" w:hAnsi="Arial"/>
                <w:sz w:val="14"/>
                <w:szCs w:val="14"/>
                <w:color w:val="666666"/>
              </w:rPr>
              <w:t>4,569</w:t>
            </w:r>
          </w:p>
        </w:tc>
        <w:tc>
          <w:tcPr>
            <w:tcW w:w="240" w:type="dxa"/>
            <w:vAlign w:val="bottom"/>
            <w:tcBorders>
              <w:bottom w:val="single" w:sz="8" w:color="E9E5FF"/>
            </w:tcBorders>
            <w:shd w:val="clear" w:color="auto" w:fill="E9E5FF"/>
          </w:tcPr>
          <w:p>
            <w:pPr>
              <w:spacing w:after="0"/>
              <w:rPr>
                <w:sz w:val="21"/>
                <w:szCs w:val="21"/>
                <w:color w:val="auto"/>
              </w:rPr>
            </w:pPr>
          </w:p>
        </w:tc>
        <w:tc>
          <w:tcPr>
            <w:tcW w:w="1580" w:type="dxa"/>
            <w:vAlign w:val="bottom"/>
            <w:tcBorders>
              <w:bottom w:val="single" w:sz="8" w:color="E9E5FF"/>
            </w:tcBorders>
            <w:shd w:val="clear" w:color="auto" w:fill="E9E5FF"/>
          </w:tcPr>
          <w:p>
            <w:pPr>
              <w:jc w:val="center"/>
              <w:spacing w:after="0"/>
              <w:rPr>
                <w:sz w:val="20"/>
                <w:szCs w:val="20"/>
                <w:color w:val="auto"/>
              </w:rPr>
            </w:pPr>
            <w:r>
              <w:rPr>
                <w:rFonts w:ascii="Arial" w:cs="Arial" w:eastAsia="Arial" w:hAnsi="Arial"/>
                <w:sz w:val="14"/>
                <w:szCs w:val="14"/>
                <w:color w:val="666666"/>
              </w:rPr>
              <w:t>*</w:t>
            </w:r>
          </w:p>
        </w:tc>
      </w:tr>
      <w:tr>
        <w:trPr>
          <w:trHeight w:val="231"/>
        </w:trPr>
        <w:tc>
          <w:tcPr>
            <w:tcW w:w="20" w:type="dxa"/>
            <w:vAlign w:val="bottom"/>
          </w:tcPr>
          <w:p>
            <w:pPr>
              <w:spacing w:after="0"/>
              <w:rPr>
                <w:sz w:val="20"/>
                <w:szCs w:val="20"/>
                <w:color w:val="auto"/>
              </w:rPr>
            </w:pPr>
          </w:p>
        </w:tc>
        <w:tc>
          <w:tcPr>
            <w:tcW w:w="3400" w:type="dxa"/>
            <w:vAlign w:val="bottom"/>
            <w:gridSpan w:val="3"/>
          </w:tcPr>
          <w:p>
            <w:pPr>
              <w:spacing w:after="0"/>
              <w:rPr>
                <w:sz w:val="20"/>
                <w:szCs w:val="20"/>
                <w:color w:val="auto"/>
              </w:rPr>
            </w:pPr>
            <w:r>
              <w:rPr>
                <w:rFonts w:ascii="Arial" w:cs="Arial" w:eastAsia="Arial" w:hAnsi="Arial"/>
                <w:sz w:val="14"/>
                <w:szCs w:val="14"/>
                <w:color w:val="666666"/>
              </w:rPr>
              <w:t>Arthur E. Johnson</w:t>
            </w:r>
          </w:p>
        </w:tc>
        <w:tc>
          <w:tcPr>
            <w:tcW w:w="1540" w:type="dxa"/>
            <w:vAlign w:val="bottom"/>
          </w:tcPr>
          <w:p>
            <w:pPr>
              <w:jc w:val="center"/>
              <w:spacing w:after="0"/>
              <w:rPr>
                <w:sz w:val="20"/>
                <w:szCs w:val="20"/>
                <w:color w:val="auto"/>
              </w:rPr>
            </w:pPr>
            <w:r>
              <w:rPr>
                <w:rFonts w:ascii="Arial" w:cs="Arial" w:eastAsia="Arial" w:hAnsi="Arial"/>
                <w:sz w:val="14"/>
                <w:szCs w:val="14"/>
                <w:color w:val="666666"/>
              </w:rPr>
              <w:t>29,859</w:t>
            </w:r>
          </w:p>
        </w:tc>
        <w:tc>
          <w:tcPr>
            <w:tcW w:w="2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666666"/>
              </w:rPr>
              <w:t>*</w:t>
            </w:r>
          </w:p>
        </w:tc>
      </w:tr>
      <w:tr>
        <w:trPr>
          <w:trHeight w:val="39"/>
        </w:trPr>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0"/>
        </w:trPr>
        <w:tc>
          <w:tcPr>
            <w:tcW w:w="20" w:type="dxa"/>
            <w:vAlign w:val="bottom"/>
            <w:tcBorders>
              <w:bottom w:val="single" w:sz="8" w:color="E9E5FF"/>
            </w:tcBorders>
            <w:shd w:val="clear" w:color="auto" w:fill="E9E5FF"/>
          </w:tcPr>
          <w:p>
            <w:pPr>
              <w:spacing w:after="0"/>
              <w:rPr>
                <w:sz w:val="21"/>
                <w:szCs w:val="21"/>
                <w:color w:val="auto"/>
              </w:rPr>
            </w:pPr>
          </w:p>
        </w:tc>
        <w:tc>
          <w:tcPr>
            <w:tcW w:w="3400" w:type="dxa"/>
            <w:vAlign w:val="bottom"/>
            <w:tcBorders>
              <w:bottom w:val="single" w:sz="8" w:color="E9E5FF"/>
            </w:tcBorders>
            <w:gridSpan w:val="3"/>
            <w:shd w:val="clear" w:color="auto" w:fill="E9E5FF"/>
          </w:tcPr>
          <w:p>
            <w:pPr>
              <w:spacing w:after="0"/>
              <w:rPr>
                <w:sz w:val="20"/>
                <w:szCs w:val="20"/>
                <w:color w:val="auto"/>
              </w:rPr>
            </w:pPr>
            <w:r>
              <w:rPr>
                <w:rFonts w:ascii="Arial" w:cs="Arial" w:eastAsia="Arial" w:hAnsi="Arial"/>
                <w:sz w:val="14"/>
                <w:szCs w:val="14"/>
                <w:color w:val="666666"/>
              </w:rPr>
              <w:t>Gretchen W. McClain</w:t>
            </w:r>
          </w:p>
        </w:tc>
        <w:tc>
          <w:tcPr>
            <w:tcW w:w="1540" w:type="dxa"/>
            <w:vAlign w:val="bottom"/>
            <w:tcBorders>
              <w:bottom w:val="single" w:sz="8" w:color="E9E5FF"/>
            </w:tcBorders>
            <w:shd w:val="clear" w:color="auto" w:fill="E9E5FF"/>
          </w:tcPr>
          <w:p>
            <w:pPr>
              <w:jc w:val="center"/>
              <w:spacing w:after="0"/>
              <w:rPr>
                <w:sz w:val="20"/>
                <w:szCs w:val="20"/>
                <w:color w:val="auto"/>
              </w:rPr>
            </w:pPr>
            <w:r>
              <w:rPr>
                <w:rFonts w:ascii="Arial" w:cs="Arial" w:eastAsia="Arial" w:hAnsi="Arial"/>
                <w:sz w:val="14"/>
                <w:szCs w:val="14"/>
                <w:color w:val="666666"/>
              </w:rPr>
              <w:t>23,666</w:t>
            </w:r>
          </w:p>
        </w:tc>
        <w:tc>
          <w:tcPr>
            <w:tcW w:w="240" w:type="dxa"/>
            <w:vAlign w:val="bottom"/>
            <w:tcBorders>
              <w:bottom w:val="single" w:sz="8" w:color="E9E5FF"/>
            </w:tcBorders>
            <w:shd w:val="clear" w:color="auto" w:fill="E9E5FF"/>
          </w:tcPr>
          <w:p>
            <w:pPr>
              <w:spacing w:after="0"/>
              <w:rPr>
                <w:sz w:val="21"/>
                <w:szCs w:val="21"/>
                <w:color w:val="auto"/>
              </w:rPr>
            </w:pPr>
          </w:p>
        </w:tc>
        <w:tc>
          <w:tcPr>
            <w:tcW w:w="1580" w:type="dxa"/>
            <w:vAlign w:val="bottom"/>
            <w:tcBorders>
              <w:bottom w:val="single" w:sz="8" w:color="E9E5FF"/>
            </w:tcBorders>
            <w:shd w:val="clear" w:color="auto" w:fill="E9E5FF"/>
          </w:tcPr>
          <w:p>
            <w:pPr>
              <w:jc w:val="center"/>
              <w:spacing w:after="0"/>
              <w:rPr>
                <w:sz w:val="20"/>
                <w:szCs w:val="20"/>
                <w:color w:val="auto"/>
              </w:rPr>
            </w:pPr>
            <w:r>
              <w:rPr>
                <w:rFonts w:ascii="Arial" w:cs="Arial" w:eastAsia="Arial" w:hAnsi="Arial"/>
                <w:sz w:val="14"/>
                <w:szCs w:val="14"/>
                <w:color w:val="666666"/>
              </w:rPr>
              <w:t>*</w:t>
            </w:r>
          </w:p>
        </w:tc>
      </w:tr>
      <w:tr>
        <w:trPr>
          <w:trHeight w:val="231"/>
        </w:trPr>
        <w:tc>
          <w:tcPr>
            <w:tcW w:w="20" w:type="dxa"/>
            <w:vAlign w:val="bottom"/>
          </w:tcPr>
          <w:p>
            <w:pPr>
              <w:spacing w:after="0"/>
              <w:rPr>
                <w:sz w:val="20"/>
                <w:szCs w:val="20"/>
                <w:color w:val="auto"/>
              </w:rPr>
            </w:pPr>
          </w:p>
        </w:tc>
        <w:tc>
          <w:tcPr>
            <w:tcW w:w="3400" w:type="dxa"/>
            <w:vAlign w:val="bottom"/>
            <w:gridSpan w:val="3"/>
          </w:tcPr>
          <w:p>
            <w:pPr>
              <w:spacing w:after="0"/>
              <w:rPr>
                <w:sz w:val="20"/>
                <w:szCs w:val="20"/>
                <w:color w:val="auto"/>
              </w:rPr>
            </w:pPr>
            <w:r>
              <w:rPr>
                <w:rFonts w:ascii="Arial" w:cs="Arial" w:eastAsia="Arial" w:hAnsi="Arial"/>
                <w:sz w:val="14"/>
                <w:szCs w:val="14"/>
                <w:color w:val="666666"/>
              </w:rPr>
              <w:t>Charles O. Rossotti</w:t>
            </w:r>
          </w:p>
        </w:tc>
        <w:tc>
          <w:tcPr>
            <w:tcW w:w="1540" w:type="dxa"/>
            <w:vAlign w:val="bottom"/>
          </w:tcPr>
          <w:p>
            <w:pPr>
              <w:jc w:val="center"/>
              <w:spacing w:after="0"/>
              <w:rPr>
                <w:sz w:val="20"/>
                <w:szCs w:val="20"/>
                <w:color w:val="auto"/>
              </w:rPr>
            </w:pPr>
            <w:r>
              <w:rPr>
                <w:rFonts w:ascii="Arial" w:cs="Arial" w:eastAsia="Arial" w:hAnsi="Arial"/>
                <w:sz w:val="14"/>
                <w:szCs w:val="14"/>
                <w:color w:val="666666"/>
              </w:rPr>
              <w:t>90,395</w:t>
            </w:r>
          </w:p>
        </w:tc>
        <w:tc>
          <w:tcPr>
            <w:tcW w:w="2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666666"/>
              </w:rPr>
              <w:t>*</w:t>
            </w:r>
          </w:p>
        </w:tc>
      </w:tr>
      <w:tr>
        <w:trPr>
          <w:trHeight w:val="39"/>
        </w:trPr>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70"/>
        </w:trPr>
        <w:tc>
          <w:tcPr>
            <w:tcW w:w="20" w:type="dxa"/>
            <w:vAlign w:val="bottom"/>
            <w:shd w:val="clear" w:color="auto" w:fill="E9E5FF"/>
          </w:tcPr>
          <w:p>
            <w:pPr>
              <w:spacing w:after="0"/>
              <w:rPr>
                <w:sz w:val="23"/>
                <w:szCs w:val="23"/>
                <w:color w:val="auto"/>
              </w:rPr>
            </w:pPr>
          </w:p>
        </w:tc>
        <w:tc>
          <w:tcPr>
            <w:tcW w:w="3400" w:type="dxa"/>
            <w:vAlign w:val="bottom"/>
            <w:gridSpan w:val="3"/>
            <w:shd w:val="clear" w:color="auto" w:fill="E9E5FF"/>
          </w:tcPr>
          <w:p>
            <w:pPr>
              <w:spacing w:after="0"/>
              <w:rPr>
                <w:sz w:val="20"/>
                <w:szCs w:val="20"/>
                <w:color w:val="auto"/>
              </w:rPr>
            </w:pPr>
            <w:r>
              <w:rPr>
                <w:rFonts w:ascii="Arial" w:cs="Arial" w:eastAsia="Arial" w:hAnsi="Arial"/>
                <w:sz w:val="14"/>
                <w:szCs w:val="14"/>
                <w:color w:val="666666"/>
              </w:rPr>
              <w:t>Horacio D. Rozanski</w:t>
            </w:r>
          </w:p>
        </w:tc>
        <w:tc>
          <w:tcPr>
            <w:tcW w:w="1540" w:type="dxa"/>
            <w:vAlign w:val="bottom"/>
            <w:shd w:val="clear" w:color="auto" w:fill="E9E5FF"/>
          </w:tcPr>
          <w:p>
            <w:pPr>
              <w:jc w:val="center"/>
              <w:spacing w:after="0"/>
              <w:rPr>
                <w:sz w:val="20"/>
                <w:szCs w:val="20"/>
                <w:color w:val="auto"/>
              </w:rPr>
            </w:pPr>
            <w:r>
              <w:rPr>
                <w:rFonts w:ascii="Arial" w:cs="Arial" w:eastAsia="Arial" w:hAnsi="Arial"/>
                <w:sz w:val="14"/>
                <w:szCs w:val="14"/>
                <w:color w:val="666666"/>
                <w:w w:val="95"/>
              </w:rPr>
              <w:t>599,582</w:t>
            </w:r>
            <w:r>
              <w:rPr>
                <w:rFonts w:ascii="Arial" w:cs="Arial" w:eastAsia="Arial" w:hAnsi="Arial"/>
                <w:sz w:val="23"/>
                <w:szCs w:val="23"/>
                <w:color w:val="666666"/>
                <w:w w:val="95"/>
                <w:vertAlign w:val="superscript"/>
              </w:rPr>
              <w:t>(1)</w:t>
            </w:r>
          </w:p>
        </w:tc>
        <w:tc>
          <w:tcPr>
            <w:tcW w:w="240" w:type="dxa"/>
            <w:vAlign w:val="bottom"/>
            <w:shd w:val="clear" w:color="auto" w:fill="E9E5FF"/>
          </w:tcPr>
          <w:p>
            <w:pPr>
              <w:spacing w:after="0"/>
              <w:rPr>
                <w:sz w:val="23"/>
                <w:szCs w:val="23"/>
                <w:color w:val="auto"/>
              </w:rPr>
            </w:pPr>
          </w:p>
        </w:tc>
        <w:tc>
          <w:tcPr>
            <w:tcW w:w="1580" w:type="dxa"/>
            <w:vAlign w:val="bottom"/>
            <w:shd w:val="clear" w:color="auto" w:fill="E9E5FF"/>
          </w:tcPr>
          <w:p>
            <w:pPr>
              <w:jc w:val="center"/>
              <w:spacing w:after="0"/>
              <w:rPr>
                <w:sz w:val="20"/>
                <w:szCs w:val="20"/>
                <w:color w:val="auto"/>
              </w:rPr>
            </w:pPr>
            <w:r>
              <w:rPr>
                <w:rFonts w:ascii="Arial" w:cs="Arial" w:eastAsia="Arial" w:hAnsi="Arial"/>
                <w:sz w:val="14"/>
                <w:szCs w:val="14"/>
                <w:color w:val="666666"/>
              </w:rPr>
              <w:t>*</w:t>
            </w:r>
          </w:p>
        </w:tc>
      </w:tr>
      <w:tr>
        <w:trPr>
          <w:trHeight w:val="361"/>
        </w:trPr>
        <w:tc>
          <w:tcPr>
            <w:tcW w:w="20" w:type="dxa"/>
            <w:vAlign w:val="bottom"/>
          </w:tcPr>
          <w:p>
            <w:pPr>
              <w:spacing w:after="0"/>
              <w:rPr>
                <w:sz w:val="24"/>
                <w:szCs w:val="24"/>
                <w:color w:val="auto"/>
              </w:rPr>
            </w:pPr>
          </w:p>
        </w:tc>
        <w:tc>
          <w:tcPr>
            <w:tcW w:w="3400" w:type="dxa"/>
            <w:vAlign w:val="bottom"/>
            <w:gridSpan w:val="3"/>
          </w:tcPr>
          <w:p>
            <w:pPr>
              <w:spacing w:after="0"/>
              <w:rPr>
                <w:sz w:val="20"/>
                <w:szCs w:val="20"/>
                <w:color w:val="auto"/>
              </w:rPr>
            </w:pPr>
            <w:r>
              <w:rPr>
                <w:rFonts w:ascii="Arial" w:cs="Arial" w:eastAsia="Arial" w:hAnsi="Arial"/>
                <w:sz w:val="14"/>
                <w:szCs w:val="14"/>
                <w:color w:val="666666"/>
              </w:rPr>
              <w:t>Dr. Ralph W. Shrader</w:t>
            </w:r>
          </w:p>
        </w:tc>
        <w:tc>
          <w:tcPr>
            <w:tcW w:w="1540" w:type="dxa"/>
            <w:vAlign w:val="bottom"/>
          </w:tcPr>
          <w:p>
            <w:pPr>
              <w:jc w:val="center"/>
              <w:spacing w:after="0"/>
              <w:rPr>
                <w:sz w:val="20"/>
                <w:szCs w:val="20"/>
                <w:color w:val="auto"/>
              </w:rPr>
            </w:pPr>
            <w:r>
              <w:rPr>
                <w:rFonts w:ascii="Arial" w:cs="Arial" w:eastAsia="Arial" w:hAnsi="Arial"/>
                <w:sz w:val="14"/>
                <w:szCs w:val="14"/>
                <w:color w:val="666666"/>
                <w:w w:val="96"/>
              </w:rPr>
              <w:t>1,018,265</w:t>
            </w:r>
            <w:r>
              <w:rPr>
                <w:rFonts w:ascii="Arial" w:cs="Arial" w:eastAsia="Arial" w:hAnsi="Arial"/>
                <w:sz w:val="23"/>
                <w:szCs w:val="23"/>
                <w:color w:val="666666"/>
                <w:w w:val="96"/>
                <w:vertAlign w:val="superscript"/>
              </w:rPr>
              <w:t>(2)</w:t>
            </w:r>
          </w:p>
        </w:tc>
        <w:tc>
          <w:tcPr>
            <w:tcW w:w="2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666666"/>
              </w:rPr>
              <w:t>*</w:t>
            </w:r>
          </w:p>
        </w:tc>
      </w:tr>
    </w:tbl>
    <w:p>
      <w:pPr>
        <w:spacing w:after="0" w:line="31" w:lineRule="exact"/>
        <w:rPr>
          <w:sz w:val="20"/>
          <w:szCs w:val="20"/>
          <w:color w:val="auto"/>
        </w:rPr>
      </w:pPr>
    </w:p>
    <w:p>
      <w:pPr>
        <w:ind w:left="2260"/>
        <w:spacing w:after="0"/>
        <w:rPr>
          <w:sz w:val="20"/>
          <w:szCs w:val="20"/>
          <w:color w:val="auto"/>
        </w:rPr>
      </w:pPr>
      <w:r>
        <w:rPr>
          <w:rFonts w:ascii="Arial" w:cs="Arial" w:eastAsia="Arial" w:hAnsi="Arial"/>
          <w:sz w:val="14"/>
          <w:szCs w:val="14"/>
          <w:b w:val="1"/>
          <w:bCs w:val="1"/>
          <w:u w:val="single" w:color="auto"/>
          <w:color w:val="666666"/>
        </w:rPr>
        <w:t>Other named executive officers</w:t>
      </w:r>
    </w:p>
    <w:p>
      <w:pPr>
        <w:sectPr>
          <w:pgSz w:w="11900" w:h="16838" w:orient="portrait"/>
          <w:cols w:equalWidth="0" w:num="1">
            <w:col w:w="11240"/>
          </w:cols>
          <w:pgMar w:left="320" w:top="689" w:right="339" w:bottom="1440" w:gutter="0" w:footer="0" w:header="0"/>
        </w:sectPr>
      </w:pPr>
    </w:p>
    <w:p>
      <w:pPr>
        <w:spacing w:after="0" w:line="100" w:lineRule="exact"/>
        <w:rPr>
          <w:sz w:val="20"/>
          <w:szCs w:val="20"/>
          <w:color w:val="auto"/>
        </w:rPr>
      </w:pPr>
    </w:p>
    <w:p>
      <w:pPr>
        <w:ind w:left="2260"/>
        <w:spacing w:after="0"/>
        <w:rPr>
          <w:sz w:val="20"/>
          <w:szCs w:val="20"/>
          <w:color w:val="auto"/>
        </w:rPr>
      </w:pPr>
      <w:r>
        <w:rPr>
          <w:rFonts w:ascii="Arial" w:cs="Arial" w:eastAsia="Arial" w:hAnsi="Arial"/>
          <w:sz w:val="14"/>
          <w:szCs w:val="14"/>
          <w:color w:val="666666"/>
        </w:rPr>
        <w:t>Karen M. Dahut</w:t>
      </w:r>
    </w:p>
    <w:p>
      <w:pPr>
        <w:spacing w:after="0" w:line="109" w:lineRule="exact"/>
        <w:rPr>
          <w:sz w:val="20"/>
          <w:szCs w:val="20"/>
          <w:color w:val="auto"/>
        </w:rPr>
      </w:pPr>
    </w:p>
    <w:p>
      <w:pPr>
        <w:ind w:left="2260"/>
        <w:spacing w:after="0"/>
        <w:rPr>
          <w:sz w:val="20"/>
          <w:szCs w:val="20"/>
          <w:color w:val="auto"/>
        </w:rPr>
      </w:pPr>
      <w:r>
        <w:rPr>
          <w:rFonts w:ascii="Arial" w:cs="Arial" w:eastAsia="Arial" w:hAnsi="Arial"/>
          <w:sz w:val="14"/>
          <w:szCs w:val="14"/>
          <w:color w:val="666666"/>
        </w:rPr>
        <w:t>Lloyd W. Howell, Jr.</w:t>
      </w:r>
    </w:p>
    <w:p>
      <w:pPr>
        <w:spacing w:after="0" w:line="109" w:lineRule="exact"/>
        <w:rPr>
          <w:sz w:val="20"/>
          <w:szCs w:val="20"/>
          <w:color w:val="auto"/>
        </w:rPr>
      </w:pPr>
    </w:p>
    <w:p>
      <w:pPr>
        <w:ind w:left="2260"/>
        <w:spacing w:after="0"/>
        <w:rPr>
          <w:sz w:val="20"/>
          <w:szCs w:val="20"/>
          <w:color w:val="auto"/>
        </w:rPr>
      </w:pPr>
      <w:r>
        <w:rPr>
          <w:rFonts w:ascii="Arial" w:cs="Arial" w:eastAsia="Arial" w:hAnsi="Arial"/>
          <w:sz w:val="14"/>
          <w:szCs w:val="14"/>
          <w:color w:val="666666"/>
        </w:rPr>
        <w:t>Nancy J. Laben</w:t>
      </w:r>
    </w:p>
    <w:p>
      <w:pPr>
        <w:spacing w:after="0" w:line="109" w:lineRule="exact"/>
        <w:rPr>
          <w:sz w:val="20"/>
          <w:szCs w:val="20"/>
          <w:color w:val="auto"/>
        </w:rPr>
      </w:pPr>
    </w:p>
    <w:p>
      <w:pPr>
        <w:ind w:left="2260"/>
        <w:spacing w:after="0"/>
        <w:rPr>
          <w:sz w:val="20"/>
          <w:szCs w:val="20"/>
          <w:color w:val="auto"/>
        </w:rPr>
      </w:pPr>
      <w:r>
        <w:rPr>
          <w:rFonts w:ascii="Arial" w:cs="Arial" w:eastAsia="Arial" w:hAnsi="Arial"/>
          <w:sz w:val="14"/>
          <w:szCs w:val="14"/>
          <w:color w:val="666666"/>
        </w:rPr>
        <w:t>Susan L. Penfield</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4"/>
          <w:szCs w:val="14"/>
          <w:color w:val="666666"/>
        </w:rPr>
        <w:t>All directors and executive officers as a group</w:t>
      </w:r>
    </w:p>
    <w:p>
      <w:pPr>
        <w:ind w:left="2260"/>
        <w:spacing w:after="0" w:line="184" w:lineRule="auto"/>
        <w:rPr>
          <w:sz w:val="20"/>
          <w:szCs w:val="20"/>
          <w:color w:val="auto"/>
        </w:rPr>
      </w:pPr>
      <w:r>
        <w:rPr>
          <w:rFonts w:ascii="Arial" w:cs="Arial" w:eastAsia="Arial" w:hAnsi="Arial"/>
          <w:sz w:val="14"/>
          <w:szCs w:val="14"/>
          <w:color w:val="666666"/>
        </w:rPr>
        <w:t>(21 persons)</w:t>
      </w:r>
      <w:r>
        <w:rPr>
          <w:rFonts w:ascii="Arial" w:cs="Arial" w:eastAsia="Arial" w:hAnsi="Arial"/>
          <w:sz w:val="22"/>
          <w:szCs w:val="22"/>
          <w:color w:val="666666"/>
          <w:vertAlign w:val="superscript"/>
        </w:rPr>
        <w:t>(7)</w:t>
      </w:r>
    </w:p>
    <w:p>
      <w:pPr>
        <w:ind w:left="660" w:hanging="288"/>
        <w:spacing w:after="0"/>
        <w:tabs>
          <w:tab w:leader="none" w:pos="660" w:val="left"/>
        </w:tabs>
        <w:numPr>
          <w:ilvl w:val="0"/>
          <w:numId w:val="23"/>
        </w:numPr>
        <w:rPr>
          <w:rFonts w:ascii="Arial" w:cs="Arial" w:eastAsia="Arial" w:hAnsi="Arial"/>
          <w:sz w:val="14"/>
          <w:szCs w:val="14"/>
          <w:color w:val="666666"/>
        </w:rPr>
      </w:pPr>
      <w:r>
        <w:rPr>
          <w:rFonts w:ascii="Arial" w:cs="Arial" w:eastAsia="Arial" w:hAnsi="Arial"/>
          <w:sz w:val="14"/>
          <w:szCs w:val="14"/>
          <w:color w:val="666666"/>
        </w:rPr>
        <w:t>Represents beneficial ownership of less than 1%.</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1320" w:type="dxa"/>
            <w:vAlign w:val="bottom"/>
          </w:tcPr>
          <w:p>
            <w:pPr>
              <w:jc w:val="center"/>
              <w:ind w:right="588"/>
              <w:spacing w:after="0"/>
              <w:rPr>
                <w:sz w:val="20"/>
                <w:szCs w:val="20"/>
                <w:color w:val="auto"/>
              </w:rPr>
            </w:pPr>
            <w:r>
              <w:rPr>
                <w:rFonts w:ascii="Arial" w:cs="Arial" w:eastAsia="Arial" w:hAnsi="Arial"/>
                <w:sz w:val="14"/>
                <w:szCs w:val="14"/>
                <w:color w:val="666666"/>
                <w:w w:val="95"/>
              </w:rPr>
              <w:t>242,726</w:t>
            </w:r>
            <w:r>
              <w:rPr>
                <w:rFonts w:ascii="Arial" w:cs="Arial" w:eastAsia="Arial" w:hAnsi="Arial"/>
                <w:sz w:val="23"/>
                <w:szCs w:val="23"/>
                <w:color w:val="666666"/>
                <w:w w:val="95"/>
                <w:vertAlign w:val="superscript"/>
              </w:rPr>
              <w:t>(3)</w:t>
            </w:r>
          </w:p>
        </w:tc>
        <w:tc>
          <w:tcPr>
            <w:tcW w:w="980" w:type="dxa"/>
            <w:vAlign w:val="bottom"/>
          </w:tcPr>
          <w:p>
            <w:pPr>
              <w:jc w:val="center"/>
              <w:ind w:left="568"/>
              <w:spacing w:after="0"/>
              <w:rPr>
                <w:sz w:val="20"/>
                <w:szCs w:val="20"/>
                <w:color w:val="auto"/>
              </w:rPr>
            </w:pPr>
            <w:r>
              <w:rPr>
                <w:rFonts w:ascii="Arial" w:cs="Arial" w:eastAsia="Arial" w:hAnsi="Arial"/>
                <w:sz w:val="14"/>
                <w:szCs w:val="14"/>
                <w:color w:val="666666"/>
              </w:rPr>
              <w:t>*</w:t>
            </w:r>
          </w:p>
        </w:tc>
      </w:tr>
      <w:tr>
        <w:trPr>
          <w:trHeight w:val="275"/>
        </w:trPr>
        <w:tc>
          <w:tcPr>
            <w:tcW w:w="1320" w:type="dxa"/>
            <w:vAlign w:val="bottom"/>
          </w:tcPr>
          <w:p>
            <w:pPr>
              <w:jc w:val="center"/>
              <w:ind w:right="588"/>
              <w:spacing w:after="0"/>
              <w:rPr>
                <w:sz w:val="20"/>
                <w:szCs w:val="20"/>
                <w:color w:val="auto"/>
              </w:rPr>
            </w:pPr>
            <w:r>
              <w:rPr>
                <w:rFonts w:ascii="Arial" w:cs="Arial" w:eastAsia="Arial" w:hAnsi="Arial"/>
                <w:sz w:val="14"/>
                <w:szCs w:val="14"/>
                <w:color w:val="666666"/>
                <w:w w:val="95"/>
              </w:rPr>
              <w:t>186,764</w:t>
            </w:r>
            <w:r>
              <w:rPr>
                <w:rFonts w:ascii="Arial" w:cs="Arial" w:eastAsia="Arial" w:hAnsi="Arial"/>
                <w:sz w:val="23"/>
                <w:szCs w:val="23"/>
                <w:color w:val="666666"/>
                <w:w w:val="95"/>
                <w:vertAlign w:val="superscript"/>
              </w:rPr>
              <w:t>(4)</w:t>
            </w:r>
          </w:p>
        </w:tc>
        <w:tc>
          <w:tcPr>
            <w:tcW w:w="980" w:type="dxa"/>
            <w:vAlign w:val="bottom"/>
          </w:tcPr>
          <w:p>
            <w:pPr>
              <w:jc w:val="center"/>
              <w:ind w:left="568"/>
              <w:spacing w:after="0"/>
              <w:rPr>
                <w:sz w:val="20"/>
                <w:szCs w:val="20"/>
                <w:color w:val="auto"/>
              </w:rPr>
            </w:pPr>
            <w:r>
              <w:rPr>
                <w:rFonts w:ascii="Arial" w:cs="Arial" w:eastAsia="Arial" w:hAnsi="Arial"/>
                <w:sz w:val="14"/>
                <w:szCs w:val="14"/>
                <w:color w:val="666666"/>
              </w:rPr>
              <w:t>*</w:t>
            </w:r>
          </w:p>
        </w:tc>
      </w:tr>
      <w:tr>
        <w:trPr>
          <w:trHeight w:val="265"/>
        </w:trPr>
        <w:tc>
          <w:tcPr>
            <w:tcW w:w="1320" w:type="dxa"/>
            <w:vAlign w:val="bottom"/>
          </w:tcPr>
          <w:p>
            <w:pPr>
              <w:jc w:val="center"/>
              <w:ind w:right="588"/>
              <w:spacing w:after="0"/>
              <w:rPr>
                <w:sz w:val="20"/>
                <w:szCs w:val="20"/>
                <w:color w:val="auto"/>
              </w:rPr>
            </w:pPr>
            <w:r>
              <w:rPr>
                <w:rFonts w:ascii="Arial" w:cs="Arial" w:eastAsia="Arial" w:hAnsi="Arial"/>
                <w:sz w:val="14"/>
                <w:szCs w:val="14"/>
                <w:color w:val="666666"/>
                <w:w w:val="94"/>
              </w:rPr>
              <w:t>43,492</w:t>
            </w:r>
            <w:r>
              <w:rPr>
                <w:rFonts w:ascii="Arial" w:cs="Arial" w:eastAsia="Arial" w:hAnsi="Arial"/>
                <w:sz w:val="23"/>
                <w:szCs w:val="23"/>
                <w:color w:val="666666"/>
                <w:w w:val="94"/>
                <w:vertAlign w:val="superscript"/>
              </w:rPr>
              <w:t>(5)</w:t>
            </w:r>
          </w:p>
        </w:tc>
        <w:tc>
          <w:tcPr>
            <w:tcW w:w="980" w:type="dxa"/>
            <w:vAlign w:val="bottom"/>
          </w:tcPr>
          <w:p>
            <w:pPr>
              <w:jc w:val="center"/>
              <w:ind w:left="568"/>
              <w:spacing w:after="0"/>
              <w:rPr>
                <w:sz w:val="20"/>
                <w:szCs w:val="20"/>
                <w:color w:val="auto"/>
              </w:rPr>
            </w:pPr>
            <w:r>
              <w:rPr>
                <w:rFonts w:ascii="Arial" w:cs="Arial" w:eastAsia="Arial" w:hAnsi="Arial"/>
                <w:sz w:val="14"/>
                <w:szCs w:val="14"/>
                <w:color w:val="666666"/>
              </w:rPr>
              <w:t>*</w:t>
            </w:r>
          </w:p>
        </w:tc>
      </w:tr>
      <w:tr>
        <w:trPr>
          <w:trHeight w:val="307"/>
        </w:trPr>
        <w:tc>
          <w:tcPr>
            <w:tcW w:w="1320" w:type="dxa"/>
            <w:vAlign w:val="bottom"/>
          </w:tcPr>
          <w:p>
            <w:pPr>
              <w:jc w:val="center"/>
              <w:ind w:right="588"/>
              <w:spacing w:after="0"/>
              <w:rPr>
                <w:sz w:val="20"/>
                <w:szCs w:val="20"/>
                <w:color w:val="auto"/>
              </w:rPr>
            </w:pPr>
            <w:r>
              <w:rPr>
                <w:rFonts w:ascii="Arial" w:cs="Arial" w:eastAsia="Arial" w:hAnsi="Arial"/>
                <w:sz w:val="14"/>
                <w:szCs w:val="14"/>
                <w:color w:val="666666"/>
                <w:w w:val="94"/>
              </w:rPr>
              <w:t>67,585</w:t>
            </w:r>
            <w:r>
              <w:rPr>
                <w:rFonts w:ascii="Arial" w:cs="Arial" w:eastAsia="Arial" w:hAnsi="Arial"/>
                <w:sz w:val="23"/>
                <w:szCs w:val="23"/>
                <w:color w:val="666666"/>
                <w:w w:val="94"/>
                <w:vertAlign w:val="superscript"/>
              </w:rPr>
              <w:t>(6)</w:t>
            </w:r>
          </w:p>
        </w:tc>
        <w:tc>
          <w:tcPr>
            <w:tcW w:w="980" w:type="dxa"/>
            <w:vAlign w:val="bottom"/>
          </w:tcPr>
          <w:p>
            <w:pPr>
              <w:jc w:val="center"/>
              <w:ind w:left="568"/>
              <w:spacing w:after="0"/>
              <w:rPr>
                <w:sz w:val="20"/>
                <w:szCs w:val="20"/>
                <w:color w:val="auto"/>
              </w:rPr>
            </w:pPr>
            <w:r>
              <w:rPr>
                <w:rFonts w:ascii="Arial" w:cs="Arial" w:eastAsia="Arial" w:hAnsi="Arial"/>
                <w:sz w:val="14"/>
                <w:szCs w:val="14"/>
                <w:color w:val="666666"/>
              </w:rPr>
              <w:t>*</w:t>
            </w:r>
          </w:p>
        </w:tc>
      </w:tr>
      <w:tr>
        <w:trPr>
          <w:trHeight w:val="275"/>
        </w:trPr>
        <w:tc>
          <w:tcPr>
            <w:tcW w:w="1320" w:type="dxa"/>
            <w:vAlign w:val="bottom"/>
          </w:tcPr>
          <w:p>
            <w:pPr>
              <w:jc w:val="center"/>
              <w:ind w:right="608"/>
              <w:spacing w:after="0"/>
              <w:rPr>
                <w:sz w:val="20"/>
                <w:szCs w:val="20"/>
                <w:color w:val="auto"/>
              </w:rPr>
            </w:pPr>
            <w:r>
              <w:rPr>
                <w:rFonts w:ascii="Arial" w:cs="Arial" w:eastAsia="Arial" w:hAnsi="Arial"/>
                <w:sz w:val="14"/>
                <w:szCs w:val="14"/>
                <w:color w:val="666666"/>
              </w:rPr>
              <w:t>2,780,729</w:t>
            </w:r>
          </w:p>
        </w:tc>
        <w:tc>
          <w:tcPr>
            <w:tcW w:w="980" w:type="dxa"/>
            <w:vAlign w:val="bottom"/>
          </w:tcPr>
          <w:p>
            <w:pPr>
              <w:jc w:val="center"/>
              <w:ind w:left="568"/>
              <w:spacing w:after="0"/>
              <w:rPr>
                <w:sz w:val="20"/>
                <w:szCs w:val="20"/>
                <w:color w:val="auto"/>
              </w:rPr>
            </w:pPr>
            <w:r>
              <w:rPr>
                <w:rFonts w:ascii="Arial" w:cs="Arial" w:eastAsia="Arial" w:hAnsi="Arial"/>
                <w:sz w:val="14"/>
                <w:szCs w:val="14"/>
                <w:color w:val="666666"/>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-2453640</wp:posOffset>
            </wp:positionH>
            <wp:positionV relativeFrom="paragraph">
              <wp:posOffset>-746125</wp:posOffset>
            </wp:positionV>
            <wp:extent cx="43116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11650" cy="171450"/>
                    </a:xfrm>
                    <a:prstGeom prst="rect">
                      <a:avLst/>
                    </a:prstGeom>
                    <a:noFill/>
                  </pic:spPr>
                </pic:pic>
              </a:graphicData>
            </a:graphic>
          </wp:anchor>
        </w:drawing>
        <w:drawing>
          <wp:anchor simplePos="0" relativeHeight="251657728" behindDoc="1" locked="0" layoutInCell="0" allowOverlap="1">
            <wp:simplePos x="0" y="0"/>
            <wp:positionH relativeFrom="column">
              <wp:posOffset>-2453640</wp:posOffset>
            </wp:positionH>
            <wp:positionV relativeFrom="paragraph">
              <wp:posOffset>-403225</wp:posOffset>
            </wp:positionV>
            <wp:extent cx="43116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1650" cy="171450"/>
                    </a:xfrm>
                    <a:prstGeom prst="rect">
                      <a:avLst/>
                    </a:prstGeom>
                    <a:noFill/>
                  </pic:spPr>
                </pic:pic>
              </a:graphicData>
            </a:graphic>
          </wp:anchor>
        </w:drawing>
      </w:r>
    </w:p>
    <w:p>
      <w:pPr>
        <w:spacing w:after="0" w:line="377" w:lineRule="exact"/>
        <w:rPr>
          <w:sz w:val="20"/>
          <w:szCs w:val="20"/>
          <w:color w:val="auto"/>
        </w:rPr>
      </w:pPr>
    </w:p>
    <w:p>
      <w:pPr>
        <w:sectPr>
          <w:pgSz w:w="11900" w:h="16838" w:orient="portrait"/>
          <w:cols w:equalWidth="0" w:num="2">
            <w:col w:w="5380" w:space="720"/>
            <w:col w:w="5140"/>
          </w:cols>
          <w:pgMar w:left="320" w:top="689" w:right="33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666666"/>
        </w:rPr>
        <w:t>23</w:t>
      </w:r>
    </w:p>
    <w:p>
      <w:pPr>
        <w:sectPr>
          <w:pgSz w:w="11900" w:h="16838" w:orient="portrait"/>
          <w:cols w:equalWidth="0" w:num="1">
            <w:col w:w="11240"/>
          </w:cols>
          <w:pgMar w:left="320" w:top="689" w:right="339" w:bottom="1440" w:gutter="0" w:footer="0" w:header="0"/>
          <w:type w:val="continuous"/>
        </w:sectPr>
      </w:pPr>
    </w:p>
    <w:bookmarkStart w:id="32" w:name="page33"/>
    <w:bookmarkEnd w:id="32"/>
    <w:p>
      <w:pPr>
        <w:ind w:left="640" w:hanging="403"/>
        <w:spacing w:after="0"/>
        <w:tabs>
          <w:tab w:leader="none" w:pos="640" w:val="left"/>
        </w:tabs>
        <w:numPr>
          <w:ilvl w:val="0"/>
          <w:numId w:val="24"/>
        </w:numPr>
        <w:rPr>
          <w:rFonts w:ascii="Arial" w:cs="Arial" w:eastAsia="Arial" w:hAnsi="Arial"/>
          <w:sz w:val="14"/>
          <w:szCs w:val="14"/>
          <w:color w:val="666666"/>
        </w:rPr>
      </w:pPr>
      <w:r>
        <w:rPr>
          <w:rFonts w:ascii="Arial" w:cs="Arial" w:eastAsia="Arial" w:hAnsi="Arial"/>
          <w:sz w:val="14"/>
          <w:szCs w:val="14"/>
          <w:color w:val="666666"/>
        </w:rPr>
        <w:t>Includes 89,380 shares that Mr. Rozanski has the right to acquire through the exercise of options.</w:t>
      </w:r>
    </w:p>
    <w:p>
      <w:pPr>
        <w:spacing w:after="0" w:line="163" w:lineRule="exact"/>
        <w:rPr>
          <w:rFonts w:ascii="Arial" w:cs="Arial" w:eastAsia="Arial" w:hAnsi="Arial"/>
          <w:sz w:val="14"/>
          <w:szCs w:val="14"/>
          <w:color w:val="666666"/>
        </w:rPr>
      </w:pPr>
    </w:p>
    <w:p>
      <w:pPr>
        <w:ind w:left="640" w:hanging="403"/>
        <w:spacing w:after="0"/>
        <w:tabs>
          <w:tab w:leader="none" w:pos="640" w:val="left"/>
        </w:tabs>
        <w:numPr>
          <w:ilvl w:val="0"/>
          <w:numId w:val="24"/>
        </w:numPr>
        <w:rPr>
          <w:rFonts w:ascii="Arial" w:cs="Arial" w:eastAsia="Arial" w:hAnsi="Arial"/>
          <w:sz w:val="14"/>
          <w:szCs w:val="14"/>
          <w:color w:val="666666"/>
        </w:rPr>
      </w:pPr>
      <w:r>
        <w:rPr>
          <w:rFonts w:ascii="Arial" w:cs="Arial" w:eastAsia="Arial" w:hAnsi="Arial"/>
          <w:sz w:val="14"/>
          <w:szCs w:val="14"/>
          <w:color w:val="666666"/>
        </w:rPr>
        <w:t>Dr. Shrader shares investment power and voting power with his wife, Mrs. Janice W. Shrader, for 1,011,090 shares in the Ralph W. Shrader Revocable Trust.</w:t>
      </w:r>
    </w:p>
    <w:p>
      <w:pPr>
        <w:spacing w:after="0" w:line="163" w:lineRule="exact"/>
        <w:rPr>
          <w:rFonts w:ascii="Arial" w:cs="Arial" w:eastAsia="Arial" w:hAnsi="Arial"/>
          <w:sz w:val="14"/>
          <w:szCs w:val="14"/>
          <w:color w:val="666666"/>
        </w:rPr>
      </w:pPr>
    </w:p>
    <w:p>
      <w:pPr>
        <w:ind w:left="640" w:hanging="403"/>
        <w:spacing w:after="0"/>
        <w:tabs>
          <w:tab w:leader="none" w:pos="640" w:val="left"/>
        </w:tabs>
        <w:numPr>
          <w:ilvl w:val="0"/>
          <w:numId w:val="24"/>
        </w:numPr>
        <w:rPr>
          <w:rFonts w:ascii="Arial" w:cs="Arial" w:eastAsia="Arial" w:hAnsi="Arial"/>
          <w:sz w:val="14"/>
          <w:szCs w:val="14"/>
          <w:color w:val="666666"/>
        </w:rPr>
      </w:pPr>
      <w:r>
        <w:rPr>
          <w:rFonts w:ascii="Arial" w:cs="Arial" w:eastAsia="Arial" w:hAnsi="Arial"/>
          <w:sz w:val="14"/>
          <w:szCs w:val="14"/>
          <w:color w:val="666666"/>
        </w:rPr>
        <w:t>Includes 121,656 shares that Ms. Dahut has the right to acquire through the exercise of options.</w:t>
      </w:r>
    </w:p>
    <w:p>
      <w:pPr>
        <w:spacing w:after="0" w:line="163" w:lineRule="exact"/>
        <w:rPr>
          <w:rFonts w:ascii="Arial" w:cs="Arial" w:eastAsia="Arial" w:hAnsi="Arial"/>
          <w:sz w:val="14"/>
          <w:szCs w:val="14"/>
          <w:color w:val="666666"/>
        </w:rPr>
      </w:pPr>
    </w:p>
    <w:p>
      <w:pPr>
        <w:ind w:left="640" w:hanging="403"/>
        <w:spacing w:after="0"/>
        <w:tabs>
          <w:tab w:leader="none" w:pos="640" w:val="left"/>
        </w:tabs>
        <w:numPr>
          <w:ilvl w:val="0"/>
          <w:numId w:val="24"/>
        </w:numPr>
        <w:rPr>
          <w:rFonts w:ascii="Arial" w:cs="Arial" w:eastAsia="Arial" w:hAnsi="Arial"/>
          <w:sz w:val="14"/>
          <w:szCs w:val="14"/>
          <w:color w:val="666666"/>
        </w:rPr>
      </w:pPr>
      <w:r>
        <w:rPr>
          <w:rFonts w:ascii="Arial" w:cs="Arial" w:eastAsia="Arial" w:hAnsi="Arial"/>
          <w:sz w:val="14"/>
          <w:szCs w:val="14"/>
          <w:color w:val="666666"/>
        </w:rPr>
        <w:t>Includes 31,656 shares that Mr. Howell has the right to acquire through the exercise of options.</w:t>
      </w:r>
    </w:p>
    <w:p>
      <w:pPr>
        <w:spacing w:after="0" w:line="163" w:lineRule="exact"/>
        <w:rPr>
          <w:rFonts w:ascii="Arial" w:cs="Arial" w:eastAsia="Arial" w:hAnsi="Arial"/>
          <w:sz w:val="14"/>
          <w:szCs w:val="14"/>
          <w:color w:val="666666"/>
        </w:rPr>
      </w:pPr>
    </w:p>
    <w:p>
      <w:pPr>
        <w:ind w:left="640" w:hanging="403"/>
        <w:spacing w:after="0"/>
        <w:tabs>
          <w:tab w:leader="none" w:pos="640" w:val="left"/>
        </w:tabs>
        <w:numPr>
          <w:ilvl w:val="0"/>
          <w:numId w:val="24"/>
        </w:numPr>
        <w:rPr>
          <w:rFonts w:ascii="Arial" w:cs="Arial" w:eastAsia="Arial" w:hAnsi="Arial"/>
          <w:sz w:val="14"/>
          <w:szCs w:val="14"/>
          <w:color w:val="666666"/>
        </w:rPr>
      </w:pPr>
      <w:r>
        <w:rPr>
          <w:rFonts w:ascii="Arial" w:cs="Arial" w:eastAsia="Arial" w:hAnsi="Arial"/>
          <w:sz w:val="14"/>
          <w:szCs w:val="14"/>
          <w:color w:val="666666"/>
        </w:rPr>
        <w:t>Includes 22,740 shares that Ms. Laben has the right to acquire through the exercise of options.</w:t>
      </w:r>
    </w:p>
    <w:p>
      <w:pPr>
        <w:spacing w:after="0" w:line="163" w:lineRule="exact"/>
        <w:rPr>
          <w:rFonts w:ascii="Arial" w:cs="Arial" w:eastAsia="Arial" w:hAnsi="Arial"/>
          <w:sz w:val="14"/>
          <w:szCs w:val="14"/>
          <w:color w:val="666666"/>
        </w:rPr>
      </w:pPr>
    </w:p>
    <w:p>
      <w:pPr>
        <w:ind w:left="640" w:hanging="403"/>
        <w:spacing w:after="0"/>
        <w:tabs>
          <w:tab w:leader="none" w:pos="640" w:val="left"/>
        </w:tabs>
        <w:numPr>
          <w:ilvl w:val="0"/>
          <w:numId w:val="24"/>
        </w:numPr>
        <w:rPr>
          <w:rFonts w:ascii="Arial" w:cs="Arial" w:eastAsia="Arial" w:hAnsi="Arial"/>
          <w:sz w:val="14"/>
          <w:szCs w:val="14"/>
          <w:color w:val="666666"/>
        </w:rPr>
      </w:pPr>
      <w:r>
        <w:rPr>
          <w:rFonts w:ascii="Arial" w:cs="Arial" w:eastAsia="Arial" w:hAnsi="Arial"/>
          <w:sz w:val="14"/>
          <w:szCs w:val="14"/>
          <w:color w:val="666666"/>
        </w:rPr>
        <w:t>Includes 51,021 shares that Ms. Penfield has the right to acquire through the exercise of options.</w:t>
      </w:r>
    </w:p>
    <w:p>
      <w:pPr>
        <w:spacing w:after="0" w:line="163" w:lineRule="exact"/>
        <w:rPr>
          <w:rFonts w:ascii="Arial" w:cs="Arial" w:eastAsia="Arial" w:hAnsi="Arial"/>
          <w:sz w:val="14"/>
          <w:szCs w:val="14"/>
          <w:color w:val="666666"/>
        </w:rPr>
      </w:pPr>
    </w:p>
    <w:p>
      <w:pPr>
        <w:ind w:left="640" w:hanging="403"/>
        <w:spacing w:after="0"/>
        <w:tabs>
          <w:tab w:leader="none" w:pos="640" w:val="left"/>
        </w:tabs>
        <w:numPr>
          <w:ilvl w:val="0"/>
          <w:numId w:val="24"/>
        </w:numPr>
        <w:rPr>
          <w:rFonts w:ascii="Arial" w:cs="Arial" w:eastAsia="Arial" w:hAnsi="Arial"/>
          <w:sz w:val="14"/>
          <w:szCs w:val="14"/>
          <w:color w:val="666666"/>
        </w:rPr>
      </w:pPr>
      <w:r>
        <w:rPr>
          <w:rFonts w:ascii="Arial" w:cs="Arial" w:eastAsia="Arial" w:hAnsi="Arial"/>
          <w:sz w:val="14"/>
          <w:szCs w:val="14"/>
          <w:color w:val="666666"/>
        </w:rPr>
        <w:t>Includes 432,255 shares that the directors and executive officers, in aggregate, have the right to acquire through the exercise of options.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20"/>
          <w:szCs w:val="20"/>
          <w:b w:val="1"/>
          <w:bCs w:val="1"/>
          <w:u w:val="single" w:color="auto"/>
          <w:color w:val="547BCC"/>
        </w:rPr>
        <w:t>Security Ownership of Certain Beneficial Owners</w:t>
      </w:r>
    </w:p>
    <w:p>
      <w:pPr>
        <w:spacing w:after="0" w:line="348" w:lineRule="exact"/>
        <w:rPr>
          <w:sz w:val="20"/>
          <w:szCs w:val="20"/>
          <w:color w:val="auto"/>
        </w:rPr>
      </w:pPr>
    </w:p>
    <w:p>
      <w:pPr>
        <w:ind w:right="20" w:firstLine="432"/>
        <w:spacing w:after="0" w:line="246" w:lineRule="auto"/>
        <w:rPr>
          <w:sz w:val="20"/>
          <w:szCs w:val="20"/>
          <w:color w:val="auto"/>
        </w:rPr>
      </w:pPr>
      <w:r>
        <w:rPr>
          <w:rFonts w:ascii="Arial" w:cs="Arial" w:eastAsia="Arial" w:hAnsi="Arial"/>
          <w:sz w:val="20"/>
          <w:szCs w:val="20"/>
          <w:color w:val="666666"/>
        </w:rPr>
        <w:t>The following table sets forth information as to any person known to us to be the beneficial owner of more than 5% of our Class A common stock.</w:t>
      </w:r>
    </w:p>
    <w:p>
      <w:pPr>
        <w:spacing w:after="0" w:line="14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666666"/>
              </w:rPr>
              <w:t>Shares Beneficially</w:t>
            </w:r>
          </w:p>
        </w:tc>
        <w:tc>
          <w:tcPr>
            <w:tcW w:w="1640" w:type="dxa"/>
            <w:vAlign w:val="bottom"/>
          </w:tcPr>
          <w:p>
            <w:pPr>
              <w:spacing w:after="0"/>
              <w:rPr>
                <w:sz w:val="14"/>
                <w:szCs w:val="14"/>
                <w:color w:val="auto"/>
              </w:rPr>
            </w:pPr>
          </w:p>
        </w:tc>
      </w:tr>
      <w:tr>
        <w:trPr>
          <w:trHeight w:val="196"/>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666666"/>
              </w:rPr>
              <w:t>Name and Address</w:t>
            </w:r>
          </w:p>
        </w:tc>
        <w:tc>
          <w:tcPr>
            <w:tcW w:w="260" w:type="dxa"/>
            <w:vAlign w:val="bottom"/>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666666"/>
              </w:rPr>
              <w:t>Owned</w:t>
            </w:r>
          </w:p>
        </w:tc>
        <w:tc>
          <w:tcPr>
            <w:tcW w:w="240" w:type="dxa"/>
            <w:vAlign w:val="bottom"/>
          </w:tcPr>
          <w:p>
            <w:pPr>
              <w:spacing w:after="0"/>
              <w:rPr>
                <w:sz w:val="17"/>
                <w:szCs w:val="17"/>
                <w:color w:val="auto"/>
              </w:rPr>
            </w:pPr>
          </w:p>
        </w:tc>
        <w:tc>
          <w:tcPr>
            <w:tcW w:w="1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666666"/>
              </w:rPr>
              <w:t>Percentage of Class</w:t>
            </w:r>
          </w:p>
        </w:tc>
      </w:tr>
      <w:tr>
        <w:trPr>
          <w:trHeight w:val="193"/>
        </w:trPr>
        <w:tc>
          <w:tcPr>
            <w:tcW w:w="4320" w:type="dxa"/>
            <w:vAlign w:val="bottom"/>
            <w:gridSpan w:val="2"/>
          </w:tcPr>
          <w:p>
            <w:pPr>
              <w:ind w:left="20"/>
              <w:spacing w:after="0" w:line="193" w:lineRule="exact"/>
              <w:rPr>
                <w:sz w:val="20"/>
                <w:szCs w:val="20"/>
                <w:color w:val="auto"/>
              </w:rPr>
            </w:pPr>
            <w:r>
              <w:rPr>
                <w:rFonts w:ascii="Arial" w:cs="Arial" w:eastAsia="Arial" w:hAnsi="Arial"/>
                <w:sz w:val="14"/>
                <w:szCs w:val="14"/>
                <w:b w:val="1"/>
                <w:bCs w:val="1"/>
                <w:color w:val="666666"/>
              </w:rPr>
              <w:t xml:space="preserve">Blackrock, Inc. </w:t>
            </w:r>
            <w:r>
              <w:rPr>
                <w:rFonts w:ascii="Arial" w:cs="Arial" w:eastAsia="Arial" w:hAnsi="Arial"/>
                <w:sz w:val="22"/>
                <w:szCs w:val="22"/>
                <w:color w:val="666666"/>
                <w:vertAlign w:val="superscript"/>
              </w:rPr>
              <w:t>(1)</w:t>
            </w: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62"/>
        </w:trPr>
        <w:tc>
          <w:tcPr>
            <w:tcW w:w="4320" w:type="dxa"/>
            <w:vAlign w:val="bottom"/>
            <w:gridSpan w:val="2"/>
          </w:tcPr>
          <w:p>
            <w:pPr>
              <w:ind w:left="20"/>
              <w:spacing w:after="0"/>
              <w:rPr>
                <w:sz w:val="20"/>
                <w:szCs w:val="20"/>
                <w:color w:val="auto"/>
              </w:rPr>
            </w:pPr>
            <w:r>
              <w:rPr>
                <w:rFonts w:ascii="Arial" w:cs="Arial" w:eastAsia="Arial" w:hAnsi="Arial"/>
                <w:sz w:val="14"/>
                <w:szCs w:val="14"/>
                <w:color w:val="666666"/>
              </w:rPr>
              <w:t>55 East 52nd Street</w:t>
            </w:r>
          </w:p>
        </w:tc>
        <w:tc>
          <w:tcPr>
            <w:tcW w:w="1660" w:type="dxa"/>
            <w:vAlign w:val="bottom"/>
          </w:tcPr>
          <w:p>
            <w:pPr>
              <w:jc w:val="center"/>
              <w:spacing w:after="0"/>
              <w:rPr>
                <w:sz w:val="20"/>
                <w:szCs w:val="20"/>
                <w:color w:val="auto"/>
              </w:rPr>
            </w:pPr>
            <w:r>
              <w:rPr>
                <w:rFonts w:ascii="Arial" w:cs="Arial" w:eastAsia="Arial" w:hAnsi="Arial"/>
                <w:sz w:val="14"/>
                <w:szCs w:val="14"/>
                <w:color w:val="666666"/>
              </w:rPr>
              <w:t>10,354,677</w:t>
            </w:r>
          </w:p>
        </w:tc>
        <w:tc>
          <w:tcPr>
            <w:tcW w:w="2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666666"/>
              </w:rPr>
              <w:t>7.5%</w:t>
            </w:r>
          </w:p>
        </w:tc>
      </w:tr>
      <w:tr>
        <w:trPr>
          <w:trHeight w:val="172"/>
        </w:trPr>
        <w:tc>
          <w:tcPr>
            <w:tcW w:w="4320" w:type="dxa"/>
            <w:vAlign w:val="bottom"/>
            <w:gridSpan w:val="2"/>
          </w:tcPr>
          <w:p>
            <w:pPr>
              <w:ind w:left="20"/>
              <w:spacing w:after="0"/>
              <w:rPr>
                <w:sz w:val="20"/>
                <w:szCs w:val="20"/>
                <w:color w:val="auto"/>
              </w:rPr>
            </w:pPr>
            <w:r>
              <w:rPr>
                <w:rFonts w:ascii="Arial" w:cs="Arial" w:eastAsia="Arial" w:hAnsi="Arial"/>
                <w:sz w:val="14"/>
                <w:szCs w:val="14"/>
                <w:color w:val="666666"/>
              </w:rPr>
              <w:t>New York, NY 10055</w:t>
            </w: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06"/>
        </w:trPr>
        <w:tc>
          <w:tcPr>
            <w:tcW w:w="4320" w:type="dxa"/>
            <w:vAlign w:val="bottom"/>
            <w:gridSpan w:val="2"/>
          </w:tcPr>
          <w:p>
            <w:pPr>
              <w:ind w:left="20"/>
              <w:spacing w:after="0" w:line="205" w:lineRule="exact"/>
              <w:rPr>
                <w:sz w:val="20"/>
                <w:szCs w:val="20"/>
                <w:color w:val="auto"/>
              </w:rPr>
            </w:pPr>
            <w:r>
              <w:rPr>
                <w:rFonts w:ascii="Arial" w:cs="Arial" w:eastAsia="Arial" w:hAnsi="Arial"/>
                <w:sz w:val="14"/>
                <w:szCs w:val="14"/>
                <w:b w:val="1"/>
                <w:bCs w:val="1"/>
                <w:color w:val="666666"/>
              </w:rPr>
              <w:t xml:space="preserve">T. Rowe Price Associates, Inc. </w:t>
            </w:r>
            <w:r>
              <w:rPr>
                <w:rFonts w:ascii="Arial" w:cs="Arial" w:eastAsia="Arial" w:hAnsi="Arial"/>
                <w:sz w:val="23"/>
                <w:szCs w:val="23"/>
                <w:color w:val="666666"/>
                <w:vertAlign w:val="superscript"/>
              </w:rPr>
              <w:t>(2)</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62"/>
        </w:trPr>
        <w:tc>
          <w:tcPr>
            <w:tcW w:w="4320" w:type="dxa"/>
            <w:vAlign w:val="bottom"/>
            <w:gridSpan w:val="2"/>
          </w:tcPr>
          <w:p>
            <w:pPr>
              <w:ind w:left="20"/>
              <w:spacing w:after="0"/>
              <w:rPr>
                <w:sz w:val="20"/>
                <w:szCs w:val="20"/>
                <w:color w:val="auto"/>
              </w:rPr>
            </w:pPr>
            <w:r>
              <w:rPr>
                <w:rFonts w:ascii="Arial" w:cs="Arial" w:eastAsia="Arial" w:hAnsi="Arial"/>
                <w:sz w:val="14"/>
                <w:szCs w:val="14"/>
                <w:color w:val="666666"/>
              </w:rPr>
              <w:t>100 E. Pratt Street</w:t>
            </w:r>
          </w:p>
        </w:tc>
        <w:tc>
          <w:tcPr>
            <w:tcW w:w="1660" w:type="dxa"/>
            <w:vAlign w:val="bottom"/>
          </w:tcPr>
          <w:p>
            <w:pPr>
              <w:jc w:val="center"/>
              <w:spacing w:after="0"/>
              <w:rPr>
                <w:sz w:val="20"/>
                <w:szCs w:val="20"/>
                <w:color w:val="auto"/>
              </w:rPr>
            </w:pPr>
            <w:r>
              <w:rPr>
                <w:rFonts w:ascii="Arial" w:cs="Arial" w:eastAsia="Arial" w:hAnsi="Arial"/>
                <w:sz w:val="14"/>
                <w:szCs w:val="14"/>
                <w:color w:val="666666"/>
              </w:rPr>
              <w:t>16,653,500</w:t>
            </w:r>
          </w:p>
        </w:tc>
        <w:tc>
          <w:tcPr>
            <w:tcW w:w="2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666666"/>
              </w:rPr>
              <w:t>12.1%</w:t>
            </w:r>
          </w:p>
        </w:tc>
      </w:tr>
      <w:tr>
        <w:trPr>
          <w:trHeight w:val="172"/>
        </w:trPr>
        <w:tc>
          <w:tcPr>
            <w:tcW w:w="4320" w:type="dxa"/>
            <w:vAlign w:val="bottom"/>
            <w:gridSpan w:val="2"/>
          </w:tcPr>
          <w:p>
            <w:pPr>
              <w:ind w:left="20"/>
              <w:spacing w:after="0"/>
              <w:rPr>
                <w:sz w:val="20"/>
                <w:szCs w:val="20"/>
                <w:color w:val="auto"/>
              </w:rPr>
            </w:pPr>
            <w:r>
              <w:rPr>
                <w:rFonts w:ascii="Arial" w:cs="Arial" w:eastAsia="Arial" w:hAnsi="Arial"/>
                <w:sz w:val="14"/>
                <w:szCs w:val="14"/>
                <w:color w:val="666666"/>
              </w:rPr>
              <w:t>Baltimore, Maryland 21202</w:t>
            </w: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06"/>
        </w:trPr>
        <w:tc>
          <w:tcPr>
            <w:tcW w:w="4320" w:type="dxa"/>
            <w:vAlign w:val="bottom"/>
            <w:gridSpan w:val="2"/>
          </w:tcPr>
          <w:p>
            <w:pPr>
              <w:ind w:left="20"/>
              <w:spacing w:after="0" w:line="205" w:lineRule="exact"/>
              <w:rPr>
                <w:sz w:val="20"/>
                <w:szCs w:val="20"/>
                <w:color w:val="auto"/>
              </w:rPr>
            </w:pPr>
            <w:r>
              <w:rPr>
                <w:rFonts w:ascii="Arial" w:cs="Arial" w:eastAsia="Arial" w:hAnsi="Arial"/>
                <w:sz w:val="14"/>
                <w:szCs w:val="14"/>
                <w:b w:val="1"/>
                <w:bCs w:val="1"/>
                <w:color w:val="666666"/>
              </w:rPr>
              <w:t xml:space="preserve">The Vanguard Group </w:t>
            </w:r>
            <w:r>
              <w:rPr>
                <w:rFonts w:ascii="Arial" w:cs="Arial" w:eastAsia="Arial" w:hAnsi="Arial"/>
                <w:sz w:val="23"/>
                <w:szCs w:val="23"/>
                <w:color w:val="666666"/>
                <w:vertAlign w:val="superscript"/>
              </w:rPr>
              <w:t>(3)</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62"/>
        </w:trPr>
        <w:tc>
          <w:tcPr>
            <w:tcW w:w="4320" w:type="dxa"/>
            <w:vAlign w:val="bottom"/>
            <w:gridSpan w:val="2"/>
          </w:tcPr>
          <w:p>
            <w:pPr>
              <w:ind w:left="20"/>
              <w:spacing w:after="0"/>
              <w:rPr>
                <w:sz w:val="20"/>
                <w:szCs w:val="20"/>
                <w:color w:val="auto"/>
              </w:rPr>
            </w:pPr>
            <w:r>
              <w:rPr>
                <w:rFonts w:ascii="Arial" w:cs="Arial" w:eastAsia="Arial" w:hAnsi="Arial"/>
                <w:sz w:val="14"/>
                <w:szCs w:val="14"/>
                <w:color w:val="666666"/>
              </w:rPr>
              <w:t>100 Vanguard Boulevard</w:t>
            </w:r>
          </w:p>
        </w:tc>
        <w:tc>
          <w:tcPr>
            <w:tcW w:w="1660" w:type="dxa"/>
            <w:vAlign w:val="bottom"/>
          </w:tcPr>
          <w:p>
            <w:pPr>
              <w:jc w:val="center"/>
              <w:spacing w:after="0"/>
              <w:rPr>
                <w:sz w:val="20"/>
                <w:szCs w:val="20"/>
                <w:color w:val="auto"/>
              </w:rPr>
            </w:pPr>
            <w:r>
              <w:rPr>
                <w:rFonts w:ascii="Arial" w:cs="Arial" w:eastAsia="Arial" w:hAnsi="Arial"/>
                <w:sz w:val="14"/>
                <w:szCs w:val="14"/>
                <w:color w:val="666666"/>
              </w:rPr>
              <w:t>14,827,207</w:t>
            </w:r>
          </w:p>
        </w:tc>
        <w:tc>
          <w:tcPr>
            <w:tcW w:w="2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666666"/>
              </w:rPr>
              <w:t>10.7%</w:t>
            </w:r>
          </w:p>
        </w:tc>
      </w:tr>
      <w:tr>
        <w:trPr>
          <w:trHeight w:val="172"/>
        </w:trPr>
        <w:tc>
          <w:tcPr>
            <w:tcW w:w="4320" w:type="dxa"/>
            <w:vAlign w:val="bottom"/>
            <w:gridSpan w:val="2"/>
          </w:tcPr>
          <w:p>
            <w:pPr>
              <w:ind w:left="20"/>
              <w:spacing w:after="0"/>
              <w:rPr>
                <w:sz w:val="20"/>
                <w:szCs w:val="20"/>
                <w:color w:val="auto"/>
              </w:rPr>
            </w:pPr>
            <w:r>
              <w:rPr>
                <w:rFonts w:ascii="Arial" w:cs="Arial" w:eastAsia="Arial" w:hAnsi="Arial"/>
                <w:sz w:val="14"/>
                <w:szCs w:val="14"/>
                <w:color w:val="666666"/>
              </w:rPr>
              <w:t>Malvern, Pennsylvania 19355</w:t>
            </w: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125" w:lineRule="exact"/>
        <w:rPr>
          <w:sz w:val="20"/>
          <w:szCs w:val="20"/>
          <w:color w:val="auto"/>
        </w:rPr>
      </w:pPr>
    </w:p>
    <w:p>
      <w:pPr>
        <w:jc w:val="both"/>
        <w:ind w:left="640" w:hanging="403"/>
        <w:spacing w:after="0" w:line="249" w:lineRule="auto"/>
        <w:tabs>
          <w:tab w:leader="none" w:pos="640" w:val="left"/>
        </w:tabs>
        <w:numPr>
          <w:ilvl w:val="0"/>
          <w:numId w:val="25"/>
        </w:numPr>
        <w:rPr>
          <w:rFonts w:ascii="Arial" w:cs="Arial" w:eastAsia="Arial" w:hAnsi="Arial"/>
          <w:sz w:val="14"/>
          <w:szCs w:val="14"/>
          <w:color w:val="666666"/>
        </w:rPr>
      </w:pPr>
      <w:r>
        <w:rPr>
          <w:rFonts w:ascii="Arial" w:cs="Arial" w:eastAsia="Arial" w:hAnsi="Arial"/>
          <w:sz w:val="14"/>
          <w:szCs w:val="14"/>
          <w:color w:val="666666"/>
        </w:rPr>
        <w:t>Blackrock, Inc. has filed with the Securities and Exchange Commission a Schedule 13G/A dated February 4, 2020, which reports the beneficial ownership of 10,354,677 shares of Class A common stock by it as of December 31, 2019. As reported in the Schedule 13G/A, Blackrock, Inc. had sole voting power with respect to 9,367,132 shares of our Class A common stock and sole dispositive power with respect to 10,354,677 shares of our Class A common stock.</w:t>
      </w:r>
    </w:p>
    <w:p>
      <w:pPr>
        <w:spacing w:after="0" w:line="254" w:lineRule="exact"/>
        <w:rPr>
          <w:rFonts w:ascii="Arial" w:cs="Arial" w:eastAsia="Arial" w:hAnsi="Arial"/>
          <w:sz w:val="14"/>
          <w:szCs w:val="14"/>
          <w:color w:val="666666"/>
        </w:rPr>
      </w:pPr>
    </w:p>
    <w:p>
      <w:pPr>
        <w:jc w:val="both"/>
        <w:ind w:left="640" w:hanging="403"/>
        <w:spacing w:after="0" w:line="246" w:lineRule="auto"/>
        <w:tabs>
          <w:tab w:leader="none" w:pos="640" w:val="left"/>
        </w:tabs>
        <w:numPr>
          <w:ilvl w:val="0"/>
          <w:numId w:val="25"/>
        </w:numPr>
        <w:rPr>
          <w:rFonts w:ascii="Arial" w:cs="Arial" w:eastAsia="Arial" w:hAnsi="Arial"/>
          <w:sz w:val="14"/>
          <w:szCs w:val="14"/>
          <w:color w:val="666666"/>
        </w:rPr>
      </w:pPr>
      <w:r>
        <w:rPr>
          <w:rFonts w:ascii="Arial" w:cs="Arial" w:eastAsia="Arial" w:hAnsi="Arial"/>
          <w:sz w:val="14"/>
          <w:szCs w:val="14"/>
          <w:color w:val="666666"/>
        </w:rPr>
        <w:t>T. Rowe Price Associates, Inc. has filed with the Securities and Exchange Commission a Schedule 13G/A dated February 14, 2020, which reports the beneficial ownership of 16,653,500 shares of Class A common stock by it as of December 31, 2019. As reported in the Schedule 13G/A, (i) T. Rowe Price Associates, Inc. had sole voting power with respect to 3,411,369 shares of our Class A common stock and T. Rowe Price New Horizons Fund, Inc. had sole voting power with respect to 9,964,979 shares of our Class A common stock and (ii) T. Rowe Price Associates, Inc. had sole dispositive power with respect to 16,653,500 shares of our Class A common stock.</w:t>
      </w:r>
    </w:p>
    <w:p>
      <w:pPr>
        <w:spacing w:after="0" w:line="200" w:lineRule="exact"/>
        <w:rPr>
          <w:rFonts w:ascii="Arial" w:cs="Arial" w:eastAsia="Arial" w:hAnsi="Arial"/>
          <w:sz w:val="14"/>
          <w:szCs w:val="14"/>
          <w:color w:val="666666"/>
        </w:rPr>
      </w:pPr>
    </w:p>
    <w:p>
      <w:pPr>
        <w:spacing w:after="0" w:line="219" w:lineRule="exact"/>
        <w:rPr>
          <w:rFonts w:ascii="Arial" w:cs="Arial" w:eastAsia="Arial" w:hAnsi="Arial"/>
          <w:sz w:val="14"/>
          <w:szCs w:val="14"/>
          <w:color w:val="666666"/>
        </w:rPr>
      </w:pPr>
    </w:p>
    <w:p>
      <w:pPr>
        <w:jc w:val="both"/>
        <w:ind w:left="640" w:hanging="403"/>
        <w:spacing w:after="0" w:line="247" w:lineRule="auto"/>
        <w:tabs>
          <w:tab w:leader="none" w:pos="640" w:val="left"/>
        </w:tabs>
        <w:numPr>
          <w:ilvl w:val="0"/>
          <w:numId w:val="25"/>
        </w:numPr>
        <w:rPr>
          <w:rFonts w:ascii="Arial" w:cs="Arial" w:eastAsia="Arial" w:hAnsi="Arial"/>
          <w:sz w:val="14"/>
          <w:szCs w:val="14"/>
          <w:color w:val="666666"/>
        </w:rPr>
      </w:pPr>
      <w:r>
        <w:rPr>
          <w:rFonts w:ascii="Arial" w:cs="Arial" w:eastAsia="Arial" w:hAnsi="Arial"/>
          <w:sz w:val="14"/>
          <w:szCs w:val="14"/>
          <w:color w:val="666666"/>
        </w:rPr>
        <w:t>The Vanguard Group has filed with the Securities and Exchange Commission a Schedule 13G/A dated February 10, 2020, which reports the beneficial ownership of 14,827,207 shares of Class A common stock by it as of December 31, 2019. As reported in the Schedule 13G/A, The Vanguard Group had sole voting power with respect to 113,759 shares of our Class A common stock, sole dispositive power with respect to 14,696,393 shares of our Class A common stock, shared voting power with respect to 37,650 shares of our Class A common stock and shared dispositive power with respect to 130,814 shares of our Class A common stock.</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24</w:t>
      </w:r>
    </w:p>
    <w:p>
      <w:pPr>
        <w:sectPr>
          <w:pgSz w:w="11900" w:h="16838" w:orient="portrait"/>
          <w:cols w:equalWidth="0" w:num="1">
            <w:col w:w="11240"/>
          </w:cols>
          <w:pgMar w:left="320" w:top="360" w:right="339" w:bottom="1440" w:gutter="0" w:footer="0" w:header="0"/>
        </w:sectPr>
      </w:pPr>
    </w:p>
    <w:bookmarkStart w:id="33" w:name="page34"/>
    <w:bookmarkEnd w:id="33"/>
    <w:p>
      <w:pPr>
        <w:ind w:left="760"/>
        <w:spacing w:after="0"/>
        <w:rPr>
          <w:sz w:val="20"/>
          <w:szCs w:val="20"/>
          <w:color w:val="auto"/>
        </w:rPr>
      </w:pPr>
      <w:r>
        <w:rPr>
          <w:rFonts w:ascii="Arial" w:cs="Arial" w:eastAsia="Arial" w:hAnsi="Arial"/>
          <w:sz w:val="31"/>
          <w:szCs w:val="31"/>
          <w:b w:val="1"/>
          <w:bCs w:val="1"/>
          <w:color w:val="547BCC"/>
        </w:rPr>
        <w:t>CERTAIN RELATIONSHIPS AND RELATED PARTY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Policies and Procedures for Related Person Transactions</w:t>
      </w:r>
    </w:p>
    <w:p>
      <w:pPr>
        <w:spacing w:after="0" w:line="186"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We adopted a written related person transactions policy pursuant to which related persons, namely our executive officers, directors, and principal stockholders, and their immediate family members, are not permitted to enter into certain transactions, or materially modify or amend an ongoing transaction, with us, in which the amount involved exceeds $120,000, without the consent of our Audit Committee or any designated member of the Audit Committee. Any request for us to enter into or materially modify or amend certain such transactions is required to be presented to our Audit Committee for review, consideration, and approval. All of our directors and executive officers are required to report to our Audit Committee any such related person transaction. In approving or rejecting the proposed transaction, our Audit Committee will take into account, among other factors it deems appropriate, whether the proposed related person transaction is on terms at least as favorable as terms generally available to an unaffiliated third party under the same or similar circumstances, the extent of the related person’s interest in the transaction and, if applicable, the impact on a director’s independence. Under the policy, if we should discover related person transactions that have not been approved, our Audit Committee will be notified and will determine the appropriate action, including ratification, rescission, or amendment of the transaction.</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Related Person Transactions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547BCC"/>
        </w:rPr>
        <w:t>Indemnification Agreements</w:t>
      </w:r>
    </w:p>
    <w:p>
      <w:pPr>
        <w:spacing w:after="0" w:line="18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We have entered into indemnification agreements with each of our directors and executive officers pursuant to which we have agreed to indemnify such individuals against certain liabilities arising out of service as a director or officer of the Company and its subsidiaries. The indemnification agreements provide our directors and executive officers with contractual rights to the indemnification and expense advancement rights provided under our third amended and restated bylaws, as well as contractual rights to additional indemnification as provided in the indemnification agreements.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547BCC"/>
        </w:rPr>
        <w:t>The Acquisition</w:t>
      </w:r>
    </w:p>
    <w:p>
      <w:pPr>
        <w:spacing w:after="0" w:line="186"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In connection with the acquisition of Booz Allen Hamilton by Carlyle, our current and former executive officers (or their related family trusts) received a combination of current and deferred cash consideration as well as stock and options in Booz Allen Holding. Part of the overall cash consideration was structured as an interest in a deferred payment obligation to fund future indemnification claims under the merger agreement and for certain other adjustments. The current and former executive officers (or their related family trusts) were entitled to receive their pro rata share of any payments of the deferred payment obligation and any release of funds held in escrow to selling stockholders.</w:t>
      </w:r>
    </w:p>
    <w:p>
      <w:pPr>
        <w:spacing w:after="0" w:line="159"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On December 18, 2019, the Company paid approximately $83.0 million to the selling stockholders, of which $80.0 million was the repayment of the remaining deferred payment obligation balance, with $3.0 million representing accrued interest. All remaining potential claims outstanding that were able to be indemnified under the deferred payment obligation related to former officers and stockholders' suits, which were all settled as of December 31, 2019.</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547BCC"/>
        </w:rPr>
        <w:t>Other Relationships</w:t>
      </w:r>
    </w:p>
    <w:p>
      <w:pPr>
        <w:spacing w:after="0" w:line="253"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Bryan E. Shrader, a Senior Vice President at the Company, is the son of Dr. Ralph Shrader, our former Chief Executive Officer and current Chair of the Board. In fiscal year 2020, Mr. Shrader was a Vice President, receiving a base salary of $260,000, a cash bonus of $97,500, retirement contributions of $15,375, and a grant of 402 restricted stock units with a grant date fair value of $24,972. Effective fiscal 2021, Mr. Shrader was promoted to Senior Vice President. He received a salary increase of $15,000, a grant of 3,872 stock options with a grant date fair value of $50,004 and a grant of 1,744 restricted stock units with a grant date fair value of $ 130,085. Mr. Shrader also participates in the Company’s other benefit programs on the same basis as other employees at the same level.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25</w:t>
      </w:r>
    </w:p>
    <w:p>
      <w:pPr>
        <w:sectPr>
          <w:pgSz w:w="11900" w:h="16838" w:orient="portrait"/>
          <w:cols w:equalWidth="0" w:num="1">
            <w:col w:w="11240"/>
          </w:cols>
          <w:pgMar w:left="320" w:top="324" w:right="339" w:bottom="1440" w:gutter="0" w:footer="0" w:header="0"/>
        </w:sectPr>
      </w:pPr>
    </w:p>
    <w:bookmarkStart w:id="34" w:name="page35"/>
    <w:bookmarkEnd w:id="34"/>
    <w:p>
      <w:pPr>
        <w:jc w:val="both"/>
        <w:ind w:firstLine="324"/>
        <w:spacing w:after="0" w:line="241" w:lineRule="auto"/>
        <w:rPr>
          <w:sz w:val="20"/>
          <w:szCs w:val="20"/>
          <w:color w:val="auto"/>
        </w:rPr>
      </w:pPr>
      <w:r>
        <w:rPr>
          <w:rFonts w:ascii="Arial" w:cs="Arial" w:eastAsia="Arial" w:hAnsi="Arial"/>
          <w:sz w:val="20"/>
          <w:szCs w:val="20"/>
          <w:color w:val="666666"/>
        </w:rPr>
        <w:t>Leslie Melton, an Associate at the Company, is the sister-in-law of Lloyd W. Howell, Jr., our Chief Financial Officer. Her annual base salary is $116,725. In fiscal year 2020, Ms. Melton received $89,077 in base salary and retirement contributions of $2,300. Ms. Melton also participates in the Company’s other benefit programs on the same basis as other employees at the same level.</w:t>
      </w:r>
    </w:p>
    <w:p>
      <w:pPr>
        <w:spacing w:after="0" w:line="224"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Mark Mullaney, a Lead Associate at the Company, is the brother-in-law of Karen M. Dahut, an Executive Vice President and group leader for the Company's Global Defense Group. His annual base salary is $ 170,363. In fiscal year 2020, Mr. Mullaney received $166,341 in base salary, retirement contributions of $9,075, and a grant of 73 restricted stock units with a grant date fair market value of $5,011. Mr. Mullaney also participates in the Company’s other benefit programs on the same basis as other employees at the same level.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26</w:t>
      </w:r>
    </w:p>
    <w:p>
      <w:pPr>
        <w:sectPr>
          <w:pgSz w:w="11900" w:h="16838" w:orient="portrait"/>
          <w:cols w:equalWidth="0" w:num="1">
            <w:col w:w="11240"/>
          </w:cols>
          <w:pgMar w:left="320" w:top="352"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31"/>
          <w:szCs w:val="31"/>
          <w:b w:val="1"/>
          <w:bCs w:val="1"/>
          <w:color w:val="547BCC"/>
        </w:rPr>
        <w:t>COMPENSATION DISCUSSION AND ANALYSIS</w:t>
      </w:r>
    </w:p>
    <w:p>
      <w:pPr>
        <w:spacing w:after="0" w:line="252" w:lineRule="exact"/>
        <w:rPr>
          <w:sz w:val="20"/>
          <w:szCs w:val="20"/>
          <w:color w:val="auto"/>
        </w:rPr>
      </w:pPr>
    </w:p>
    <w:p>
      <w:pPr>
        <w:ind w:right="20" w:firstLine="324"/>
        <w:spacing w:after="0" w:line="243" w:lineRule="auto"/>
        <w:rPr>
          <w:sz w:val="20"/>
          <w:szCs w:val="20"/>
          <w:color w:val="auto"/>
        </w:rPr>
      </w:pPr>
      <w:r>
        <w:rPr>
          <w:rFonts w:ascii="Arial" w:cs="Arial" w:eastAsia="Arial" w:hAnsi="Arial"/>
          <w:sz w:val="20"/>
          <w:szCs w:val="20"/>
          <w:color w:val="666666"/>
        </w:rPr>
        <w:t>The Compensation Discussion and Analysis (CD&amp;A), together with the compensation tables and related disclosures, provides a narrative of our executive compensation philosophy and programs as reviewed and determined by the Compensation Committee of the Board of Directors.</w:t>
      </w:r>
    </w:p>
    <w:p>
      <w:pPr>
        <w:spacing w:after="0" w:line="219" w:lineRule="exact"/>
        <w:rPr>
          <w:sz w:val="20"/>
          <w:szCs w:val="20"/>
          <w:color w:val="auto"/>
        </w:rPr>
      </w:pPr>
    </w:p>
    <w:p>
      <w:pPr>
        <w:ind w:firstLine="324"/>
        <w:spacing w:after="0" w:line="246" w:lineRule="auto"/>
        <w:rPr>
          <w:sz w:val="20"/>
          <w:szCs w:val="20"/>
          <w:color w:val="auto"/>
        </w:rPr>
      </w:pPr>
      <w:r>
        <w:rPr>
          <w:rFonts w:ascii="Arial" w:cs="Arial" w:eastAsia="Arial" w:hAnsi="Arial"/>
          <w:sz w:val="20"/>
          <w:szCs w:val="20"/>
          <w:color w:val="666666"/>
        </w:rPr>
        <w:t>At Booz Allen, our purpose is to empower people to change the world. Our leadership philosophy and partnership culture are foundational to how we drive transformation and guide our people to solve our client's toughest challenges.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20"/>
          <w:szCs w:val="20"/>
          <w:color w:val="666666"/>
        </w:rPr>
        <w:t>Our executive compensation strategy is uniquely designed to:</w:t>
      </w:r>
    </w:p>
    <w:p>
      <w:pPr>
        <w:spacing w:after="0" w:line="229" w:lineRule="exact"/>
        <w:rPr>
          <w:sz w:val="20"/>
          <w:szCs w:val="20"/>
          <w:color w:val="auto"/>
        </w:rPr>
      </w:pPr>
    </w:p>
    <w:p>
      <w:pPr>
        <w:ind w:left="980" w:hanging="243"/>
        <w:spacing w:after="0"/>
        <w:tabs>
          <w:tab w:leader="none" w:pos="980" w:val="left"/>
        </w:tabs>
        <w:numPr>
          <w:ilvl w:val="0"/>
          <w:numId w:val="26"/>
        </w:numPr>
        <w:rPr>
          <w:rFonts w:ascii="Arial" w:cs="Arial" w:eastAsia="Arial" w:hAnsi="Arial"/>
          <w:sz w:val="20"/>
          <w:szCs w:val="20"/>
          <w:color w:val="666666"/>
        </w:rPr>
      </w:pPr>
      <w:r>
        <w:rPr>
          <w:rFonts w:ascii="Arial" w:cs="Arial" w:eastAsia="Arial" w:hAnsi="Arial"/>
          <w:sz w:val="20"/>
          <w:szCs w:val="20"/>
          <w:color w:val="666666"/>
        </w:rPr>
        <w:t>Deliver competitive compensation tied to long-term stockholder value creation;</w:t>
      </w:r>
    </w:p>
    <w:p>
      <w:pPr>
        <w:spacing w:after="0" w:line="80" w:lineRule="exact"/>
        <w:rPr>
          <w:rFonts w:ascii="Arial" w:cs="Arial" w:eastAsia="Arial" w:hAnsi="Arial"/>
          <w:sz w:val="20"/>
          <w:szCs w:val="20"/>
          <w:color w:val="666666"/>
        </w:rPr>
      </w:pPr>
    </w:p>
    <w:p>
      <w:pPr>
        <w:ind w:left="980" w:hanging="243"/>
        <w:spacing w:after="0"/>
        <w:tabs>
          <w:tab w:leader="none" w:pos="980" w:val="left"/>
        </w:tabs>
        <w:numPr>
          <w:ilvl w:val="0"/>
          <w:numId w:val="26"/>
        </w:numPr>
        <w:rPr>
          <w:rFonts w:ascii="Arial" w:cs="Arial" w:eastAsia="Arial" w:hAnsi="Arial"/>
          <w:sz w:val="20"/>
          <w:szCs w:val="20"/>
          <w:color w:val="666666"/>
        </w:rPr>
      </w:pPr>
      <w:r>
        <w:rPr>
          <w:rFonts w:ascii="Arial" w:cs="Arial" w:eastAsia="Arial" w:hAnsi="Arial"/>
          <w:sz w:val="20"/>
          <w:szCs w:val="20"/>
          <w:color w:val="666666"/>
        </w:rPr>
        <w:t>Attract and retain top talent from across the global marketplace who will continue to propel us forward for the future;</w:t>
      </w:r>
    </w:p>
    <w:p>
      <w:pPr>
        <w:spacing w:after="0" w:line="80" w:lineRule="exact"/>
        <w:rPr>
          <w:rFonts w:ascii="Arial" w:cs="Arial" w:eastAsia="Arial" w:hAnsi="Arial"/>
          <w:sz w:val="20"/>
          <w:szCs w:val="20"/>
          <w:color w:val="666666"/>
        </w:rPr>
      </w:pPr>
    </w:p>
    <w:p>
      <w:pPr>
        <w:ind w:left="980" w:hanging="243"/>
        <w:spacing w:after="0"/>
        <w:tabs>
          <w:tab w:leader="none" w:pos="980" w:val="left"/>
        </w:tabs>
        <w:numPr>
          <w:ilvl w:val="0"/>
          <w:numId w:val="26"/>
        </w:numPr>
        <w:rPr>
          <w:rFonts w:ascii="Arial" w:cs="Arial" w:eastAsia="Arial" w:hAnsi="Arial"/>
          <w:sz w:val="20"/>
          <w:szCs w:val="20"/>
          <w:color w:val="666666"/>
        </w:rPr>
      </w:pPr>
      <w:r>
        <w:rPr>
          <w:rFonts w:ascii="Arial" w:cs="Arial" w:eastAsia="Arial" w:hAnsi="Arial"/>
          <w:sz w:val="20"/>
          <w:szCs w:val="20"/>
          <w:color w:val="666666"/>
        </w:rPr>
        <w:t>Motivate and reward executives with exceptional ability to meet and exceed the demands of our clients;</w:t>
      </w:r>
    </w:p>
    <w:p>
      <w:pPr>
        <w:spacing w:after="0" w:line="80" w:lineRule="exact"/>
        <w:rPr>
          <w:rFonts w:ascii="Arial" w:cs="Arial" w:eastAsia="Arial" w:hAnsi="Arial"/>
          <w:sz w:val="20"/>
          <w:szCs w:val="20"/>
          <w:color w:val="666666"/>
        </w:rPr>
      </w:pPr>
    </w:p>
    <w:p>
      <w:pPr>
        <w:ind w:left="980" w:hanging="243"/>
        <w:spacing w:after="0"/>
        <w:tabs>
          <w:tab w:leader="none" w:pos="980" w:val="left"/>
        </w:tabs>
        <w:numPr>
          <w:ilvl w:val="0"/>
          <w:numId w:val="26"/>
        </w:numPr>
        <w:rPr>
          <w:rFonts w:ascii="Arial" w:cs="Arial" w:eastAsia="Arial" w:hAnsi="Arial"/>
          <w:sz w:val="20"/>
          <w:szCs w:val="20"/>
          <w:color w:val="666666"/>
        </w:rPr>
      </w:pPr>
      <w:r>
        <w:rPr>
          <w:rFonts w:ascii="Arial" w:cs="Arial" w:eastAsia="Arial" w:hAnsi="Arial"/>
          <w:sz w:val="20"/>
          <w:szCs w:val="20"/>
          <w:color w:val="666666"/>
        </w:rPr>
        <w:t>Infuse an ownership mindset to build sustainable growth and value; and</w:t>
      </w:r>
    </w:p>
    <w:p>
      <w:pPr>
        <w:spacing w:after="0" w:line="80" w:lineRule="exact"/>
        <w:rPr>
          <w:rFonts w:ascii="Arial" w:cs="Arial" w:eastAsia="Arial" w:hAnsi="Arial"/>
          <w:sz w:val="20"/>
          <w:szCs w:val="20"/>
          <w:color w:val="666666"/>
        </w:rPr>
      </w:pPr>
    </w:p>
    <w:p>
      <w:pPr>
        <w:jc w:val="both"/>
        <w:ind w:left="980" w:right="180" w:hanging="243"/>
        <w:spacing w:after="0" w:line="243" w:lineRule="auto"/>
        <w:tabs>
          <w:tab w:leader="none" w:pos="980" w:val="left"/>
        </w:tabs>
        <w:numPr>
          <w:ilvl w:val="0"/>
          <w:numId w:val="26"/>
        </w:numPr>
        <w:rPr>
          <w:rFonts w:ascii="Arial" w:cs="Arial" w:eastAsia="Arial" w:hAnsi="Arial"/>
          <w:sz w:val="20"/>
          <w:szCs w:val="20"/>
          <w:color w:val="666666"/>
        </w:rPr>
      </w:pPr>
      <w:r>
        <w:rPr>
          <w:rFonts w:ascii="Arial" w:cs="Arial" w:eastAsia="Arial" w:hAnsi="Arial"/>
          <w:sz w:val="20"/>
          <w:szCs w:val="20"/>
          <w:color w:val="666666"/>
        </w:rPr>
        <w:t>Reinforce our partnership-style culture which differentiates our ability to come to market as an institution rather than as individuals, foster a culture of collaboration among our leaders, and encourage rapid and efficient deployment of our people across clients and opportunities.</w:t>
      </w:r>
    </w:p>
    <w:p>
      <w:pPr>
        <w:spacing w:after="0" w:line="219" w:lineRule="exact"/>
        <w:rPr>
          <w:sz w:val="20"/>
          <w:szCs w:val="20"/>
          <w:color w:val="auto"/>
        </w:rPr>
      </w:pPr>
    </w:p>
    <w:p>
      <w:pPr>
        <w:ind w:right="580" w:firstLine="324"/>
        <w:spacing w:after="0" w:line="246" w:lineRule="auto"/>
        <w:rPr>
          <w:sz w:val="20"/>
          <w:szCs w:val="20"/>
          <w:color w:val="auto"/>
        </w:rPr>
      </w:pPr>
      <w:r>
        <w:rPr>
          <w:rFonts w:ascii="Arial" w:cs="Arial" w:eastAsia="Arial" w:hAnsi="Arial"/>
          <w:sz w:val="20"/>
          <w:szCs w:val="20"/>
          <w:color w:val="666666"/>
        </w:rPr>
        <w:t>The tenure of our executives is a testament to the team's long-standing commitment to the Company and its long-term business goals. Our named executive officers for fiscal year 2020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182880</wp:posOffset>
            </wp:positionV>
            <wp:extent cx="6823710" cy="1929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23710" cy="192913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480"/>
        <w:spacing w:after="0"/>
        <w:rPr>
          <w:sz w:val="20"/>
          <w:szCs w:val="20"/>
          <w:color w:val="auto"/>
        </w:rPr>
      </w:pPr>
      <w:r>
        <w:rPr>
          <w:rFonts w:ascii="Arial" w:cs="Arial" w:eastAsia="Arial" w:hAnsi="Arial"/>
          <w:sz w:val="17"/>
          <w:szCs w:val="17"/>
          <w:b w:val="1"/>
          <w:bCs w:val="1"/>
          <w:color w:val="666666"/>
        </w:rPr>
        <w:t>Horacio D. Rozanski</w:t>
      </w:r>
    </w:p>
    <w:p>
      <w:pPr>
        <w:spacing w:after="0" w:line="8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666666"/>
        </w:rPr>
        <w:t>President and</w:t>
      </w:r>
    </w:p>
    <w:p>
      <w:pPr>
        <w:spacing w:after="0" w:line="5"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666666"/>
        </w:rPr>
        <w:t>Chief Executive Officer</w:t>
      </w:r>
    </w:p>
    <w:p>
      <w:pPr>
        <w:spacing w:after="0" w:line="251" w:lineRule="exact"/>
        <w:rPr>
          <w:sz w:val="20"/>
          <w:szCs w:val="20"/>
          <w:color w:val="auto"/>
        </w:rPr>
      </w:pPr>
    </w:p>
    <w:p>
      <w:pPr>
        <w:jc w:val="center"/>
        <w:ind w:left="480"/>
        <w:spacing w:after="0"/>
        <w:rPr>
          <w:sz w:val="20"/>
          <w:szCs w:val="20"/>
          <w:color w:val="auto"/>
        </w:rPr>
      </w:pPr>
      <w:r>
        <w:rPr>
          <w:rFonts w:ascii="Arial" w:cs="Arial" w:eastAsia="Arial" w:hAnsi="Arial"/>
          <w:sz w:val="14"/>
          <w:szCs w:val="14"/>
          <w:color w:val="666666"/>
        </w:rPr>
        <w:t>Executive Tenure: 20 years</w:t>
      </w:r>
    </w:p>
    <w:p>
      <w:pPr>
        <w:spacing w:after="0" w:line="1" w:lineRule="exact"/>
        <w:rPr>
          <w:sz w:val="20"/>
          <w:szCs w:val="20"/>
          <w:color w:val="auto"/>
        </w:rPr>
      </w:pPr>
    </w:p>
    <w:p>
      <w:pPr>
        <w:jc w:val="center"/>
        <w:ind w:left="480"/>
        <w:spacing w:after="0"/>
        <w:rPr>
          <w:sz w:val="20"/>
          <w:szCs w:val="20"/>
          <w:color w:val="auto"/>
        </w:rPr>
      </w:pPr>
      <w:r>
        <w:rPr>
          <w:rFonts w:ascii="Arial" w:cs="Arial" w:eastAsia="Arial" w:hAnsi="Arial"/>
          <w:sz w:val="14"/>
          <w:szCs w:val="14"/>
          <w:color w:val="666666"/>
        </w:rPr>
        <w:t>Total Tenure: 27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66666"/>
        </w:rPr>
        <w:t>Lloyd W. Howell, Jr.</w:t>
      </w:r>
    </w:p>
    <w:p>
      <w:pPr>
        <w:spacing w:after="0" w:line="74" w:lineRule="exact"/>
        <w:rPr>
          <w:sz w:val="20"/>
          <w:szCs w:val="20"/>
          <w:color w:val="auto"/>
        </w:rPr>
      </w:pPr>
    </w:p>
    <w:p>
      <w:pPr>
        <w:jc w:val="center"/>
        <w:spacing w:after="0" w:line="253" w:lineRule="auto"/>
        <w:rPr>
          <w:sz w:val="20"/>
          <w:szCs w:val="20"/>
          <w:color w:val="auto"/>
        </w:rPr>
      </w:pPr>
      <w:r>
        <w:rPr>
          <w:rFonts w:ascii="Arial" w:cs="Arial" w:eastAsia="Arial" w:hAnsi="Arial"/>
          <w:sz w:val="16"/>
          <w:szCs w:val="16"/>
          <w:color w:val="666666"/>
        </w:rPr>
        <w:t>Executive Vice President, Chief Financial Officer and Treasurer</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666666"/>
        </w:rPr>
        <w:t>Executive Tenure: 19 years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666666"/>
        </w:rPr>
        <w:t>Total Tenure: 31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66666"/>
        </w:rPr>
        <w:t>Karen M. Dahut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666666"/>
        </w:rPr>
        <w:t>Executive Vice President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666666"/>
        </w:rPr>
        <w:t>Executive Tenure: 15 years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666666"/>
        </w:rPr>
        <w:t>Total Tenure: 17 years</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0"/>
        </w:trPr>
        <w:tc>
          <w:tcPr>
            <w:tcW w:w="2020" w:type="dxa"/>
            <w:vAlign w:val="bottom"/>
            <w:tcBorders>
              <w:right w:val="single" w:sz="8" w:color="auto"/>
            </w:tcBorders>
          </w:tcPr>
          <w:p>
            <w:pPr>
              <w:jc w:val="center"/>
              <w:ind w:right="101"/>
              <w:spacing w:after="0"/>
              <w:rPr>
                <w:sz w:val="20"/>
                <w:szCs w:val="20"/>
                <w:color w:val="auto"/>
              </w:rPr>
            </w:pPr>
            <w:r>
              <w:rPr>
                <w:rFonts w:ascii="Arial" w:cs="Arial" w:eastAsia="Arial" w:hAnsi="Arial"/>
                <w:sz w:val="18"/>
                <w:szCs w:val="18"/>
                <w:b w:val="1"/>
                <w:bCs w:val="1"/>
                <w:color w:val="666666"/>
                <w:w w:val="99"/>
              </w:rPr>
              <w:t>Nancy J. Laben</w:t>
            </w:r>
          </w:p>
        </w:tc>
        <w:tc>
          <w:tcPr>
            <w:tcW w:w="1960" w:type="dxa"/>
            <w:vAlign w:val="bottom"/>
          </w:tcPr>
          <w:p>
            <w:pPr>
              <w:jc w:val="center"/>
              <w:ind w:left="21"/>
              <w:spacing w:after="0"/>
              <w:rPr>
                <w:sz w:val="20"/>
                <w:szCs w:val="20"/>
                <w:color w:val="auto"/>
              </w:rPr>
            </w:pPr>
            <w:r>
              <w:rPr>
                <w:rFonts w:ascii="Arial" w:cs="Arial" w:eastAsia="Arial" w:hAnsi="Arial"/>
                <w:sz w:val="18"/>
                <w:szCs w:val="18"/>
                <w:b w:val="1"/>
                <w:bCs w:val="1"/>
                <w:color w:val="666666"/>
                <w:w w:val="99"/>
              </w:rPr>
              <w:t>Susan L. Penfield</w:t>
            </w:r>
          </w:p>
        </w:tc>
      </w:tr>
      <w:tr>
        <w:trPr>
          <w:trHeight w:val="231"/>
        </w:trPr>
        <w:tc>
          <w:tcPr>
            <w:tcW w:w="2020" w:type="dxa"/>
            <w:vAlign w:val="bottom"/>
            <w:tcBorders>
              <w:right w:val="single" w:sz="8" w:color="auto"/>
            </w:tcBorders>
          </w:tcPr>
          <w:p>
            <w:pPr>
              <w:jc w:val="center"/>
              <w:ind w:right="101"/>
              <w:spacing w:after="0"/>
              <w:rPr>
                <w:sz w:val="20"/>
                <w:szCs w:val="20"/>
                <w:color w:val="auto"/>
              </w:rPr>
            </w:pPr>
            <w:r>
              <w:rPr>
                <w:rFonts w:ascii="Arial" w:cs="Arial" w:eastAsia="Arial" w:hAnsi="Arial"/>
                <w:sz w:val="16"/>
                <w:szCs w:val="16"/>
                <w:color w:val="666666"/>
              </w:rPr>
              <w:t>Executive Vice President,</w:t>
            </w:r>
          </w:p>
        </w:tc>
        <w:tc>
          <w:tcPr>
            <w:tcW w:w="1960" w:type="dxa"/>
            <w:vAlign w:val="bottom"/>
          </w:tcPr>
          <w:p>
            <w:pPr>
              <w:jc w:val="center"/>
              <w:ind w:left="41"/>
              <w:spacing w:after="0"/>
              <w:rPr>
                <w:sz w:val="20"/>
                <w:szCs w:val="20"/>
                <w:color w:val="auto"/>
              </w:rPr>
            </w:pPr>
            <w:r>
              <w:rPr>
                <w:rFonts w:ascii="Arial" w:cs="Arial" w:eastAsia="Arial" w:hAnsi="Arial"/>
                <w:sz w:val="16"/>
                <w:szCs w:val="16"/>
                <w:color w:val="666666"/>
              </w:rPr>
              <w:t>Executive Vice President,</w:t>
            </w:r>
          </w:p>
        </w:tc>
      </w:tr>
      <w:tr>
        <w:trPr>
          <w:trHeight w:val="195"/>
        </w:trPr>
        <w:tc>
          <w:tcPr>
            <w:tcW w:w="2020" w:type="dxa"/>
            <w:vAlign w:val="bottom"/>
            <w:tcBorders>
              <w:right w:val="single" w:sz="8" w:color="auto"/>
            </w:tcBorders>
          </w:tcPr>
          <w:p>
            <w:pPr>
              <w:jc w:val="center"/>
              <w:ind w:right="81"/>
              <w:spacing w:after="0"/>
              <w:rPr>
                <w:sz w:val="20"/>
                <w:szCs w:val="20"/>
                <w:color w:val="auto"/>
              </w:rPr>
            </w:pPr>
            <w:r>
              <w:rPr>
                <w:rFonts w:ascii="Arial" w:cs="Arial" w:eastAsia="Arial" w:hAnsi="Arial"/>
                <w:sz w:val="16"/>
                <w:szCs w:val="16"/>
                <w:color w:val="666666"/>
              </w:rPr>
              <w:t>Chief Legal Officer</w:t>
            </w:r>
          </w:p>
        </w:tc>
        <w:tc>
          <w:tcPr>
            <w:tcW w:w="1960" w:type="dxa"/>
            <w:vAlign w:val="bottom"/>
          </w:tcPr>
          <w:p>
            <w:pPr>
              <w:jc w:val="center"/>
              <w:ind w:left="41"/>
              <w:spacing w:after="0"/>
              <w:rPr>
                <w:sz w:val="20"/>
                <w:szCs w:val="20"/>
                <w:color w:val="auto"/>
              </w:rPr>
            </w:pPr>
            <w:r>
              <w:rPr>
                <w:rFonts w:ascii="Arial" w:cs="Arial" w:eastAsia="Arial" w:hAnsi="Arial"/>
                <w:sz w:val="16"/>
                <w:szCs w:val="16"/>
                <w:color w:val="666666"/>
              </w:rPr>
              <w:t>Chief Innovation Officer</w:t>
            </w:r>
          </w:p>
        </w:tc>
      </w:tr>
      <w:tr>
        <w:trPr>
          <w:trHeight w:val="402"/>
        </w:trPr>
        <w:tc>
          <w:tcPr>
            <w:tcW w:w="2020" w:type="dxa"/>
            <w:vAlign w:val="bottom"/>
            <w:tcBorders>
              <w:right w:val="single" w:sz="8" w:color="auto"/>
            </w:tcBorders>
          </w:tcPr>
          <w:p>
            <w:pPr>
              <w:jc w:val="center"/>
              <w:ind w:right="81"/>
              <w:spacing w:after="0"/>
              <w:rPr>
                <w:sz w:val="20"/>
                <w:szCs w:val="20"/>
                <w:color w:val="auto"/>
              </w:rPr>
            </w:pPr>
            <w:r>
              <w:rPr>
                <w:rFonts w:ascii="Arial" w:cs="Arial" w:eastAsia="Arial" w:hAnsi="Arial"/>
                <w:sz w:val="14"/>
                <w:szCs w:val="14"/>
                <w:color w:val="666666"/>
              </w:rPr>
              <w:t>Executive Tenure: 6 years</w:t>
            </w:r>
          </w:p>
        </w:tc>
        <w:tc>
          <w:tcPr>
            <w:tcW w:w="1960" w:type="dxa"/>
            <w:vAlign w:val="bottom"/>
          </w:tcPr>
          <w:p>
            <w:pPr>
              <w:jc w:val="center"/>
              <w:ind w:left="21"/>
              <w:spacing w:after="0"/>
              <w:rPr>
                <w:sz w:val="20"/>
                <w:szCs w:val="20"/>
                <w:color w:val="auto"/>
              </w:rPr>
            </w:pPr>
            <w:r>
              <w:rPr>
                <w:rFonts w:ascii="Arial" w:cs="Arial" w:eastAsia="Arial" w:hAnsi="Arial"/>
                <w:sz w:val="14"/>
                <w:szCs w:val="14"/>
                <w:color w:val="666666"/>
              </w:rPr>
              <w:t>Executive Tenure: 17 years</w:t>
            </w:r>
          </w:p>
        </w:tc>
      </w:tr>
      <w:tr>
        <w:trPr>
          <w:trHeight w:val="172"/>
        </w:trPr>
        <w:tc>
          <w:tcPr>
            <w:tcW w:w="2020" w:type="dxa"/>
            <w:vAlign w:val="bottom"/>
            <w:tcBorders>
              <w:right w:val="single" w:sz="8" w:color="auto"/>
            </w:tcBorders>
          </w:tcPr>
          <w:p>
            <w:pPr>
              <w:jc w:val="center"/>
              <w:ind w:right="81"/>
              <w:spacing w:after="0"/>
              <w:rPr>
                <w:sz w:val="20"/>
                <w:szCs w:val="20"/>
                <w:color w:val="auto"/>
              </w:rPr>
            </w:pPr>
            <w:r>
              <w:rPr>
                <w:rFonts w:ascii="Arial" w:cs="Arial" w:eastAsia="Arial" w:hAnsi="Arial"/>
                <w:sz w:val="14"/>
                <w:szCs w:val="14"/>
                <w:color w:val="666666"/>
              </w:rPr>
              <w:t>Total Tenure: 6 years</w:t>
            </w:r>
          </w:p>
        </w:tc>
        <w:tc>
          <w:tcPr>
            <w:tcW w:w="1960" w:type="dxa"/>
            <w:vAlign w:val="bottom"/>
          </w:tcPr>
          <w:p>
            <w:pPr>
              <w:jc w:val="center"/>
              <w:ind w:left="21"/>
              <w:spacing w:after="0"/>
              <w:rPr>
                <w:sz w:val="20"/>
                <w:szCs w:val="20"/>
                <w:color w:val="auto"/>
              </w:rPr>
            </w:pPr>
            <w:r>
              <w:rPr>
                <w:rFonts w:ascii="Arial" w:cs="Arial" w:eastAsia="Arial" w:hAnsi="Arial"/>
                <w:sz w:val="14"/>
                <w:szCs w:val="14"/>
                <w:color w:val="666666"/>
              </w:rPr>
              <w:t>Total Tenure: 25 years</w:t>
            </w:r>
          </w:p>
        </w:tc>
      </w:tr>
      <w:tr>
        <w:trPr>
          <w:trHeight w:val="188"/>
        </w:trPr>
        <w:tc>
          <w:tcPr>
            <w:tcW w:w="2020" w:type="dxa"/>
            <w:vAlign w:val="bottom"/>
            <w:tcBorders>
              <w:right w:val="single" w:sz="8" w:color="auto"/>
            </w:tcBorders>
          </w:tcPr>
          <w:p>
            <w:pPr>
              <w:spacing w:after="0"/>
              <w:rPr>
                <w:sz w:val="16"/>
                <w:szCs w:val="16"/>
                <w:color w:val="auto"/>
              </w:rPr>
            </w:pPr>
          </w:p>
        </w:tc>
        <w:tc>
          <w:tcPr>
            <w:tcW w:w="1960" w:type="dxa"/>
            <w:vAlign w:val="bottom"/>
          </w:tcPr>
          <w:p>
            <w:pPr>
              <w:spacing w:after="0"/>
              <w:rPr>
                <w:sz w:val="16"/>
                <w:szCs w:val="16"/>
                <w:color w:val="auto"/>
              </w:rPr>
            </w:pPr>
          </w:p>
        </w:tc>
      </w:tr>
    </w:tbl>
    <w:p>
      <w:pPr>
        <w:spacing w:after="0" w:line="53" w:lineRule="exact"/>
        <w:rPr>
          <w:sz w:val="20"/>
          <w:szCs w:val="20"/>
          <w:color w:val="auto"/>
        </w:rPr>
      </w:pPr>
    </w:p>
    <w:p>
      <w:pPr>
        <w:sectPr>
          <w:pgSz w:w="11900" w:h="16838" w:orient="portrait"/>
          <w:cols w:equalWidth="0" w:num="4">
            <w:col w:w="2220" w:space="320"/>
            <w:col w:w="1900" w:space="300"/>
            <w:col w:w="1800" w:space="320"/>
            <w:col w:w="4380"/>
          </w:cols>
          <w:pgMar w:left="320" w:top="324" w:right="339" w:bottom="1440" w:gutter="0" w:footer="0" w:header="0"/>
          <w:type w:val="continuous"/>
        </w:sectPr>
      </w:pPr>
    </w:p>
    <w:p>
      <w:pPr>
        <w:ind w:left="260"/>
        <w:spacing w:after="0"/>
        <w:rPr>
          <w:sz w:val="20"/>
          <w:szCs w:val="20"/>
          <w:color w:val="auto"/>
        </w:rPr>
      </w:pPr>
      <w:r>
        <w:rPr>
          <w:rFonts w:ascii="Arial" w:cs="Arial" w:eastAsia="Arial" w:hAnsi="Arial"/>
          <w:sz w:val="18"/>
          <w:szCs w:val="18"/>
          <w:color w:val="666666"/>
        </w:rPr>
        <w:t>(Tenure as executive and total tenure calculated as number of full years completed as of the last day of fiscal year 2020.)</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4F7CBA"/>
        </w:rPr>
        <w:t>Executive Summary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47BCC"/>
        </w:rPr>
        <w:t>Company Performance and Highlights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547BCC"/>
        </w:rPr>
        <w:t>Delivering Significant Returns to Stockholders</w:t>
      </w:r>
    </w:p>
    <w:p>
      <w:pPr>
        <w:spacing w:after="0" w:line="186" w:lineRule="exact"/>
        <w:rPr>
          <w:sz w:val="20"/>
          <w:szCs w:val="20"/>
          <w:color w:val="auto"/>
        </w:rPr>
      </w:pPr>
    </w:p>
    <w:p>
      <w:pPr>
        <w:ind w:right="40" w:firstLine="324"/>
        <w:spacing w:after="0" w:line="241" w:lineRule="auto"/>
        <w:rPr>
          <w:sz w:val="20"/>
          <w:szCs w:val="20"/>
          <w:color w:val="auto"/>
        </w:rPr>
      </w:pPr>
      <w:r>
        <w:rPr>
          <w:rFonts w:ascii="Arial" w:cs="Arial" w:eastAsia="Arial" w:hAnsi="Arial"/>
          <w:sz w:val="20"/>
          <w:szCs w:val="20"/>
          <w:color w:val="666666"/>
        </w:rPr>
        <w:t>In fiscal year 2020, our staff and leaders led the Company to deliver record performance for fiscal year revenue and earnings, increased headcount by nearly six percent, and generated solid backlog growth. This strong performance has resulted in significant returns to our stockholders through appreciation in our stock price, the payment of regular dividends, and share repurchases.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27</w:t>
      </w:r>
    </w:p>
    <w:p>
      <w:pPr>
        <w:sectPr>
          <w:pgSz w:w="11900" w:h="16838" w:orient="portrait"/>
          <w:cols w:equalWidth="0" w:num="1">
            <w:col w:w="11240"/>
          </w:cols>
          <w:pgMar w:left="320" w:top="324" w:right="339" w:bottom="1440" w:gutter="0" w:footer="0" w:header="0"/>
          <w:type w:val="continuous"/>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2376805</wp:posOffset>
            </wp:positionH>
            <wp:positionV relativeFrom="page">
              <wp:posOffset>294640</wp:posOffset>
            </wp:positionV>
            <wp:extent cx="2794635" cy="1697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279463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666666"/>
        </w:rPr>
        <w:t>Note: Total shareholder return assumes dividends are reinvested.</w:t>
      </w:r>
    </w:p>
    <w:p>
      <w:pPr>
        <w:spacing w:after="0" w:line="200" w:lineRule="exact"/>
        <w:rPr>
          <w:sz w:val="20"/>
          <w:szCs w:val="20"/>
          <w:color w:val="auto"/>
        </w:rPr>
      </w:pPr>
    </w:p>
    <w:p>
      <w:pPr>
        <w:spacing w:after="0" w:line="265" w:lineRule="exact"/>
        <w:rPr>
          <w:sz w:val="20"/>
          <w:szCs w:val="20"/>
          <w:color w:val="auto"/>
        </w:rPr>
      </w:pPr>
    </w:p>
    <w:p>
      <w:pPr>
        <w:ind w:left="660" w:hanging="328"/>
        <w:spacing w:after="0" w:line="239" w:lineRule="auto"/>
        <w:tabs>
          <w:tab w:leader="none" w:pos="660" w:val="left"/>
        </w:tabs>
        <w:numPr>
          <w:ilvl w:val="0"/>
          <w:numId w:val="27"/>
        </w:numPr>
        <w:rPr>
          <w:rFonts w:ascii="Arial" w:cs="Arial" w:eastAsia="Arial" w:hAnsi="Arial"/>
          <w:sz w:val="20"/>
          <w:szCs w:val="20"/>
          <w:color w:val="666666"/>
        </w:rPr>
      </w:pPr>
      <w:r>
        <w:rPr>
          <w:rFonts w:ascii="Arial" w:cs="Arial" w:eastAsia="Arial" w:hAnsi="Arial"/>
          <w:sz w:val="20"/>
          <w:szCs w:val="20"/>
          <w:color w:val="666666"/>
        </w:rPr>
        <w:t>Our stock price increased by approximately 19% and total stockholder return was approximately 20% during fiscal year 2020.</w:t>
      </w:r>
    </w:p>
    <w:p>
      <w:pPr>
        <w:ind w:left="660" w:hanging="328"/>
        <w:spacing w:after="0" w:line="239" w:lineRule="auto"/>
        <w:tabs>
          <w:tab w:leader="none" w:pos="660" w:val="left"/>
        </w:tabs>
        <w:numPr>
          <w:ilvl w:val="0"/>
          <w:numId w:val="27"/>
        </w:numPr>
        <w:rPr>
          <w:rFonts w:ascii="Arial" w:cs="Arial" w:eastAsia="Arial" w:hAnsi="Arial"/>
          <w:sz w:val="20"/>
          <w:szCs w:val="20"/>
          <w:color w:val="666666"/>
        </w:rPr>
      </w:pPr>
      <w:r>
        <w:rPr>
          <w:rFonts w:ascii="Arial" w:cs="Arial" w:eastAsia="Arial" w:hAnsi="Arial"/>
          <w:sz w:val="20"/>
          <w:szCs w:val="20"/>
          <w:color w:val="666666"/>
        </w:rPr>
        <w:t>During fiscal year 2020, we declared and paid $146.6 million in recurring dividends to stockholders—two regular dividends of $0.23 per share, one regular dividend of $0.27 per share, and one regular dividend of $0.31 per share.</w:t>
      </w:r>
    </w:p>
    <w:p>
      <w:pPr>
        <w:ind w:left="660" w:hanging="328"/>
        <w:spacing w:after="0" w:line="239" w:lineRule="auto"/>
        <w:tabs>
          <w:tab w:leader="none" w:pos="660" w:val="left"/>
        </w:tabs>
        <w:numPr>
          <w:ilvl w:val="0"/>
          <w:numId w:val="27"/>
        </w:numPr>
        <w:rPr>
          <w:rFonts w:ascii="Arial" w:cs="Arial" w:eastAsia="Arial" w:hAnsi="Arial"/>
          <w:sz w:val="20"/>
          <w:szCs w:val="20"/>
          <w:color w:val="666666"/>
        </w:rPr>
      </w:pPr>
      <w:r>
        <w:rPr>
          <w:rFonts w:ascii="Arial" w:cs="Arial" w:eastAsia="Arial" w:hAnsi="Arial"/>
          <w:sz w:val="20"/>
          <w:szCs w:val="20"/>
          <w:color w:val="666666"/>
        </w:rPr>
        <w:t>For the third and fourth quarter of fiscal 2020, the Board increased the quarterly dividend by 17% and 15%, respectively. The total dividends paid in fiscal year 2020 grew 30% compared to fiscal year 2019.</w:t>
      </w:r>
    </w:p>
    <w:p>
      <w:pPr>
        <w:jc w:val="both"/>
        <w:ind w:left="660" w:hanging="328"/>
        <w:spacing w:after="0" w:line="239" w:lineRule="auto"/>
        <w:tabs>
          <w:tab w:leader="none" w:pos="660" w:val="left"/>
        </w:tabs>
        <w:numPr>
          <w:ilvl w:val="0"/>
          <w:numId w:val="27"/>
        </w:numPr>
        <w:rPr>
          <w:rFonts w:ascii="Arial" w:cs="Arial" w:eastAsia="Arial" w:hAnsi="Arial"/>
          <w:sz w:val="20"/>
          <w:szCs w:val="20"/>
          <w:color w:val="666666"/>
        </w:rPr>
      </w:pPr>
      <w:r>
        <w:rPr>
          <w:rFonts w:ascii="Arial" w:cs="Arial" w:eastAsia="Arial" w:hAnsi="Arial"/>
          <w:sz w:val="20"/>
          <w:szCs w:val="20"/>
          <w:color w:val="666666"/>
        </w:rPr>
        <w:t>We expect to declare and pay regular quarterly cash dividends in the future. However, the actual declaration of any such future dividends and the establishment of the per share amounts, record dates, and payment dates are subject to the discretion of the Board, which will take into consideration future earnings, cash flows, financial requirements, and other factors.</w:t>
      </w:r>
    </w:p>
    <w:p>
      <w:pPr>
        <w:spacing w:after="0" w:line="1" w:lineRule="exact"/>
        <w:rPr>
          <w:rFonts w:ascii="Arial" w:cs="Arial" w:eastAsia="Arial" w:hAnsi="Arial"/>
          <w:sz w:val="20"/>
          <w:szCs w:val="20"/>
          <w:color w:val="666666"/>
        </w:rPr>
      </w:pPr>
    </w:p>
    <w:p>
      <w:pPr>
        <w:jc w:val="both"/>
        <w:ind w:left="660" w:hanging="328"/>
        <w:spacing w:after="0" w:line="239" w:lineRule="auto"/>
        <w:tabs>
          <w:tab w:leader="none" w:pos="660" w:val="left"/>
        </w:tabs>
        <w:numPr>
          <w:ilvl w:val="0"/>
          <w:numId w:val="27"/>
        </w:numPr>
        <w:rPr>
          <w:rFonts w:ascii="Arial" w:cs="Arial" w:eastAsia="Arial" w:hAnsi="Arial"/>
          <w:sz w:val="20"/>
          <w:szCs w:val="20"/>
          <w:color w:val="666666"/>
        </w:rPr>
      </w:pPr>
      <w:r>
        <w:rPr>
          <w:rFonts w:ascii="Arial" w:cs="Arial" w:eastAsia="Arial" w:hAnsi="Arial"/>
          <w:sz w:val="20"/>
          <w:szCs w:val="20"/>
          <w:color w:val="666666"/>
        </w:rPr>
        <w:t>During fiscal year 2020, we repurchased 2.7 million shares for $186.6 million (which includes shares the Company repurchased to cover the minimum statutory withholding taxes on restricted stock units that vested on various dates during the period).</w:t>
      </w:r>
    </w:p>
    <w:p>
      <w:pPr>
        <w:spacing w:after="0" w:line="1" w:lineRule="exact"/>
        <w:rPr>
          <w:rFonts w:ascii="Arial" w:cs="Arial" w:eastAsia="Arial" w:hAnsi="Arial"/>
          <w:sz w:val="20"/>
          <w:szCs w:val="20"/>
          <w:color w:val="666666"/>
        </w:rPr>
      </w:pPr>
    </w:p>
    <w:p>
      <w:pPr>
        <w:jc w:val="both"/>
        <w:ind w:left="660" w:hanging="328"/>
        <w:spacing w:after="0" w:line="24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20"/>
          <w:szCs w:val="20"/>
          <w:color w:val="666666"/>
        </w:rPr>
        <w:t>On May 23, 2019, the Board of Directors approved an additional increase to our share repurchase authorization of $400.0 million to $1,310.0 million. As of May 26, 2020, the Company had approximately $428.9 million of unused capacity to repurchase shares of common stock under its share repurchase program.</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547BCC"/>
        </w:rPr>
        <w:t>Fiscal Year 2020 Company Performance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459"/>
        </w:trPr>
        <w:tc>
          <w:tcPr>
            <w:tcW w:w="3740" w:type="dxa"/>
            <w:vAlign w:val="bottom"/>
            <w:shd w:val="clear" w:color="auto" w:fill="006EBF"/>
          </w:tcPr>
          <w:p>
            <w:pPr>
              <w:ind w:left="700"/>
              <w:spacing w:after="0"/>
              <w:rPr>
                <w:sz w:val="20"/>
                <w:szCs w:val="20"/>
                <w:color w:val="auto"/>
              </w:rPr>
            </w:pPr>
            <w:r>
              <w:rPr>
                <w:rFonts w:ascii="Arial" w:cs="Arial" w:eastAsia="Arial" w:hAnsi="Arial"/>
                <w:sz w:val="18"/>
                <w:szCs w:val="18"/>
                <w:b w:val="1"/>
                <w:bCs w:val="1"/>
                <w:color w:val="FFFFFF"/>
              </w:rPr>
              <w:t>Net Income and Net Income Margin</w:t>
            </w:r>
          </w:p>
        </w:tc>
        <w:tc>
          <w:tcPr>
            <w:tcW w:w="660" w:type="dxa"/>
            <w:vAlign w:val="bottom"/>
            <w:shd w:val="clear" w:color="auto" w:fill="006EBF"/>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gridSpan w:val="2"/>
            <w:shd w:val="clear" w:color="auto" w:fill="006EBF"/>
          </w:tcPr>
          <w:p>
            <w:pPr>
              <w:ind w:left="80"/>
              <w:spacing w:after="0"/>
              <w:rPr>
                <w:sz w:val="20"/>
                <w:szCs w:val="20"/>
                <w:color w:val="auto"/>
              </w:rPr>
            </w:pPr>
            <w:r>
              <w:rPr>
                <w:rFonts w:ascii="Arial" w:cs="Arial" w:eastAsia="Arial" w:hAnsi="Arial"/>
                <w:sz w:val="18"/>
                <w:szCs w:val="18"/>
                <w:b w:val="1"/>
                <w:bCs w:val="1"/>
                <w:color w:val="FFFFFF"/>
              </w:rPr>
              <w:t>Adj. EBITDA and Adj. EBITDA Margin on Revenue</w:t>
            </w:r>
          </w:p>
        </w:tc>
      </w:tr>
      <w:tr>
        <w:trPr>
          <w:trHeight w:val="254"/>
        </w:trPr>
        <w:tc>
          <w:tcPr>
            <w:tcW w:w="3740" w:type="dxa"/>
            <w:vAlign w:val="bottom"/>
          </w:tcPr>
          <w:p>
            <w:pPr>
              <w:ind w:left="40"/>
              <w:spacing w:after="0"/>
              <w:rPr>
                <w:sz w:val="20"/>
                <w:szCs w:val="20"/>
                <w:color w:val="auto"/>
              </w:rPr>
            </w:pPr>
            <w:r>
              <w:rPr>
                <w:rFonts w:ascii="Arial" w:cs="Arial" w:eastAsia="Arial" w:hAnsi="Arial"/>
                <w:sz w:val="13"/>
                <w:szCs w:val="13"/>
                <w:color w:val="auto"/>
              </w:rPr>
              <w:t>Net Income ($ millions)</w:t>
            </w:r>
          </w:p>
        </w:tc>
        <w:tc>
          <w:tcPr>
            <w:tcW w:w="3360" w:type="dxa"/>
            <w:vAlign w:val="bottom"/>
            <w:gridSpan w:val="3"/>
          </w:tcPr>
          <w:p>
            <w:pPr>
              <w:ind w:left="20"/>
              <w:spacing w:after="0"/>
              <w:rPr>
                <w:sz w:val="20"/>
                <w:szCs w:val="20"/>
                <w:color w:val="auto"/>
              </w:rPr>
            </w:pPr>
            <w:r>
              <w:rPr>
                <w:rFonts w:ascii="Arial" w:cs="Arial" w:eastAsia="Arial" w:hAnsi="Arial"/>
                <w:sz w:val="13"/>
                <w:szCs w:val="13"/>
                <w:color w:val="auto"/>
              </w:rPr>
              <w:t>Margin (%)   Adj. EBITDA ($ millions)</w:t>
            </w:r>
          </w:p>
        </w:tc>
        <w:tc>
          <w:tcPr>
            <w:tcW w:w="1840" w:type="dxa"/>
            <w:vAlign w:val="bottom"/>
          </w:tcPr>
          <w:p>
            <w:pPr>
              <w:ind w:left="1180"/>
              <w:spacing w:after="0"/>
              <w:rPr>
                <w:sz w:val="20"/>
                <w:szCs w:val="20"/>
                <w:color w:val="auto"/>
              </w:rPr>
            </w:pPr>
            <w:r>
              <w:rPr>
                <w:rFonts w:ascii="Arial" w:cs="Arial" w:eastAsia="Arial" w:hAnsi="Arial"/>
                <w:sz w:val="13"/>
                <w:szCs w:val="13"/>
                <w:color w:val="auto"/>
              </w:rPr>
              <w:t>Margin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10160</wp:posOffset>
            </wp:positionV>
            <wp:extent cx="5795010" cy="1731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501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0"/>
          <w:szCs w:val="20"/>
          <w:color w:val="666666"/>
        </w:rPr>
      </w:pPr>
      <w:r>
        <w:rPr>
          <w:rFonts w:ascii="Arial" w:cs="Arial" w:eastAsia="Arial" w:hAnsi="Arial"/>
          <w:sz w:val="20"/>
          <w:szCs w:val="20"/>
          <w:color w:val="666666"/>
        </w:rPr>
        <w:t>Fiscal year 2020 marked the fourth consecutive year of top-line revenue growth.</w:t>
      </w:r>
    </w:p>
    <w:p>
      <w:pPr>
        <w:spacing w:after="0" w:line="12" w:lineRule="exact"/>
        <w:rPr>
          <w:rFonts w:ascii="Arial" w:cs="Arial" w:eastAsia="Arial" w:hAnsi="Arial"/>
          <w:sz w:val="20"/>
          <w:szCs w:val="20"/>
          <w:color w:val="666666"/>
        </w:rPr>
      </w:pPr>
    </w:p>
    <w:p>
      <w:pPr>
        <w:ind w:left="660" w:right="20" w:hanging="328"/>
        <w:spacing w:after="0" w:line="239" w:lineRule="auto"/>
        <w:tabs>
          <w:tab w:leader="none" w:pos="660" w:val="left"/>
        </w:tabs>
        <w:numPr>
          <w:ilvl w:val="0"/>
          <w:numId w:val="28"/>
        </w:numPr>
        <w:rPr>
          <w:rFonts w:ascii="Arial" w:cs="Arial" w:eastAsia="Arial" w:hAnsi="Arial"/>
          <w:sz w:val="20"/>
          <w:szCs w:val="20"/>
          <w:color w:val="666666"/>
        </w:rPr>
      </w:pPr>
      <w:r>
        <w:rPr>
          <w:rFonts w:ascii="Arial" w:cs="Arial" w:eastAsia="Arial" w:hAnsi="Arial"/>
          <w:sz w:val="20"/>
          <w:szCs w:val="20"/>
          <w:color w:val="666666"/>
        </w:rPr>
        <w:t>Continued focus on investments in markets, capabilities, and people is positioning Booz Allen to deliver near-term and long-term stockholder value.</w:t>
      </w:r>
    </w:p>
    <w:p>
      <w:pPr>
        <w:ind w:left="660" w:hanging="328"/>
        <w:spacing w:after="0"/>
        <w:tabs>
          <w:tab w:leader="none" w:pos="660" w:val="left"/>
        </w:tabs>
        <w:numPr>
          <w:ilvl w:val="0"/>
          <w:numId w:val="28"/>
        </w:numPr>
        <w:rPr>
          <w:rFonts w:ascii="Arial" w:cs="Arial" w:eastAsia="Arial" w:hAnsi="Arial"/>
          <w:sz w:val="20"/>
          <w:szCs w:val="20"/>
          <w:color w:val="666666"/>
        </w:rPr>
      </w:pPr>
      <w:r>
        <w:rPr>
          <w:rFonts w:ascii="Arial" w:cs="Arial" w:eastAsia="Arial" w:hAnsi="Arial"/>
          <w:sz w:val="20"/>
          <w:szCs w:val="20"/>
          <w:color w:val="666666"/>
        </w:rPr>
        <w:t>Full year revenue increased 11.3% to $7,463.8 million.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28</w:t>
      </w:r>
    </w:p>
    <w:p>
      <w:pPr>
        <w:sectPr>
          <w:pgSz w:w="11900" w:h="16838" w:orient="portrait"/>
          <w:cols w:equalWidth="0" w:num="1">
            <w:col w:w="11240"/>
          </w:cols>
          <w:pgMar w:left="320" w:top="1440" w:right="339" w:bottom="1440" w:gutter="0" w:footer="0" w:header="0"/>
        </w:sectPr>
      </w:pPr>
    </w:p>
    <w:bookmarkStart w:id="37" w:name="page38"/>
    <w:bookmarkEnd w:id="37"/>
    <w:p>
      <w:pPr>
        <w:ind w:left="660" w:hanging="328"/>
        <w:spacing w:after="0"/>
        <w:tabs>
          <w:tab w:leader="none" w:pos="660" w:val="left"/>
        </w:tabs>
        <w:numPr>
          <w:ilvl w:val="0"/>
          <w:numId w:val="29"/>
        </w:numPr>
        <w:rPr>
          <w:rFonts w:ascii="Arial" w:cs="Arial" w:eastAsia="Arial" w:hAnsi="Arial"/>
          <w:sz w:val="20"/>
          <w:szCs w:val="20"/>
          <w:color w:val="666666"/>
        </w:rPr>
      </w:pPr>
      <w:r>
        <w:rPr>
          <w:rFonts w:ascii="Arial" w:cs="Arial" w:eastAsia="Arial" w:hAnsi="Arial"/>
          <w:sz w:val="20"/>
          <w:szCs w:val="20"/>
          <w:color w:val="666666"/>
        </w:rPr>
        <w:t>Net income increased 15.3% to $482.6 million.</w:t>
      </w:r>
    </w:p>
    <w:p>
      <w:pPr>
        <w:spacing w:after="0" w:line="12" w:lineRule="exact"/>
        <w:rPr>
          <w:rFonts w:ascii="Arial" w:cs="Arial" w:eastAsia="Arial" w:hAnsi="Arial"/>
          <w:sz w:val="20"/>
          <w:szCs w:val="20"/>
          <w:color w:val="666666"/>
        </w:rPr>
      </w:pPr>
    </w:p>
    <w:p>
      <w:pPr>
        <w:ind w:left="660" w:hanging="328"/>
        <w:spacing w:after="0"/>
        <w:tabs>
          <w:tab w:leader="none" w:pos="660" w:val="left"/>
        </w:tabs>
        <w:numPr>
          <w:ilvl w:val="0"/>
          <w:numId w:val="29"/>
        </w:numPr>
        <w:rPr>
          <w:rFonts w:ascii="Arial" w:cs="Arial" w:eastAsia="Arial" w:hAnsi="Arial"/>
          <w:sz w:val="20"/>
          <w:szCs w:val="20"/>
          <w:color w:val="666666"/>
        </w:rPr>
      </w:pPr>
      <w:r>
        <w:rPr>
          <w:rFonts w:ascii="Arial" w:cs="Arial" w:eastAsia="Arial" w:hAnsi="Arial"/>
          <w:sz w:val="20"/>
          <w:szCs w:val="20"/>
          <w:color w:val="666666"/>
        </w:rPr>
        <w:t>Adjusted EBITDA increased 11.8% to $754.1 million.</w:t>
      </w:r>
    </w:p>
    <w:p>
      <w:pPr>
        <w:ind w:left="660" w:hanging="328"/>
        <w:spacing w:after="0"/>
        <w:tabs>
          <w:tab w:leader="none" w:pos="660" w:val="left"/>
        </w:tabs>
        <w:numPr>
          <w:ilvl w:val="0"/>
          <w:numId w:val="29"/>
        </w:numPr>
        <w:rPr>
          <w:rFonts w:ascii="Arial" w:cs="Arial" w:eastAsia="Arial" w:hAnsi="Arial"/>
          <w:sz w:val="20"/>
          <w:szCs w:val="20"/>
          <w:color w:val="666666"/>
        </w:rPr>
      </w:pPr>
      <w:r>
        <w:rPr>
          <w:rFonts w:ascii="Arial" w:cs="Arial" w:eastAsia="Arial" w:hAnsi="Arial"/>
          <w:sz w:val="20"/>
          <w:szCs w:val="20"/>
          <w:color w:val="666666"/>
        </w:rPr>
        <w:t>Diluted EPS increased 17.2% to 3.41.</w:t>
      </w:r>
    </w:p>
    <w:p>
      <w:pPr>
        <w:ind w:left="660" w:hanging="328"/>
        <w:spacing w:after="0"/>
        <w:tabs>
          <w:tab w:leader="none" w:pos="660" w:val="left"/>
        </w:tabs>
        <w:numPr>
          <w:ilvl w:val="0"/>
          <w:numId w:val="29"/>
        </w:numPr>
        <w:rPr>
          <w:rFonts w:ascii="Arial" w:cs="Arial" w:eastAsia="Arial" w:hAnsi="Arial"/>
          <w:sz w:val="20"/>
          <w:szCs w:val="20"/>
          <w:color w:val="666666"/>
        </w:rPr>
      </w:pPr>
      <w:r>
        <w:rPr>
          <w:rFonts w:ascii="Arial" w:cs="Arial" w:eastAsia="Arial" w:hAnsi="Arial"/>
          <w:sz w:val="20"/>
          <w:szCs w:val="20"/>
          <w:color w:val="666666"/>
        </w:rPr>
        <w:t>Adjusted Diluted EPS increased 15.2% to 3.18.</w:t>
      </w:r>
    </w:p>
    <w:p>
      <w:pPr>
        <w:ind w:left="660" w:hanging="328"/>
        <w:spacing w:after="0"/>
        <w:tabs>
          <w:tab w:leader="none" w:pos="660" w:val="left"/>
        </w:tabs>
        <w:numPr>
          <w:ilvl w:val="0"/>
          <w:numId w:val="29"/>
        </w:numPr>
        <w:rPr>
          <w:rFonts w:ascii="Arial" w:cs="Arial" w:eastAsia="Arial" w:hAnsi="Arial"/>
          <w:sz w:val="20"/>
          <w:szCs w:val="20"/>
          <w:color w:val="666666"/>
        </w:rPr>
      </w:pPr>
      <w:r>
        <w:rPr>
          <w:rFonts w:ascii="Arial" w:cs="Arial" w:eastAsia="Arial" w:hAnsi="Arial"/>
          <w:sz w:val="20"/>
          <w:szCs w:val="20"/>
          <w:color w:val="666666"/>
        </w:rPr>
        <w:t>Total backlog increased 7.3% to $20,729.0 million.</w:t>
      </w:r>
    </w:p>
    <w:p>
      <w:pPr>
        <w:ind w:left="660" w:hanging="328"/>
        <w:spacing w:after="0"/>
        <w:tabs>
          <w:tab w:leader="none" w:pos="660" w:val="left"/>
        </w:tabs>
        <w:numPr>
          <w:ilvl w:val="0"/>
          <w:numId w:val="29"/>
        </w:numPr>
        <w:rPr>
          <w:rFonts w:ascii="Arial" w:cs="Arial" w:eastAsia="Arial" w:hAnsi="Arial"/>
          <w:sz w:val="20"/>
          <w:szCs w:val="20"/>
          <w:color w:val="666666"/>
        </w:rPr>
      </w:pPr>
      <w:r>
        <w:rPr>
          <w:rFonts w:ascii="Arial" w:cs="Arial" w:eastAsia="Arial" w:hAnsi="Arial"/>
          <w:sz w:val="20"/>
          <w:szCs w:val="20"/>
          <w:color w:val="666666"/>
        </w:rPr>
        <w:t>Net cash provided by operating activities increased 10.37% to $551.4 million.</w:t>
      </w:r>
    </w:p>
    <w:p>
      <w:pPr>
        <w:ind w:left="660" w:hanging="328"/>
        <w:spacing w:after="0"/>
        <w:tabs>
          <w:tab w:leader="none" w:pos="660" w:val="left"/>
        </w:tabs>
        <w:numPr>
          <w:ilvl w:val="0"/>
          <w:numId w:val="29"/>
        </w:numPr>
        <w:rPr>
          <w:rFonts w:ascii="Arial" w:cs="Arial" w:eastAsia="Arial" w:hAnsi="Arial"/>
          <w:sz w:val="20"/>
          <w:szCs w:val="20"/>
          <w:color w:val="666666"/>
        </w:rPr>
      </w:pPr>
      <w:r>
        <w:rPr>
          <w:rFonts w:ascii="Arial" w:cs="Arial" w:eastAsia="Arial" w:hAnsi="Arial"/>
          <w:sz w:val="20"/>
          <w:szCs w:val="20"/>
          <w:color w:val="666666"/>
        </w:rPr>
        <w:t>Free cash flow was $423.3 million in fiscal year 2020.</w:t>
      </w:r>
    </w:p>
    <w:p>
      <w:pPr>
        <w:spacing w:after="0" w:line="88" w:lineRule="exact"/>
        <w:rPr>
          <w:sz w:val="20"/>
          <w:szCs w:val="20"/>
          <w:color w:val="auto"/>
        </w:rPr>
      </w:pPr>
    </w:p>
    <w:p>
      <w:pPr>
        <w:jc w:val="both"/>
        <w:ind w:left="340"/>
        <w:spacing w:after="0" w:line="246" w:lineRule="auto"/>
        <w:rPr>
          <w:sz w:val="20"/>
          <w:szCs w:val="20"/>
          <w:color w:val="auto"/>
        </w:rPr>
      </w:pPr>
      <w:r>
        <w:rPr>
          <w:rFonts w:ascii="Arial" w:cs="Arial" w:eastAsia="Arial" w:hAnsi="Arial"/>
          <w:sz w:val="20"/>
          <w:szCs w:val="20"/>
          <w:i w:val="1"/>
          <w:iCs w:val="1"/>
          <w:color w:val="666666"/>
        </w:rPr>
        <w:t>Adjusted EBITDA, Adjusted EBITDA Margin on Revenue, Adjusted Diluted Earnings Per Share, and Free Cash Flow may differ from similarly titled measures presented by other companies in our industry and are not recognized measures under U.S. Generally Accepted Accounting Principles, or GAAP. A reconciliation between these non-GAAP financial measures and the most directly comparable financial measure calculated and presented in accordance with GAAP can be found in Appendix A to this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47BCC"/>
        </w:rPr>
        <w:t>Compensation Philosophy</w:t>
      </w:r>
    </w:p>
    <w:p>
      <w:pPr>
        <w:spacing w:after="0" w:line="186" w:lineRule="exact"/>
        <w:rPr>
          <w:sz w:val="20"/>
          <w:szCs w:val="20"/>
          <w:color w:val="auto"/>
        </w:rPr>
      </w:pPr>
    </w:p>
    <w:p>
      <w:pPr>
        <w:ind w:right="240" w:firstLine="324"/>
        <w:spacing w:after="0" w:line="243" w:lineRule="auto"/>
        <w:rPr>
          <w:sz w:val="20"/>
          <w:szCs w:val="20"/>
          <w:color w:val="auto"/>
        </w:rPr>
      </w:pPr>
      <w:r>
        <w:rPr>
          <w:rFonts w:ascii="Arial" w:cs="Arial" w:eastAsia="Arial" w:hAnsi="Arial"/>
          <w:sz w:val="20"/>
          <w:szCs w:val="20"/>
          <w:color w:val="666666"/>
        </w:rPr>
        <w:t>We are a values-driven organization where our partnership culture motivates our executives, who we define as our named executive officers, Executive Vice Presidents, and Senior Vice Presidents, to consistently act in the best interests of the Company. Our executive compensation program is intrinsically tied to our purpose and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124460</wp:posOffset>
            </wp:positionV>
            <wp:extent cx="666051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60515" cy="163195"/>
                    </a:xfrm>
                    <a:prstGeom prst="rect">
                      <a:avLst/>
                    </a:prstGeom>
                    <a:noFill/>
                  </pic:spPr>
                </pic:pic>
              </a:graphicData>
            </a:graphic>
          </wp:anchor>
        </w:drawing>
      </w:r>
    </w:p>
    <w:p>
      <w:pPr>
        <w:spacing w:after="0" w:line="180" w:lineRule="exact"/>
        <w:rPr>
          <w:sz w:val="20"/>
          <w:szCs w:val="20"/>
          <w:color w:val="auto"/>
        </w:rPr>
      </w:pPr>
    </w:p>
    <w:p>
      <w:pPr>
        <w:ind w:left="2320"/>
        <w:spacing w:after="0"/>
        <w:tabs>
          <w:tab w:leader="none" w:pos="6880" w:val="left"/>
        </w:tabs>
        <w:rPr>
          <w:sz w:val="20"/>
          <w:szCs w:val="20"/>
          <w:color w:val="auto"/>
        </w:rPr>
      </w:pPr>
      <w:r>
        <w:rPr>
          <w:rFonts w:ascii="Arial" w:cs="Arial" w:eastAsia="Arial" w:hAnsi="Arial"/>
          <w:sz w:val="18"/>
          <w:szCs w:val="18"/>
          <w:b w:val="1"/>
          <w:bCs w:val="1"/>
          <w:i w:val="1"/>
          <w:iCs w:val="1"/>
          <w:color w:val="FFFFFF"/>
        </w:rPr>
        <w:t>Our Philosophy</w:t>
      </w:r>
      <w:r>
        <w:rPr>
          <w:sz w:val="20"/>
          <w:szCs w:val="20"/>
          <w:color w:val="auto"/>
        </w:rPr>
        <w:tab/>
      </w:r>
      <w:r>
        <w:rPr>
          <w:rFonts w:ascii="Arial" w:cs="Arial" w:eastAsia="Arial" w:hAnsi="Arial"/>
          <w:sz w:val="18"/>
          <w:szCs w:val="18"/>
          <w:b w:val="1"/>
          <w:bCs w:val="1"/>
          <w:i w:val="1"/>
          <w:iCs w:val="1"/>
          <w:color w:val="FFFFFF"/>
        </w:rPr>
        <w:t>What Our Philosophy Achieves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28575</wp:posOffset>
            </wp:positionV>
            <wp:extent cx="6660515" cy="1705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60515" cy="17056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p>
      <w:pPr>
        <w:spacing w:after="0" w:line="274" w:lineRule="exact"/>
        <w:rPr>
          <w:sz w:val="20"/>
          <w:szCs w:val="20"/>
          <w:color w:val="auto"/>
        </w:rPr>
      </w:pPr>
    </w:p>
    <w:p>
      <w:pPr>
        <w:ind w:left="600" w:hanging="153"/>
        <w:spacing w:after="0" w:line="246" w:lineRule="auto"/>
        <w:tabs>
          <w:tab w:leader="none" w:pos="548" w:val="left"/>
        </w:tabs>
        <w:numPr>
          <w:ilvl w:val="0"/>
          <w:numId w:val="30"/>
        </w:numPr>
        <w:rPr>
          <w:rFonts w:ascii="Arial" w:cs="Arial" w:eastAsia="Arial" w:hAnsi="Arial"/>
          <w:sz w:val="18"/>
          <w:szCs w:val="18"/>
          <w:color w:val="666666"/>
        </w:rPr>
      </w:pPr>
      <w:r>
        <w:rPr>
          <w:rFonts w:ascii="Arial" w:cs="Arial" w:eastAsia="Arial" w:hAnsi="Arial"/>
          <w:sz w:val="18"/>
          <w:szCs w:val="18"/>
          <w:color w:val="666666"/>
        </w:rPr>
        <w:t>Guides executives to live the Company's purpose and values in their client work and internal interactions.</w:t>
      </w:r>
    </w:p>
    <w:p>
      <w:pPr>
        <w:spacing w:after="0" w:line="183" w:lineRule="exact"/>
        <w:rPr>
          <w:rFonts w:ascii="Arial" w:cs="Arial" w:eastAsia="Arial" w:hAnsi="Arial"/>
          <w:sz w:val="18"/>
          <w:szCs w:val="18"/>
          <w:color w:val="666666"/>
        </w:rPr>
      </w:pPr>
    </w:p>
    <w:p>
      <w:pPr>
        <w:jc w:val="both"/>
        <w:ind w:left="600" w:right="20" w:hanging="153"/>
        <w:spacing w:after="0" w:line="246" w:lineRule="auto"/>
        <w:tabs>
          <w:tab w:leader="none" w:pos="548" w:val="left"/>
        </w:tabs>
        <w:numPr>
          <w:ilvl w:val="0"/>
          <w:numId w:val="30"/>
        </w:numPr>
        <w:rPr>
          <w:rFonts w:ascii="Arial" w:cs="Arial" w:eastAsia="Arial" w:hAnsi="Arial"/>
          <w:sz w:val="18"/>
          <w:szCs w:val="18"/>
          <w:color w:val="666666"/>
        </w:rPr>
      </w:pPr>
      <w:r>
        <w:rPr>
          <w:rFonts w:ascii="Arial" w:cs="Arial" w:eastAsia="Arial" w:hAnsi="Arial"/>
          <w:sz w:val="18"/>
          <w:szCs w:val="18"/>
          <w:color w:val="666666"/>
        </w:rPr>
        <w:t>Aligns executives' compensation with Company performance and the creation of long-term sustainable stockholder value.</w:t>
      </w:r>
    </w:p>
    <w:p>
      <w:pPr>
        <w:spacing w:after="0" w:line="183" w:lineRule="exact"/>
        <w:rPr>
          <w:rFonts w:ascii="Arial" w:cs="Arial" w:eastAsia="Arial" w:hAnsi="Arial"/>
          <w:sz w:val="18"/>
          <w:szCs w:val="18"/>
          <w:color w:val="666666"/>
        </w:rPr>
      </w:pPr>
    </w:p>
    <w:p>
      <w:pPr>
        <w:ind w:left="600" w:right="340" w:hanging="153"/>
        <w:spacing w:after="0" w:line="274" w:lineRule="auto"/>
        <w:tabs>
          <w:tab w:leader="none" w:pos="548" w:val="left"/>
        </w:tabs>
        <w:numPr>
          <w:ilvl w:val="0"/>
          <w:numId w:val="30"/>
        </w:numPr>
        <w:rPr>
          <w:rFonts w:ascii="Arial" w:cs="Arial" w:eastAsia="Arial" w:hAnsi="Arial"/>
          <w:sz w:val="17"/>
          <w:szCs w:val="17"/>
          <w:color w:val="666666"/>
        </w:rPr>
      </w:pPr>
      <w:r>
        <w:rPr>
          <w:rFonts w:ascii="Arial" w:cs="Arial" w:eastAsia="Arial" w:hAnsi="Arial"/>
          <w:sz w:val="17"/>
          <w:szCs w:val="17"/>
          <w:color w:val="666666"/>
        </w:rPr>
        <w:t>Attracts, motivates, and retains executives of exceptional ability to meet and exceed the demands of our clients.</w:t>
      </w:r>
    </w:p>
    <w:p>
      <w:pPr>
        <w:spacing w:after="0" w:line="161" w:lineRule="exact"/>
        <w:rPr>
          <w:rFonts w:ascii="Arial" w:cs="Arial" w:eastAsia="Arial" w:hAnsi="Arial"/>
          <w:sz w:val="17"/>
          <w:szCs w:val="17"/>
          <w:color w:val="666666"/>
        </w:rPr>
      </w:pPr>
    </w:p>
    <w:p>
      <w:pPr>
        <w:ind w:left="600" w:right="120" w:hanging="153"/>
        <w:spacing w:after="0" w:line="246" w:lineRule="auto"/>
        <w:tabs>
          <w:tab w:leader="none" w:pos="548" w:val="left"/>
        </w:tabs>
        <w:numPr>
          <w:ilvl w:val="0"/>
          <w:numId w:val="30"/>
        </w:numPr>
        <w:rPr>
          <w:rFonts w:ascii="Arial" w:cs="Arial" w:eastAsia="Arial" w:hAnsi="Arial"/>
          <w:sz w:val="18"/>
          <w:szCs w:val="18"/>
          <w:color w:val="666666"/>
        </w:rPr>
      </w:pPr>
      <w:r>
        <w:rPr>
          <w:rFonts w:ascii="Arial" w:cs="Arial" w:eastAsia="Arial" w:hAnsi="Arial"/>
          <w:sz w:val="18"/>
          <w:szCs w:val="18"/>
          <w:color w:val="666666"/>
        </w:rPr>
        <w:t>Creates appropriate rewards and penalties for exceeding or falling short of Company-level performance targets.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170" w:right="400" w:hanging="170"/>
        <w:spacing w:after="0" w:line="246" w:lineRule="auto"/>
        <w:tabs>
          <w:tab w:leader="none" w:pos="118" w:val="left"/>
        </w:tabs>
        <w:numPr>
          <w:ilvl w:val="0"/>
          <w:numId w:val="31"/>
        </w:numPr>
        <w:rPr>
          <w:rFonts w:ascii="Arial" w:cs="Arial" w:eastAsia="Arial" w:hAnsi="Arial"/>
          <w:sz w:val="18"/>
          <w:szCs w:val="18"/>
          <w:color w:val="666666"/>
        </w:rPr>
      </w:pPr>
      <w:r>
        <w:rPr>
          <w:rFonts w:ascii="Arial" w:cs="Arial" w:eastAsia="Arial" w:hAnsi="Arial"/>
          <w:sz w:val="18"/>
          <w:szCs w:val="18"/>
          <w:color w:val="666666"/>
        </w:rPr>
        <w:t>Empowers executives to think and act in the best interests of the Company.</w:t>
      </w:r>
    </w:p>
    <w:p>
      <w:pPr>
        <w:spacing w:after="0" w:line="183" w:lineRule="exact"/>
        <w:rPr>
          <w:rFonts w:ascii="Arial" w:cs="Arial" w:eastAsia="Arial" w:hAnsi="Arial"/>
          <w:sz w:val="18"/>
          <w:szCs w:val="18"/>
          <w:color w:val="666666"/>
        </w:rPr>
      </w:pPr>
    </w:p>
    <w:p>
      <w:pPr>
        <w:ind w:left="170" w:right="960" w:hanging="170"/>
        <w:spacing w:after="0" w:line="246" w:lineRule="auto"/>
        <w:tabs>
          <w:tab w:leader="none" w:pos="118" w:val="left"/>
        </w:tabs>
        <w:numPr>
          <w:ilvl w:val="0"/>
          <w:numId w:val="31"/>
        </w:numPr>
        <w:rPr>
          <w:rFonts w:ascii="Arial" w:cs="Arial" w:eastAsia="Arial" w:hAnsi="Arial"/>
          <w:sz w:val="18"/>
          <w:szCs w:val="18"/>
          <w:color w:val="666666"/>
        </w:rPr>
      </w:pPr>
      <w:r>
        <w:rPr>
          <w:rFonts w:ascii="Arial" w:cs="Arial" w:eastAsia="Arial" w:hAnsi="Arial"/>
          <w:sz w:val="18"/>
          <w:szCs w:val="18"/>
          <w:color w:val="666666"/>
        </w:rPr>
        <w:t>Focuses on optimizing stockholder value and fostering an ownership culture.</w:t>
      </w:r>
    </w:p>
    <w:p>
      <w:pPr>
        <w:spacing w:after="0" w:line="183" w:lineRule="exact"/>
        <w:rPr>
          <w:rFonts w:ascii="Arial" w:cs="Arial" w:eastAsia="Arial" w:hAnsi="Arial"/>
          <w:sz w:val="18"/>
          <w:szCs w:val="18"/>
          <w:color w:val="666666"/>
        </w:rPr>
      </w:pPr>
    </w:p>
    <w:p>
      <w:pPr>
        <w:ind w:left="170" w:right="560" w:hanging="170"/>
        <w:spacing w:after="0" w:line="246" w:lineRule="auto"/>
        <w:tabs>
          <w:tab w:leader="none" w:pos="118" w:val="left"/>
        </w:tabs>
        <w:numPr>
          <w:ilvl w:val="0"/>
          <w:numId w:val="31"/>
        </w:numPr>
        <w:rPr>
          <w:rFonts w:ascii="Arial" w:cs="Arial" w:eastAsia="Arial" w:hAnsi="Arial"/>
          <w:sz w:val="18"/>
          <w:szCs w:val="18"/>
          <w:color w:val="666666"/>
        </w:rPr>
      </w:pPr>
      <w:r>
        <w:rPr>
          <w:rFonts w:ascii="Arial" w:cs="Arial" w:eastAsia="Arial" w:hAnsi="Arial"/>
          <w:sz w:val="18"/>
          <w:szCs w:val="18"/>
          <w:color w:val="666666"/>
        </w:rPr>
        <w:t>Engages and incentivizes our executives to effectively execute our business strategy.</w:t>
      </w:r>
    </w:p>
    <w:p>
      <w:pPr>
        <w:spacing w:after="0" w:line="183" w:lineRule="exact"/>
        <w:rPr>
          <w:rFonts w:ascii="Arial" w:cs="Arial" w:eastAsia="Arial" w:hAnsi="Arial"/>
          <w:sz w:val="18"/>
          <w:szCs w:val="18"/>
          <w:color w:val="666666"/>
        </w:rPr>
      </w:pPr>
    </w:p>
    <w:p>
      <w:pPr>
        <w:ind w:left="170" w:right="940" w:hanging="170"/>
        <w:spacing w:after="0"/>
        <w:tabs>
          <w:tab w:leader="none" w:pos="118" w:val="left"/>
        </w:tabs>
        <w:numPr>
          <w:ilvl w:val="0"/>
          <w:numId w:val="31"/>
        </w:numPr>
        <w:rPr>
          <w:rFonts w:ascii="Arial" w:cs="Arial" w:eastAsia="Arial" w:hAnsi="Arial"/>
          <w:sz w:val="18"/>
          <w:szCs w:val="18"/>
          <w:color w:val="666666"/>
        </w:rPr>
      </w:pPr>
      <w:r>
        <w:rPr>
          <w:rFonts w:ascii="Arial" w:cs="Arial" w:eastAsia="Arial" w:hAnsi="Arial"/>
          <w:sz w:val="18"/>
          <w:szCs w:val="18"/>
          <w:color w:val="666666"/>
        </w:rPr>
        <w:t>Creates and enables agility within our leadership and the Company overall, allowing us to quickly adjust, align, and advance in an ever-changing global marketplace.</w:t>
      </w:r>
    </w:p>
    <w:p>
      <w:pPr>
        <w:spacing w:after="0" w:line="200" w:lineRule="exact"/>
        <w:rPr>
          <w:sz w:val="20"/>
          <w:szCs w:val="20"/>
          <w:color w:val="auto"/>
        </w:rPr>
      </w:pPr>
    </w:p>
    <w:p>
      <w:pPr>
        <w:sectPr>
          <w:pgSz w:w="11900" w:h="16838" w:orient="portrait"/>
          <w:cols w:equalWidth="0" w:num="2">
            <w:col w:w="5420" w:space="170"/>
            <w:col w:w="5650"/>
          </w:cols>
          <w:pgMar w:left="320" w:top="339" w:right="3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47BCC"/>
        </w:rPr>
        <w:t>Key Executive Compensation Practices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20"/>
          <w:szCs w:val="20"/>
          <w:color w:val="666666"/>
        </w:rPr>
        <w:t>To ensure strong corporate governance, our compensation program incorporates the following key practices:</w:t>
      </w:r>
    </w:p>
    <w:p>
      <w:pPr>
        <w:spacing w:after="0" w:line="138"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300" w:type="dxa"/>
            <w:vAlign w:val="bottom"/>
            <w:shd w:val="clear" w:color="auto" w:fill="4472C4"/>
          </w:tcPr>
          <w:p>
            <w:pPr>
              <w:spacing w:after="0"/>
              <w:rPr>
                <w:sz w:val="23"/>
                <w:szCs w:val="23"/>
                <w:color w:val="auto"/>
              </w:rPr>
            </w:pPr>
          </w:p>
        </w:tc>
        <w:tc>
          <w:tcPr>
            <w:tcW w:w="5020" w:type="dxa"/>
            <w:vAlign w:val="bottom"/>
            <w:shd w:val="clear" w:color="auto" w:fill="4472C4"/>
          </w:tcPr>
          <w:p>
            <w:pPr>
              <w:ind w:left="1580"/>
              <w:spacing w:after="0"/>
              <w:rPr>
                <w:sz w:val="20"/>
                <w:szCs w:val="20"/>
                <w:color w:val="auto"/>
              </w:rPr>
            </w:pPr>
            <w:r>
              <w:rPr>
                <w:rFonts w:ascii="Arial" w:cs="Arial" w:eastAsia="Arial" w:hAnsi="Arial"/>
                <w:sz w:val="18"/>
                <w:szCs w:val="18"/>
                <w:b w:val="1"/>
                <w:bCs w:val="1"/>
                <w:i w:val="1"/>
                <w:iCs w:val="1"/>
                <w:color w:val="FFFFFF"/>
              </w:rPr>
              <w:t>At Booz Allen, We:</w:t>
            </w:r>
          </w:p>
        </w:tc>
        <w:tc>
          <w:tcPr>
            <w:tcW w:w="120" w:type="dxa"/>
            <w:vAlign w:val="bottom"/>
          </w:tcPr>
          <w:p>
            <w:pPr>
              <w:spacing w:after="0"/>
              <w:rPr>
                <w:sz w:val="23"/>
                <w:szCs w:val="23"/>
                <w:color w:val="auto"/>
              </w:rPr>
            </w:pPr>
          </w:p>
        </w:tc>
        <w:tc>
          <w:tcPr>
            <w:tcW w:w="5640" w:type="dxa"/>
            <w:vAlign w:val="bottom"/>
            <w:shd w:val="clear" w:color="auto" w:fill="4472C4"/>
          </w:tcPr>
          <w:p>
            <w:pPr>
              <w:ind w:left="1780"/>
              <w:spacing w:after="0"/>
              <w:rPr>
                <w:sz w:val="20"/>
                <w:szCs w:val="20"/>
                <w:color w:val="auto"/>
              </w:rPr>
            </w:pPr>
            <w:r>
              <w:rPr>
                <w:rFonts w:ascii="Arial" w:cs="Arial" w:eastAsia="Arial" w:hAnsi="Arial"/>
                <w:sz w:val="18"/>
                <w:szCs w:val="18"/>
                <w:b w:val="1"/>
                <w:bCs w:val="1"/>
                <w:i w:val="1"/>
                <w:iCs w:val="1"/>
                <w:color w:val="FFFFFF"/>
              </w:rPr>
              <w:t>At Booz Allen, We Don't:</w:t>
            </w:r>
          </w:p>
        </w:tc>
      </w:tr>
      <w:tr>
        <w:trPr>
          <w:trHeight w:val="269"/>
        </w:trPr>
        <w:tc>
          <w:tcPr>
            <w:tcW w:w="300" w:type="dxa"/>
            <w:vAlign w:val="bottom"/>
            <w:shd w:val="clear" w:color="auto" w:fill="D9E2F3"/>
          </w:tcPr>
          <w:p>
            <w:pPr>
              <w:ind w:left="40"/>
              <w:spacing w:after="0"/>
              <w:rPr>
                <w:sz w:val="20"/>
                <w:szCs w:val="20"/>
                <w:color w:val="auto"/>
              </w:rPr>
            </w:pPr>
            <w:r>
              <w:rPr>
                <w:rFonts w:ascii="Arial" w:cs="Arial" w:eastAsia="Arial" w:hAnsi="Arial"/>
                <w:sz w:val="18"/>
                <w:szCs w:val="18"/>
                <w:color w:val="424242"/>
              </w:rPr>
              <w:t>ü</w:t>
            </w:r>
          </w:p>
        </w:tc>
        <w:tc>
          <w:tcPr>
            <w:tcW w:w="5020" w:type="dxa"/>
            <w:vAlign w:val="bottom"/>
            <w:shd w:val="clear" w:color="auto" w:fill="D9E2F3"/>
          </w:tcPr>
          <w:p>
            <w:pPr>
              <w:ind w:left="180"/>
              <w:spacing w:after="0"/>
              <w:rPr>
                <w:sz w:val="20"/>
                <w:szCs w:val="20"/>
                <w:color w:val="auto"/>
              </w:rPr>
            </w:pPr>
            <w:r>
              <w:rPr>
                <w:rFonts w:ascii="Arial" w:cs="Arial" w:eastAsia="Arial" w:hAnsi="Arial"/>
                <w:sz w:val="18"/>
                <w:szCs w:val="18"/>
                <w:color w:val="666666"/>
              </w:rPr>
              <w:t>Require our executives and directors to satisfy meaningful</w:t>
            </w:r>
          </w:p>
        </w:tc>
        <w:tc>
          <w:tcPr>
            <w:tcW w:w="120" w:type="dxa"/>
            <w:vAlign w:val="bottom"/>
          </w:tcPr>
          <w:p>
            <w:pPr>
              <w:spacing w:after="0"/>
              <w:rPr>
                <w:sz w:val="23"/>
                <w:szCs w:val="23"/>
                <w:color w:val="auto"/>
              </w:rPr>
            </w:pPr>
          </w:p>
        </w:tc>
        <w:tc>
          <w:tcPr>
            <w:tcW w:w="5640" w:type="dxa"/>
            <w:vAlign w:val="bottom"/>
            <w:shd w:val="clear" w:color="auto" w:fill="D9E2F3"/>
          </w:tcPr>
          <w:p>
            <w:pPr>
              <w:ind w:left="180"/>
              <w:spacing w:after="0"/>
              <w:rPr>
                <w:sz w:val="20"/>
                <w:szCs w:val="20"/>
                <w:color w:val="auto"/>
              </w:rPr>
            </w:pPr>
            <w:r>
              <w:rPr>
                <w:rFonts w:ascii="Arial" w:cs="Arial" w:eastAsia="Arial" w:hAnsi="Arial"/>
                <w:sz w:val="18"/>
                <w:szCs w:val="18"/>
                <w:color w:val="424242"/>
              </w:rPr>
              <w:t xml:space="preserve">û  </w:t>
            </w:r>
            <w:r>
              <w:rPr>
                <w:rFonts w:ascii="Arial" w:cs="Arial" w:eastAsia="Arial" w:hAnsi="Arial"/>
                <w:sz w:val="18"/>
                <w:szCs w:val="18"/>
                <w:color w:val="666666"/>
              </w:rPr>
              <w:t>Reprice underwater stock options</w:t>
            </w:r>
          </w:p>
        </w:tc>
      </w:tr>
      <w:tr>
        <w:trPr>
          <w:trHeight w:val="230"/>
        </w:trPr>
        <w:tc>
          <w:tcPr>
            <w:tcW w:w="300" w:type="dxa"/>
            <w:vAlign w:val="bottom"/>
            <w:shd w:val="clear" w:color="auto" w:fill="D9E2F3"/>
          </w:tcPr>
          <w:p>
            <w:pPr>
              <w:spacing w:after="0"/>
              <w:rPr>
                <w:sz w:val="20"/>
                <w:szCs w:val="20"/>
                <w:color w:val="auto"/>
              </w:rPr>
            </w:pPr>
          </w:p>
        </w:tc>
        <w:tc>
          <w:tcPr>
            <w:tcW w:w="5020" w:type="dxa"/>
            <w:vAlign w:val="bottom"/>
            <w:shd w:val="clear" w:color="auto" w:fill="D9E2F3"/>
          </w:tcPr>
          <w:p>
            <w:pPr>
              <w:ind w:left="180"/>
              <w:spacing w:after="0"/>
              <w:rPr>
                <w:sz w:val="20"/>
                <w:szCs w:val="20"/>
                <w:color w:val="auto"/>
              </w:rPr>
            </w:pPr>
            <w:r>
              <w:rPr>
                <w:rFonts w:ascii="Arial" w:cs="Arial" w:eastAsia="Arial" w:hAnsi="Arial"/>
                <w:sz w:val="18"/>
                <w:szCs w:val="18"/>
                <w:color w:val="666666"/>
              </w:rPr>
              <w:t>stock ownership requirements</w:t>
            </w:r>
          </w:p>
        </w:tc>
        <w:tc>
          <w:tcPr>
            <w:tcW w:w="120" w:type="dxa"/>
            <w:vAlign w:val="bottom"/>
          </w:tcPr>
          <w:p>
            <w:pPr>
              <w:spacing w:after="0"/>
              <w:rPr>
                <w:sz w:val="20"/>
                <w:szCs w:val="20"/>
                <w:color w:val="auto"/>
              </w:rPr>
            </w:pPr>
          </w:p>
        </w:tc>
        <w:tc>
          <w:tcPr>
            <w:tcW w:w="5640" w:type="dxa"/>
            <w:vAlign w:val="bottom"/>
            <w:shd w:val="clear" w:color="auto" w:fill="D9E2F3"/>
          </w:tcPr>
          <w:p>
            <w:pPr>
              <w:spacing w:after="0"/>
              <w:rPr>
                <w:sz w:val="20"/>
                <w:szCs w:val="20"/>
                <w:color w:val="auto"/>
              </w:rPr>
            </w:pPr>
          </w:p>
        </w:tc>
      </w:tr>
      <w:tr>
        <w:trPr>
          <w:trHeight w:val="229"/>
        </w:trPr>
        <w:tc>
          <w:tcPr>
            <w:tcW w:w="300" w:type="dxa"/>
            <w:vAlign w:val="bottom"/>
          </w:tcPr>
          <w:p>
            <w:pPr>
              <w:ind w:left="40"/>
              <w:spacing w:after="0"/>
              <w:rPr>
                <w:sz w:val="20"/>
                <w:szCs w:val="20"/>
                <w:color w:val="auto"/>
              </w:rPr>
            </w:pPr>
            <w:r>
              <w:rPr>
                <w:rFonts w:ascii="Arial" w:cs="Arial" w:eastAsia="Arial" w:hAnsi="Arial"/>
                <w:sz w:val="18"/>
                <w:szCs w:val="18"/>
                <w:color w:val="424242"/>
              </w:rPr>
              <w:t>ü</w:t>
            </w:r>
          </w:p>
        </w:tc>
        <w:tc>
          <w:tcPr>
            <w:tcW w:w="5020" w:type="dxa"/>
            <w:vAlign w:val="bottom"/>
          </w:tcPr>
          <w:p>
            <w:pPr>
              <w:ind w:left="180"/>
              <w:spacing w:after="0"/>
              <w:rPr>
                <w:sz w:val="20"/>
                <w:szCs w:val="20"/>
                <w:color w:val="auto"/>
              </w:rPr>
            </w:pPr>
            <w:r>
              <w:rPr>
                <w:rFonts w:ascii="Arial" w:cs="Arial" w:eastAsia="Arial" w:hAnsi="Arial"/>
                <w:sz w:val="18"/>
                <w:szCs w:val="18"/>
                <w:color w:val="666666"/>
              </w:rPr>
              <w:t>Include compensation recovery provisions (clawbacks) in</w:t>
            </w:r>
          </w:p>
        </w:tc>
        <w:tc>
          <w:tcPr>
            <w:tcW w:w="120" w:type="dxa"/>
            <w:vAlign w:val="bottom"/>
          </w:tcPr>
          <w:p>
            <w:pPr>
              <w:spacing w:after="0"/>
              <w:rPr>
                <w:sz w:val="19"/>
                <w:szCs w:val="19"/>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424242"/>
              </w:rPr>
              <w:t xml:space="preserve">û  </w:t>
            </w:r>
            <w:r>
              <w:rPr>
                <w:rFonts w:ascii="Arial" w:cs="Arial" w:eastAsia="Arial" w:hAnsi="Arial"/>
                <w:sz w:val="18"/>
                <w:szCs w:val="18"/>
                <w:color w:val="666666"/>
              </w:rPr>
              <w:t>Offer individual supplemental executive retirement plans</w:t>
            </w:r>
          </w:p>
        </w:tc>
      </w:tr>
      <w:tr>
        <w:trPr>
          <w:trHeight w:val="217"/>
        </w:trPr>
        <w:tc>
          <w:tcPr>
            <w:tcW w:w="300" w:type="dxa"/>
            <w:vAlign w:val="bottom"/>
          </w:tcPr>
          <w:p>
            <w:pPr>
              <w:spacing w:after="0"/>
              <w:rPr>
                <w:sz w:val="18"/>
                <w:szCs w:val="18"/>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666666"/>
              </w:rPr>
              <w:t>our incentive plans</w:t>
            </w:r>
          </w:p>
        </w:tc>
        <w:tc>
          <w:tcPr>
            <w:tcW w:w="120" w:type="dxa"/>
            <w:vAlign w:val="bottom"/>
          </w:tcPr>
          <w:p>
            <w:pPr>
              <w:spacing w:after="0"/>
              <w:rPr>
                <w:sz w:val="18"/>
                <w:szCs w:val="18"/>
                <w:color w:val="auto"/>
              </w:rPr>
            </w:pPr>
          </w:p>
        </w:tc>
        <w:tc>
          <w:tcPr>
            <w:tcW w:w="5640" w:type="dxa"/>
            <w:vAlign w:val="bottom"/>
          </w:tcPr>
          <w:p>
            <w:pPr>
              <w:spacing w:after="0"/>
              <w:rPr>
                <w:sz w:val="18"/>
                <w:szCs w:val="18"/>
                <w:color w:val="auto"/>
              </w:rPr>
            </w:pPr>
          </w:p>
        </w:tc>
      </w:tr>
      <w:tr>
        <w:trPr>
          <w:trHeight w:val="242"/>
        </w:trPr>
        <w:tc>
          <w:tcPr>
            <w:tcW w:w="300" w:type="dxa"/>
            <w:vAlign w:val="bottom"/>
          </w:tcPr>
          <w:p>
            <w:pPr>
              <w:ind w:left="40"/>
              <w:spacing w:after="0"/>
              <w:rPr>
                <w:sz w:val="20"/>
                <w:szCs w:val="20"/>
                <w:color w:val="auto"/>
              </w:rPr>
            </w:pPr>
            <w:r>
              <w:rPr>
                <w:rFonts w:ascii="Arial" w:cs="Arial" w:eastAsia="Arial" w:hAnsi="Arial"/>
                <w:sz w:val="18"/>
                <w:szCs w:val="18"/>
                <w:color w:val="424242"/>
              </w:rPr>
              <w:t>ü</w:t>
            </w:r>
          </w:p>
        </w:tc>
        <w:tc>
          <w:tcPr>
            <w:tcW w:w="5020" w:type="dxa"/>
            <w:vAlign w:val="bottom"/>
          </w:tcPr>
          <w:p>
            <w:pPr>
              <w:ind w:left="180"/>
              <w:spacing w:after="0"/>
              <w:rPr>
                <w:sz w:val="20"/>
                <w:szCs w:val="20"/>
                <w:color w:val="auto"/>
              </w:rPr>
            </w:pPr>
            <w:r>
              <w:rPr>
                <w:rFonts w:ascii="Arial" w:cs="Arial" w:eastAsia="Arial" w:hAnsi="Arial"/>
                <w:sz w:val="18"/>
                <w:szCs w:val="18"/>
                <w:color w:val="666666"/>
              </w:rPr>
              <w:t>Perform annual review of appropriate peer group to</w:t>
            </w:r>
          </w:p>
        </w:tc>
        <w:tc>
          <w:tcPr>
            <w:tcW w:w="120" w:type="dxa"/>
            <w:vAlign w:val="bottom"/>
          </w:tcPr>
          <w:p>
            <w:pPr>
              <w:spacing w:after="0"/>
              <w:rPr>
                <w:sz w:val="21"/>
                <w:szCs w:val="21"/>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424242"/>
              </w:rPr>
              <w:t xml:space="preserve">û  </w:t>
            </w:r>
            <w:r>
              <w:rPr>
                <w:rFonts w:ascii="Arial" w:cs="Arial" w:eastAsia="Arial" w:hAnsi="Arial"/>
                <w:sz w:val="18"/>
                <w:szCs w:val="18"/>
                <w:color w:val="666666"/>
              </w:rPr>
              <w:t>Grant discounted stock options</w:t>
            </w:r>
          </w:p>
        </w:tc>
      </w:tr>
      <w:tr>
        <w:trPr>
          <w:trHeight w:val="217"/>
        </w:trPr>
        <w:tc>
          <w:tcPr>
            <w:tcW w:w="300" w:type="dxa"/>
            <w:vAlign w:val="bottom"/>
          </w:tcPr>
          <w:p>
            <w:pPr>
              <w:spacing w:after="0"/>
              <w:rPr>
                <w:sz w:val="18"/>
                <w:szCs w:val="18"/>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666666"/>
              </w:rPr>
              <w:t>benchmark executive compensation</w:t>
            </w:r>
          </w:p>
        </w:tc>
        <w:tc>
          <w:tcPr>
            <w:tcW w:w="120" w:type="dxa"/>
            <w:vAlign w:val="bottom"/>
          </w:tcPr>
          <w:p>
            <w:pPr>
              <w:spacing w:after="0"/>
              <w:rPr>
                <w:sz w:val="18"/>
                <w:szCs w:val="18"/>
                <w:color w:val="auto"/>
              </w:rPr>
            </w:pPr>
          </w:p>
        </w:tc>
        <w:tc>
          <w:tcPr>
            <w:tcW w:w="56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-890905</wp:posOffset>
            </wp:positionV>
            <wp:extent cx="7029450" cy="2211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29450" cy="221170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type w:val="continuous"/>
        </w:sectPr>
      </w:pPr>
    </w:p>
    <w:p>
      <w:pPr>
        <w:spacing w:after="0" w:line="40" w:lineRule="exact"/>
        <w:rPr>
          <w:sz w:val="20"/>
          <w:szCs w:val="20"/>
          <w:color w:val="auto"/>
        </w:rPr>
      </w:pPr>
    </w:p>
    <w:p>
      <w:pPr>
        <w:ind w:left="560" w:right="161" w:hanging="444"/>
        <w:spacing w:after="0"/>
        <w:tabs>
          <w:tab w:leader="none" w:pos="560" w:val="left"/>
        </w:tabs>
        <w:numPr>
          <w:ilvl w:val="0"/>
          <w:numId w:val="32"/>
        </w:numPr>
        <w:rPr>
          <w:rFonts w:ascii="Arial" w:cs="Arial" w:eastAsia="Arial" w:hAnsi="Arial"/>
          <w:sz w:val="18"/>
          <w:szCs w:val="18"/>
          <w:color w:val="424242"/>
        </w:rPr>
      </w:pPr>
      <w:r>
        <w:rPr>
          <w:rFonts w:ascii="Arial" w:cs="Arial" w:eastAsia="Arial" w:hAnsi="Arial"/>
          <w:sz w:val="18"/>
          <w:szCs w:val="18"/>
          <w:color w:val="666666"/>
        </w:rPr>
        <w:t>Conduct annual risk assessment of incentive-based compensation to identify any issues that could have a material, adverse impact on the Company</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279" w:right="300" w:hanging="279"/>
        <w:spacing w:after="0" w:line="246" w:lineRule="auto"/>
        <w:tabs>
          <w:tab w:leader="none" w:pos="279" w:val="left"/>
        </w:tabs>
        <w:numPr>
          <w:ilvl w:val="0"/>
          <w:numId w:val="33"/>
        </w:numPr>
        <w:rPr>
          <w:rFonts w:ascii="Arial" w:cs="Arial" w:eastAsia="Arial" w:hAnsi="Arial"/>
          <w:sz w:val="18"/>
          <w:szCs w:val="18"/>
          <w:color w:val="424242"/>
        </w:rPr>
      </w:pPr>
      <w:r>
        <w:rPr>
          <w:rFonts w:ascii="Arial" w:cs="Arial" w:eastAsia="Arial" w:hAnsi="Arial"/>
          <w:sz w:val="18"/>
          <w:szCs w:val="18"/>
          <w:color w:val="666666"/>
        </w:rPr>
        <w:t>Provide tax gross-ups on golden parachute payments for CEO or other officers following a change in control</w:t>
      </w:r>
    </w:p>
    <w:p>
      <w:pPr>
        <w:spacing w:after="0" w:line="219" w:lineRule="exact"/>
        <w:rPr>
          <w:sz w:val="20"/>
          <w:szCs w:val="20"/>
          <w:color w:val="auto"/>
        </w:rPr>
      </w:pPr>
    </w:p>
    <w:p>
      <w:pPr>
        <w:sectPr>
          <w:pgSz w:w="11900" w:h="16838" w:orient="portrait"/>
          <w:cols w:equalWidth="0" w:num="2">
            <w:col w:w="4981" w:space="720"/>
            <w:col w:w="5539"/>
          </w:cols>
          <w:pgMar w:left="320" w:top="339" w:right="339" w:bottom="1440" w:gutter="0" w:footer="0" w:header="0"/>
          <w:type w:val="continuous"/>
        </w:sectPr>
      </w:pPr>
    </w:p>
    <w:p>
      <w:pPr>
        <w:ind w:left="120"/>
        <w:spacing w:after="0"/>
        <w:tabs>
          <w:tab w:leader="none" w:pos="540" w:val="left"/>
          <w:tab w:leader="none" w:pos="5680" w:val="left"/>
          <w:tab w:leader="none" w:pos="5960" w:val="left"/>
        </w:tabs>
        <w:rPr>
          <w:sz w:val="20"/>
          <w:szCs w:val="20"/>
          <w:color w:val="auto"/>
        </w:rPr>
      </w:pPr>
      <w:r>
        <w:rPr>
          <w:rFonts w:ascii="Arial" w:cs="Arial" w:eastAsia="Arial" w:hAnsi="Arial"/>
          <w:sz w:val="18"/>
          <w:szCs w:val="18"/>
          <w:color w:val="424242"/>
        </w:rPr>
        <w:t>ü</w:t>
      </w:r>
      <w:r>
        <w:rPr>
          <w:sz w:val="20"/>
          <w:szCs w:val="20"/>
          <w:color w:val="auto"/>
        </w:rPr>
        <w:tab/>
      </w:r>
      <w:r>
        <w:rPr>
          <w:rFonts w:ascii="Arial" w:cs="Arial" w:eastAsia="Arial" w:hAnsi="Arial"/>
          <w:sz w:val="18"/>
          <w:szCs w:val="18"/>
          <w:color w:val="666666"/>
        </w:rPr>
        <w:t>Review on a regular basis our executive talent,</w:t>
      </w:r>
      <w:r>
        <w:rPr>
          <w:sz w:val="20"/>
          <w:szCs w:val="20"/>
          <w:color w:val="auto"/>
        </w:rPr>
        <w:tab/>
      </w:r>
      <w:r>
        <w:rPr>
          <w:rFonts w:ascii="Arial" w:cs="Arial" w:eastAsia="Arial" w:hAnsi="Arial"/>
          <w:sz w:val="18"/>
          <w:szCs w:val="18"/>
          <w:color w:val="424242"/>
        </w:rPr>
        <w:t>û</w:t>
      </w:r>
      <w:r>
        <w:rPr>
          <w:sz w:val="20"/>
          <w:szCs w:val="20"/>
          <w:color w:val="auto"/>
        </w:rPr>
        <w:tab/>
      </w:r>
      <w:r>
        <w:rPr>
          <w:rFonts w:ascii="Arial" w:cs="Arial" w:eastAsia="Arial" w:hAnsi="Arial"/>
          <w:sz w:val="17"/>
          <w:szCs w:val="17"/>
          <w:color w:val="666666"/>
        </w:rPr>
        <w:t>Allow for change in control agreements for named executive</w:t>
      </w:r>
    </w:p>
    <w:p>
      <w:pPr>
        <w:spacing w:after="0" w:line="9" w:lineRule="exact"/>
        <w:rPr>
          <w:sz w:val="20"/>
          <w:szCs w:val="20"/>
          <w:color w:val="auto"/>
        </w:rPr>
      </w:pPr>
    </w:p>
    <w:p>
      <w:pPr>
        <w:ind w:left="560"/>
        <w:spacing w:after="0"/>
        <w:tabs>
          <w:tab w:leader="none" w:pos="5960" w:val="left"/>
        </w:tabs>
        <w:rPr>
          <w:sz w:val="20"/>
          <w:szCs w:val="20"/>
          <w:color w:val="auto"/>
        </w:rPr>
      </w:pPr>
      <w:r>
        <w:rPr>
          <w:rFonts w:ascii="Arial" w:cs="Arial" w:eastAsia="Arial" w:hAnsi="Arial"/>
          <w:sz w:val="18"/>
          <w:szCs w:val="18"/>
          <w:color w:val="666666"/>
        </w:rPr>
        <w:t>performance, deployments, and succession</w:t>
      </w:r>
      <w:r>
        <w:rPr>
          <w:sz w:val="20"/>
          <w:szCs w:val="20"/>
          <w:color w:val="auto"/>
        </w:rPr>
        <w:tab/>
      </w:r>
      <w:r>
        <w:rPr>
          <w:rFonts w:ascii="Arial" w:cs="Arial" w:eastAsia="Arial" w:hAnsi="Arial"/>
          <w:sz w:val="17"/>
          <w:szCs w:val="17"/>
          <w:color w:val="666666"/>
        </w:rPr>
        <w:t>officers</w:t>
      </w:r>
    </w:p>
    <w:p>
      <w:pPr>
        <w:spacing w:after="0" w:line="32" w:lineRule="exact"/>
        <w:rPr>
          <w:sz w:val="20"/>
          <w:szCs w:val="20"/>
          <w:color w:val="auto"/>
        </w:rPr>
      </w:pPr>
    </w:p>
    <w:p>
      <w:pPr>
        <w:ind w:left="120"/>
        <w:spacing w:after="0"/>
        <w:tabs>
          <w:tab w:leader="none" w:pos="540" w:val="left"/>
          <w:tab w:leader="none" w:pos="5680" w:val="left"/>
          <w:tab w:leader="none" w:pos="5960" w:val="left"/>
        </w:tabs>
        <w:rPr>
          <w:sz w:val="20"/>
          <w:szCs w:val="20"/>
          <w:color w:val="auto"/>
        </w:rPr>
      </w:pPr>
      <w:r>
        <w:rPr>
          <w:rFonts w:ascii="Arial" w:cs="Arial" w:eastAsia="Arial" w:hAnsi="Arial"/>
          <w:sz w:val="18"/>
          <w:szCs w:val="18"/>
          <w:color w:val="424242"/>
        </w:rPr>
        <w:t>ü</w:t>
      </w:r>
      <w:r>
        <w:rPr>
          <w:sz w:val="20"/>
          <w:szCs w:val="20"/>
          <w:color w:val="auto"/>
        </w:rPr>
        <w:tab/>
      </w:r>
      <w:r>
        <w:rPr>
          <w:rFonts w:ascii="Arial" w:cs="Arial" w:eastAsia="Arial" w:hAnsi="Arial"/>
          <w:sz w:val="18"/>
          <w:szCs w:val="18"/>
          <w:color w:val="666666"/>
        </w:rPr>
        <w:t>Align executive pay with short- and long-term performance</w:t>
      </w:r>
      <w:r>
        <w:rPr>
          <w:sz w:val="20"/>
          <w:szCs w:val="20"/>
          <w:color w:val="auto"/>
        </w:rPr>
        <w:tab/>
      </w:r>
      <w:r>
        <w:rPr>
          <w:rFonts w:ascii="Arial" w:cs="Arial" w:eastAsia="Arial" w:hAnsi="Arial"/>
          <w:sz w:val="18"/>
          <w:szCs w:val="18"/>
          <w:color w:val="424242"/>
        </w:rPr>
        <w:t>û</w:t>
      </w:r>
      <w:r>
        <w:rPr>
          <w:sz w:val="20"/>
          <w:szCs w:val="20"/>
          <w:color w:val="auto"/>
        </w:rPr>
        <w:tab/>
      </w:r>
      <w:r>
        <w:rPr>
          <w:rFonts w:ascii="Arial" w:cs="Arial" w:eastAsia="Arial" w:hAnsi="Arial"/>
          <w:sz w:val="18"/>
          <w:szCs w:val="18"/>
          <w:color w:val="666666"/>
        </w:rPr>
        <w:t>Allow employees or directors to engage in hedging transactions</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666666"/>
        </w:rPr>
        <w:t>in accordance with our insider trading policy</w:t>
      </w:r>
    </w:p>
    <w:p>
      <w:pPr>
        <w:spacing w:after="0" w:line="36" w:lineRule="exact"/>
        <w:rPr>
          <w:sz w:val="20"/>
          <w:szCs w:val="20"/>
          <w:color w:val="auto"/>
        </w:rPr>
      </w:pPr>
    </w:p>
    <w:p>
      <w:pPr>
        <w:ind w:left="120"/>
        <w:spacing w:after="0"/>
        <w:tabs>
          <w:tab w:leader="none" w:pos="540" w:val="left"/>
          <w:tab w:leader="none" w:pos="5680" w:val="left"/>
          <w:tab w:leader="none" w:pos="5960" w:val="left"/>
        </w:tabs>
        <w:rPr>
          <w:sz w:val="20"/>
          <w:szCs w:val="20"/>
          <w:color w:val="auto"/>
        </w:rPr>
      </w:pPr>
      <w:r>
        <w:rPr>
          <w:rFonts w:ascii="Arial" w:cs="Arial" w:eastAsia="Arial" w:hAnsi="Arial"/>
          <w:sz w:val="18"/>
          <w:szCs w:val="18"/>
          <w:color w:val="424242"/>
        </w:rPr>
        <w:t>ü</w:t>
      </w:r>
      <w:r>
        <w:rPr>
          <w:sz w:val="20"/>
          <w:szCs w:val="20"/>
          <w:color w:val="auto"/>
        </w:rPr>
        <w:tab/>
      </w:r>
      <w:r>
        <w:rPr>
          <w:rFonts w:ascii="Arial" w:cs="Arial" w:eastAsia="Arial" w:hAnsi="Arial"/>
          <w:sz w:val="18"/>
          <w:szCs w:val="18"/>
          <w:color w:val="666666"/>
        </w:rPr>
        <w:t>Hold annual advisory vote on executive compensation</w:t>
      </w:r>
      <w:r>
        <w:rPr>
          <w:sz w:val="20"/>
          <w:szCs w:val="20"/>
          <w:color w:val="auto"/>
        </w:rPr>
        <w:tab/>
      </w:r>
      <w:r>
        <w:rPr>
          <w:rFonts w:ascii="Arial" w:cs="Arial" w:eastAsia="Arial" w:hAnsi="Arial"/>
          <w:sz w:val="18"/>
          <w:szCs w:val="18"/>
          <w:color w:val="424242"/>
        </w:rPr>
        <w:t>û</w:t>
      </w:r>
      <w:r>
        <w:rPr>
          <w:sz w:val="20"/>
          <w:szCs w:val="20"/>
          <w:color w:val="auto"/>
        </w:rPr>
        <w:tab/>
      </w:r>
      <w:r>
        <w:rPr>
          <w:rFonts w:ascii="Arial" w:cs="Arial" w:eastAsia="Arial" w:hAnsi="Arial"/>
          <w:sz w:val="17"/>
          <w:szCs w:val="17"/>
          <w:color w:val="666666"/>
        </w:rPr>
        <w:t>Allow pledging of our shares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29</w:t>
      </w:r>
    </w:p>
    <w:p>
      <w:pPr>
        <w:sectPr>
          <w:pgSz w:w="11900" w:h="16838" w:orient="portrait"/>
          <w:cols w:equalWidth="0" w:num="1">
            <w:col w:w="11240"/>
          </w:cols>
          <w:pgMar w:left="320" w:top="339"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b w:val="1"/>
          <w:bCs w:val="1"/>
          <w:u w:val="single" w:color="auto"/>
          <w:color w:val="4F7CBA"/>
        </w:rPr>
        <w:t>Setting Executive Compensation and Peer Group</w:t>
      </w:r>
    </w:p>
    <w:p>
      <w:pPr>
        <w:spacing w:after="0" w:line="253" w:lineRule="exact"/>
        <w:rPr>
          <w:sz w:val="20"/>
          <w:szCs w:val="20"/>
          <w:color w:val="auto"/>
        </w:rPr>
      </w:pPr>
    </w:p>
    <w:p>
      <w:pPr>
        <w:ind w:right="80" w:firstLine="324"/>
        <w:spacing w:after="0" w:line="241" w:lineRule="auto"/>
        <w:rPr>
          <w:sz w:val="20"/>
          <w:szCs w:val="20"/>
          <w:color w:val="auto"/>
        </w:rPr>
      </w:pPr>
      <w:r>
        <w:rPr>
          <w:rFonts w:ascii="Arial" w:cs="Arial" w:eastAsia="Arial" w:hAnsi="Arial"/>
          <w:sz w:val="20"/>
          <w:szCs w:val="20"/>
          <w:color w:val="666666"/>
        </w:rPr>
        <w:t>We evaluate our named executive officers' compensation relative to compensation of publicly traded peer organizations that are similar in size, industry, and operations. The Compensation Committee reviews the peer group regularly and adjusts as necessary due to changes at the peer company's operations or changes in comparability (e.g., due to bankruptcy, or mergers and acquisitions) to the Company. The peer group is used by the Compensation Committee as a point of reference in determining pay within a competitive range without targeting a specific benchmark when making executive pay decisions.</w:t>
      </w:r>
    </w:p>
    <w:p>
      <w:pPr>
        <w:spacing w:after="0" w:line="222" w:lineRule="exact"/>
        <w:rPr>
          <w:sz w:val="20"/>
          <w:szCs w:val="20"/>
          <w:color w:val="auto"/>
        </w:rPr>
      </w:pPr>
    </w:p>
    <w:p>
      <w:pPr>
        <w:ind w:right="580" w:firstLine="324"/>
        <w:spacing w:after="0" w:line="258" w:lineRule="auto"/>
        <w:rPr>
          <w:sz w:val="20"/>
          <w:szCs w:val="20"/>
          <w:color w:val="auto"/>
        </w:rPr>
      </w:pPr>
      <w:r>
        <w:rPr>
          <w:rFonts w:ascii="Arial" w:cs="Arial" w:eastAsia="Arial" w:hAnsi="Arial"/>
          <w:sz w:val="19"/>
          <w:szCs w:val="19"/>
          <w:color w:val="666666"/>
        </w:rPr>
        <w:t>For setting fiscal year 2020 executive compensation, due to various acquisitions and organizational changes in the marketplace, the Compensation Committee requested that outside compensation consultant Korn Ferry perform a comprehensive review of the peer companies used for evaluating our named executive officers' compensation. Korn Ferry evaluated companies that are similar in size, industry, and operations, using specific review criteria, as described below:</w:t>
      </w:r>
    </w:p>
    <w:p>
      <w:pPr>
        <w:spacing w:after="0" w:line="208" w:lineRule="exact"/>
        <w:rPr>
          <w:sz w:val="20"/>
          <w:szCs w:val="20"/>
          <w:color w:val="auto"/>
        </w:rPr>
      </w:pPr>
    </w:p>
    <w:p>
      <w:pPr>
        <w:jc w:val="both"/>
        <w:ind w:left="660" w:hanging="328"/>
        <w:spacing w:after="0" w:line="243" w:lineRule="auto"/>
        <w:tabs>
          <w:tab w:leader="none" w:pos="660" w:val="left"/>
        </w:tabs>
        <w:numPr>
          <w:ilvl w:val="0"/>
          <w:numId w:val="34"/>
        </w:numPr>
        <w:rPr>
          <w:rFonts w:ascii="Arial" w:cs="Arial" w:eastAsia="Arial" w:hAnsi="Arial"/>
          <w:sz w:val="20"/>
          <w:szCs w:val="20"/>
          <w:color w:val="666666"/>
        </w:rPr>
      </w:pPr>
      <w:r>
        <w:rPr>
          <w:rFonts w:ascii="Arial" w:cs="Arial" w:eastAsia="Arial" w:hAnsi="Arial"/>
          <w:sz w:val="20"/>
          <w:szCs w:val="20"/>
          <w:color w:val="666666"/>
        </w:rPr>
        <w:t>Company size: Organizations with revenues approximately 0.33x to 3.00x of our revenue, with peer median revenue approximating Company revenue, with flexibility outside of this range to accommodate organizations that are a good match from a business perspective.</w:t>
      </w:r>
    </w:p>
    <w:p>
      <w:pPr>
        <w:spacing w:after="0" w:line="97" w:lineRule="exact"/>
        <w:rPr>
          <w:rFonts w:ascii="Arial" w:cs="Arial" w:eastAsia="Arial" w:hAnsi="Arial"/>
          <w:sz w:val="20"/>
          <w:szCs w:val="20"/>
          <w:color w:val="666666"/>
        </w:rPr>
      </w:pPr>
    </w:p>
    <w:p>
      <w:pPr>
        <w:ind w:left="660" w:right="20" w:hanging="328"/>
        <w:spacing w:after="0" w:line="246" w:lineRule="auto"/>
        <w:tabs>
          <w:tab w:leader="none" w:pos="660" w:val="left"/>
        </w:tabs>
        <w:numPr>
          <w:ilvl w:val="0"/>
          <w:numId w:val="34"/>
        </w:numPr>
        <w:rPr>
          <w:rFonts w:ascii="Arial" w:cs="Arial" w:eastAsia="Arial" w:hAnsi="Arial"/>
          <w:sz w:val="20"/>
          <w:szCs w:val="20"/>
          <w:color w:val="666666"/>
        </w:rPr>
      </w:pPr>
      <w:r>
        <w:rPr>
          <w:rFonts w:ascii="Arial" w:cs="Arial" w:eastAsia="Arial" w:hAnsi="Arial"/>
          <w:sz w:val="20"/>
          <w:szCs w:val="20"/>
          <w:color w:val="666666"/>
        </w:rPr>
        <w:t>Industry: Includes government services organizations and other "comparables" that our Investor Relations department tracks and other organizations that benchmark to our Company.</w:t>
      </w:r>
    </w:p>
    <w:p>
      <w:pPr>
        <w:spacing w:after="0" w:line="217" w:lineRule="exact"/>
        <w:rPr>
          <w:sz w:val="20"/>
          <w:szCs w:val="20"/>
          <w:color w:val="auto"/>
        </w:rPr>
      </w:pPr>
    </w:p>
    <w:p>
      <w:pPr>
        <w:ind w:right="520" w:firstLine="324"/>
        <w:spacing w:after="0" w:line="246" w:lineRule="auto"/>
        <w:rPr>
          <w:sz w:val="20"/>
          <w:szCs w:val="20"/>
          <w:color w:val="auto"/>
        </w:rPr>
      </w:pPr>
      <w:r>
        <w:rPr>
          <w:rFonts w:ascii="Arial" w:cs="Arial" w:eastAsia="Arial" w:hAnsi="Arial"/>
          <w:sz w:val="20"/>
          <w:szCs w:val="20"/>
          <w:color w:val="666666"/>
        </w:rPr>
        <w:t>As a result of this review, the Compensation Committee approved the peer group set forth below for benchmarking and setting compensation of our named executive officers for fiscal year 2020.</w:t>
      </w:r>
    </w:p>
    <w:p>
      <w:pPr>
        <w:spacing w:after="0" w:line="126" w:lineRule="exact"/>
        <w:rPr>
          <w:sz w:val="20"/>
          <w:szCs w:val="20"/>
          <w:color w:val="auto"/>
        </w:rPr>
      </w:pPr>
    </w:p>
    <w:tbl>
      <w:tblPr>
        <w:tblLayout w:type="fixed"/>
        <w:tblInd w:w="960" w:type="dxa"/>
        <w:tblCellMar>
          <w:top w:w="0" w:type="dxa"/>
          <w:left w:w="0" w:type="dxa"/>
          <w:bottom w:w="0" w:type="dxa"/>
          <w:right w:w="0" w:type="dxa"/>
        </w:tblCellMar>
      </w:tblPr>
      <w:tr>
        <w:trPr>
          <w:trHeight w:val="257"/>
        </w:trPr>
        <w:tc>
          <w:tcPr>
            <w:tcW w:w="3280" w:type="dxa"/>
            <w:vAlign w:val="bottom"/>
            <w:shd w:val="clear" w:color="auto" w:fill="4472C4"/>
          </w:tcPr>
          <w:p>
            <w:pPr>
              <w:spacing w:after="0"/>
              <w:rPr>
                <w:sz w:val="22"/>
                <w:szCs w:val="22"/>
                <w:color w:val="auto"/>
              </w:rPr>
            </w:pPr>
          </w:p>
        </w:tc>
        <w:tc>
          <w:tcPr>
            <w:tcW w:w="6060" w:type="dxa"/>
            <w:vAlign w:val="bottom"/>
            <w:shd w:val="clear" w:color="auto" w:fill="4472C4"/>
          </w:tcPr>
          <w:p>
            <w:pPr>
              <w:ind w:left="180"/>
              <w:spacing w:after="0"/>
              <w:rPr>
                <w:sz w:val="20"/>
                <w:szCs w:val="20"/>
                <w:color w:val="auto"/>
              </w:rPr>
            </w:pPr>
            <w:r>
              <w:rPr>
                <w:rFonts w:ascii="Arial" w:cs="Arial" w:eastAsia="Arial" w:hAnsi="Arial"/>
                <w:sz w:val="18"/>
                <w:szCs w:val="18"/>
                <w:b w:val="1"/>
                <w:bCs w:val="1"/>
                <w:i w:val="1"/>
                <w:iCs w:val="1"/>
                <w:color w:val="FFFFFF"/>
              </w:rPr>
              <w:t>Fiscal Year 2020 Peer Group</w:t>
            </w:r>
          </w:p>
        </w:tc>
      </w:tr>
      <w:tr>
        <w:trPr>
          <w:trHeight w:val="229"/>
        </w:trPr>
        <w:tc>
          <w:tcPr>
            <w:tcW w:w="3280" w:type="dxa"/>
            <w:vAlign w:val="bottom"/>
            <w:shd w:val="clear" w:color="auto" w:fill="D9E2F3"/>
          </w:tcPr>
          <w:p>
            <w:pPr>
              <w:ind w:left="20"/>
              <w:spacing w:after="0"/>
              <w:rPr>
                <w:sz w:val="20"/>
                <w:szCs w:val="20"/>
                <w:color w:val="auto"/>
              </w:rPr>
            </w:pPr>
            <w:r>
              <w:rPr>
                <w:rFonts w:ascii="Arial" w:cs="Arial" w:eastAsia="Arial" w:hAnsi="Arial"/>
                <w:sz w:val="18"/>
                <w:szCs w:val="18"/>
                <w:color w:val="666666"/>
              </w:rPr>
              <w:t>- CACI International, Inc.</w:t>
            </w:r>
          </w:p>
        </w:tc>
        <w:tc>
          <w:tcPr>
            <w:tcW w:w="6060" w:type="dxa"/>
            <w:vAlign w:val="bottom"/>
            <w:shd w:val="clear" w:color="auto" w:fill="D9E2F3"/>
          </w:tcPr>
          <w:p>
            <w:pPr>
              <w:ind w:left="1220"/>
              <w:spacing w:after="0"/>
              <w:rPr>
                <w:sz w:val="20"/>
                <w:szCs w:val="20"/>
                <w:color w:val="auto"/>
              </w:rPr>
            </w:pPr>
            <w:r>
              <w:rPr>
                <w:rFonts w:ascii="Arial" w:cs="Arial" w:eastAsia="Arial" w:hAnsi="Arial"/>
                <w:sz w:val="18"/>
                <w:szCs w:val="18"/>
                <w:color w:val="666666"/>
              </w:rPr>
              <w:t>- Harris Corporation</w:t>
            </w:r>
            <w:r>
              <w:rPr>
                <w:rFonts w:ascii="Arial" w:cs="Arial" w:eastAsia="Arial" w:hAnsi="Arial"/>
                <w:sz w:val="14"/>
                <w:szCs w:val="14"/>
                <w:color w:val="666666"/>
              </w:rPr>
              <w:t>2</w:t>
            </w:r>
          </w:p>
        </w:tc>
      </w:tr>
      <w:tr>
        <w:trPr>
          <w:trHeight w:val="203"/>
        </w:trPr>
        <w:tc>
          <w:tcPr>
            <w:tcW w:w="3280" w:type="dxa"/>
            <w:vAlign w:val="bottom"/>
            <w:shd w:val="clear" w:color="auto" w:fill="D9E2F3"/>
          </w:tcPr>
          <w:p>
            <w:pPr>
              <w:ind w:left="20"/>
              <w:spacing w:after="0" w:line="202" w:lineRule="exact"/>
              <w:rPr>
                <w:sz w:val="20"/>
                <w:szCs w:val="20"/>
                <w:color w:val="auto"/>
              </w:rPr>
            </w:pPr>
            <w:r>
              <w:rPr>
                <w:rFonts w:ascii="Arial" w:cs="Arial" w:eastAsia="Arial" w:hAnsi="Arial"/>
                <w:sz w:val="18"/>
                <w:szCs w:val="18"/>
                <w:color w:val="666666"/>
              </w:rPr>
              <w:t>- CGI Group, Inc.</w:t>
            </w:r>
          </w:p>
        </w:tc>
        <w:tc>
          <w:tcPr>
            <w:tcW w:w="6060" w:type="dxa"/>
            <w:vAlign w:val="bottom"/>
            <w:shd w:val="clear" w:color="auto" w:fill="D9E2F3"/>
          </w:tcPr>
          <w:p>
            <w:pPr>
              <w:ind w:left="1220"/>
              <w:spacing w:after="0" w:line="202" w:lineRule="exact"/>
              <w:rPr>
                <w:sz w:val="20"/>
                <w:szCs w:val="20"/>
                <w:color w:val="auto"/>
              </w:rPr>
            </w:pPr>
            <w:r>
              <w:rPr>
                <w:rFonts w:ascii="Arial" w:cs="Arial" w:eastAsia="Arial" w:hAnsi="Arial"/>
                <w:sz w:val="18"/>
                <w:szCs w:val="18"/>
                <w:color w:val="666666"/>
              </w:rPr>
              <w:t>- L3 Technologies, Inc.</w:t>
            </w:r>
            <w:r>
              <w:rPr>
                <w:rFonts w:ascii="Arial" w:cs="Arial" w:eastAsia="Arial" w:hAnsi="Arial"/>
                <w:sz w:val="14"/>
                <w:szCs w:val="14"/>
                <w:color w:val="666666"/>
              </w:rPr>
              <w:t>2</w:t>
            </w:r>
          </w:p>
        </w:tc>
      </w:tr>
      <w:tr>
        <w:trPr>
          <w:trHeight w:val="203"/>
        </w:trPr>
        <w:tc>
          <w:tcPr>
            <w:tcW w:w="3280" w:type="dxa"/>
            <w:vAlign w:val="bottom"/>
            <w:shd w:val="clear" w:color="auto" w:fill="D9E2F3"/>
          </w:tcPr>
          <w:p>
            <w:pPr>
              <w:ind w:left="20"/>
              <w:spacing w:after="0" w:line="202" w:lineRule="exact"/>
              <w:rPr>
                <w:sz w:val="20"/>
                <w:szCs w:val="20"/>
                <w:color w:val="auto"/>
              </w:rPr>
            </w:pPr>
            <w:r>
              <w:rPr>
                <w:rFonts w:ascii="Arial" w:cs="Arial" w:eastAsia="Arial" w:hAnsi="Arial"/>
                <w:sz w:val="18"/>
                <w:szCs w:val="18"/>
                <w:color w:val="666666"/>
              </w:rPr>
              <w:t>- Cognizant Technology Solutions</w:t>
            </w:r>
          </w:p>
        </w:tc>
        <w:tc>
          <w:tcPr>
            <w:tcW w:w="6060" w:type="dxa"/>
            <w:vAlign w:val="bottom"/>
            <w:shd w:val="clear" w:color="auto" w:fill="D9E2F3"/>
          </w:tcPr>
          <w:p>
            <w:pPr>
              <w:ind w:left="1220"/>
              <w:spacing w:after="0" w:line="202" w:lineRule="exact"/>
              <w:rPr>
                <w:sz w:val="20"/>
                <w:szCs w:val="20"/>
                <w:color w:val="auto"/>
              </w:rPr>
            </w:pPr>
            <w:r>
              <w:rPr>
                <w:rFonts w:ascii="Arial" w:cs="Arial" w:eastAsia="Arial" w:hAnsi="Arial"/>
                <w:sz w:val="18"/>
                <w:szCs w:val="18"/>
                <w:color w:val="666666"/>
              </w:rPr>
              <w:t>- Leidos Holdings, Inc.</w:t>
            </w:r>
          </w:p>
        </w:tc>
      </w:tr>
      <w:tr>
        <w:trPr>
          <w:trHeight w:val="203"/>
        </w:trPr>
        <w:tc>
          <w:tcPr>
            <w:tcW w:w="3280" w:type="dxa"/>
            <w:vAlign w:val="bottom"/>
            <w:shd w:val="clear" w:color="auto" w:fill="D9E2F3"/>
          </w:tcPr>
          <w:p>
            <w:pPr>
              <w:ind w:left="20"/>
              <w:spacing w:after="0" w:line="202" w:lineRule="exact"/>
              <w:rPr>
                <w:sz w:val="20"/>
                <w:szCs w:val="20"/>
                <w:color w:val="auto"/>
              </w:rPr>
            </w:pPr>
            <w:r>
              <w:rPr>
                <w:rFonts w:ascii="Arial" w:cs="Arial" w:eastAsia="Arial" w:hAnsi="Arial"/>
                <w:sz w:val="18"/>
                <w:szCs w:val="18"/>
                <w:color w:val="666666"/>
              </w:rPr>
              <w:t>- Conduent Incorporated</w:t>
            </w:r>
          </w:p>
        </w:tc>
        <w:tc>
          <w:tcPr>
            <w:tcW w:w="6060" w:type="dxa"/>
            <w:vAlign w:val="bottom"/>
            <w:shd w:val="clear" w:color="auto" w:fill="D9E2F3"/>
          </w:tcPr>
          <w:p>
            <w:pPr>
              <w:ind w:left="1220"/>
              <w:spacing w:after="0" w:line="202" w:lineRule="exact"/>
              <w:rPr>
                <w:sz w:val="20"/>
                <w:szCs w:val="20"/>
                <w:color w:val="auto"/>
              </w:rPr>
            </w:pPr>
            <w:r>
              <w:rPr>
                <w:rFonts w:ascii="Arial" w:cs="Arial" w:eastAsia="Arial" w:hAnsi="Arial"/>
                <w:sz w:val="18"/>
                <w:szCs w:val="18"/>
                <w:color w:val="666666"/>
              </w:rPr>
              <w:t>- ManTech International Corporation</w:t>
            </w:r>
          </w:p>
        </w:tc>
      </w:tr>
      <w:tr>
        <w:trPr>
          <w:trHeight w:val="202"/>
        </w:trPr>
        <w:tc>
          <w:tcPr>
            <w:tcW w:w="3280" w:type="dxa"/>
            <w:vAlign w:val="bottom"/>
            <w:shd w:val="clear" w:color="auto" w:fill="D9E2F3"/>
          </w:tcPr>
          <w:p>
            <w:pPr>
              <w:ind w:left="20"/>
              <w:spacing w:after="0" w:line="202" w:lineRule="exact"/>
              <w:rPr>
                <w:sz w:val="20"/>
                <w:szCs w:val="20"/>
                <w:color w:val="auto"/>
              </w:rPr>
            </w:pPr>
            <w:r>
              <w:rPr>
                <w:rFonts w:ascii="Arial" w:cs="Arial" w:eastAsia="Arial" w:hAnsi="Arial"/>
                <w:sz w:val="18"/>
                <w:szCs w:val="18"/>
                <w:color w:val="666666"/>
              </w:rPr>
              <w:t>- Engility Holdings, Inc.</w:t>
            </w:r>
            <w:r>
              <w:rPr>
                <w:rFonts w:ascii="Arial" w:cs="Arial" w:eastAsia="Arial" w:hAnsi="Arial"/>
                <w:sz w:val="14"/>
                <w:szCs w:val="14"/>
                <w:color w:val="666666"/>
              </w:rPr>
              <w:t>1</w:t>
            </w:r>
          </w:p>
        </w:tc>
        <w:tc>
          <w:tcPr>
            <w:tcW w:w="6060" w:type="dxa"/>
            <w:vAlign w:val="bottom"/>
            <w:shd w:val="clear" w:color="auto" w:fill="D9E2F3"/>
          </w:tcPr>
          <w:p>
            <w:pPr>
              <w:ind w:left="1220"/>
              <w:spacing w:after="0" w:line="202" w:lineRule="exact"/>
              <w:rPr>
                <w:sz w:val="20"/>
                <w:szCs w:val="20"/>
                <w:color w:val="auto"/>
              </w:rPr>
            </w:pPr>
            <w:r>
              <w:rPr>
                <w:rFonts w:ascii="Arial" w:cs="Arial" w:eastAsia="Arial" w:hAnsi="Arial"/>
                <w:sz w:val="18"/>
                <w:szCs w:val="18"/>
                <w:color w:val="666666"/>
              </w:rPr>
              <w:t>- Maximus, Inc.</w:t>
            </w:r>
          </w:p>
        </w:tc>
      </w:tr>
      <w:tr>
        <w:trPr>
          <w:trHeight w:val="203"/>
        </w:trPr>
        <w:tc>
          <w:tcPr>
            <w:tcW w:w="3280" w:type="dxa"/>
            <w:vAlign w:val="bottom"/>
            <w:shd w:val="clear" w:color="auto" w:fill="D9E2F3"/>
          </w:tcPr>
          <w:p>
            <w:pPr>
              <w:ind w:left="20"/>
              <w:spacing w:after="0" w:line="202" w:lineRule="exact"/>
              <w:rPr>
                <w:sz w:val="20"/>
                <w:szCs w:val="20"/>
                <w:color w:val="auto"/>
              </w:rPr>
            </w:pPr>
            <w:r>
              <w:rPr>
                <w:rFonts w:ascii="Arial" w:cs="Arial" w:eastAsia="Arial" w:hAnsi="Arial"/>
                <w:sz w:val="18"/>
                <w:szCs w:val="18"/>
                <w:color w:val="666666"/>
              </w:rPr>
              <w:t>- Fidelity National Information Services</w:t>
            </w:r>
          </w:p>
        </w:tc>
        <w:tc>
          <w:tcPr>
            <w:tcW w:w="6060" w:type="dxa"/>
            <w:vAlign w:val="bottom"/>
            <w:shd w:val="clear" w:color="auto" w:fill="D9E2F3"/>
          </w:tcPr>
          <w:p>
            <w:pPr>
              <w:ind w:left="1220"/>
              <w:spacing w:after="0" w:line="202" w:lineRule="exact"/>
              <w:rPr>
                <w:sz w:val="20"/>
                <w:szCs w:val="20"/>
                <w:color w:val="auto"/>
              </w:rPr>
            </w:pPr>
            <w:r>
              <w:rPr>
                <w:rFonts w:ascii="Arial" w:cs="Arial" w:eastAsia="Arial" w:hAnsi="Arial"/>
                <w:sz w:val="18"/>
                <w:szCs w:val="18"/>
                <w:color w:val="666666"/>
              </w:rPr>
              <w:t>- Perspecta, Inc.</w:t>
            </w:r>
          </w:p>
        </w:tc>
      </w:tr>
      <w:tr>
        <w:trPr>
          <w:trHeight w:val="203"/>
        </w:trPr>
        <w:tc>
          <w:tcPr>
            <w:tcW w:w="3280" w:type="dxa"/>
            <w:vAlign w:val="bottom"/>
            <w:shd w:val="clear" w:color="auto" w:fill="D9E2F3"/>
          </w:tcPr>
          <w:p>
            <w:pPr>
              <w:ind w:left="20"/>
              <w:spacing w:after="0" w:line="202" w:lineRule="exact"/>
              <w:rPr>
                <w:sz w:val="20"/>
                <w:szCs w:val="20"/>
                <w:color w:val="auto"/>
              </w:rPr>
            </w:pPr>
            <w:r>
              <w:rPr>
                <w:rFonts w:ascii="Arial" w:cs="Arial" w:eastAsia="Arial" w:hAnsi="Arial"/>
                <w:sz w:val="18"/>
                <w:szCs w:val="18"/>
                <w:color w:val="666666"/>
              </w:rPr>
              <w:t>- FISERV, Inc.</w:t>
            </w:r>
          </w:p>
        </w:tc>
        <w:tc>
          <w:tcPr>
            <w:tcW w:w="6060" w:type="dxa"/>
            <w:vAlign w:val="bottom"/>
            <w:shd w:val="clear" w:color="auto" w:fill="D9E2F3"/>
          </w:tcPr>
          <w:p>
            <w:pPr>
              <w:ind w:left="1220"/>
              <w:spacing w:after="0" w:line="202" w:lineRule="exact"/>
              <w:rPr>
                <w:sz w:val="20"/>
                <w:szCs w:val="20"/>
                <w:color w:val="auto"/>
              </w:rPr>
            </w:pPr>
            <w:r>
              <w:rPr>
                <w:rFonts w:ascii="Arial" w:cs="Arial" w:eastAsia="Arial" w:hAnsi="Arial"/>
                <w:sz w:val="18"/>
                <w:szCs w:val="18"/>
                <w:color w:val="666666"/>
              </w:rPr>
              <w:t>- Science Applications International Corporation</w:t>
            </w:r>
          </w:p>
        </w:tc>
      </w:tr>
      <w:tr>
        <w:trPr>
          <w:trHeight w:val="203"/>
        </w:trPr>
        <w:tc>
          <w:tcPr>
            <w:tcW w:w="3280" w:type="dxa"/>
            <w:vAlign w:val="bottom"/>
            <w:shd w:val="clear" w:color="auto" w:fill="D9E2F3"/>
          </w:tcPr>
          <w:p>
            <w:pPr>
              <w:ind w:left="20"/>
              <w:spacing w:after="0" w:line="202" w:lineRule="exact"/>
              <w:rPr>
                <w:sz w:val="20"/>
                <w:szCs w:val="20"/>
                <w:color w:val="auto"/>
              </w:rPr>
            </w:pPr>
            <w:r>
              <w:rPr>
                <w:rFonts w:ascii="Arial" w:cs="Arial" w:eastAsia="Arial" w:hAnsi="Arial"/>
                <w:sz w:val="18"/>
                <w:szCs w:val="18"/>
                <w:color w:val="666666"/>
              </w:rPr>
              <w:t>- FLIR Systems, Inc.</w:t>
            </w:r>
          </w:p>
        </w:tc>
        <w:tc>
          <w:tcPr>
            <w:tcW w:w="6060" w:type="dxa"/>
            <w:vAlign w:val="bottom"/>
            <w:shd w:val="clear" w:color="auto" w:fill="D9E2F3"/>
          </w:tcPr>
          <w:p>
            <w:pPr>
              <w:ind w:left="1220"/>
              <w:spacing w:after="0" w:line="202" w:lineRule="exact"/>
              <w:rPr>
                <w:sz w:val="20"/>
                <w:szCs w:val="20"/>
                <w:color w:val="auto"/>
              </w:rPr>
            </w:pPr>
            <w:r>
              <w:rPr>
                <w:rFonts w:ascii="Arial" w:cs="Arial" w:eastAsia="Arial" w:hAnsi="Arial"/>
                <w:sz w:val="18"/>
                <w:szCs w:val="18"/>
                <w:color w:val="666666"/>
              </w:rPr>
              <w:t>- Teradata Corporation</w:t>
            </w:r>
          </w:p>
        </w:tc>
      </w:tr>
      <w:tr>
        <w:trPr>
          <w:trHeight w:val="230"/>
        </w:trPr>
        <w:tc>
          <w:tcPr>
            <w:tcW w:w="3280" w:type="dxa"/>
            <w:vAlign w:val="bottom"/>
            <w:shd w:val="clear" w:color="auto" w:fill="D9E2F3"/>
          </w:tcPr>
          <w:p>
            <w:pPr>
              <w:ind w:left="20"/>
              <w:spacing w:after="0"/>
              <w:rPr>
                <w:sz w:val="20"/>
                <w:szCs w:val="20"/>
                <w:color w:val="auto"/>
              </w:rPr>
            </w:pPr>
            <w:r>
              <w:rPr>
                <w:rFonts w:ascii="Arial" w:cs="Arial" w:eastAsia="Arial" w:hAnsi="Arial"/>
                <w:sz w:val="18"/>
                <w:szCs w:val="18"/>
                <w:color w:val="666666"/>
              </w:rPr>
              <w:t>- FTI Consulting, Inc.</w:t>
            </w:r>
          </w:p>
        </w:tc>
        <w:tc>
          <w:tcPr>
            <w:tcW w:w="6060" w:type="dxa"/>
            <w:vAlign w:val="bottom"/>
            <w:shd w:val="clear" w:color="auto" w:fill="D9E2F3"/>
          </w:tcPr>
          <w:p>
            <w:pPr>
              <w:ind w:left="1220"/>
              <w:spacing w:after="0"/>
              <w:rPr>
                <w:sz w:val="20"/>
                <w:szCs w:val="20"/>
                <w:color w:val="auto"/>
              </w:rPr>
            </w:pPr>
            <w:r>
              <w:rPr>
                <w:rFonts w:ascii="Arial" w:cs="Arial" w:eastAsia="Arial" w:hAnsi="Arial"/>
                <w:sz w:val="18"/>
                <w:szCs w:val="18"/>
                <w:color w:val="666666"/>
              </w:rPr>
              <w:t>- Unisys Corporation</w:t>
            </w:r>
          </w:p>
        </w:tc>
      </w:tr>
    </w:tbl>
    <w:p>
      <w:pPr>
        <w:spacing w:after="0" w:line="2" w:lineRule="exact"/>
        <w:rPr>
          <w:sz w:val="20"/>
          <w:szCs w:val="20"/>
          <w:color w:val="auto"/>
        </w:rPr>
      </w:pPr>
    </w:p>
    <w:p>
      <w:pPr>
        <w:ind w:left="980" w:hanging="243"/>
        <w:spacing w:after="0"/>
        <w:tabs>
          <w:tab w:leader="none" w:pos="980" w:val="left"/>
        </w:tabs>
        <w:numPr>
          <w:ilvl w:val="0"/>
          <w:numId w:val="35"/>
        </w:numPr>
        <w:rPr>
          <w:rFonts w:ascii="Arial" w:cs="Arial" w:eastAsia="Arial" w:hAnsi="Arial"/>
          <w:sz w:val="16"/>
          <w:szCs w:val="16"/>
          <w:color w:val="666666"/>
        </w:rPr>
      </w:pPr>
      <w:r>
        <w:rPr>
          <w:rFonts w:ascii="Arial" w:cs="Arial" w:eastAsia="Arial" w:hAnsi="Arial"/>
          <w:sz w:val="16"/>
          <w:szCs w:val="16"/>
          <w:color w:val="666666"/>
        </w:rPr>
        <w:t>Engility Holdings, Inc. was acquired by Science Applications International Corporation in January 2019.</w:t>
      </w:r>
    </w:p>
    <w:p>
      <w:pPr>
        <w:spacing w:after="0" w:line="5" w:lineRule="exact"/>
        <w:rPr>
          <w:rFonts w:ascii="Arial" w:cs="Arial" w:eastAsia="Arial" w:hAnsi="Arial"/>
          <w:sz w:val="16"/>
          <w:szCs w:val="16"/>
          <w:color w:val="666666"/>
        </w:rPr>
      </w:pPr>
    </w:p>
    <w:p>
      <w:pPr>
        <w:ind w:left="980" w:hanging="243"/>
        <w:spacing w:after="0"/>
        <w:tabs>
          <w:tab w:leader="none" w:pos="980" w:val="left"/>
        </w:tabs>
        <w:numPr>
          <w:ilvl w:val="0"/>
          <w:numId w:val="35"/>
        </w:numPr>
        <w:rPr>
          <w:rFonts w:ascii="Arial" w:cs="Arial" w:eastAsia="Arial" w:hAnsi="Arial"/>
          <w:sz w:val="16"/>
          <w:szCs w:val="16"/>
          <w:color w:val="666666"/>
        </w:rPr>
      </w:pPr>
      <w:r>
        <w:rPr>
          <w:rFonts w:ascii="Arial" w:cs="Arial" w:eastAsia="Arial" w:hAnsi="Arial"/>
          <w:sz w:val="16"/>
          <w:szCs w:val="16"/>
          <w:color w:val="666666"/>
        </w:rPr>
        <w:t>Harris Corporation and L3 Technologies, Inc. merged to form L3Harris Technologies, Inc. as of June 2019.</w:t>
      </w:r>
    </w:p>
    <w:p>
      <w:pPr>
        <w:spacing w:after="0" w:line="229" w:lineRule="exact"/>
        <w:rPr>
          <w:sz w:val="20"/>
          <w:szCs w:val="20"/>
          <w:color w:val="auto"/>
        </w:rPr>
      </w:pPr>
    </w:p>
    <w:p>
      <w:pPr>
        <w:ind w:right="60" w:firstLine="324"/>
        <w:spacing w:after="0" w:line="241" w:lineRule="auto"/>
        <w:rPr>
          <w:sz w:val="20"/>
          <w:szCs w:val="20"/>
          <w:color w:val="auto"/>
        </w:rPr>
      </w:pPr>
      <w:r>
        <w:rPr>
          <w:rFonts w:ascii="Arial" w:cs="Arial" w:eastAsia="Arial" w:hAnsi="Arial"/>
          <w:sz w:val="20"/>
          <w:szCs w:val="20"/>
          <w:color w:val="666666"/>
        </w:rPr>
        <w:t>The Compensation Committee established fiscal year 2020 target compensation for the named executive officers taking into consideration the peer group benchmarking analysis and input from Korn Ferry, along with feedback from the CEO in the case of named executive officers who are direct reports to the CEO, and the Committee's collective judgment and discretion. The target executive compensation includes the fiscal year salary amount, target annual cash incentive and equity grant value. Additional information on each of these items can be found below under "Compensation Elements."</w:t>
      </w:r>
    </w:p>
    <w:p>
      <w:pPr>
        <w:spacing w:after="0" w:line="222" w:lineRule="exact"/>
        <w:rPr>
          <w:sz w:val="20"/>
          <w:szCs w:val="20"/>
          <w:color w:val="auto"/>
        </w:rPr>
      </w:pPr>
    </w:p>
    <w:p>
      <w:pPr>
        <w:ind w:right="60" w:firstLine="324"/>
        <w:spacing w:after="0" w:line="241" w:lineRule="auto"/>
        <w:rPr>
          <w:sz w:val="20"/>
          <w:szCs w:val="20"/>
          <w:color w:val="auto"/>
        </w:rPr>
      </w:pPr>
      <w:r>
        <w:rPr>
          <w:rFonts w:ascii="Arial" w:cs="Arial" w:eastAsia="Arial" w:hAnsi="Arial"/>
          <w:sz w:val="20"/>
          <w:szCs w:val="20"/>
          <w:color w:val="666666"/>
        </w:rPr>
        <w:t>Any adjustment to our named executive officers' compensation is not based solely on peer group compensation data. While the Compensation Committee considers peer group benchmarking and market compensation data as critical inputs in its overall assessment of competitiveness of our executive compensation, the Compensation Committee takes into account other factors such as responsibilities, performance, contributions, and experience of each named executive officer in determining target and actual compensation amounts.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20"/>
          <w:szCs w:val="20"/>
          <w:color w:val="666666"/>
        </w:rPr>
        <w:t>In fiscal year 2020, Korn Ferry was also engaged to:</w:t>
      </w:r>
    </w:p>
    <w:p>
      <w:pPr>
        <w:ind w:left="660" w:hanging="328"/>
        <w:spacing w:after="0"/>
        <w:tabs>
          <w:tab w:leader="none" w:pos="660" w:val="left"/>
        </w:tabs>
        <w:numPr>
          <w:ilvl w:val="0"/>
          <w:numId w:val="36"/>
        </w:numPr>
        <w:rPr>
          <w:rFonts w:ascii="Arial" w:cs="Arial" w:eastAsia="Arial" w:hAnsi="Arial"/>
          <w:sz w:val="20"/>
          <w:szCs w:val="20"/>
          <w:color w:val="666666"/>
        </w:rPr>
      </w:pPr>
      <w:r>
        <w:rPr>
          <w:rFonts w:ascii="Arial" w:cs="Arial" w:eastAsia="Arial" w:hAnsi="Arial"/>
          <w:sz w:val="20"/>
          <w:szCs w:val="20"/>
          <w:color w:val="666666"/>
        </w:rPr>
        <w:t>Review and provide advice on our Compensation Discussion and Analysis</w:t>
      </w:r>
    </w:p>
    <w:p>
      <w:pPr>
        <w:ind w:left="660" w:hanging="328"/>
        <w:spacing w:after="0"/>
        <w:tabs>
          <w:tab w:leader="none" w:pos="660" w:val="left"/>
        </w:tabs>
        <w:numPr>
          <w:ilvl w:val="0"/>
          <w:numId w:val="36"/>
        </w:numPr>
        <w:rPr>
          <w:rFonts w:ascii="Arial" w:cs="Arial" w:eastAsia="Arial" w:hAnsi="Arial"/>
          <w:sz w:val="20"/>
          <w:szCs w:val="20"/>
          <w:color w:val="666666"/>
        </w:rPr>
      </w:pPr>
      <w:r>
        <w:rPr>
          <w:rFonts w:ascii="Arial" w:cs="Arial" w:eastAsia="Arial" w:hAnsi="Arial"/>
          <w:sz w:val="20"/>
          <w:szCs w:val="20"/>
          <w:color w:val="666666"/>
        </w:rPr>
        <w:t>Conduct a compensation risk assessment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30</w:t>
      </w:r>
    </w:p>
    <w:p>
      <w:pPr>
        <w:sectPr>
          <w:pgSz w:w="11900" w:h="16838" w:orient="portrait"/>
          <w:cols w:equalWidth="0" w:num="1">
            <w:col w:w="11240"/>
          </w:cols>
          <w:pgMar w:left="320" w:top="355" w:right="339" w:bottom="144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u w:val="single" w:color="auto"/>
          <w:color w:val="547BCC"/>
        </w:rPr>
        <w:t>Compensation Elements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20"/>
          <w:szCs w:val="20"/>
          <w:color w:val="666666"/>
        </w:rPr>
        <w:t>The primary components of our executive compensation program include:</w:t>
      </w:r>
    </w:p>
    <w:p>
      <w:pPr>
        <w:spacing w:after="0" w:line="246" w:lineRule="exact"/>
        <w:rPr>
          <w:sz w:val="20"/>
          <w:szCs w:val="20"/>
          <w:color w:val="auto"/>
        </w:rPr>
      </w:pPr>
    </w:p>
    <w:tbl>
      <w:tblPr>
        <w:tblLayout w:type="fixed"/>
        <w:tblInd w:w="800" w:type="dxa"/>
        <w:tblCellMar>
          <w:top w:w="0" w:type="dxa"/>
          <w:left w:w="0" w:type="dxa"/>
          <w:bottom w:w="0" w:type="dxa"/>
          <w:right w:w="0" w:type="dxa"/>
        </w:tblCellMar>
      </w:tblPr>
      <w:tr>
        <w:trPr>
          <w:trHeight w:val="257"/>
        </w:trPr>
        <w:tc>
          <w:tcPr>
            <w:tcW w:w="2840" w:type="dxa"/>
            <w:vAlign w:val="bottom"/>
            <w:shd w:val="clear" w:color="auto" w:fill="4472C4"/>
          </w:tcPr>
          <w:p>
            <w:pPr>
              <w:ind w:left="1340"/>
              <w:spacing w:after="0"/>
              <w:rPr>
                <w:sz w:val="20"/>
                <w:szCs w:val="20"/>
                <w:color w:val="auto"/>
              </w:rPr>
            </w:pPr>
            <w:r>
              <w:rPr>
                <w:rFonts w:ascii="Arial" w:cs="Arial" w:eastAsia="Arial" w:hAnsi="Arial"/>
                <w:sz w:val="18"/>
                <w:szCs w:val="18"/>
                <w:b w:val="1"/>
                <w:bCs w:val="1"/>
                <w:i w:val="1"/>
                <w:iCs w:val="1"/>
                <w:color w:val="FFFFFF"/>
              </w:rPr>
              <w:t>Element</w:t>
            </w:r>
          </w:p>
        </w:tc>
        <w:tc>
          <w:tcPr>
            <w:tcW w:w="6820" w:type="dxa"/>
            <w:vAlign w:val="bottom"/>
            <w:shd w:val="clear" w:color="auto" w:fill="4472C4"/>
          </w:tcPr>
          <w:p>
            <w:pPr>
              <w:ind w:left="3280"/>
              <w:spacing w:after="0"/>
              <w:rPr>
                <w:sz w:val="20"/>
                <w:szCs w:val="20"/>
                <w:color w:val="auto"/>
              </w:rPr>
            </w:pPr>
            <w:r>
              <w:rPr>
                <w:rFonts w:ascii="Arial" w:cs="Arial" w:eastAsia="Arial" w:hAnsi="Arial"/>
                <w:sz w:val="18"/>
                <w:szCs w:val="18"/>
                <w:b w:val="1"/>
                <w:bCs w:val="1"/>
                <w:i w:val="1"/>
                <w:iCs w:val="1"/>
                <w:color w:val="FFFFFF"/>
              </w:rPr>
              <w:t>Objective</w:t>
            </w:r>
          </w:p>
        </w:tc>
      </w:tr>
      <w:tr>
        <w:trPr>
          <w:trHeight w:val="229"/>
        </w:trPr>
        <w:tc>
          <w:tcPr>
            <w:tcW w:w="2840" w:type="dxa"/>
            <w:vAlign w:val="bottom"/>
          </w:tcPr>
          <w:p>
            <w:pPr>
              <w:ind w:left="20"/>
              <w:spacing w:after="0"/>
              <w:rPr>
                <w:sz w:val="20"/>
                <w:szCs w:val="20"/>
                <w:color w:val="auto"/>
              </w:rPr>
            </w:pPr>
            <w:r>
              <w:rPr>
                <w:rFonts w:ascii="Arial" w:cs="Arial" w:eastAsia="Arial" w:hAnsi="Arial"/>
                <w:sz w:val="18"/>
                <w:szCs w:val="18"/>
                <w:color w:val="666666"/>
              </w:rPr>
              <w:t>Base Salary</w:t>
            </w:r>
          </w:p>
        </w:tc>
        <w:tc>
          <w:tcPr>
            <w:tcW w:w="6820" w:type="dxa"/>
            <w:vAlign w:val="bottom"/>
          </w:tcPr>
          <w:p>
            <w:pPr>
              <w:ind w:left="560"/>
              <w:spacing w:after="0"/>
              <w:rPr>
                <w:sz w:val="20"/>
                <w:szCs w:val="20"/>
                <w:color w:val="auto"/>
              </w:rPr>
            </w:pPr>
            <w:r>
              <w:rPr>
                <w:rFonts w:ascii="Arial" w:cs="Arial" w:eastAsia="Arial" w:hAnsi="Arial"/>
                <w:sz w:val="18"/>
                <w:szCs w:val="18"/>
                <w:color w:val="666666"/>
              </w:rPr>
              <w:t>Provides a regular income at competitive market level and reflects each</w:t>
            </w:r>
          </w:p>
        </w:tc>
      </w:tr>
      <w:tr>
        <w:trPr>
          <w:trHeight w:val="224"/>
        </w:trPr>
        <w:tc>
          <w:tcPr>
            <w:tcW w:w="2840" w:type="dxa"/>
            <w:vAlign w:val="bottom"/>
          </w:tcPr>
          <w:p>
            <w:pPr>
              <w:spacing w:after="0"/>
              <w:rPr>
                <w:sz w:val="19"/>
                <w:szCs w:val="19"/>
                <w:color w:val="auto"/>
              </w:rPr>
            </w:pPr>
          </w:p>
        </w:tc>
        <w:tc>
          <w:tcPr>
            <w:tcW w:w="6820" w:type="dxa"/>
            <w:vAlign w:val="bottom"/>
          </w:tcPr>
          <w:p>
            <w:pPr>
              <w:ind w:left="560"/>
              <w:spacing w:after="0"/>
              <w:rPr>
                <w:sz w:val="20"/>
                <w:szCs w:val="20"/>
                <w:color w:val="auto"/>
              </w:rPr>
            </w:pPr>
            <w:r>
              <w:rPr>
                <w:rFonts w:ascii="Arial" w:cs="Arial" w:eastAsia="Arial" w:hAnsi="Arial"/>
                <w:sz w:val="18"/>
                <w:szCs w:val="18"/>
                <w:color w:val="666666"/>
              </w:rPr>
              <w:t>executive's skills, experience and responsibilities</w:t>
            </w:r>
          </w:p>
        </w:tc>
      </w:tr>
      <w:tr>
        <w:trPr>
          <w:trHeight w:val="235"/>
        </w:trPr>
        <w:tc>
          <w:tcPr>
            <w:tcW w:w="2840" w:type="dxa"/>
            <w:vAlign w:val="bottom"/>
            <w:shd w:val="clear" w:color="auto" w:fill="D9E2F3"/>
          </w:tcPr>
          <w:p>
            <w:pPr>
              <w:ind w:left="20"/>
              <w:spacing w:after="0"/>
              <w:rPr>
                <w:sz w:val="20"/>
                <w:szCs w:val="20"/>
                <w:color w:val="auto"/>
              </w:rPr>
            </w:pPr>
            <w:r>
              <w:rPr>
                <w:rFonts w:ascii="Arial" w:cs="Arial" w:eastAsia="Arial" w:hAnsi="Arial"/>
                <w:sz w:val="18"/>
                <w:szCs w:val="18"/>
                <w:color w:val="666666"/>
              </w:rPr>
              <w:t>Annual Cash Incentive</w:t>
            </w:r>
          </w:p>
        </w:tc>
        <w:tc>
          <w:tcPr>
            <w:tcW w:w="6820" w:type="dxa"/>
            <w:vAlign w:val="bottom"/>
            <w:shd w:val="clear" w:color="auto" w:fill="D9E2F3"/>
          </w:tcPr>
          <w:p>
            <w:pPr>
              <w:ind w:left="560"/>
              <w:spacing w:after="0"/>
              <w:rPr>
                <w:sz w:val="20"/>
                <w:szCs w:val="20"/>
                <w:color w:val="auto"/>
              </w:rPr>
            </w:pPr>
            <w:r>
              <w:rPr>
                <w:rFonts w:ascii="Arial" w:cs="Arial" w:eastAsia="Arial" w:hAnsi="Arial"/>
                <w:sz w:val="18"/>
                <w:szCs w:val="18"/>
                <w:color w:val="666666"/>
              </w:rPr>
              <w:t>Motivates our executives to achieve our annual operational and financial</w:t>
            </w:r>
          </w:p>
        </w:tc>
      </w:tr>
      <w:tr>
        <w:trPr>
          <w:trHeight w:val="230"/>
        </w:trPr>
        <w:tc>
          <w:tcPr>
            <w:tcW w:w="2840" w:type="dxa"/>
            <w:vAlign w:val="bottom"/>
            <w:shd w:val="clear" w:color="auto" w:fill="D9E2F3"/>
          </w:tcPr>
          <w:p>
            <w:pPr>
              <w:spacing w:after="0"/>
              <w:rPr>
                <w:sz w:val="20"/>
                <w:szCs w:val="20"/>
                <w:color w:val="auto"/>
              </w:rPr>
            </w:pPr>
          </w:p>
        </w:tc>
        <w:tc>
          <w:tcPr>
            <w:tcW w:w="6820" w:type="dxa"/>
            <w:vAlign w:val="bottom"/>
            <w:shd w:val="clear" w:color="auto" w:fill="D9E2F3"/>
          </w:tcPr>
          <w:p>
            <w:pPr>
              <w:ind w:left="560"/>
              <w:spacing w:after="0"/>
              <w:rPr>
                <w:sz w:val="20"/>
                <w:szCs w:val="20"/>
                <w:color w:val="auto"/>
              </w:rPr>
            </w:pPr>
            <w:r>
              <w:rPr>
                <w:rFonts w:ascii="Arial" w:cs="Arial" w:eastAsia="Arial" w:hAnsi="Arial"/>
                <w:sz w:val="18"/>
                <w:szCs w:val="18"/>
                <w:color w:val="666666"/>
              </w:rPr>
              <w:t>goals</w:t>
            </w:r>
          </w:p>
        </w:tc>
      </w:tr>
      <w:tr>
        <w:trPr>
          <w:trHeight w:val="229"/>
        </w:trPr>
        <w:tc>
          <w:tcPr>
            <w:tcW w:w="2840" w:type="dxa"/>
            <w:vAlign w:val="bottom"/>
          </w:tcPr>
          <w:p>
            <w:pPr>
              <w:ind w:left="20"/>
              <w:spacing w:after="0"/>
              <w:rPr>
                <w:sz w:val="20"/>
                <w:szCs w:val="20"/>
                <w:color w:val="auto"/>
              </w:rPr>
            </w:pPr>
            <w:r>
              <w:rPr>
                <w:rFonts w:ascii="Arial" w:cs="Arial" w:eastAsia="Arial" w:hAnsi="Arial"/>
                <w:sz w:val="18"/>
                <w:szCs w:val="18"/>
                <w:color w:val="666666"/>
              </w:rPr>
              <w:t>Long-Term Equity Incentives</w:t>
            </w:r>
          </w:p>
        </w:tc>
        <w:tc>
          <w:tcPr>
            <w:tcW w:w="6820" w:type="dxa"/>
            <w:vAlign w:val="bottom"/>
          </w:tcPr>
          <w:p>
            <w:pPr>
              <w:ind w:left="560"/>
              <w:spacing w:after="0"/>
              <w:rPr>
                <w:sz w:val="20"/>
                <w:szCs w:val="20"/>
                <w:color w:val="auto"/>
              </w:rPr>
            </w:pPr>
            <w:r>
              <w:rPr>
                <w:rFonts w:ascii="Arial" w:cs="Arial" w:eastAsia="Arial" w:hAnsi="Arial"/>
                <w:sz w:val="18"/>
                <w:szCs w:val="18"/>
                <w:color w:val="666666"/>
              </w:rPr>
              <w:t>Reward sustained performance and align executives' interests with our</w:t>
            </w:r>
          </w:p>
        </w:tc>
      </w:tr>
      <w:tr>
        <w:trPr>
          <w:trHeight w:val="224"/>
        </w:trPr>
        <w:tc>
          <w:tcPr>
            <w:tcW w:w="2840" w:type="dxa"/>
            <w:vAlign w:val="bottom"/>
          </w:tcPr>
          <w:p>
            <w:pPr>
              <w:spacing w:after="0"/>
              <w:rPr>
                <w:sz w:val="19"/>
                <w:szCs w:val="19"/>
                <w:color w:val="auto"/>
              </w:rPr>
            </w:pPr>
          </w:p>
        </w:tc>
        <w:tc>
          <w:tcPr>
            <w:tcW w:w="6820" w:type="dxa"/>
            <w:vAlign w:val="bottom"/>
          </w:tcPr>
          <w:p>
            <w:pPr>
              <w:ind w:left="560"/>
              <w:spacing w:after="0"/>
              <w:rPr>
                <w:sz w:val="20"/>
                <w:szCs w:val="20"/>
                <w:color w:val="auto"/>
              </w:rPr>
            </w:pPr>
            <w:r>
              <w:rPr>
                <w:rFonts w:ascii="Arial" w:cs="Arial" w:eastAsia="Arial" w:hAnsi="Arial"/>
                <w:sz w:val="18"/>
                <w:szCs w:val="18"/>
                <w:color w:val="666666"/>
              </w:rPr>
              <w:t>stockholders</w:t>
            </w:r>
          </w:p>
        </w:tc>
      </w:tr>
      <w:tr>
        <w:trPr>
          <w:trHeight w:val="235"/>
        </w:trPr>
        <w:tc>
          <w:tcPr>
            <w:tcW w:w="2840" w:type="dxa"/>
            <w:vAlign w:val="bottom"/>
            <w:shd w:val="clear" w:color="auto" w:fill="D9E2F3"/>
          </w:tcPr>
          <w:p>
            <w:pPr>
              <w:ind w:left="20"/>
              <w:spacing w:after="0"/>
              <w:rPr>
                <w:sz w:val="20"/>
                <w:szCs w:val="20"/>
                <w:color w:val="auto"/>
              </w:rPr>
            </w:pPr>
            <w:r>
              <w:rPr>
                <w:rFonts w:ascii="Arial" w:cs="Arial" w:eastAsia="Arial" w:hAnsi="Arial"/>
                <w:sz w:val="18"/>
                <w:szCs w:val="18"/>
                <w:color w:val="666666"/>
              </w:rPr>
              <w:t>Benefits</w:t>
            </w:r>
          </w:p>
        </w:tc>
        <w:tc>
          <w:tcPr>
            <w:tcW w:w="6820" w:type="dxa"/>
            <w:vAlign w:val="bottom"/>
            <w:shd w:val="clear" w:color="auto" w:fill="D9E2F3"/>
          </w:tcPr>
          <w:p>
            <w:pPr>
              <w:ind w:left="560"/>
              <w:spacing w:after="0"/>
              <w:rPr>
                <w:sz w:val="20"/>
                <w:szCs w:val="20"/>
                <w:color w:val="auto"/>
              </w:rPr>
            </w:pPr>
            <w:r>
              <w:rPr>
                <w:rFonts w:ascii="Arial" w:cs="Arial" w:eastAsia="Arial" w:hAnsi="Arial"/>
                <w:sz w:val="18"/>
                <w:szCs w:val="18"/>
                <w:color w:val="666666"/>
              </w:rPr>
              <w:t>Provide for the health and welfare of our executives, including retirement</w:t>
            </w:r>
          </w:p>
        </w:tc>
      </w:tr>
      <w:tr>
        <w:trPr>
          <w:trHeight w:val="230"/>
        </w:trPr>
        <w:tc>
          <w:tcPr>
            <w:tcW w:w="2840" w:type="dxa"/>
            <w:vAlign w:val="bottom"/>
            <w:shd w:val="clear" w:color="auto" w:fill="D9E2F3"/>
          </w:tcPr>
          <w:p>
            <w:pPr>
              <w:spacing w:after="0"/>
              <w:rPr>
                <w:sz w:val="20"/>
                <w:szCs w:val="20"/>
                <w:color w:val="auto"/>
              </w:rPr>
            </w:pPr>
          </w:p>
        </w:tc>
        <w:tc>
          <w:tcPr>
            <w:tcW w:w="6820" w:type="dxa"/>
            <w:vAlign w:val="bottom"/>
            <w:shd w:val="clear" w:color="auto" w:fill="D9E2F3"/>
          </w:tcPr>
          <w:p>
            <w:pPr>
              <w:ind w:left="560"/>
              <w:spacing w:after="0"/>
              <w:rPr>
                <w:sz w:val="20"/>
                <w:szCs w:val="20"/>
                <w:color w:val="auto"/>
              </w:rPr>
            </w:pPr>
            <w:r>
              <w:rPr>
                <w:rFonts w:ascii="Arial" w:cs="Arial" w:eastAsia="Arial" w:hAnsi="Arial"/>
                <w:sz w:val="18"/>
                <w:szCs w:val="18"/>
                <w:color w:val="666666"/>
              </w:rPr>
              <w:t>benefits to promote long-term commitment of our executives to the Company</w:t>
            </w:r>
          </w:p>
        </w:tc>
      </w:tr>
    </w:tbl>
    <w:p>
      <w:pPr>
        <w:spacing w:after="0" w:line="158" w:lineRule="exact"/>
        <w:rPr>
          <w:sz w:val="20"/>
          <w:szCs w:val="20"/>
          <w:color w:val="auto"/>
        </w:rPr>
      </w:pPr>
    </w:p>
    <w:p>
      <w:pPr>
        <w:ind w:right="20" w:firstLine="324"/>
        <w:spacing w:after="0" w:line="258" w:lineRule="auto"/>
        <w:rPr>
          <w:sz w:val="20"/>
          <w:szCs w:val="20"/>
          <w:color w:val="auto"/>
        </w:rPr>
      </w:pPr>
      <w:r>
        <w:rPr>
          <w:rFonts w:ascii="Arial" w:cs="Arial" w:eastAsia="Arial" w:hAnsi="Arial"/>
          <w:sz w:val="19"/>
          <w:szCs w:val="19"/>
          <w:color w:val="666666"/>
        </w:rPr>
        <w:t>We believe that a significant portion of our named executive officers' compensation should be tied to the Company's success and the long-term returns of our stockholders. Consistent with this approach and as shown in the charts below, more than half of our CEO's and other named executive officers' target compensation is delivered in the form of variable "at risk" compensation opportunities that are tied to the achievement of pre-set financial performance metrics and our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5554980" cy="1551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54980"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47BCC"/>
        </w:rPr>
        <w:t>Base Salary</w:t>
      </w:r>
    </w:p>
    <w:p>
      <w:pPr>
        <w:spacing w:after="0" w:line="213"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Base salary represents a relatively small portion of the total target executive compensation opportunities and provides the fixed component necessary to attract and retain executive talent. The salary earned for each of our named executive officers in fiscal year 2020 is set forth in the table below. No changes were made to the annual salary amounts for our named executive officers in fiscal year 2020.</w:t>
      </w:r>
    </w:p>
    <w:p>
      <w:pPr>
        <w:spacing w:after="0" w:line="342" w:lineRule="exact"/>
        <w:rPr>
          <w:sz w:val="20"/>
          <w:szCs w:val="20"/>
          <w:color w:val="auto"/>
        </w:rPr>
      </w:pPr>
    </w:p>
    <w:tbl>
      <w:tblPr>
        <w:tblLayout w:type="fixed"/>
        <w:tblInd w:w="1550" w:type="dxa"/>
        <w:tblCellMar>
          <w:top w:w="0" w:type="dxa"/>
          <w:left w:w="0" w:type="dxa"/>
          <w:bottom w:w="0" w:type="dxa"/>
          <w:right w:w="0" w:type="dxa"/>
        </w:tblCellMar>
      </w:tblPr>
      <w:tr>
        <w:trPr>
          <w:trHeight w:val="270"/>
        </w:trPr>
        <w:tc>
          <w:tcPr>
            <w:tcW w:w="2280" w:type="dxa"/>
            <w:vAlign w:val="bottom"/>
            <w:tcBorders>
              <w:top w:val="single" w:sz="8" w:color="828282"/>
              <w:left w:val="single" w:sz="8" w:color="828282"/>
            </w:tcBorders>
            <w:shd w:val="clear" w:color="auto" w:fill="4472C4"/>
          </w:tcPr>
          <w:p>
            <w:pPr>
              <w:ind w:left="40"/>
              <w:spacing w:after="0"/>
              <w:rPr>
                <w:sz w:val="20"/>
                <w:szCs w:val="20"/>
                <w:color w:val="auto"/>
              </w:rPr>
            </w:pPr>
            <w:r>
              <w:rPr>
                <w:rFonts w:ascii="Arial" w:cs="Arial" w:eastAsia="Arial" w:hAnsi="Arial"/>
                <w:sz w:val="18"/>
                <w:szCs w:val="18"/>
                <w:b w:val="1"/>
                <w:bCs w:val="1"/>
                <w:color w:val="FFFFFF"/>
              </w:rPr>
              <w:t>Name</w:t>
            </w:r>
          </w:p>
        </w:tc>
        <w:tc>
          <w:tcPr>
            <w:tcW w:w="2580" w:type="dxa"/>
            <w:vAlign w:val="bottom"/>
            <w:tcBorders>
              <w:top w:val="single" w:sz="8" w:color="828282"/>
            </w:tcBorders>
            <w:shd w:val="clear" w:color="auto" w:fill="4472C4"/>
          </w:tcPr>
          <w:p>
            <w:pPr>
              <w:ind w:left="620"/>
              <w:spacing w:after="0"/>
              <w:rPr>
                <w:sz w:val="20"/>
                <w:szCs w:val="20"/>
                <w:color w:val="auto"/>
              </w:rPr>
            </w:pPr>
            <w:r>
              <w:rPr>
                <w:rFonts w:ascii="Arial" w:cs="Arial" w:eastAsia="Arial" w:hAnsi="Arial"/>
                <w:sz w:val="18"/>
                <w:szCs w:val="18"/>
                <w:b w:val="1"/>
                <w:bCs w:val="1"/>
                <w:color w:val="FFFFFF"/>
              </w:rPr>
              <w:t>FY20 Base Salary</w:t>
            </w:r>
          </w:p>
        </w:tc>
        <w:tc>
          <w:tcPr>
            <w:tcW w:w="3340" w:type="dxa"/>
            <w:vAlign w:val="bottom"/>
            <w:tcBorders>
              <w:top w:val="single" w:sz="8" w:color="828282"/>
              <w:right w:val="single" w:sz="8" w:color="828282"/>
            </w:tcBorders>
            <w:shd w:val="clear" w:color="auto" w:fill="4472C4"/>
          </w:tcPr>
          <w:p>
            <w:pPr>
              <w:jc w:val="center"/>
              <w:ind w:left="190"/>
              <w:spacing w:after="0"/>
              <w:rPr>
                <w:sz w:val="20"/>
                <w:szCs w:val="20"/>
                <w:color w:val="auto"/>
              </w:rPr>
            </w:pPr>
            <w:r>
              <w:rPr>
                <w:rFonts w:ascii="Arial" w:cs="Arial" w:eastAsia="Arial" w:hAnsi="Arial"/>
                <w:sz w:val="18"/>
                <w:szCs w:val="18"/>
                <w:b w:val="1"/>
                <w:bCs w:val="1"/>
                <w:color w:val="FFFFFF"/>
                <w:w w:val="99"/>
              </w:rPr>
              <w:t>Change from FY19 Base Salary</w:t>
            </w:r>
          </w:p>
        </w:tc>
      </w:tr>
      <w:tr>
        <w:trPr>
          <w:trHeight w:val="250"/>
        </w:trPr>
        <w:tc>
          <w:tcPr>
            <w:tcW w:w="2280" w:type="dxa"/>
            <w:vAlign w:val="bottom"/>
            <w:tcBorders>
              <w:left w:val="single" w:sz="8" w:color="828282"/>
            </w:tcBorders>
          </w:tcPr>
          <w:p>
            <w:pPr>
              <w:ind w:left="40"/>
              <w:spacing w:after="0"/>
              <w:rPr>
                <w:sz w:val="20"/>
                <w:szCs w:val="20"/>
                <w:color w:val="auto"/>
              </w:rPr>
            </w:pPr>
            <w:r>
              <w:rPr>
                <w:rFonts w:ascii="Arial" w:cs="Arial" w:eastAsia="Arial" w:hAnsi="Arial"/>
                <w:sz w:val="18"/>
                <w:szCs w:val="18"/>
                <w:color w:val="666666"/>
              </w:rPr>
              <w:t>Horacio D. Rozanski</w:t>
            </w:r>
          </w:p>
        </w:tc>
        <w:tc>
          <w:tcPr>
            <w:tcW w:w="2580" w:type="dxa"/>
            <w:vAlign w:val="bottom"/>
          </w:tcPr>
          <w:p>
            <w:pPr>
              <w:jc w:val="center"/>
              <w:ind w:left="70"/>
              <w:spacing w:after="0"/>
              <w:rPr>
                <w:sz w:val="20"/>
                <w:szCs w:val="20"/>
                <w:color w:val="auto"/>
              </w:rPr>
            </w:pPr>
            <w:r>
              <w:rPr>
                <w:rFonts w:ascii="Arial" w:cs="Arial" w:eastAsia="Arial" w:hAnsi="Arial"/>
                <w:sz w:val="18"/>
                <w:szCs w:val="18"/>
                <w:color w:val="666666"/>
                <w:w w:val="99"/>
              </w:rPr>
              <w:t>$1,500,000</w:t>
            </w:r>
          </w:p>
        </w:tc>
        <w:tc>
          <w:tcPr>
            <w:tcW w:w="3340" w:type="dxa"/>
            <w:vAlign w:val="bottom"/>
            <w:tcBorders>
              <w:right w:val="single" w:sz="8" w:color="828282"/>
            </w:tcBorders>
          </w:tcPr>
          <w:p>
            <w:pPr>
              <w:jc w:val="center"/>
              <w:ind w:left="190"/>
              <w:spacing w:after="0"/>
              <w:rPr>
                <w:sz w:val="20"/>
                <w:szCs w:val="20"/>
                <w:color w:val="auto"/>
              </w:rPr>
            </w:pPr>
            <w:r>
              <w:rPr>
                <w:rFonts w:ascii="Arial" w:cs="Arial" w:eastAsia="Arial" w:hAnsi="Arial"/>
                <w:sz w:val="18"/>
                <w:szCs w:val="18"/>
                <w:color w:val="666666"/>
                <w:w w:val="99"/>
              </w:rPr>
              <w:t>0%</w:t>
            </w:r>
          </w:p>
        </w:tc>
      </w:tr>
      <w:tr>
        <w:trPr>
          <w:trHeight w:val="263"/>
        </w:trPr>
        <w:tc>
          <w:tcPr>
            <w:tcW w:w="2280" w:type="dxa"/>
            <w:vAlign w:val="bottom"/>
            <w:tcBorders>
              <w:left w:val="single" w:sz="8" w:color="828282"/>
            </w:tcBorders>
            <w:shd w:val="clear" w:color="auto" w:fill="D9E2F3"/>
          </w:tcPr>
          <w:p>
            <w:pPr>
              <w:ind w:left="40"/>
              <w:spacing w:after="0"/>
              <w:rPr>
                <w:sz w:val="20"/>
                <w:szCs w:val="20"/>
                <w:color w:val="auto"/>
              </w:rPr>
            </w:pPr>
            <w:r>
              <w:rPr>
                <w:rFonts w:ascii="Arial" w:cs="Arial" w:eastAsia="Arial" w:hAnsi="Arial"/>
                <w:sz w:val="18"/>
                <w:szCs w:val="18"/>
                <w:color w:val="666666"/>
              </w:rPr>
              <w:t>Lloyd W. Howell, Jr.</w:t>
            </w:r>
          </w:p>
        </w:tc>
        <w:tc>
          <w:tcPr>
            <w:tcW w:w="2580" w:type="dxa"/>
            <w:vAlign w:val="bottom"/>
            <w:shd w:val="clear" w:color="auto" w:fill="D9E2F3"/>
          </w:tcPr>
          <w:p>
            <w:pPr>
              <w:jc w:val="center"/>
              <w:ind w:left="70"/>
              <w:spacing w:after="0"/>
              <w:rPr>
                <w:sz w:val="20"/>
                <w:szCs w:val="20"/>
                <w:color w:val="auto"/>
              </w:rPr>
            </w:pPr>
            <w:r>
              <w:rPr>
                <w:rFonts w:ascii="Arial" w:cs="Arial" w:eastAsia="Arial" w:hAnsi="Arial"/>
                <w:sz w:val="18"/>
                <w:szCs w:val="18"/>
                <w:color w:val="666666"/>
                <w:w w:val="99"/>
              </w:rPr>
              <w:t>$1,025,000</w:t>
            </w:r>
          </w:p>
        </w:tc>
        <w:tc>
          <w:tcPr>
            <w:tcW w:w="3340" w:type="dxa"/>
            <w:vAlign w:val="bottom"/>
            <w:tcBorders>
              <w:right w:val="single" w:sz="8" w:color="828282"/>
            </w:tcBorders>
            <w:shd w:val="clear" w:color="auto" w:fill="D9E2F3"/>
          </w:tcPr>
          <w:p>
            <w:pPr>
              <w:jc w:val="center"/>
              <w:ind w:left="190"/>
              <w:spacing w:after="0"/>
              <w:rPr>
                <w:sz w:val="20"/>
                <w:szCs w:val="20"/>
                <w:color w:val="auto"/>
              </w:rPr>
            </w:pPr>
            <w:r>
              <w:rPr>
                <w:rFonts w:ascii="Arial" w:cs="Arial" w:eastAsia="Arial" w:hAnsi="Arial"/>
                <w:sz w:val="18"/>
                <w:szCs w:val="18"/>
                <w:color w:val="666666"/>
                <w:w w:val="99"/>
              </w:rPr>
              <w:t>0%</w:t>
            </w:r>
          </w:p>
        </w:tc>
      </w:tr>
      <w:tr>
        <w:trPr>
          <w:trHeight w:val="250"/>
        </w:trPr>
        <w:tc>
          <w:tcPr>
            <w:tcW w:w="2280" w:type="dxa"/>
            <w:vAlign w:val="bottom"/>
            <w:tcBorders>
              <w:left w:val="single" w:sz="8" w:color="828282"/>
            </w:tcBorders>
          </w:tcPr>
          <w:p>
            <w:pPr>
              <w:ind w:left="40"/>
              <w:spacing w:after="0"/>
              <w:rPr>
                <w:sz w:val="20"/>
                <w:szCs w:val="20"/>
                <w:color w:val="auto"/>
              </w:rPr>
            </w:pPr>
            <w:r>
              <w:rPr>
                <w:rFonts w:ascii="Arial" w:cs="Arial" w:eastAsia="Arial" w:hAnsi="Arial"/>
                <w:sz w:val="18"/>
                <w:szCs w:val="18"/>
                <w:color w:val="666666"/>
              </w:rPr>
              <w:t>Karen M. Dahut</w:t>
            </w:r>
          </w:p>
        </w:tc>
        <w:tc>
          <w:tcPr>
            <w:tcW w:w="2580" w:type="dxa"/>
            <w:vAlign w:val="bottom"/>
          </w:tcPr>
          <w:p>
            <w:pPr>
              <w:jc w:val="center"/>
              <w:ind w:left="70"/>
              <w:spacing w:after="0"/>
              <w:rPr>
                <w:sz w:val="20"/>
                <w:szCs w:val="20"/>
                <w:color w:val="auto"/>
              </w:rPr>
            </w:pPr>
            <w:r>
              <w:rPr>
                <w:rFonts w:ascii="Arial" w:cs="Arial" w:eastAsia="Arial" w:hAnsi="Arial"/>
                <w:sz w:val="18"/>
                <w:szCs w:val="18"/>
                <w:color w:val="666666"/>
                <w:w w:val="99"/>
              </w:rPr>
              <w:t>$1,025,000</w:t>
            </w:r>
          </w:p>
        </w:tc>
        <w:tc>
          <w:tcPr>
            <w:tcW w:w="3340" w:type="dxa"/>
            <w:vAlign w:val="bottom"/>
            <w:tcBorders>
              <w:right w:val="single" w:sz="8" w:color="828282"/>
            </w:tcBorders>
          </w:tcPr>
          <w:p>
            <w:pPr>
              <w:jc w:val="center"/>
              <w:ind w:left="190"/>
              <w:spacing w:after="0"/>
              <w:rPr>
                <w:sz w:val="20"/>
                <w:szCs w:val="20"/>
                <w:color w:val="auto"/>
              </w:rPr>
            </w:pPr>
            <w:r>
              <w:rPr>
                <w:rFonts w:ascii="Arial" w:cs="Arial" w:eastAsia="Arial" w:hAnsi="Arial"/>
                <w:sz w:val="18"/>
                <w:szCs w:val="18"/>
                <w:color w:val="666666"/>
                <w:w w:val="99"/>
              </w:rPr>
              <w:t>0%</w:t>
            </w:r>
          </w:p>
        </w:tc>
      </w:tr>
      <w:tr>
        <w:trPr>
          <w:trHeight w:val="263"/>
        </w:trPr>
        <w:tc>
          <w:tcPr>
            <w:tcW w:w="2280" w:type="dxa"/>
            <w:vAlign w:val="bottom"/>
            <w:tcBorders>
              <w:left w:val="single" w:sz="8" w:color="828282"/>
            </w:tcBorders>
            <w:shd w:val="clear" w:color="auto" w:fill="D9E2F3"/>
          </w:tcPr>
          <w:p>
            <w:pPr>
              <w:ind w:left="40"/>
              <w:spacing w:after="0"/>
              <w:rPr>
                <w:sz w:val="20"/>
                <w:szCs w:val="20"/>
                <w:color w:val="auto"/>
              </w:rPr>
            </w:pPr>
            <w:r>
              <w:rPr>
                <w:rFonts w:ascii="Arial" w:cs="Arial" w:eastAsia="Arial" w:hAnsi="Arial"/>
                <w:sz w:val="18"/>
                <w:szCs w:val="18"/>
                <w:color w:val="666666"/>
              </w:rPr>
              <w:t>Nancy J. Laben</w:t>
            </w:r>
          </w:p>
        </w:tc>
        <w:tc>
          <w:tcPr>
            <w:tcW w:w="2580" w:type="dxa"/>
            <w:vAlign w:val="bottom"/>
            <w:shd w:val="clear" w:color="auto" w:fill="D9E2F3"/>
          </w:tcPr>
          <w:p>
            <w:pPr>
              <w:jc w:val="center"/>
              <w:ind w:left="70"/>
              <w:spacing w:after="0"/>
              <w:rPr>
                <w:sz w:val="20"/>
                <w:szCs w:val="20"/>
                <w:color w:val="auto"/>
              </w:rPr>
            </w:pPr>
            <w:r>
              <w:rPr>
                <w:rFonts w:ascii="Arial" w:cs="Arial" w:eastAsia="Arial" w:hAnsi="Arial"/>
                <w:sz w:val="18"/>
                <w:szCs w:val="18"/>
                <w:color w:val="666666"/>
                <w:w w:val="98"/>
              </w:rPr>
              <w:t>$650,000</w:t>
            </w:r>
          </w:p>
        </w:tc>
        <w:tc>
          <w:tcPr>
            <w:tcW w:w="3340" w:type="dxa"/>
            <w:vAlign w:val="bottom"/>
            <w:tcBorders>
              <w:right w:val="single" w:sz="8" w:color="828282"/>
            </w:tcBorders>
            <w:shd w:val="clear" w:color="auto" w:fill="D9E2F3"/>
          </w:tcPr>
          <w:p>
            <w:pPr>
              <w:jc w:val="center"/>
              <w:ind w:left="190"/>
              <w:spacing w:after="0"/>
              <w:rPr>
                <w:sz w:val="20"/>
                <w:szCs w:val="20"/>
                <w:color w:val="auto"/>
              </w:rPr>
            </w:pPr>
            <w:r>
              <w:rPr>
                <w:rFonts w:ascii="Arial" w:cs="Arial" w:eastAsia="Arial" w:hAnsi="Arial"/>
                <w:sz w:val="18"/>
                <w:szCs w:val="18"/>
                <w:color w:val="666666"/>
                <w:w w:val="99"/>
              </w:rPr>
              <w:t>0%</w:t>
            </w:r>
          </w:p>
        </w:tc>
      </w:tr>
      <w:tr>
        <w:trPr>
          <w:trHeight w:val="250"/>
        </w:trPr>
        <w:tc>
          <w:tcPr>
            <w:tcW w:w="2280" w:type="dxa"/>
            <w:vAlign w:val="bottom"/>
            <w:tcBorders>
              <w:left w:val="single" w:sz="8" w:color="828282"/>
              <w:bottom w:val="single" w:sz="8" w:color="828282"/>
            </w:tcBorders>
          </w:tcPr>
          <w:p>
            <w:pPr>
              <w:ind w:left="40"/>
              <w:spacing w:after="0"/>
              <w:rPr>
                <w:sz w:val="20"/>
                <w:szCs w:val="20"/>
                <w:color w:val="auto"/>
              </w:rPr>
            </w:pPr>
            <w:r>
              <w:rPr>
                <w:rFonts w:ascii="Arial" w:cs="Arial" w:eastAsia="Arial" w:hAnsi="Arial"/>
                <w:sz w:val="18"/>
                <w:szCs w:val="18"/>
                <w:color w:val="666666"/>
              </w:rPr>
              <w:t>Susan L. Penfield</w:t>
            </w:r>
          </w:p>
        </w:tc>
        <w:tc>
          <w:tcPr>
            <w:tcW w:w="2580" w:type="dxa"/>
            <w:vAlign w:val="bottom"/>
            <w:tcBorders>
              <w:bottom w:val="single" w:sz="8" w:color="828282"/>
            </w:tcBorders>
          </w:tcPr>
          <w:p>
            <w:pPr>
              <w:jc w:val="center"/>
              <w:ind w:left="70"/>
              <w:spacing w:after="0"/>
              <w:rPr>
                <w:sz w:val="20"/>
                <w:szCs w:val="20"/>
                <w:color w:val="auto"/>
              </w:rPr>
            </w:pPr>
            <w:r>
              <w:rPr>
                <w:rFonts w:ascii="Arial" w:cs="Arial" w:eastAsia="Arial" w:hAnsi="Arial"/>
                <w:sz w:val="18"/>
                <w:szCs w:val="18"/>
                <w:color w:val="666666"/>
                <w:w w:val="98"/>
              </w:rPr>
              <w:t>$800,000</w:t>
            </w:r>
          </w:p>
        </w:tc>
        <w:tc>
          <w:tcPr>
            <w:tcW w:w="3340" w:type="dxa"/>
            <w:vAlign w:val="bottom"/>
            <w:tcBorders>
              <w:bottom w:val="single" w:sz="8" w:color="828282"/>
              <w:right w:val="single" w:sz="8" w:color="828282"/>
            </w:tcBorders>
          </w:tcPr>
          <w:p>
            <w:pPr>
              <w:jc w:val="center"/>
              <w:ind w:left="190"/>
              <w:spacing w:after="0"/>
              <w:rPr>
                <w:sz w:val="20"/>
                <w:szCs w:val="20"/>
                <w:color w:val="auto"/>
              </w:rPr>
            </w:pPr>
            <w:r>
              <w:rPr>
                <w:rFonts w:ascii="Arial" w:cs="Arial" w:eastAsia="Arial" w:hAnsi="Arial"/>
                <w:sz w:val="18"/>
                <w:szCs w:val="18"/>
                <w:color w:val="666666"/>
                <w:w w:val="99"/>
              </w:rPr>
              <w:t>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47BCC"/>
        </w:rPr>
        <w:t>Annual Cash Incentive</w:t>
      </w:r>
    </w:p>
    <w:p>
      <w:pPr>
        <w:spacing w:after="0" w:line="213" w:lineRule="exact"/>
        <w:rPr>
          <w:sz w:val="20"/>
          <w:szCs w:val="20"/>
          <w:color w:val="auto"/>
        </w:rPr>
      </w:pPr>
    </w:p>
    <w:p>
      <w:pPr>
        <w:ind w:right="100" w:firstLine="324"/>
        <w:spacing w:after="0" w:line="241" w:lineRule="auto"/>
        <w:rPr>
          <w:sz w:val="20"/>
          <w:szCs w:val="20"/>
          <w:color w:val="auto"/>
        </w:rPr>
      </w:pPr>
      <w:r>
        <w:rPr>
          <w:rFonts w:ascii="Arial" w:cs="Arial" w:eastAsia="Arial" w:hAnsi="Arial"/>
          <w:sz w:val="20"/>
          <w:szCs w:val="20"/>
          <w:color w:val="666666"/>
        </w:rPr>
        <w:t>The annual cash incentive portion of our executives' compensation is provided through our annual bonus program. The target annual incentive amount for our named executive officers is determined each year by the Compensation Committee based on the market analysis and recommendation of our compensation consultant as well as of the CEO in the case of named executive officers who are direct reports to the CEO.</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31</w:t>
      </w:r>
    </w:p>
    <w:p>
      <w:pPr>
        <w:sectPr>
          <w:pgSz w:w="11900" w:h="16838" w:orient="portrait"/>
          <w:cols w:equalWidth="0" w:num="1">
            <w:col w:w="11240"/>
          </w:cols>
          <w:pgMar w:left="320" w:top="490" w:right="339" w:bottom="1440" w:gutter="0" w:footer="0" w:header="0"/>
        </w:sectPr>
      </w:pPr>
    </w:p>
    <w:bookmarkStart w:id="40" w:name="page41"/>
    <w:bookmarkEnd w:id="40"/>
    <w:p>
      <w:pPr>
        <w:ind w:right="180" w:firstLine="324"/>
        <w:spacing w:after="0" w:line="241" w:lineRule="auto"/>
        <w:rPr>
          <w:sz w:val="20"/>
          <w:szCs w:val="20"/>
          <w:color w:val="auto"/>
        </w:rPr>
      </w:pPr>
      <w:r>
        <w:rPr>
          <w:rFonts w:ascii="Arial" w:cs="Arial" w:eastAsia="Arial" w:hAnsi="Arial"/>
          <w:sz w:val="20"/>
          <w:szCs w:val="20"/>
          <w:color w:val="666666"/>
        </w:rPr>
        <w:t>The annual incentive payment is determined using a point model where a certain number of points is assigned to each named executive officer which is then multiplied by a dollar value per point as approved by the Compensation Committee. For fiscal year 2020, the Compensation Committee approved a modest increase to the number of points associated with the target annual incentive for Ms. Penfield to provide for a greater variability for over- and under-performance payout.</w:t>
      </w:r>
    </w:p>
    <w:p>
      <w:pPr>
        <w:spacing w:after="0" w:line="224"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Based on the Company's performance at the end of the fiscal year, as discussed below, the Compensation Committee approves the final dollar value per point which is used to determine each named executive officer's actual annual incentive payment. Executives who retire, or terminate employment under our transition policy, before the end of the fiscal year are generally eligible to receive a prorated incentive payment.</w:t>
      </w:r>
    </w:p>
    <w:p>
      <w:pPr>
        <w:spacing w:after="0" w:line="2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color w:val="666666"/>
        </w:rPr>
        <w:t>The annual incentive is based on achievement of the Company's performance against a target Adjusted EBITDA range with upward or downward adjustments for performance in comparison to the range. The performance range is generally determined at or near the beginning of each fiscal year by the Compensation Committee. Payment of the annual incentive approximating target levels would generally occur when actual Adjusted EBITDA is within the established Adjusted EBITDA range. A portion of any variance between the established range and actual Adjusted EBITDA is reflected as an adjustment to the pool of funds available for the annual incentive payment, or the bonus pool. The amount of the adjustment is determined by the Compensation Committee in its sole discretion. A positive variance between the range and actual Adjusted EBITDA would generally result in an increase in the bonus pool and a negative variance would generally result in a decrease in the bonus pool.</w:t>
      </w:r>
    </w:p>
    <w:p>
      <w:pPr>
        <w:spacing w:after="0" w:line="208"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Adjusted EBITDA represents net income before income taxes, net interest and other expense and depreciation and amortization and before certain other items, including transaction costs, fees, losses, and expenses, including fees associated with debt prepayments. We base the annual incentive portion of our executives' compensation on Adjusted EBITDA because we believe it is a direct reflection of the cash flow and operating profitability of our business and represents the element of our performance that executives can most directly impact through their management of the business.</w:t>
      </w:r>
    </w:p>
    <w:p>
      <w:pPr>
        <w:spacing w:after="0" w:line="22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666666"/>
        </w:rPr>
        <w:t>Our Compensation Committee reviews and approves the Adjusted EBITDA result and any adjustments to the plan bonus pool based on year-end operating results. The final bonus pool as approved by our Compensation Committee is distributed to our executives on a consistent per point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219075</wp:posOffset>
            </wp:positionV>
            <wp:extent cx="6026150" cy="514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26150" cy="514350"/>
                    </a:xfrm>
                    <a:prstGeom prst="rect">
                      <a:avLst/>
                    </a:prstGeom>
                    <a:noFill/>
                  </pic:spPr>
                </pic:pic>
              </a:graphicData>
            </a:graphic>
          </wp:anchor>
        </w:drawing>
      </w:r>
    </w:p>
    <w:p>
      <w:pPr>
        <w:spacing w:after="0" w:line="325" w:lineRule="exact"/>
        <w:rPr>
          <w:sz w:val="20"/>
          <w:szCs w:val="20"/>
          <w:color w:val="auto"/>
        </w:rPr>
      </w:pPr>
    </w:p>
    <w:tbl>
      <w:tblPr>
        <w:tblLayout w:type="fixed"/>
        <w:tblInd w:w="880" w:type="dxa"/>
        <w:tblCellMar>
          <w:top w:w="0" w:type="dxa"/>
          <w:left w:w="0" w:type="dxa"/>
          <w:bottom w:w="0" w:type="dxa"/>
          <w:right w:w="0" w:type="dxa"/>
        </w:tblCellMar>
      </w:tblPr>
      <w:tr>
        <w:trPr>
          <w:trHeight w:val="263"/>
        </w:trPr>
        <w:tc>
          <w:tcPr>
            <w:tcW w:w="1780" w:type="dxa"/>
            <w:vAlign w:val="bottom"/>
            <w:tcBorders>
              <w:bottom w:val="single" w:sz="8" w:color="4472C4"/>
            </w:tcBorders>
            <w:shd w:val="clear" w:color="auto" w:fill="4472C4"/>
          </w:tcPr>
          <w:p>
            <w:pPr>
              <w:spacing w:after="0"/>
              <w:rPr>
                <w:sz w:val="22"/>
                <w:szCs w:val="22"/>
                <w:color w:val="auto"/>
              </w:rPr>
            </w:pPr>
          </w:p>
        </w:tc>
        <w:tc>
          <w:tcPr>
            <w:tcW w:w="4280" w:type="dxa"/>
            <w:vAlign w:val="bottom"/>
            <w:tcBorders>
              <w:bottom w:val="single" w:sz="8" w:color="4472C4"/>
            </w:tcBorders>
            <w:shd w:val="clear" w:color="auto" w:fill="4472C4"/>
          </w:tcPr>
          <w:p>
            <w:pPr>
              <w:jc w:val="center"/>
              <w:spacing w:after="0"/>
              <w:rPr>
                <w:sz w:val="20"/>
                <w:szCs w:val="20"/>
                <w:color w:val="auto"/>
              </w:rPr>
            </w:pPr>
            <w:r>
              <w:rPr>
                <w:rFonts w:ascii="Arial" w:cs="Arial" w:eastAsia="Arial" w:hAnsi="Arial"/>
                <w:sz w:val="18"/>
                <w:szCs w:val="18"/>
                <w:b w:val="1"/>
                <w:bCs w:val="1"/>
                <w:i w:val="1"/>
                <w:iCs w:val="1"/>
                <w:color w:val="FFFFFF"/>
                <w:w w:val="99"/>
              </w:rPr>
              <w:t>Adjusted EBITDA</w:t>
            </w:r>
            <w:r>
              <w:rPr>
                <w:rFonts w:ascii="Arial" w:cs="Arial" w:eastAsia="Arial" w:hAnsi="Arial"/>
                <w:sz w:val="14"/>
                <w:szCs w:val="14"/>
                <w:b w:val="1"/>
                <w:bCs w:val="1"/>
                <w:i w:val="1"/>
                <w:iCs w:val="1"/>
                <w:color w:val="FFFFFF"/>
                <w:w w:val="99"/>
              </w:rPr>
              <w:t>1</w:t>
            </w:r>
          </w:p>
        </w:tc>
        <w:tc>
          <w:tcPr>
            <w:tcW w:w="3420" w:type="dxa"/>
            <w:vAlign w:val="bottom"/>
            <w:tcBorders>
              <w:bottom w:val="single" w:sz="8" w:color="4472C4"/>
            </w:tcBorders>
            <w:shd w:val="clear" w:color="auto" w:fill="4472C4"/>
          </w:tcPr>
          <w:p>
            <w:pPr>
              <w:jc w:val="center"/>
              <w:ind w:left="30"/>
              <w:spacing w:after="0"/>
              <w:rPr>
                <w:sz w:val="20"/>
                <w:szCs w:val="20"/>
                <w:color w:val="auto"/>
              </w:rPr>
            </w:pPr>
            <w:r>
              <w:rPr>
                <w:rFonts w:ascii="Arial" w:cs="Arial" w:eastAsia="Arial" w:hAnsi="Arial"/>
                <w:sz w:val="18"/>
                <w:szCs w:val="18"/>
                <w:b w:val="1"/>
                <w:bCs w:val="1"/>
                <w:i w:val="1"/>
                <w:iCs w:val="1"/>
                <w:color w:val="FFFFFF"/>
              </w:rPr>
              <w:t>Executive Bonus Pool</w:t>
            </w:r>
          </w:p>
        </w:tc>
      </w:tr>
      <w:tr>
        <w:trPr>
          <w:trHeight w:val="250"/>
        </w:trPr>
        <w:tc>
          <w:tcPr>
            <w:tcW w:w="1780" w:type="dxa"/>
            <w:vAlign w:val="bottom"/>
          </w:tcPr>
          <w:p>
            <w:pPr>
              <w:ind w:left="40"/>
              <w:spacing w:after="0"/>
              <w:rPr>
                <w:sz w:val="20"/>
                <w:szCs w:val="20"/>
                <w:color w:val="auto"/>
              </w:rPr>
            </w:pPr>
            <w:r>
              <w:rPr>
                <w:rFonts w:ascii="Arial" w:cs="Arial" w:eastAsia="Arial" w:hAnsi="Arial"/>
                <w:sz w:val="18"/>
                <w:szCs w:val="18"/>
                <w:color w:val="666666"/>
              </w:rPr>
              <w:t>FY20 Target</w:t>
            </w:r>
          </w:p>
        </w:tc>
        <w:tc>
          <w:tcPr>
            <w:tcW w:w="4280" w:type="dxa"/>
            <w:vAlign w:val="bottom"/>
          </w:tcPr>
          <w:p>
            <w:pPr>
              <w:jc w:val="center"/>
              <w:spacing w:after="0"/>
              <w:rPr>
                <w:sz w:val="20"/>
                <w:szCs w:val="20"/>
                <w:color w:val="auto"/>
              </w:rPr>
            </w:pPr>
            <w:r>
              <w:rPr>
                <w:rFonts w:ascii="Arial" w:cs="Arial" w:eastAsia="Arial" w:hAnsi="Arial"/>
                <w:sz w:val="18"/>
                <w:szCs w:val="18"/>
                <w:color w:val="666666"/>
              </w:rPr>
              <w:t>Range: $715 million - $735 million</w:t>
            </w:r>
          </w:p>
        </w:tc>
        <w:tc>
          <w:tcPr>
            <w:tcW w:w="3420" w:type="dxa"/>
            <w:vAlign w:val="bottom"/>
          </w:tcPr>
          <w:p>
            <w:pPr>
              <w:jc w:val="center"/>
              <w:ind w:left="30"/>
              <w:spacing w:after="0"/>
              <w:rPr>
                <w:sz w:val="20"/>
                <w:szCs w:val="20"/>
                <w:color w:val="auto"/>
              </w:rPr>
            </w:pPr>
            <w:r>
              <w:rPr>
                <w:rFonts w:ascii="Arial" w:cs="Arial" w:eastAsia="Arial" w:hAnsi="Arial"/>
                <w:sz w:val="18"/>
                <w:szCs w:val="18"/>
                <w:color w:val="666666"/>
              </w:rPr>
              <w:t>$22.9 million</w:t>
            </w:r>
          </w:p>
        </w:tc>
      </w:tr>
      <w:tr>
        <w:trPr>
          <w:trHeight w:val="263"/>
        </w:trPr>
        <w:tc>
          <w:tcPr>
            <w:tcW w:w="1780" w:type="dxa"/>
            <w:vAlign w:val="bottom"/>
            <w:shd w:val="clear" w:color="auto" w:fill="D9E2F3"/>
          </w:tcPr>
          <w:p>
            <w:pPr>
              <w:ind w:left="40"/>
              <w:spacing w:after="0"/>
              <w:rPr>
                <w:sz w:val="20"/>
                <w:szCs w:val="20"/>
                <w:color w:val="auto"/>
              </w:rPr>
            </w:pPr>
            <w:r>
              <w:rPr>
                <w:rFonts w:ascii="Arial" w:cs="Arial" w:eastAsia="Arial" w:hAnsi="Arial"/>
                <w:sz w:val="18"/>
                <w:szCs w:val="18"/>
                <w:color w:val="666666"/>
              </w:rPr>
              <w:t>FY20 Actual</w:t>
            </w:r>
          </w:p>
        </w:tc>
        <w:tc>
          <w:tcPr>
            <w:tcW w:w="4280" w:type="dxa"/>
            <w:vAlign w:val="bottom"/>
            <w:shd w:val="clear" w:color="auto" w:fill="D9E2F3"/>
          </w:tcPr>
          <w:p>
            <w:pPr>
              <w:jc w:val="center"/>
              <w:spacing w:after="0"/>
              <w:rPr>
                <w:sz w:val="20"/>
                <w:szCs w:val="20"/>
                <w:color w:val="auto"/>
              </w:rPr>
            </w:pPr>
            <w:r>
              <w:rPr>
                <w:rFonts w:ascii="Arial" w:cs="Arial" w:eastAsia="Arial" w:hAnsi="Arial"/>
                <w:sz w:val="18"/>
                <w:szCs w:val="18"/>
                <w:color w:val="666666"/>
              </w:rPr>
              <w:t>$754.1 million</w:t>
            </w:r>
          </w:p>
        </w:tc>
        <w:tc>
          <w:tcPr>
            <w:tcW w:w="3420" w:type="dxa"/>
            <w:vAlign w:val="bottom"/>
            <w:shd w:val="clear" w:color="auto" w:fill="D9E2F3"/>
          </w:tcPr>
          <w:p>
            <w:pPr>
              <w:jc w:val="center"/>
              <w:ind w:left="30"/>
              <w:spacing w:after="0"/>
              <w:rPr>
                <w:sz w:val="20"/>
                <w:szCs w:val="20"/>
                <w:color w:val="auto"/>
              </w:rPr>
            </w:pPr>
            <w:r>
              <w:rPr>
                <w:rFonts w:ascii="Arial" w:cs="Arial" w:eastAsia="Arial" w:hAnsi="Arial"/>
                <w:sz w:val="18"/>
                <w:szCs w:val="18"/>
                <w:color w:val="666666"/>
              </w:rPr>
              <w:t>$26.6 million</w:t>
            </w:r>
          </w:p>
        </w:tc>
      </w:tr>
    </w:tbl>
    <w:p>
      <w:pPr>
        <w:spacing w:after="0" w:line="13" w:lineRule="exact"/>
        <w:rPr>
          <w:sz w:val="20"/>
          <w:szCs w:val="20"/>
          <w:color w:val="auto"/>
        </w:rPr>
      </w:pPr>
    </w:p>
    <w:p>
      <w:pPr>
        <w:ind w:left="660" w:right="240"/>
        <w:spacing w:after="0" w:line="191" w:lineRule="auto"/>
        <w:rPr>
          <w:sz w:val="20"/>
          <w:szCs w:val="20"/>
          <w:color w:val="auto"/>
        </w:rPr>
      </w:pPr>
      <w:r>
        <w:rPr>
          <w:rFonts w:ascii="Arial" w:cs="Arial" w:eastAsia="Arial" w:hAnsi="Arial"/>
          <w:sz w:val="16"/>
          <w:szCs w:val="16"/>
          <w:color w:val="666666"/>
        </w:rPr>
        <w:t>(1)</w:t>
      </w:r>
      <w:r>
        <w:rPr>
          <w:rFonts w:ascii="Arial" w:cs="Arial" w:eastAsia="Arial" w:hAnsi="Arial"/>
          <w:sz w:val="26"/>
          <w:szCs w:val="26"/>
          <w:color w:val="666666"/>
          <w:vertAlign w:val="superscript"/>
        </w:rPr>
        <w:t>.</w:t>
      </w:r>
      <w:r>
        <w:rPr>
          <w:rFonts w:ascii="Arial" w:cs="Arial" w:eastAsia="Arial" w:hAnsi="Arial"/>
          <w:sz w:val="16"/>
          <w:szCs w:val="16"/>
          <w:color w:val="666666"/>
        </w:rPr>
        <w:t xml:space="preserve"> See Appendix A to this proxy statement for a reconciliation of Adjusted EBITDA to the most directly comparable financial measure calculated and presented in accordance with GAAP.</w:t>
      </w:r>
    </w:p>
    <w:p>
      <w:pPr>
        <w:spacing w:after="0" w:line="180"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For fiscal year 2020, the Company's performance exceeded the top-end of the fiscal year 2020 target Adjusted EBITDA range. The revenue growth for the year achieved the top-end of our increased guidance. Adjusted EPS also exceeded our increased guidance and Adjusted EBITDA Margin was in line with our internal plans. Based on these results, the Compensation Committee determined that, as a reflection of strong fiscal year performance, bonus payouts should be above target to appropriately recognize and reward the Company’s leadership. Accordingly, the Compensation Committee approved the executive bonus payout equal to approximately 16% above the target. The short-term incentive target opportunities and cash payments received by each of our named executive officers for fiscal year 2020 are presented in the table below.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32</w:t>
      </w:r>
    </w:p>
    <w:p>
      <w:pPr>
        <w:sectPr>
          <w:pgSz w:w="11900" w:h="16838" w:orient="portrait"/>
          <w:cols w:equalWidth="0" w:num="1">
            <w:col w:w="11240"/>
          </w:cols>
          <w:pgMar w:left="320" w:top="352" w:right="339" w:bottom="1440" w:gutter="0" w:footer="0" w:header="0"/>
        </w:sectPr>
      </w:pPr>
    </w:p>
    <w:bookmarkStart w:id="41" w:name="page42"/>
    <w:bookmarkEnd w:id="41"/>
    <w:tbl>
      <w:tblPr>
        <w:tblLayout w:type="fixed"/>
        <w:tblInd w:w="230" w:type="dxa"/>
        <w:tblCellMar>
          <w:top w:w="0" w:type="dxa"/>
          <w:left w:w="0" w:type="dxa"/>
          <w:bottom w:w="0" w:type="dxa"/>
          <w:right w:w="0" w:type="dxa"/>
        </w:tblCellMar>
      </w:tblPr>
      <w:tr>
        <w:trPr>
          <w:trHeight w:val="220"/>
        </w:trPr>
        <w:tc>
          <w:tcPr>
            <w:tcW w:w="2020" w:type="dxa"/>
            <w:vAlign w:val="bottom"/>
            <w:tcBorders>
              <w:top w:val="single" w:sz="8" w:color="828282"/>
              <w:left w:val="single" w:sz="8" w:color="828282"/>
            </w:tcBorders>
            <w:vMerge w:val="restart"/>
            <w:shd w:val="clear" w:color="auto" w:fill="4472C4"/>
          </w:tcPr>
          <w:p>
            <w:pPr>
              <w:ind w:left="40"/>
              <w:spacing w:after="0"/>
              <w:rPr>
                <w:sz w:val="20"/>
                <w:szCs w:val="20"/>
                <w:color w:val="auto"/>
              </w:rPr>
            </w:pPr>
            <w:r>
              <w:rPr>
                <w:rFonts w:ascii="Arial" w:cs="Arial" w:eastAsia="Arial" w:hAnsi="Arial"/>
                <w:sz w:val="18"/>
                <w:szCs w:val="18"/>
                <w:b w:val="1"/>
                <w:bCs w:val="1"/>
                <w:color w:val="FFFFFF"/>
              </w:rPr>
              <w:t>Name</w:t>
            </w:r>
          </w:p>
        </w:tc>
        <w:tc>
          <w:tcPr>
            <w:tcW w:w="2940" w:type="dxa"/>
            <w:vAlign w:val="bottom"/>
            <w:tcBorders>
              <w:top w:val="single" w:sz="8" w:color="828282"/>
            </w:tcBorders>
            <w:shd w:val="clear" w:color="auto" w:fill="4472C4"/>
          </w:tcPr>
          <w:p>
            <w:pPr>
              <w:jc w:val="center"/>
              <w:ind w:left="70"/>
              <w:spacing w:after="0"/>
              <w:rPr>
                <w:sz w:val="20"/>
                <w:szCs w:val="20"/>
                <w:color w:val="auto"/>
              </w:rPr>
            </w:pPr>
            <w:r>
              <w:rPr>
                <w:rFonts w:ascii="Arial" w:cs="Arial" w:eastAsia="Arial" w:hAnsi="Arial"/>
                <w:sz w:val="18"/>
                <w:szCs w:val="18"/>
                <w:b w:val="1"/>
                <w:bCs w:val="1"/>
                <w:color w:val="FFFFFF"/>
              </w:rPr>
              <w:t>FY20 Annual Cash Incentive</w:t>
            </w:r>
          </w:p>
        </w:tc>
        <w:tc>
          <w:tcPr>
            <w:tcW w:w="2960" w:type="dxa"/>
            <w:vAlign w:val="bottom"/>
            <w:tcBorders>
              <w:top w:val="single" w:sz="8" w:color="828282"/>
            </w:tcBorders>
            <w:vMerge w:val="restart"/>
            <w:shd w:val="clear" w:color="auto" w:fill="4472C4"/>
          </w:tcPr>
          <w:p>
            <w:pPr>
              <w:jc w:val="center"/>
              <w:spacing w:after="0"/>
              <w:rPr>
                <w:sz w:val="20"/>
                <w:szCs w:val="20"/>
                <w:color w:val="auto"/>
              </w:rPr>
            </w:pPr>
            <w:r>
              <w:rPr>
                <w:rFonts w:ascii="Arial" w:cs="Arial" w:eastAsia="Arial" w:hAnsi="Arial"/>
                <w:sz w:val="18"/>
                <w:szCs w:val="18"/>
                <w:b w:val="1"/>
                <w:bCs w:val="1"/>
                <w:color w:val="FFFFFF"/>
                <w:w w:val="99"/>
              </w:rPr>
              <w:t>Annual Cash Incentive Payout</w:t>
            </w:r>
          </w:p>
        </w:tc>
        <w:tc>
          <w:tcPr>
            <w:tcW w:w="2920" w:type="dxa"/>
            <w:vAlign w:val="bottom"/>
            <w:tcBorders>
              <w:top w:val="single" w:sz="8" w:color="828282"/>
              <w:right w:val="single" w:sz="8" w:color="828282"/>
            </w:tcBorders>
            <w:vMerge w:val="restart"/>
            <w:shd w:val="clear" w:color="auto" w:fill="4472C4"/>
          </w:tcPr>
          <w:p>
            <w:pPr>
              <w:ind w:left="200"/>
              <w:spacing w:after="0"/>
              <w:rPr>
                <w:sz w:val="20"/>
                <w:szCs w:val="20"/>
                <w:color w:val="auto"/>
              </w:rPr>
            </w:pPr>
            <w:r>
              <w:rPr>
                <w:rFonts w:ascii="Arial" w:cs="Arial" w:eastAsia="Arial" w:hAnsi="Arial"/>
                <w:sz w:val="18"/>
                <w:szCs w:val="18"/>
                <w:b w:val="1"/>
                <w:bCs w:val="1"/>
                <w:color w:val="FFFFFF"/>
              </w:rPr>
              <w:t>Annual Cash Incentive Paid</w:t>
            </w:r>
          </w:p>
        </w:tc>
        <w:tc>
          <w:tcPr>
            <w:tcW w:w="0" w:type="dxa"/>
            <w:vAlign w:val="bottom"/>
          </w:tcPr>
          <w:p>
            <w:pPr>
              <w:spacing w:after="0"/>
              <w:rPr>
                <w:sz w:val="1"/>
                <w:szCs w:val="1"/>
                <w:color w:val="auto"/>
              </w:rPr>
            </w:pPr>
          </w:p>
        </w:tc>
      </w:tr>
      <w:tr>
        <w:trPr>
          <w:trHeight w:val="131"/>
        </w:trPr>
        <w:tc>
          <w:tcPr>
            <w:tcW w:w="2020" w:type="dxa"/>
            <w:vAlign w:val="bottom"/>
            <w:tcBorders>
              <w:left w:val="single" w:sz="8" w:color="828282"/>
            </w:tcBorders>
            <w:vMerge w:val="continue"/>
            <w:shd w:val="clear" w:color="auto" w:fill="4472C4"/>
          </w:tcPr>
          <w:p>
            <w:pPr>
              <w:spacing w:after="0"/>
              <w:rPr>
                <w:sz w:val="11"/>
                <w:szCs w:val="11"/>
                <w:color w:val="auto"/>
              </w:rPr>
            </w:pPr>
          </w:p>
        </w:tc>
        <w:tc>
          <w:tcPr>
            <w:tcW w:w="2940" w:type="dxa"/>
            <w:vAlign w:val="bottom"/>
            <w:vMerge w:val="restart"/>
            <w:shd w:val="clear" w:color="auto" w:fill="4472C4"/>
          </w:tcPr>
          <w:p>
            <w:pPr>
              <w:jc w:val="center"/>
              <w:ind w:left="70"/>
              <w:spacing w:after="0"/>
              <w:rPr>
                <w:sz w:val="20"/>
                <w:szCs w:val="20"/>
                <w:color w:val="auto"/>
              </w:rPr>
            </w:pPr>
            <w:r>
              <w:rPr>
                <w:rFonts w:ascii="Arial" w:cs="Arial" w:eastAsia="Arial" w:hAnsi="Arial"/>
                <w:sz w:val="18"/>
                <w:szCs w:val="18"/>
                <w:b w:val="1"/>
                <w:bCs w:val="1"/>
                <w:color w:val="FFFFFF"/>
                <w:w w:val="98"/>
              </w:rPr>
              <w:t>Target</w:t>
            </w:r>
          </w:p>
        </w:tc>
        <w:tc>
          <w:tcPr>
            <w:tcW w:w="2960" w:type="dxa"/>
            <w:vAlign w:val="bottom"/>
            <w:vMerge w:val="continue"/>
            <w:shd w:val="clear" w:color="auto" w:fill="4472C4"/>
          </w:tcPr>
          <w:p>
            <w:pPr>
              <w:spacing w:after="0"/>
              <w:rPr>
                <w:sz w:val="11"/>
                <w:szCs w:val="11"/>
                <w:color w:val="auto"/>
              </w:rPr>
            </w:pPr>
          </w:p>
        </w:tc>
        <w:tc>
          <w:tcPr>
            <w:tcW w:w="2920" w:type="dxa"/>
            <w:vAlign w:val="bottom"/>
            <w:tcBorders>
              <w:right w:val="single" w:sz="8" w:color="828282"/>
            </w:tcBorders>
            <w:vMerge w:val="continue"/>
            <w:shd w:val="clear" w:color="auto" w:fill="4472C4"/>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20" w:type="dxa"/>
            <w:vAlign w:val="bottom"/>
            <w:tcBorders>
              <w:left w:val="single" w:sz="8" w:color="828282"/>
            </w:tcBorders>
            <w:shd w:val="clear" w:color="auto" w:fill="4472C4"/>
          </w:tcPr>
          <w:p>
            <w:pPr>
              <w:spacing w:after="0"/>
              <w:rPr>
                <w:sz w:val="10"/>
                <w:szCs w:val="10"/>
                <w:color w:val="auto"/>
              </w:rPr>
            </w:pPr>
          </w:p>
        </w:tc>
        <w:tc>
          <w:tcPr>
            <w:tcW w:w="2940" w:type="dxa"/>
            <w:vAlign w:val="bottom"/>
            <w:vMerge w:val="continue"/>
            <w:shd w:val="clear" w:color="auto" w:fill="4472C4"/>
          </w:tcPr>
          <w:p>
            <w:pPr>
              <w:spacing w:after="0"/>
              <w:rPr>
                <w:sz w:val="10"/>
                <w:szCs w:val="10"/>
                <w:color w:val="auto"/>
              </w:rPr>
            </w:pPr>
          </w:p>
        </w:tc>
        <w:tc>
          <w:tcPr>
            <w:tcW w:w="2960" w:type="dxa"/>
            <w:vAlign w:val="bottom"/>
            <w:shd w:val="clear" w:color="auto" w:fill="4472C4"/>
          </w:tcPr>
          <w:p>
            <w:pPr>
              <w:spacing w:after="0"/>
              <w:rPr>
                <w:sz w:val="10"/>
                <w:szCs w:val="10"/>
                <w:color w:val="auto"/>
              </w:rPr>
            </w:pPr>
          </w:p>
        </w:tc>
        <w:tc>
          <w:tcPr>
            <w:tcW w:w="2920" w:type="dxa"/>
            <w:vAlign w:val="bottom"/>
            <w:tcBorders>
              <w:right w:val="single" w:sz="8" w:color="828282"/>
            </w:tcBorders>
            <w:shd w:val="clear" w:color="auto" w:fill="4472C4"/>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020" w:type="dxa"/>
            <w:vAlign w:val="bottom"/>
            <w:tcBorders>
              <w:left w:val="single" w:sz="8" w:color="828282"/>
            </w:tcBorders>
          </w:tcPr>
          <w:p>
            <w:pPr>
              <w:ind w:left="40"/>
              <w:spacing w:after="0"/>
              <w:rPr>
                <w:sz w:val="20"/>
                <w:szCs w:val="20"/>
                <w:color w:val="auto"/>
              </w:rPr>
            </w:pPr>
            <w:r>
              <w:rPr>
                <w:rFonts w:ascii="Arial" w:cs="Arial" w:eastAsia="Arial" w:hAnsi="Arial"/>
                <w:sz w:val="18"/>
                <w:szCs w:val="18"/>
                <w:color w:val="666666"/>
              </w:rPr>
              <w:t>Horacio D. Rozanski</w:t>
            </w:r>
          </w:p>
        </w:tc>
        <w:tc>
          <w:tcPr>
            <w:tcW w:w="2940" w:type="dxa"/>
            <w:vAlign w:val="bottom"/>
          </w:tcPr>
          <w:p>
            <w:pPr>
              <w:jc w:val="center"/>
              <w:ind w:left="70"/>
              <w:spacing w:after="0"/>
              <w:rPr>
                <w:sz w:val="20"/>
                <w:szCs w:val="20"/>
                <w:color w:val="auto"/>
              </w:rPr>
            </w:pPr>
            <w:r>
              <w:rPr>
                <w:rFonts w:ascii="Arial" w:cs="Arial" w:eastAsia="Arial" w:hAnsi="Arial"/>
                <w:sz w:val="18"/>
                <w:szCs w:val="18"/>
                <w:color w:val="666666"/>
                <w:w w:val="99"/>
              </w:rPr>
              <w:t>$1,125,000</w:t>
            </w:r>
          </w:p>
        </w:tc>
        <w:tc>
          <w:tcPr>
            <w:tcW w:w="2960" w:type="dxa"/>
            <w:vAlign w:val="bottom"/>
          </w:tcPr>
          <w:p>
            <w:pPr>
              <w:jc w:val="center"/>
              <w:spacing w:after="0"/>
              <w:rPr>
                <w:sz w:val="20"/>
                <w:szCs w:val="20"/>
                <w:color w:val="auto"/>
              </w:rPr>
            </w:pPr>
            <w:r>
              <w:rPr>
                <w:rFonts w:ascii="Arial" w:cs="Arial" w:eastAsia="Arial" w:hAnsi="Arial"/>
                <w:sz w:val="18"/>
                <w:szCs w:val="18"/>
                <w:color w:val="666666"/>
                <w:w w:val="99"/>
              </w:rPr>
              <w:t>116%</w:t>
            </w:r>
          </w:p>
        </w:tc>
        <w:tc>
          <w:tcPr>
            <w:tcW w:w="2920" w:type="dxa"/>
            <w:vAlign w:val="bottom"/>
            <w:tcBorders>
              <w:right w:val="single" w:sz="8" w:color="828282"/>
            </w:tcBorders>
          </w:tcPr>
          <w:p>
            <w:pPr>
              <w:jc w:val="center"/>
              <w:ind w:right="90"/>
              <w:spacing w:after="0"/>
              <w:rPr>
                <w:sz w:val="20"/>
                <w:szCs w:val="20"/>
                <w:color w:val="auto"/>
              </w:rPr>
            </w:pPr>
            <w:r>
              <w:rPr>
                <w:rFonts w:ascii="Arial" w:cs="Arial" w:eastAsia="Arial" w:hAnsi="Arial"/>
                <w:sz w:val="18"/>
                <w:szCs w:val="18"/>
                <w:color w:val="666666"/>
                <w:w w:val="99"/>
              </w:rPr>
              <w:t>$1,305,000</w:t>
            </w:r>
          </w:p>
        </w:tc>
        <w:tc>
          <w:tcPr>
            <w:tcW w:w="0" w:type="dxa"/>
            <w:vAlign w:val="bottom"/>
          </w:tcPr>
          <w:p>
            <w:pPr>
              <w:spacing w:after="0"/>
              <w:rPr>
                <w:sz w:val="1"/>
                <w:szCs w:val="1"/>
                <w:color w:val="auto"/>
              </w:rPr>
            </w:pPr>
          </w:p>
        </w:tc>
      </w:tr>
      <w:tr>
        <w:trPr>
          <w:trHeight w:val="263"/>
        </w:trPr>
        <w:tc>
          <w:tcPr>
            <w:tcW w:w="2020" w:type="dxa"/>
            <w:vAlign w:val="bottom"/>
            <w:tcBorders>
              <w:left w:val="single" w:sz="8" w:color="828282"/>
            </w:tcBorders>
            <w:shd w:val="clear" w:color="auto" w:fill="D9E2F3"/>
          </w:tcPr>
          <w:p>
            <w:pPr>
              <w:ind w:left="40"/>
              <w:spacing w:after="0"/>
              <w:rPr>
                <w:sz w:val="20"/>
                <w:szCs w:val="20"/>
                <w:color w:val="auto"/>
              </w:rPr>
            </w:pPr>
            <w:r>
              <w:rPr>
                <w:rFonts w:ascii="Arial" w:cs="Arial" w:eastAsia="Arial" w:hAnsi="Arial"/>
                <w:sz w:val="18"/>
                <w:szCs w:val="18"/>
                <w:color w:val="666666"/>
              </w:rPr>
              <w:t>Lloyd W. Howell, Jr.</w:t>
            </w:r>
          </w:p>
        </w:tc>
        <w:tc>
          <w:tcPr>
            <w:tcW w:w="2940" w:type="dxa"/>
            <w:vAlign w:val="bottom"/>
            <w:shd w:val="clear" w:color="auto" w:fill="D9E2F3"/>
          </w:tcPr>
          <w:p>
            <w:pPr>
              <w:jc w:val="center"/>
              <w:ind w:left="90"/>
              <w:spacing w:after="0"/>
              <w:rPr>
                <w:sz w:val="20"/>
                <w:szCs w:val="20"/>
                <w:color w:val="auto"/>
              </w:rPr>
            </w:pPr>
            <w:r>
              <w:rPr>
                <w:rFonts w:ascii="Arial" w:cs="Arial" w:eastAsia="Arial" w:hAnsi="Arial"/>
                <w:sz w:val="18"/>
                <w:szCs w:val="18"/>
                <w:color w:val="666666"/>
              </w:rPr>
              <w:t>$500,000</w:t>
            </w:r>
          </w:p>
        </w:tc>
        <w:tc>
          <w:tcPr>
            <w:tcW w:w="2960" w:type="dxa"/>
            <w:vAlign w:val="bottom"/>
            <w:shd w:val="clear" w:color="auto" w:fill="D9E2F3"/>
          </w:tcPr>
          <w:p>
            <w:pPr>
              <w:jc w:val="center"/>
              <w:spacing w:after="0"/>
              <w:rPr>
                <w:sz w:val="20"/>
                <w:szCs w:val="20"/>
                <w:color w:val="auto"/>
              </w:rPr>
            </w:pPr>
            <w:r>
              <w:rPr>
                <w:rFonts w:ascii="Arial" w:cs="Arial" w:eastAsia="Arial" w:hAnsi="Arial"/>
                <w:sz w:val="18"/>
                <w:szCs w:val="18"/>
                <w:color w:val="666666"/>
                <w:w w:val="99"/>
              </w:rPr>
              <w:t>116%</w:t>
            </w:r>
          </w:p>
        </w:tc>
        <w:tc>
          <w:tcPr>
            <w:tcW w:w="2920" w:type="dxa"/>
            <w:vAlign w:val="bottom"/>
            <w:tcBorders>
              <w:right w:val="single" w:sz="8" w:color="828282"/>
            </w:tcBorders>
            <w:shd w:val="clear" w:color="auto" w:fill="D9E2F3"/>
          </w:tcPr>
          <w:p>
            <w:pPr>
              <w:jc w:val="center"/>
              <w:ind w:right="70"/>
              <w:spacing w:after="0"/>
              <w:rPr>
                <w:sz w:val="20"/>
                <w:szCs w:val="20"/>
                <w:color w:val="auto"/>
              </w:rPr>
            </w:pPr>
            <w:r>
              <w:rPr>
                <w:rFonts w:ascii="Arial" w:cs="Arial" w:eastAsia="Arial" w:hAnsi="Arial"/>
                <w:sz w:val="18"/>
                <w:szCs w:val="18"/>
                <w:color w:val="666666"/>
              </w:rPr>
              <w:t>$580,000</w:t>
            </w:r>
          </w:p>
        </w:tc>
        <w:tc>
          <w:tcPr>
            <w:tcW w:w="0" w:type="dxa"/>
            <w:vAlign w:val="bottom"/>
          </w:tcPr>
          <w:p>
            <w:pPr>
              <w:spacing w:after="0"/>
              <w:rPr>
                <w:sz w:val="1"/>
                <w:szCs w:val="1"/>
                <w:color w:val="auto"/>
              </w:rPr>
            </w:pPr>
          </w:p>
        </w:tc>
      </w:tr>
      <w:tr>
        <w:trPr>
          <w:trHeight w:val="250"/>
        </w:trPr>
        <w:tc>
          <w:tcPr>
            <w:tcW w:w="2020" w:type="dxa"/>
            <w:vAlign w:val="bottom"/>
            <w:tcBorders>
              <w:left w:val="single" w:sz="8" w:color="828282"/>
            </w:tcBorders>
          </w:tcPr>
          <w:p>
            <w:pPr>
              <w:ind w:left="40"/>
              <w:spacing w:after="0"/>
              <w:rPr>
                <w:sz w:val="20"/>
                <w:szCs w:val="20"/>
                <w:color w:val="auto"/>
              </w:rPr>
            </w:pPr>
            <w:r>
              <w:rPr>
                <w:rFonts w:ascii="Arial" w:cs="Arial" w:eastAsia="Arial" w:hAnsi="Arial"/>
                <w:sz w:val="18"/>
                <w:szCs w:val="18"/>
                <w:color w:val="666666"/>
              </w:rPr>
              <w:t>Karen M. Dahut</w:t>
            </w:r>
          </w:p>
        </w:tc>
        <w:tc>
          <w:tcPr>
            <w:tcW w:w="2940" w:type="dxa"/>
            <w:vAlign w:val="bottom"/>
          </w:tcPr>
          <w:p>
            <w:pPr>
              <w:jc w:val="center"/>
              <w:ind w:left="90"/>
              <w:spacing w:after="0"/>
              <w:rPr>
                <w:sz w:val="20"/>
                <w:szCs w:val="20"/>
                <w:color w:val="auto"/>
              </w:rPr>
            </w:pPr>
            <w:r>
              <w:rPr>
                <w:rFonts w:ascii="Arial" w:cs="Arial" w:eastAsia="Arial" w:hAnsi="Arial"/>
                <w:sz w:val="18"/>
                <w:szCs w:val="18"/>
                <w:color w:val="666666"/>
              </w:rPr>
              <w:t>$500,000</w:t>
            </w:r>
          </w:p>
        </w:tc>
        <w:tc>
          <w:tcPr>
            <w:tcW w:w="2960" w:type="dxa"/>
            <w:vAlign w:val="bottom"/>
          </w:tcPr>
          <w:p>
            <w:pPr>
              <w:jc w:val="center"/>
              <w:spacing w:after="0"/>
              <w:rPr>
                <w:sz w:val="20"/>
                <w:szCs w:val="20"/>
                <w:color w:val="auto"/>
              </w:rPr>
            </w:pPr>
            <w:r>
              <w:rPr>
                <w:rFonts w:ascii="Arial" w:cs="Arial" w:eastAsia="Arial" w:hAnsi="Arial"/>
                <w:sz w:val="18"/>
                <w:szCs w:val="18"/>
                <w:color w:val="666666"/>
                <w:w w:val="99"/>
              </w:rPr>
              <w:t>116%</w:t>
            </w:r>
          </w:p>
        </w:tc>
        <w:tc>
          <w:tcPr>
            <w:tcW w:w="2920" w:type="dxa"/>
            <w:vAlign w:val="bottom"/>
            <w:tcBorders>
              <w:right w:val="single" w:sz="8" w:color="828282"/>
            </w:tcBorders>
          </w:tcPr>
          <w:p>
            <w:pPr>
              <w:jc w:val="center"/>
              <w:ind w:right="70"/>
              <w:spacing w:after="0"/>
              <w:rPr>
                <w:sz w:val="20"/>
                <w:szCs w:val="20"/>
                <w:color w:val="auto"/>
              </w:rPr>
            </w:pPr>
            <w:r>
              <w:rPr>
                <w:rFonts w:ascii="Arial" w:cs="Arial" w:eastAsia="Arial" w:hAnsi="Arial"/>
                <w:sz w:val="18"/>
                <w:szCs w:val="18"/>
                <w:color w:val="666666"/>
              </w:rPr>
              <w:t>$580,000</w:t>
            </w:r>
          </w:p>
        </w:tc>
        <w:tc>
          <w:tcPr>
            <w:tcW w:w="0" w:type="dxa"/>
            <w:vAlign w:val="bottom"/>
          </w:tcPr>
          <w:p>
            <w:pPr>
              <w:spacing w:after="0"/>
              <w:rPr>
                <w:sz w:val="1"/>
                <w:szCs w:val="1"/>
                <w:color w:val="auto"/>
              </w:rPr>
            </w:pPr>
          </w:p>
        </w:tc>
      </w:tr>
      <w:tr>
        <w:trPr>
          <w:trHeight w:val="263"/>
        </w:trPr>
        <w:tc>
          <w:tcPr>
            <w:tcW w:w="2020" w:type="dxa"/>
            <w:vAlign w:val="bottom"/>
            <w:tcBorders>
              <w:left w:val="single" w:sz="8" w:color="828282"/>
            </w:tcBorders>
            <w:shd w:val="clear" w:color="auto" w:fill="D9E2F3"/>
          </w:tcPr>
          <w:p>
            <w:pPr>
              <w:ind w:left="40"/>
              <w:spacing w:after="0"/>
              <w:rPr>
                <w:sz w:val="20"/>
                <w:szCs w:val="20"/>
                <w:color w:val="auto"/>
              </w:rPr>
            </w:pPr>
            <w:r>
              <w:rPr>
                <w:rFonts w:ascii="Arial" w:cs="Arial" w:eastAsia="Arial" w:hAnsi="Arial"/>
                <w:sz w:val="18"/>
                <w:szCs w:val="18"/>
                <w:color w:val="666666"/>
              </w:rPr>
              <w:t>Nancy J. Laben</w:t>
            </w:r>
          </w:p>
        </w:tc>
        <w:tc>
          <w:tcPr>
            <w:tcW w:w="2940" w:type="dxa"/>
            <w:vAlign w:val="bottom"/>
            <w:shd w:val="clear" w:color="auto" w:fill="D9E2F3"/>
          </w:tcPr>
          <w:p>
            <w:pPr>
              <w:jc w:val="center"/>
              <w:ind w:left="90"/>
              <w:spacing w:after="0"/>
              <w:rPr>
                <w:sz w:val="20"/>
                <w:szCs w:val="20"/>
                <w:color w:val="auto"/>
              </w:rPr>
            </w:pPr>
            <w:r>
              <w:rPr>
                <w:rFonts w:ascii="Arial" w:cs="Arial" w:eastAsia="Arial" w:hAnsi="Arial"/>
                <w:sz w:val="18"/>
                <w:szCs w:val="18"/>
                <w:color w:val="666666"/>
              </w:rPr>
              <w:t>$475,000</w:t>
            </w:r>
          </w:p>
        </w:tc>
        <w:tc>
          <w:tcPr>
            <w:tcW w:w="2960" w:type="dxa"/>
            <w:vAlign w:val="bottom"/>
            <w:shd w:val="clear" w:color="auto" w:fill="D9E2F3"/>
          </w:tcPr>
          <w:p>
            <w:pPr>
              <w:jc w:val="center"/>
              <w:spacing w:after="0"/>
              <w:rPr>
                <w:sz w:val="20"/>
                <w:szCs w:val="20"/>
                <w:color w:val="auto"/>
              </w:rPr>
            </w:pPr>
            <w:r>
              <w:rPr>
                <w:rFonts w:ascii="Arial" w:cs="Arial" w:eastAsia="Arial" w:hAnsi="Arial"/>
                <w:sz w:val="18"/>
                <w:szCs w:val="18"/>
                <w:color w:val="666666"/>
                <w:w w:val="99"/>
              </w:rPr>
              <w:t>116%</w:t>
            </w:r>
          </w:p>
        </w:tc>
        <w:tc>
          <w:tcPr>
            <w:tcW w:w="2920" w:type="dxa"/>
            <w:vAlign w:val="bottom"/>
            <w:tcBorders>
              <w:right w:val="single" w:sz="8" w:color="828282"/>
            </w:tcBorders>
            <w:shd w:val="clear" w:color="auto" w:fill="D9E2F3"/>
          </w:tcPr>
          <w:p>
            <w:pPr>
              <w:jc w:val="center"/>
              <w:ind w:right="70"/>
              <w:spacing w:after="0"/>
              <w:rPr>
                <w:sz w:val="20"/>
                <w:szCs w:val="20"/>
                <w:color w:val="auto"/>
              </w:rPr>
            </w:pPr>
            <w:r>
              <w:rPr>
                <w:rFonts w:ascii="Arial" w:cs="Arial" w:eastAsia="Arial" w:hAnsi="Arial"/>
                <w:sz w:val="18"/>
                <w:szCs w:val="18"/>
                <w:color w:val="666666"/>
              </w:rPr>
              <w:t>$551,000</w:t>
            </w:r>
          </w:p>
        </w:tc>
        <w:tc>
          <w:tcPr>
            <w:tcW w:w="0" w:type="dxa"/>
            <w:vAlign w:val="bottom"/>
          </w:tcPr>
          <w:p>
            <w:pPr>
              <w:spacing w:after="0"/>
              <w:rPr>
                <w:sz w:val="1"/>
                <w:szCs w:val="1"/>
                <w:color w:val="auto"/>
              </w:rPr>
            </w:pPr>
          </w:p>
        </w:tc>
      </w:tr>
      <w:tr>
        <w:trPr>
          <w:trHeight w:val="250"/>
        </w:trPr>
        <w:tc>
          <w:tcPr>
            <w:tcW w:w="2020" w:type="dxa"/>
            <w:vAlign w:val="bottom"/>
            <w:tcBorders>
              <w:left w:val="single" w:sz="8" w:color="828282"/>
              <w:bottom w:val="single" w:sz="8" w:color="828282"/>
            </w:tcBorders>
          </w:tcPr>
          <w:p>
            <w:pPr>
              <w:ind w:left="40"/>
              <w:spacing w:after="0"/>
              <w:rPr>
                <w:sz w:val="20"/>
                <w:szCs w:val="20"/>
                <w:color w:val="auto"/>
              </w:rPr>
            </w:pPr>
            <w:r>
              <w:rPr>
                <w:rFonts w:ascii="Arial" w:cs="Arial" w:eastAsia="Arial" w:hAnsi="Arial"/>
                <w:sz w:val="18"/>
                <w:szCs w:val="18"/>
                <w:color w:val="666666"/>
              </w:rPr>
              <w:t xml:space="preserve">Susan L. Penfield </w:t>
            </w:r>
            <w:r>
              <w:rPr>
                <w:rFonts w:ascii="Arial" w:cs="Arial" w:eastAsia="Arial" w:hAnsi="Arial"/>
                <w:sz w:val="14"/>
                <w:szCs w:val="14"/>
                <w:color w:val="666666"/>
              </w:rPr>
              <w:t>1</w:t>
            </w:r>
          </w:p>
        </w:tc>
        <w:tc>
          <w:tcPr>
            <w:tcW w:w="2940" w:type="dxa"/>
            <w:vAlign w:val="bottom"/>
            <w:tcBorders>
              <w:bottom w:val="single" w:sz="8" w:color="828282"/>
            </w:tcBorders>
          </w:tcPr>
          <w:p>
            <w:pPr>
              <w:jc w:val="center"/>
              <w:ind w:left="90"/>
              <w:spacing w:after="0"/>
              <w:rPr>
                <w:sz w:val="20"/>
                <w:szCs w:val="20"/>
                <w:color w:val="auto"/>
              </w:rPr>
            </w:pPr>
            <w:r>
              <w:rPr>
                <w:rFonts w:ascii="Arial" w:cs="Arial" w:eastAsia="Arial" w:hAnsi="Arial"/>
                <w:sz w:val="18"/>
                <w:szCs w:val="18"/>
                <w:color w:val="666666"/>
              </w:rPr>
              <w:t>$425,000</w:t>
            </w:r>
          </w:p>
        </w:tc>
        <w:tc>
          <w:tcPr>
            <w:tcW w:w="2960" w:type="dxa"/>
            <w:vAlign w:val="bottom"/>
            <w:tcBorders>
              <w:bottom w:val="single" w:sz="8" w:color="828282"/>
            </w:tcBorders>
          </w:tcPr>
          <w:p>
            <w:pPr>
              <w:jc w:val="center"/>
              <w:spacing w:after="0"/>
              <w:rPr>
                <w:sz w:val="20"/>
                <w:szCs w:val="20"/>
                <w:color w:val="auto"/>
              </w:rPr>
            </w:pPr>
            <w:r>
              <w:rPr>
                <w:rFonts w:ascii="Arial" w:cs="Arial" w:eastAsia="Arial" w:hAnsi="Arial"/>
                <w:sz w:val="18"/>
                <w:szCs w:val="18"/>
                <w:color w:val="666666"/>
                <w:w w:val="99"/>
              </w:rPr>
              <w:t>116%</w:t>
            </w:r>
          </w:p>
        </w:tc>
        <w:tc>
          <w:tcPr>
            <w:tcW w:w="2920" w:type="dxa"/>
            <w:vAlign w:val="bottom"/>
            <w:tcBorders>
              <w:bottom w:val="single" w:sz="8" w:color="828282"/>
              <w:right w:val="single" w:sz="8" w:color="828282"/>
            </w:tcBorders>
          </w:tcPr>
          <w:p>
            <w:pPr>
              <w:jc w:val="center"/>
              <w:ind w:right="70"/>
              <w:spacing w:after="0"/>
              <w:rPr>
                <w:sz w:val="20"/>
                <w:szCs w:val="20"/>
                <w:color w:val="auto"/>
              </w:rPr>
            </w:pPr>
            <w:r>
              <w:rPr>
                <w:rFonts w:ascii="Arial" w:cs="Arial" w:eastAsia="Arial" w:hAnsi="Arial"/>
                <w:sz w:val="18"/>
                <w:szCs w:val="18"/>
                <w:color w:val="666666"/>
              </w:rPr>
              <w:t>$501,000</w:t>
            </w:r>
          </w:p>
        </w:tc>
        <w:tc>
          <w:tcPr>
            <w:tcW w:w="0" w:type="dxa"/>
            <w:vAlign w:val="bottom"/>
          </w:tcPr>
          <w:p>
            <w:pPr>
              <w:spacing w:after="0"/>
              <w:rPr>
                <w:sz w:val="1"/>
                <w:szCs w:val="1"/>
                <w:color w:val="auto"/>
              </w:rPr>
            </w:pPr>
          </w:p>
        </w:tc>
      </w:tr>
    </w:tbl>
    <w:p>
      <w:pPr>
        <w:spacing w:after="0" w:line="2" w:lineRule="exact"/>
        <w:rPr>
          <w:sz w:val="20"/>
          <w:szCs w:val="20"/>
          <w:color w:val="auto"/>
        </w:rPr>
      </w:pPr>
    </w:p>
    <w:p>
      <w:pPr>
        <w:jc w:val="both"/>
        <w:ind w:left="340" w:right="420" w:hanging="8"/>
        <w:spacing w:after="0" w:line="251" w:lineRule="auto"/>
        <w:tabs>
          <w:tab w:leader="none" w:pos="583" w:val="left"/>
        </w:tabs>
        <w:numPr>
          <w:ilvl w:val="0"/>
          <w:numId w:val="37"/>
        </w:numPr>
        <w:rPr>
          <w:rFonts w:ascii="Arial" w:cs="Arial" w:eastAsia="Arial" w:hAnsi="Arial"/>
          <w:sz w:val="16"/>
          <w:szCs w:val="16"/>
          <w:color w:val="666666"/>
        </w:rPr>
      </w:pPr>
      <w:r>
        <w:rPr>
          <w:rFonts w:ascii="Arial" w:cs="Arial" w:eastAsia="Arial" w:hAnsi="Arial"/>
          <w:sz w:val="16"/>
          <w:szCs w:val="16"/>
          <w:color w:val="666666"/>
        </w:rPr>
        <w:t>Ms. Penfield’s FY20 annual cash incentive payout is calculated on a per point basis as if her target bonus was $475,000 with the final payment reduced by $50,000 to reflect her actual target of $425,000. The increase in the number of points associated with Ms. Penfield’s annual incentive, together with the payout reduction, provides for greater variability for over- and under-performance payouts without increasing her annual incentive target.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4F7CBA"/>
        </w:rPr>
        <w:t>Long-Term Equity Incentives</w:t>
      </w:r>
    </w:p>
    <w:p>
      <w:pPr>
        <w:spacing w:after="0" w:line="213"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It is our philosophy that executives should hold meaningful amounts of long-term equity compensation to align the personal financial interests of our executives with the interests of long-term stockholders and to encourage a long-term perspective with regard to Company performance and growth. The equity compensation for our executives is delivered in the following manner, which is further described below:</w:t>
      </w:r>
    </w:p>
    <w:p>
      <w:pPr>
        <w:spacing w:after="0" w:line="223"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20"/>
          <w:szCs w:val="20"/>
          <w:color w:val="666666"/>
        </w:rPr>
      </w:pPr>
      <w:r>
        <w:rPr>
          <w:rFonts w:ascii="Arial" w:cs="Arial" w:eastAsia="Arial" w:hAnsi="Arial"/>
          <w:sz w:val="20"/>
          <w:szCs w:val="20"/>
          <w:color w:val="666666"/>
        </w:rPr>
        <w:t>Annual Grants</w:t>
      </w:r>
    </w:p>
    <w:p>
      <w:pPr>
        <w:ind w:left="660" w:hanging="328"/>
        <w:spacing w:after="0"/>
        <w:tabs>
          <w:tab w:leader="none" w:pos="660" w:val="left"/>
        </w:tabs>
        <w:numPr>
          <w:ilvl w:val="0"/>
          <w:numId w:val="38"/>
        </w:numPr>
        <w:rPr>
          <w:rFonts w:ascii="Arial" w:cs="Arial" w:eastAsia="Arial" w:hAnsi="Arial"/>
          <w:sz w:val="20"/>
          <w:szCs w:val="20"/>
          <w:color w:val="666666"/>
        </w:rPr>
      </w:pPr>
      <w:r>
        <w:rPr>
          <w:rFonts w:ascii="Arial" w:cs="Arial" w:eastAsia="Arial" w:hAnsi="Arial"/>
          <w:sz w:val="20"/>
          <w:szCs w:val="20"/>
          <w:color w:val="666666"/>
        </w:rPr>
        <w:t>New Hire / Advancement Grants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4F7CBA"/>
        </w:rPr>
        <w:t>Fiscal 2020 Annual Grants</w:t>
      </w:r>
    </w:p>
    <w:p>
      <w:pPr>
        <w:spacing w:after="0" w:line="249" w:lineRule="exact"/>
        <w:rPr>
          <w:sz w:val="20"/>
          <w:szCs w:val="20"/>
          <w:color w:val="auto"/>
        </w:rPr>
      </w:pPr>
    </w:p>
    <w:p>
      <w:pPr>
        <w:ind w:right="20" w:firstLine="324"/>
        <w:spacing w:after="0" w:line="246" w:lineRule="auto"/>
        <w:rPr>
          <w:sz w:val="20"/>
          <w:szCs w:val="20"/>
          <w:color w:val="auto"/>
        </w:rPr>
      </w:pPr>
      <w:r>
        <w:rPr>
          <w:rFonts w:ascii="Arial" w:cs="Arial" w:eastAsia="Arial" w:hAnsi="Arial"/>
          <w:sz w:val="20"/>
          <w:szCs w:val="20"/>
          <w:color w:val="666666"/>
        </w:rPr>
        <w:t>Our named executive officers receive an annual equity grant that has two components: time-based restricted stock units (RSUs) and performance-based RSUs.</w:t>
      </w:r>
    </w:p>
    <w:p>
      <w:pPr>
        <w:spacing w:after="0" w:line="96"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20"/>
          <w:szCs w:val="20"/>
          <w:color w:val="666666"/>
        </w:rPr>
      </w:pPr>
      <w:r>
        <w:rPr>
          <w:rFonts w:ascii="Arial" w:cs="Arial" w:eastAsia="Arial" w:hAnsi="Arial"/>
          <w:sz w:val="20"/>
          <w:szCs w:val="20"/>
          <w:color w:val="666666"/>
        </w:rPr>
        <w:t>Time-Based RSUs: Settle into shares of Class A common stock in three equal installments over three years.</w:t>
      </w:r>
    </w:p>
    <w:p>
      <w:pPr>
        <w:spacing w:after="0" w:line="229" w:lineRule="exact"/>
        <w:rPr>
          <w:rFonts w:ascii="Arial" w:cs="Arial" w:eastAsia="Arial" w:hAnsi="Arial"/>
          <w:sz w:val="20"/>
          <w:szCs w:val="20"/>
          <w:color w:val="666666"/>
        </w:rPr>
      </w:pPr>
    </w:p>
    <w:p>
      <w:pPr>
        <w:jc w:val="both"/>
        <w:ind w:left="660" w:hanging="328"/>
        <w:spacing w:after="0" w:line="241" w:lineRule="auto"/>
        <w:tabs>
          <w:tab w:leader="none" w:pos="660" w:val="left"/>
        </w:tabs>
        <w:numPr>
          <w:ilvl w:val="0"/>
          <w:numId w:val="39"/>
        </w:numPr>
        <w:rPr>
          <w:rFonts w:ascii="Arial" w:cs="Arial" w:eastAsia="Arial" w:hAnsi="Arial"/>
          <w:sz w:val="20"/>
          <w:szCs w:val="20"/>
          <w:color w:val="666666"/>
        </w:rPr>
      </w:pPr>
      <w:r>
        <w:rPr>
          <w:rFonts w:ascii="Arial" w:cs="Arial" w:eastAsia="Arial" w:hAnsi="Arial"/>
          <w:sz w:val="20"/>
          <w:szCs w:val="20"/>
          <w:color w:val="666666"/>
        </w:rPr>
        <w:t>Performance-Based RSUs: Settle into shares of Class A common stock at the end of a three-year performance period based on the Company's cumulative performance against two internal financial metrics — Adjusted Diluted Earnings Per Share (ADEPS) and Value Added Revenue (VAR or Revenue, Excluding Billable Expenses, as defined in Appendix A) as described below.</w:t>
      </w:r>
    </w:p>
    <w:p>
      <w:pPr>
        <w:spacing w:after="0" w:line="113" w:lineRule="exact"/>
        <w:rPr>
          <w:sz w:val="20"/>
          <w:szCs w:val="20"/>
          <w:color w:val="auto"/>
        </w:rPr>
      </w:pPr>
    </w:p>
    <w:tbl>
      <w:tblPr>
        <w:tblLayout w:type="fixed"/>
        <w:tblInd w:w="1050" w:type="dxa"/>
        <w:tblCellMar>
          <w:top w:w="0" w:type="dxa"/>
          <w:left w:w="0" w:type="dxa"/>
          <w:bottom w:w="0" w:type="dxa"/>
          <w:right w:w="0" w:type="dxa"/>
        </w:tblCellMar>
      </w:tblPr>
      <w:tr>
        <w:trPr>
          <w:trHeight w:val="283"/>
        </w:trPr>
        <w:tc>
          <w:tcPr>
            <w:tcW w:w="2140" w:type="dxa"/>
            <w:vAlign w:val="bottom"/>
            <w:tcBorders>
              <w:top w:val="single" w:sz="8" w:color="828282"/>
              <w:left w:val="single" w:sz="8" w:color="828282"/>
            </w:tcBorders>
            <w:shd w:val="clear" w:color="auto" w:fill="4472C4"/>
          </w:tcPr>
          <w:p>
            <w:pPr>
              <w:ind w:left="40"/>
              <w:spacing w:after="0"/>
              <w:rPr>
                <w:sz w:val="20"/>
                <w:szCs w:val="20"/>
                <w:color w:val="auto"/>
              </w:rPr>
            </w:pPr>
            <w:r>
              <w:rPr>
                <w:rFonts w:ascii="Arial" w:cs="Arial" w:eastAsia="Arial" w:hAnsi="Arial"/>
                <w:sz w:val="20"/>
                <w:szCs w:val="20"/>
                <w:b w:val="1"/>
                <w:bCs w:val="1"/>
                <w:i w:val="1"/>
                <w:iCs w:val="1"/>
                <w:color w:val="FFFFFF"/>
              </w:rPr>
              <w:t>Performance Metric</w:t>
            </w:r>
          </w:p>
        </w:tc>
        <w:tc>
          <w:tcPr>
            <w:tcW w:w="7680" w:type="dxa"/>
            <w:vAlign w:val="bottom"/>
            <w:tcBorders>
              <w:top w:val="single" w:sz="8" w:color="828282"/>
              <w:right w:val="single" w:sz="8" w:color="828282"/>
            </w:tcBorders>
            <w:gridSpan w:val="2"/>
            <w:shd w:val="clear" w:color="auto" w:fill="4472C4"/>
          </w:tcPr>
          <w:p>
            <w:pPr>
              <w:ind w:left="140"/>
              <w:spacing w:after="0"/>
              <w:rPr>
                <w:sz w:val="20"/>
                <w:szCs w:val="20"/>
                <w:color w:val="auto"/>
              </w:rPr>
            </w:pPr>
            <w:r>
              <w:rPr>
                <w:rFonts w:ascii="Arial" w:cs="Arial" w:eastAsia="Arial" w:hAnsi="Arial"/>
                <w:sz w:val="20"/>
                <w:szCs w:val="20"/>
                <w:b w:val="1"/>
                <w:bCs w:val="1"/>
                <w:i w:val="1"/>
                <w:iCs w:val="1"/>
                <w:color w:val="FFFFFF"/>
              </w:rPr>
              <w:t>Weighting Performance Metric Description</w:t>
            </w:r>
          </w:p>
        </w:tc>
        <w:tc>
          <w:tcPr>
            <w:tcW w:w="0" w:type="dxa"/>
            <w:vAlign w:val="bottom"/>
          </w:tcPr>
          <w:p>
            <w:pPr>
              <w:spacing w:after="0"/>
              <w:rPr>
                <w:sz w:val="1"/>
                <w:szCs w:val="1"/>
                <w:color w:val="auto"/>
              </w:rPr>
            </w:pPr>
          </w:p>
        </w:tc>
      </w:tr>
      <w:tr>
        <w:trPr>
          <w:trHeight w:val="229"/>
        </w:trPr>
        <w:tc>
          <w:tcPr>
            <w:tcW w:w="2140" w:type="dxa"/>
            <w:vAlign w:val="bottom"/>
            <w:tcBorders>
              <w:left w:val="single" w:sz="8" w:color="828282"/>
            </w:tcBorders>
            <w:vMerge w:val="restart"/>
          </w:tcPr>
          <w:p>
            <w:pPr>
              <w:ind w:left="40"/>
              <w:spacing w:after="0"/>
              <w:rPr>
                <w:sz w:val="20"/>
                <w:szCs w:val="20"/>
                <w:color w:val="auto"/>
              </w:rPr>
            </w:pPr>
            <w:r>
              <w:rPr>
                <w:rFonts w:ascii="Arial" w:cs="Arial" w:eastAsia="Arial" w:hAnsi="Arial"/>
                <w:sz w:val="18"/>
                <w:szCs w:val="18"/>
                <w:color w:val="666666"/>
              </w:rPr>
              <w:t>Cumulative Adjusted</w:t>
            </w:r>
          </w:p>
        </w:tc>
        <w:tc>
          <w:tcPr>
            <w:tcW w:w="1020" w:type="dxa"/>
            <w:vAlign w:val="bottom"/>
          </w:tcPr>
          <w:p>
            <w:pPr>
              <w:spacing w:after="0"/>
              <w:rPr>
                <w:sz w:val="19"/>
                <w:szCs w:val="19"/>
                <w:color w:val="auto"/>
              </w:rPr>
            </w:pPr>
          </w:p>
        </w:tc>
        <w:tc>
          <w:tcPr>
            <w:tcW w:w="6660" w:type="dxa"/>
            <w:vAlign w:val="bottom"/>
            <w:tcBorders>
              <w:right w:val="single" w:sz="8" w:color="828282"/>
            </w:tcBorders>
          </w:tcPr>
          <w:p>
            <w:pPr>
              <w:ind w:left="200"/>
              <w:spacing w:after="0"/>
              <w:rPr>
                <w:sz w:val="20"/>
                <w:szCs w:val="20"/>
                <w:color w:val="auto"/>
              </w:rPr>
            </w:pPr>
            <w:r>
              <w:rPr>
                <w:rFonts w:ascii="Arial" w:cs="Arial" w:eastAsia="Arial" w:hAnsi="Arial"/>
                <w:sz w:val="18"/>
                <w:szCs w:val="18"/>
                <w:color w:val="666666"/>
              </w:rPr>
              <w:t>Three-year cumulative diluted earnings per share calculated using adjusted net</w:t>
            </w:r>
          </w:p>
        </w:tc>
        <w:tc>
          <w:tcPr>
            <w:tcW w:w="0" w:type="dxa"/>
            <w:vAlign w:val="bottom"/>
          </w:tcPr>
          <w:p>
            <w:pPr>
              <w:spacing w:after="0"/>
              <w:rPr>
                <w:sz w:val="1"/>
                <w:szCs w:val="1"/>
                <w:color w:val="auto"/>
              </w:rPr>
            </w:pPr>
          </w:p>
        </w:tc>
      </w:tr>
      <w:tr>
        <w:trPr>
          <w:trHeight w:val="95"/>
        </w:trPr>
        <w:tc>
          <w:tcPr>
            <w:tcW w:w="2140" w:type="dxa"/>
            <w:vAlign w:val="bottom"/>
            <w:tcBorders>
              <w:left w:val="single" w:sz="8" w:color="828282"/>
            </w:tcBorders>
            <w:vMerge w:val="continue"/>
          </w:tcPr>
          <w:p>
            <w:pPr>
              <w:spacing w:after="0"/>
              <w:rPr>
                <w:sz w:val="8"/>
                <w:szCs w:val="8"/>
                <w:color w:val="auto"/>
              </w:rPr>
            </w:pPr>
          </w:p>
        </w:tc>
        <w:tc>
          <w:tcPr>
            <w:tcW w:w="1020" w:type="dxa"/>
            <w:vAlign w:val="bottom"/>
          </w:tcPr>
          <w:p>
            <w:pPr>
              <w:spacing w:after="0"/>
              <w:rPr>
                <w:sz w:val="8"/>
                <w:szCs w:val="8"/>
                <w:color w:val="auto"/>
              </w:rPr>
            </w:pPr>
          </w:p>
        </w:tc>
        <w:tc>
          <w:tcPr>
            <w:tcW w:w="6660" w:type="dxa"/>
            <w:vAlign w:val="bottom"/>
            <w:tcBorders>
              <w:right w:val="single" w:sz="8" w:color="828282"/>
            </w:tcBorders>
            <w:vMerge w:val="restart"/>
          </w:tcPr>
          <w:p>
            <w:pPr>
              <w:ind w:left="200"/>
              <w:spacing w:after="0" w:line="202" w:lineRule="exact"/>
              <w:rPr>
                <w:sz w:val="20"/>
                <w:szCs w:val="20"/>
                <w:color w:val="auto"/>
              </w:rPr>
            </w:pPr>
            <w:r>
              <w:rPr>
                <w:rFonts w:ascii="Arial" w:cs="Arial" w:eastAsia="Arial" w:hAnsi="Arial"/>
                <w:sz w:val="18"/>
                <w:szCs w:val="18"/>
                <w:color w:val="666666"/>
              </w:rPr>
              <w:t>income and measured against performance targets set at the start of the</w:t>
            </w:r>
          </w:p>
        </w:tc>
        <w:tc>
          <w:tcPr>
            <w:tcW w:w="0" w:type="dxa"/>
            <w:vAlign w:val="bottom"/>
          </w:tcPr>
          <w:p>
            <w:pPr>
              <w:spacing w:after="0"/>
              <w:rPr>
                <w:sz w:val="1"/>
                <w:szCs w:val="1"/>
                <w:color w:val="auto"/>
              </w:rPr>
            </w:pPr>
          </w:p>
        </w:tc>
      </w:tr>
      <w:tr>
        <w:trPr>
          <w:trHeight w:val="108"/>
        </w:trPr>
        <w:tc>
          <w:tcPr>
            <w:tcW w:w="2140" w:type="dxa"/>
            <w:vAlign w:val="bottom"/>
            <w:tcBorders>
              <w:left w:val="single" w:sz="8" w:color="828282"/>
            </w:tcBorders>
            <w:vMerge w:val="restart"/>
          </w:tcPr>
          <w:p>
            <w:pPr>
              <w:ind w:left="40"/>
              <w:spacing w:after="0" w:line="202" w:lineRule="exact"/>
              <w:rPr>
                <w:sz w:val="20"/>
                <w:szCs w:val="20"/>
                <w:color w:val="auto"/>
              </w:rPr>
            </w:pPr>
            <w:r>
              <w:rPr>
                <w:rFonts w:ascii="Arial" w:cs="Arial" w:eastAsia="Arial" w:hAnsi="Arial"/>
                <w:sz w:val="18"/>
                <w:szCs w:val="18"/>
                <w:color w:val="666666"/>
              </w:rPr>
              <w:t>Diluted Earnings Per</w:t>
            </w:r>
          </w:p>
        </w:tc>
        <w:tc>
          <w:tcPr>
            <w:tcW w:w="1020" w:type="dxa"/>
            <w:vAlign w:val="bottom"/>
            <w:vMerge w:val="restart"/>
          </w:tcPr>
          <w:p>
            <w:pPr>
              <w:jc w:val="right"/>
              <w:ind w:right="127"/>
              <w:spacing w:after="0" w:line="202" w:lineRule="exact"/>
              <w:rPr>
                <w:sz w:val="20"/>
                <w:szCs w:val="20"/>
                <w:color w:val="auto"/>
              </w:rPr>
            </w:pPr>
            <w:r>
              <w:rPr>
                <w:rFonts w:ascii="Arial" w:cs="Arial" w:eastAsia="Arial" w:hAnsi="Arial"/>
                <w:sz w:val="18"/>
                <w:szCs w:val="18"/>
                <w:color w:val="666666"/>
              </w:rPr>
              <w:t>75%</w:t>
            </w:r>
          </w:p>
        </w:tc>
        <w:tc>
          <w:tcPr>
            <w:tcW w:w="6660" w:type="dxa"/>
            <w:vAlign w:val="bottom"/>
            <w:tcBorders>
              <w:right w:val="single" w:sz="8" w:color="82828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140" w:type="dxa"/>
            <w:vAlign w:val="bottom"/>
            <w:tcBorders>
              <w:left w:val="single" w:sz="8" w:color="828282"/>
            </w:tcBorders>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660" w:type="dxa"/>
            <w:vAlign w:val="bottom"/>
            <w:tcBorders>
              <w:right w:val="single" w:sz="8" w:color="828282"/>
            </w:tcBorders>
            <w:vMerge w:val="restart"/>
          </w:tcPr>
          <w:p>
            <w:pPr>
              <w:ind w:left="200"/>
              <w:spacing w:after="0"/>
              <w:rPr>
                <w:sz w:val="20"/>
                <w:szCs w:val="20"/>
                <w:color w:val="auto"/>
              </w:rPr>
            </w:pPr>
            <w:r>
              <w:rPr>
                <w:rFonts w:ascii="Arial" w:cs="Arial" w:eastAsia="Arial" w:hAnsi="Arial"/>
                <w:sz w:val="18"/>
                <w:szCs w:val="18"/>
                <w:color w:val="666666"/>
              </w:rPr>
              <w:t>performance period</w:t>
            </w:r>
          </w:p>
        </w:tc>
        <w:tc>
          <w:tcPr>
            <w:tcW w:w="0" w:type="dxa"/>
            <w:vAlign w:val="bottom"/>
          </w:tcPr>
          <w:p>
            <w:pPr>
              <w:spacing w:after="0"/>
              <w:rPr>
                <w:sz w:val="1"/>
                <w:szCs w:val="1"/>
                <w:color w:val="auto"/>
              </w:rPr>
            </w:pPr>
          </w:p>
        </w:tc>
      </w:tr>
      <w:tr>
        <w:trPr>
          <w:trHeight w:val="122"/>
        </w:trPr>
        <w:tc>
          <w:tcPr>
            <w:tcW w:w="2140" w:type="dxa"/>
            <w:vAlign w:val="bottom"/>
            <w:tcBorders>
              <w:left w:val="single" w:sz="8" w:color="828282"/>
            </w:tcBorders>
            <w:vMerge w:val="restart"/>
          </w:tcPr>
          <w:p>
            <w:pPr>
              <w:ind w:left="40"/>
              <w:spacing w:after="0"/>
              <w:rPr>
                <w:sz w:val="20"/>
                <w:szCs w:val="20"/>
                <w:color w:val="auto"/>
              </w:rPr>
            </w:pPr>
            <w:r>
              <w:rPr>
                <w:rFonts w:ascii="Arial" w:cs="Arial" w:eastAsia="Arial" w:hAnsi="Arial"/>
                <w:sz w:val="18"/>
                <w:szCs w:val="18"/>
                <w:color w:val="666666"/>
              </w:rPr>
              <w:t>Share (ADEPS)</w:t>
            </w:r>
          </w:p>
        </w:tc>
        <w:tc>
          <w:tcPr>
            <w:tcW w:w="1020" w:type="dxa"/>
            <w:vAlign w:val="bottom"/>
          </w:tcPr>
          <w:p>
            <w:pPr>
              <w:spacing w:after="0"/>
              <w:rPr>
                <w:sz w:val="10"/>
                <w:szCs w:val="10"/>
                <w:color w:val="auto"/>
              </w:rPr>
            </w:pPr>
          </w:p>
        </w:tc>
        <w:tc>
          <w:tcPr>
            <w:tcW w:w="6660" w:type="dxa"/>
            <w:vAlign w:val="bottom"/>
            <w:tcBorders>
              <w:right w:val="single" w:sz="8" w:color="828282"/>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140" w:type="dxa"/>
            <w:vAlign w:val="bottom"/>
            <w:tcBorders>
              <w:left w:val="single" w:sz="8" w:color="828282"/>
            </w:tcBorders>
            <w:vMerge w:val="continue"/>
          </w:tcPr>
          <w:p>
            <w:pPr>
              <w:spacing w:after="0"/>
              <w:rPr>
                <w:sz w:val="8"/>
                <w:szCs w:val="8"/>
                <w:color w:val="auto"/>
              </w:rPr>
            </w:pPr>
          </w:p>
        </w:tc>
        <w:tc>
          <w:tcPr>
            <w:tcW w:w="1020" w:type="dxa"/>
            <w:vAlign w:val="bottom"/>
          </w:tcPr>
          <w:p>
            <w:pPr>
              <w:spacing w:after="0"/>
              <w:rPr>
                <w:sz w:val="8"/>
                <w:szCs w:val="8"/>
                <w:color w:val="auto"/>
              </w:rPr>
            </w:pPr>
          </w:p>
        </w:tc>
        <w:tc>
          <w:tcPr>
            <w:tcW w:w="6660" w:type="dxa"/>
            <w:vAlign w:val="bottom"/>
            <w:tcBorders>
              <w:right w:val="single" w:sz="8" w:color="828282"/>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140" w:type="dxa"/>
            <w:vAlign w:val="bottom"/>
            <w:tcBorders>
              <w:left w:val="single" w:sz="8" w:color="828282"/>
            </w:tcBorders>
          </w:tcPr>
          <w:p>
            <w:pPr>
              <w:spacing w:after="0"/>
              <w:rPr>
                <w:sz w:val="10"/>
                <w:szCs w:val="10"/>
                <w:color w:val="auto"/>
              </w:rPr>
            </w:pPr>
          </w:p>
        </w:tc>
        <w:tc>
          <w:tcPr>
            <w:tcW w:w="1020" w:type="dxa"/>
            <w:vAlign w:val="bottom"/>
          </w:tcPr>
          <w:p>
            <w:pPr>
              <w:spacing w:after="0"/>
              <w:rPr>
                <w:sz w:val="10"/>
                <w:szCs w:val="10"/>
                <w:color w:val="auto"/>
              </w:rPr>
            </w:pPr>
          </w:p>
        </w:tc>
        <w:tc>
          <w:tcPr>
            <w:tcW w:w="6660" w:type="dxa"/>
            <w:vAlign w:val="bottom"/>
            <w:tcBorders>
              <w:right w:val="single" w:sz="8" w:color="828282"/>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140" w:type="dxa"/>
            <w:vAlign w:val="bottom"/>
            <w:tcBorders>
              <w:left w:val="single" w:sz="8" w:color="828282"/>
            </w:tcBorders>
            <w:shd w:val="clear" w:color="auto" w:fill="D9E2F3"/>
          </w:tcPr>
          <w:p>
            <w:pPr>
              <w:ind w:left="40"/>
              <w:spacing w:after="0"/>
              <w:rPr>
                <w:sz w:val="20"/>
                <w:szCs w:val="20"/>
                <w:color w:val="auto"/>
              </w:rPr>
            </w:pPr>
            <w:r>
              <w:rPr>
                <w:rFonts w:ascii="Arial" w:cs="Arial" w:eastAsia="Arial" w:hAnsi="Arial"/>
                <w:sz w:val="18"/>
                <w:szCs w:val="18"/>
                <w:color w:val="666666"/>
              </w:rPr>
              <w:t>Cumulative Value Added</w:t>
            </w:r>
          </w:p>
        </w:tc>
        <w:tc>
          <w:tcPr>
            <w:tcW w:w="1020" w:type="dxa"/>
            <w:vAlign w:val="bottom"/>
            <w:vMerge w:val="restart"/>
            <w:shd w:val="clear" w:color="auto" w:fill="D9E2F3"/>
          </w:tcPr>
          <w:p>
            <w:pPr>
              <w:jc w:val="right"/>
              <w:ind w:right="127"/>
              <w:spacing w:after="0"/>
              <w:rPr>
                <w:sz w:val="20"/>
                <w:szCs w:val="20"/>
                <w:color w:val="auto"/>
              </w:rPr>
            </w:pPr>
            <w:r>
              <w:rPr>
                <w:rFonts w:ascii="Arial" w:cs="Arial" w:eastAsia="Arial" w:hAnsi="Arial"/>
                <w:sz w:val="18"/>
                <w:szCs w:val="18"/>
                <w:color w:val="666666"/>
              </w:rPr>
              <w:t>25%</w:t>
            </w:r>
          </w:p>
        </w:tc>
        <w:tc>
          <w:tcPr>
            <w:tcW w:w="6660" w:type="dxa"/>
            <w:vAlign w:val="bottom"/>
            <w:tcBorders>
              <w:right w:val="single" w:sz="8" w:color="828282"/>
            </w:tcBorders>
            <w:shd w:val="clear" w:color="auto" w:fill="D9E2F3"/>
          </w:tcPr>
          <w:p>
            <w:pPr>
              <w:ind w:left="200"/>
              <w:spacing w:after="0"/>
              <w:rPr>
                <w:sz w:val="20"/>
                <w:szCs w:val="20"/>
                <w:color w:val="auto"/>
              </w:rPr>
            </w:pPr>
            <w:r>
              <w:rPr>
                <w:rFonts w:ascii="Arial" w:cs="Arial" w:eastAsia="Arial" w:hAnsi="Arial"/>
                <w:sz w:val="18"/>
                <w:szCs w:val="18"/>
                <w:color w:val="666666"/>
              </w:rPr>
              <w:t>Three-year cumulative revenue less billable expenses measured against</w:t>
            </w:r>
          </w:p>
        </w:tc>
        <w:tc>
          <w:tcPr>
            <w:tcW w:w="0" w:type="dxa"/>
            <w:vAlign w:val="bottom"/>
          </w:tcPr>
          <w:p>
            <w:pPr>
              <w:spacing w:after="0"/>
              <w:rPr>
                <w:sz w:val="1"/>
                <w:szCs w:val="1"/>
                <w:color w:val="auto"/>
              </w:rPr>
            </w:pPr>
          </w:p>
        </w:tc>
      </w:tr>
      <w:tr>
        <w:trPr>
          <w:trHeight w:val="109"/>
        </w:trPr>
        <w:tc>
          <w:tcPr>
            <w:tcW w:w="2140" w:type="dxa"/>
            <w:vAlign w:val="bottom"/>
            <w:tcBorders>
              <w:left w:val="single" w:sz="8" w:color="828282"/>
            </w:tcBorders>
            <w:vMerge w:val="restart"/>
            <w:shd w:val="clear" w:color="auto" w:fill="D9E2F3"/>
          </w:tcPr>
          <w:p>
            <w:pPr>
              <w:ind w:left="40"/>
              <w:spacing w:after="0"/>
              <w:rPr>
                <w:sz w:val="20"/>
                <w:szCs w:val="20"/>
                <w:color w:val="auto"/>
              </w:rPr>
            </w:pPr>
            <w:r>
              <w:rPr>
                <w:rFonts w:ascii="Arial" w:cs="Arial" w:eastAsia="Arial" w:hAnsi="Arial"/>
                <w:sz w:val="18"/>
                <w:szCs w:val="18"/>
                <w:color w:val="666666"/>
              </w:rPr>
              <w:t>Revenue (VAR)</w:t>
            </w:r>
          </w:p>
        </w:tc>
        <w:tc>
          <w:tcPr>
            <w:tcW w:w="1020" w:type="dxa"/>
            <w:vAlign w:val="bottom"/>
            <w:vMerge w:val="continue"/>
            <w:shd w:val="clear" w:color="auto" w:fill="D9E2F3"/>
          </w:tcPr>
          <w:p>
            <w:pPr>
              <w:spacing w:after="0"/>
              <w:rPr>
                <w:sz w:val="9"/>
                <w:szCs w:val="9"/>
                <w:color w:val="auto"/>
              </w:rPr>
            </w:pPr>
          </w:p>
        </w:tc>
        <w:tc>
          <w:tcPr>
            <w:tcW w:w="6660" w:type="dxa"/>
            <w:vAlign w:val="bottom"/>
            <w:tcBorders>
              <w:right w:val="single" w:sz="8" w:color="828282"/>
            </w:tcBorders>
            <w:vMerge w:val="restart"/>
            <w:shd w:val="clear" w:color="auto" w:fill="D9E2F3"/>
          </w:tcPr>
          <w:p>
            <w:pPr>
              <w:ind w:left="200"/>
              <w:spacing w:after="0"/>
              <w:rPr>
                <w:sz w:val="20"/>
                <w:szCs w:val="20"/>
                <w:color w:val="auto"/>
              </w:rPr>
            </w:pPr>
            <w:r>
              <w:rPr>
                <w:rFonts w:ascii="Arial" w:cs="Arial" w:eastAsia="Arial" w:hAnsi="Arial"/>
                <w:sz w:val="18"/>
                <w:szCs w:val="18"/>
                <w:color w:val="666666"/>
              </w:rPr>
              <w:t>performance targets set at the start of the performance period</w:t>
            </w:r>
          </w:p>
        </w:tc>
        <w:tc>
          <w:tcPr>
            <w:tcW w:w="0" w:type="dxa"/>
            <w:vAlign w:val="bottom"/>
          </w:tcPr>
          <w:p>
            <w:pPr>
              <w:spacing w:after="0"/>
              <w:rPr>
                <w:sz w:val="1"/>
                <w:szCs w:val="1"/>
                <w:color w:val="auto"/>
              </w:rPr>
            </w:pPr>
          </w:p>
        </w:tc>
      </w:tr>
      <w:tr>
        <w:trPr>
          <w:trHeight w:val="115"/>
        </w:trPr>
        <w:tc>
          <w:tcPr>
            <w:tcW w:w="2140" w:type="dxa"/>
            <w:vAlign w:val="bottom"/>
            <w:tcBorders>
              <w:left w:val="single" w:sz="8" w:color="828282"/>
              <w:bottom w:val="single" w:sz="8" w:color="828282"/>
            </w:tcBorders>
            <w:vMerge w:val="continue"/>
            <w:shd w:val="clear" w:color="auto" w:fill="D9E2F3"/>
          </w:tcPr>
          <w:p>
            <w:pPr>
              <w:spacing w:after="0"/>
              <w:rPr>
                <w:sz w:val="10"/>
                <w:szCs w:val="10"/>
                <w:color w:val="auto"/>
              </w:rPr>
            </w:pPr>
          </w:p>
        </w:tc>
        <w:tc>
          <w:tcPr>
            <w:tcW w:w="1020" w:type="dxa"/>
            <w:vAlign w:val="bottom"/>
            <w:tcBorders>
              <w:bottom w:val="single" w:sz="8" w:color="828282"/>
            </w:tcBorders>
            <w:shd w:val="clear" w:color="auto" w:fill="D9E2F3"/>
          </w:tcPr>
          <w:p>
            <w:pPr>
              <w:spacing w:after="0"/>
              <w:rPr>
                <w:sz w:val="10"/>
                <w:szCs w:val="10"/>
                <w:color w:val="auto"/>
              </w:rPr>
            </w:pPr>
          </w:p>
        </w:tc>
        <w:tc>
          <w:tcPr>
            <w:tcW w:w="6660" w:type="dxa"/>
            <w:vAlign w:val="bottom"/>
            <w:tcBorders>
              <w:bottom w:val="single" w:sz="8" w:color="828282"/>
              <w:right w:val="single" w:sz="8" w:color="828282"/>
            </w:tcBorders>
            <w:vMerge w:val="continue"/>
            <w:shd w:val="clear" w:color="auto" w:fill="D9E2F3"/>
          </w:tcPr>
          <w:p>
            <w:pPr>
              <w:spacing w:after="0"/>
              <w:rPr>
                <w:sz w:val="10"/>
                <w:szCs w:val="10"/>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666666"/>
        </w:rPr>
        <w:t>These metrics were selected as a representation of organic revenue growth and bottom-line Company performance. The Company believes that the combination and weighting of each metric drive towards the goal of sustainable quality growth, with heavier weighting placed on ADEPS to further emphasize profitability and volume of revenue. The number of performance-based RSUs that vest at the end of the three-year performance may range from zero percent for performance that falls below the minimum performance threshold up to 200 percent for maximum performance.</w:t>
      </w:r>
    </w:p>
    <w:p>
      <w:pPr>
        <w:spacing w:after="0" w:line="222" w:lineRule="exact"/>
        <w:rPr>
          <w:sz w:val="20"/>
          <w:szCs w:val="20"/>
          <w:color w:val="auto"/>
        </w:rPr>
      </w:pPr>
    </w:p>
    <w:p>
      <w:pPr>
        <w:jc w:val="both"/>
        <w:ind w:left="660"/>
        <w:spacing w:after="0"/>
        <w:rPr>
          <w:sz w:val="20"/>
          <w:szCs w:val="20"/>
          <w:color w:val="auto"/>
        </w:rPr>
      </w:pPr>
      <w:r>
        <w:rPr>
          <w:rFonts w:ascii="Arial" w:cs="Arial" w:eastAsia="Arial" w:hAnsi="Arial"/>
          <w:sz w:val="20"/>
          <w:szCs w:val="20"/>
          <w:color w:val="666666"/>
        </w:rPr>
        <w:t>At the start of the three-year performance cycle, the Compensation Committee sets the threshold, target and maximum performance levels and corresponding payouts. When establishing these performance levels, the Compensation Committee considers, among other things, projected Company performance and long-term strategic growth objectives, business outlook and market growth forecasts. Since the goals are established for future performance over a three year period, outcomes are by definition uncertain. Due to the proprietary and competitive nature of the company's business strategy and internal budgets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33</w:t>
      </w:r>
    </w:p>
    <w:p>
      <w:pPr>
        <w:sectPr>
          <w:pgSz w:w="11900" w:h="16838" w:orient="portrait"/>
          <w:cols w:equalWidth="0" w:num="1">
            <w:col w:w="11240"/>
          </w:cols>
          <w:pgMar w:left="320" w:top="471" w:right="339" w:bottom="1440" w:gutter="0" w:footer="0" w:header="0"/>
        </w:sectPr>
      </w:pPr>
    </w:p>
    <w:bookmarkStart w:id="42" w:name="page43"/>
    <w:bookmarkEnd w:id="42"/>
    <w:p>
      <w:pPr>
        <w:ind w:left="660"/>
        <w:spacing w:after="0" w:line="246" w:lineRule="auto"/>
        <w:rPr>
          <w:sz w:val="20"/>
          <w:szCs w:val="20"/>
          <w:color w:val="auto"/>
        </w:rPr>
      </w:pPr>
      <w:r>
        <w:rPr>
          <w:rFonts w:ascii="Arial" w:cs="Arial" w:eastAsia="Arial" w:hAnsi="Arial"/>
          <w:sz w:val="20"/>
          <w:szCs w:val="20"/>
          <w:color w:val="666666"/>
        </w:rPr>
        <w:t>that inform the three-year performance program targets, the Committee discloses the long-term performance levels for each of the performance goals following the completion of the performance period.</w:t>
      </w:r>
    </w:p>
    <w:p>
      <w:pPr>
        <w:spacing w:after="0" w:line="217"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For fiscal year 2020, the target annual equity mix for our CEO was approximately 72 percent aligned to performance-based RSUs and 28 percent aligned to time-based RSUs. The average target annualized equity mix for all other named executive officers was approximately 60 percent aligned to performance-based RSUs and approximately 40 percent aligned to time-based RSUs.</w:t>
      </w:r>
    </w:p>
    <w:p>
      <w:pPr>
        <w:spacing w:after="0" w:line="156"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The Compensation Committee, with consideration of guidance from Korn Ferry, peer benchmarking data, and the CEO in the case of named executive officers who are direct reports to the CEO, determined these equity allocations were appropriate to further align the compensation of our named executive officers with long-term Company performance. The CEO has the highest allocation of performance-based RSUs based on his role as the overall steward of the Company and to tie a significant portion of his compensation to the Company's performance. The performance-based RSUs allow for additional rewards based on over-achievement against our long-term performance goals, while also penalizing for under-performance. The time-based RSUs encourage retention and provide for incremental recognition of equity compensation over the vest cycle.</w:t>
      </w:r>
    </w:p>
    <w:p>
      <w:pPr>
        <w:spacing w:after="0" w:line="226"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For fiscal year 2020, the Compensation Committee approved an increase to the annual performance-based RSU grant amount for Mr. Rozanski of approximately $1.0 million. This change was made by the Compensation Committee using benchmarking analysis and input from Korn Ferry and specific focus on increasing the long-term "at risk" performance element of the CEO compensation. Additionally, for fiscal year 2020, the Compensation Committee approved a modest increase to the target annual equity grant amounts for Ms. Penfield. These changes were made by the Compensation Committee using benchmarking analysis and input from Korn Ferry as well as feedback from the CEO as Ms. Penfield is a direct report to the CEO. These increases were specifically focused on compensation elements that would further incentivize long-term Company performance and long-term retention.</w:t>
      </w:r>
    </w:p>
    <w:p>
      <w:pPr>
        <w:spacing w:after="0" w:line="277" w:lineRule="exact"/>
        <w:rPr>
          <w:sz w:val="20"/>
          <w:szCs w:val="20"/>
          <w:color w:val="auto"/>
        </w:rPr>
      </w:pPr>
    </w:p>
    <w:tbl>
      <w:tblPr>
        <w:tblLayout w:type="fixed"/>
        <w:tblInd w:w="470" w:type="dxa"/>
        <w:tblCellMar>
          <w:top w:w="0" w:type="dxa"/>
          <w:left w:w="0" w:type="dxa"/>
          <w:bottom w:w="0" w:type="dxa"/>
          <w:right w:w="0" w:type="dxa"/>
        </w:tblCellMar>
      </w:tblPr>
      <w:tr>
        <w:trPr>
          <w:trHeight w:val="270"/>
        </w:trPr>
        <w:tc>
          <w:tcPr>
            <w:tcW w:w="2040" w:type="dxa"/>
            <w:vAlign w:val="bottom"/>
            <w:tcBorders>
              <w:top w:val="single" w:sz="8" w:color="828282"/>
              <w:left w:val="single" w:sz="8" w:color="828282"/>
            </w:tcBorders>
            <w:shd w:val="clear" w:color="auto" w:fill="4472C4"/>
          </w:tcPr>
          <w:p>
            <w:pPr>
              <w:ind w:left="40"/>
              <w:spacing w:after="0"/>
              <w:rPr>
                <w:sz w:val="20"/>
                <w:szCs w:val="20"/>
                <w:color w:val="auto"/>
              </w:rPr>
            </w:pPr>
            <w:r>
              <w:rPr>
                <w:rFonts w:ascii="Arial" w:cs="Arial" w:eastAsia="Arial" w:hAnsi="Arial"/>
                <w:sz w:val="18"/>
                <w:szCs w:val="18"/>
                <w:b w:val="1"/>
                <w:bCs w:val="1"/>
                <w:color w:val="FFFFFF"/>
              </w:rPr>
              <w:t>Name</w:t>
            </w:r>
          </w:p>
        </w:tc>
        <w:tc>
          <w:tcPr>
            <w:tcW w:w="4660" w:type="dxa"/>
            <w:vAlign w:val="bottom"/>
            <w:tcBorders>
              <w:top w:val="single" w:sz="8" w:color="828282"/>
            </w:tcBorders>
            <w:shd w:val="clear" w:color="auto" w:fill="4472C4"/>
          </w:tcPr>
          <w:p>
            <w:pPr>
              <w:ind w:left="380"/>
              <w:spacing w:after="0"/>
              <w:rPr>
                <w:sz w:val="20"/>
                <w:szCs w:val="20"/>
                <w:color w:val="auto"/>
              </w:rPr>
            </w:pPr>
            <w:r>
              <w:rPr>
                <w:rFonts w:ascii="Arial" w:cs="Arial" w:eastAsia="Arial" w:hAnsi="Arial"/>
                <w:sz w:val="18"/>
                <w:szCs w:val="18"/>
                <w:b w:val="1"/>
                <w:bCs w:val="1"/>
                <w:color w:val="FFFFFF"/>
              </w:rPr>
              <w:t xml:space="preserve">FY20 Target Performance-Based RSU Grant </w:t>
            </w:r>
            <w:r>
              <w:rPr>
                <w:rFonts w:ascii="Arial" w:cs="Arial" w:eastAsia="Arial" w:hAnsi="Arial"/>
                <w:sz w:val="14"/>
                <w:szCs w:val="14"/>
                <w:b w:val="1"/>
                <w:bCs w:val="1"/>
                <w:color w:val="FFFFFF"/>
              </w:rPr>
              <w:t>1</w:t>
            </w:r>
          </w:p>
        </w:tc>
        <w:tc>
          <w:tcPr>
            <w:tcW w:w="3660" w:type="dxa"/>
            <w:vAlign w:val="bottom"/>
            <w:tcBorders>
              <w:top w:val="single" w:sz="8" w:color="828282"/>
              <w:right w:val="single" w:sz="8" w:color="828282"/>
            </w:tcBorders>
            <w:shd w:val="clear" w:color="auto" w:fill="4472C4"/>
          </w:tcPr>
          <w:p>
            <w:pPr>
              <w:ind w:left="420"/>
              <w:spacing w:after="0"/>
              <w:rPr>
                <w:sz w:val="20"/>
                <w:szCs w:val="20"/>
                <w:color w:val="auto"/>
              </w:rPr>
            </w:pPr>
            <w:r>
              <w:rPr>
                <w:rFonts w:ascii="Arial" w:cs="Arial" w:eastAsia="Arial" w:hAnsi="Arial"/>
                <w:sz w:val="18"/>
                <w:szCs w:val="18"/>
                <w:b w:val="1"/>
                <w:bCs w:val="1"/>
                <w:color w:val="FFFFFF"/>
              </w:rPr>
              <w:t xml:space="preserve">FY20 Time-Based RSU Grant </w:t>
            </w:r>
            <w:r>
              <w:rPr>
                <w:rFonts w:ascii="Arial" w:cs="Arial" w:eastAsia="Arial" w:hAnsi="Arial"/>
                <w:sz w:val="14"/>
                <w:szCs w:val="14"/>
                <w:b w:val="1"/>
                <w:bCs w:val="1"/>
                <w:color w:val="FFFFFF"/>
              </w:rPr>
              <w:t>1</w:t>
            </w:r>
          </w:p>
        </w:tc>
      </w:tr>
      <w:tr>
        <w:trPr>
          <w:trHeight w:val="250"/>
        </w:trPr>
        <w:tc>
          <w:tcPr>
            <w:tcW w:w="2040" w:type="dxa"/>
            <w:vAlign w:val="bottom"/>
            <w:tcBorders>
              <w:left w:val="single" w:sz="8" w:color="828282"/>
            </w:tcBorders>
          </w:tcPr>
          <w:p>
            <w:pPr>
              <w:ind w:left="40"/>
              <w:spacing w:after="0"/>
              <w:rPr>
                <w:sz w:val="20"/>
                <w:szCs w:val="20"/>
                <w:color w:val="auto"/>
              </w:rPr>
            </w:pPr>
            <w:r>
              <w:rPr>
                <w:rFonts w:ascii="Arial" w:cs="Arial" w:eastAsia="Arial" w:hAnsi="Arial"/>
                <w:sz w:val="18"/>
                <w:szCs w:val="18"/>
                <w:color w:val="666666"/>
              </w:rPr>
              <w:t>Horacio D. Rozanski</w:t>
            </w:r>
          </w:p>
        </w:tc>
        <w:tc>
          <w:tcPr>
            <w:tcW w:w="4660" w:type="dxa"/>
            <w:vAlign w:val="bottom"/>
          </w:tcPr>
          <w:p>
            <w:pPr>
              <w:jc w:val="center"/>
              <w:spacing w:after="0"/>
              <w:rPr>
                <w:sz w:val="20"/>
                <w:szCs w:val="20"/>
                <w:color w:val="auto"/>
              </w:rPr>
            </w:pPr>
            <w:r>
              <w:rPr>
                <w:rFonts w:ascii="Arial" w:cs="Arial" w:eastAsia="Arial" w:hAnsi="Arial"/>
                <w:sz w:val="18"/>
                <w:szCs w:val="18"/>
                <w:color w:val="666666"/>
                <w:w w:val="99"/>
              </w:rPr>
              <w:t>$3,599,978</w:t>
            </w:r>
          </w:p>
        </w:tc>
        <w:tc>
          <w:tcPr>
            <w:tcW w:w="3660" w:type="dxa"/>
            <w:vAlign w:val="bottom"/>
            <w:tcBorders>
              <w:right w:val="single" w:sz="8" w:color="828282"/>
            </w:tcBorders>
          </w:tcPr>
          <w:p>
            <w:pPr>
              <w:jc w:val="center"/>
              <w:ind w:right="110"/>
              <w:spacing w:after="0"/>
              <w:rPr>
                <w:sz w:val="20"/>
                <w:szCs w:val="20"/>
                <w:color w:val="auto"/>
              </w:rPr>
            </w:pPr>
            <w:r>
              <w:rPr>
                <w:rFonts w:ascii="Arial" w:cs="Arial" w:eastAsia="Arial" w:hAnsi="Arial"/>
                <w:sz w:val="18"/>
                <w:szCs w:val="18"/>
                <w:color w:val="666666"/>
                <w:w w:val="99"/>
              </w:rPr>
              <w:t>$1,399,998</w:t>
            </w:r>
          </w:p>
        </w:tc>
      </w:tr>
      <w:tr>
        <w:trPr>
          <w:trHeight w:val="263"/>
        </w:trPr>
        <w:tc>
          <w:tcPr>
            <w:tcW w:w="2040" w:type="dxa"/>
            <w:vAlign w:val="bottom"/>
            <w:tcBorders>
              <w:left w:val="single" w:sz="8" w:color="828282"/>
            </w:tcBorders>
            <w:shd w:val="clear" w:color="auto" w:fill="D9E2F3"/>
          </w:tcPr>
          <w:p>
            <w:pPr>
              <w:ind w:left="40"/>
              <w:spacing w:after="0"/>
              <w:rPr>
                <w:sz w:val="20"/>
                <w:szCs w:val="20"/>
                <w:color w:val="auto"/>
              </w:rPr>
            </w:pPr>
            <w:r>
              <w:rPr>
                <w:rFonts w:ascii="Arial" w:cs="Arial" w:eastAsia="Arial" w:hAnsi="Arial"/>
                <w:sz w:val="18"/>
                <w:szCs w:val="18"/>
                <w:color w:val="666666"/>
              </w:rPr>
              <w:t>Lloyd W. Howell, Jr.</w:t>
            </w:r>
          </w:p>
        </w:tc>
        <w:tc>
          <w:tcPr>
            <w:tcW w:w="4660" w:type="dxa"/>
            <w:vAlign w:val="bottom"/>
            <w:shd w:val="clear" w:color="auto" w:fill="D9E2F3"/>
          </w:tcPr>
          <w:p>
            <w:pPr>
              <w:jc w:val="center"/>
              <w:spacing w:after="0"/>
              <w:rPr>
                <w:sz w:val="20"/>
                <w:szCs w:val="20"/>
                <w:color w:val="auto"/>
              </w:rPr>
            </w:pPr>
            <w:r>
              <w:rPr>
                <w:rFonts w:ascii="Arial" w:cs="Arial" w:eastAsia="Arial" w:hAnsi="Arial"/>
                <w:sz w:val="18"/>
                <w:szCs w:val="18"/>
                <w:color w:val="666666"/>
                <w:w w:val="99"/>
              </w:rPr>
              <w:t>$1,124,993</w:t>
            </w:r>
          </w:p>
        </w:tc>
        <w:tc>
          <w:tcPr>
            <w:tcW w:w="3660" w:type="dxa"/>
            <w:vAlign w:val="bottom"/>
            <w:tcBorders>
              <w:right w:val="single" w:sz="8" w:color="828282"/>
            </w:tcBorders>
            <w:shd w:val="clear" w:color="auto" w:fill="D9E2F3"/>
          </w:tcPr>
          <w:p>
            <w:pPr>
              <w:jc w:val="center"/>
              <w:ind w:right="130"/>
              <w:spacing w:after="0"/>
              <w:rPr>
                <w:sz w:val="20"/>
                <w:szCs w:val="20"/>
                <w:color w:val="auto"/>
              </w:rPr>
            </w:pPr>
            <w:r>
              <w:rPr>
                <w:rFonts w:ascii="Arial" w:cs="Arial" w:eastAsia="Arial" w:hAnsi="Arial"/>
                <w:sz w:val="18"/>
                <w:szCs w:val="18"/>
                <w:color w:val="666666"/>
              </w:rPr>
              <w:t>$749,975</w:t>
            </w:r>
          </w:p>
        </w:tc>
      </w:tr>
      <w:tr>
        <w:trPr>
          <w:trHeight w:val="250"/>
        </w:trPr>
        <w:tc>
          <w:tcPr>
            <w:tcW w:w="2040" w:type="dxa"/>
            <w:vAlign w:val="bottom"/>
            <w:tcBorders>
              <w:left w:val="single" w:sz="8" w:color="828282"/>
            </w:tcBorders>
          </w:tcPr>
          <w:p>
            <w:pPr>
              <w:ind w:left="40"/>
              <w:spacing w:after="0"/>
              <w:rPr>
                <w:sz w:val="20"/>
                <w:szCs w:val="20"/>
                <w:color w:val="auto"/>
              </w:rPr>
            </w:pPr>
            <w:r>
              <w:rPr>
                <w:rFonts w:ascii="Arial" w:cs="Arial" w:eastAsia="Arial" w:hAnsi="Arial"/>
                <w:sz w:val="18"/>
                <w:szCs w:val="18"/>
                <w:color w:val="666666"/>
              </w:rPr>
              <w:t>Karen M. Dahut</w:t>
            </w:r>
          </w:p>
        </w:tc>
        <w:tc>
          <w:tcPr>
            <w:tcW w:w="4660" w:type="dxa"/>
            <w:vAlign w:val="bottom"/>
          </w:tcPr>
          <w:p>
            <w:pPr>
              <w:jc w:val="center"/>
              <w:spacing w:after="0"/>
              <w:rPr>
                <w:sz w:val="20"/>
                <w:szCs w:val="20"/>
                <w:color w:val="auto"/>
              </w:rPr>
            </w:pPr>
            <w:r>
              <w:rPr>
                <w:rFonts w:ascii="Arial" w:cs="Arial" w:eastAsia="Arial" w:hAnsi="Arial"/>
                <w:sz w:val="18"/>
                <w:szCs w:val="18"/>
                <w:color w:val="666666"/>
                <w:w w:val="99"/>
              </w:rPr>
              <w:t>$1,124,993</w:t>
            </w:r>
          </w:p>
        </w:tc>
        <w:tc>
          <w:tcPr>
            <w:tcW w:w="3660" w:type="dxa"/>
            <w:vAlign w:val="bottom"/>
            <w:tcBorders>
              <w:right w:val="single" w:sz="8" w:color="828282"/>
            </w:tcBorders>
          </w:tcPr>
          <w:p>
            <w:pPr>
              <w:jc w:val="center"/>
              <w:ind w:right="130"/>
              <w:spacing w:after="0"/>
              <w:rPr>
                <w:sz w:val="20"/>
                <w:szCs w:val="20"/>
                <w:color w:val="auto"/>
              </w:rPr>
            </w:pPr>
            <w:r>
              <w:rPr>
                <w:rFonts w:ascii="Arial" w:cs="Arial" w:eastAsia="Arial" w:hAnsi="Arial"/>
                <w:sz w:val="18"/>
                <w:szCs w:val="18"/>
                <w:color w:val="666666"/>
              </w:rPr>
              <w:t>$749,975</w:t>
            </w:r>
          </w:p>
        </w:tc>
      </w:tr>
      <w:tr>
        <w:trPr>
          <w:trHeight w:val="263"/>
        </w:trPr>
        <w:tc>
          <w:tcPr>
            <w:tcW w:w="2040" w:type="dxa"/>
            <w:vAlign w:val="bottom"/>
            <w:tcBorders>
              <w:left w:val="single" w:sz="8" w:color="828282"/>
            </w:tcBorders>
            <w:shd w:val="clear" w:color="auto" w:fill="D9E2F3"/>
          </w:tcPr>
          <w:p>
            <w:pPr>
              <w:ind w:left="40"/>
              <w:spacing w:after="0"/>
              <w:rPr>
                <w:sz w:val="20"/>
                <w:szCs w:val="20"/>
                <w:color w:val="auto"/>
              </w:rPr>
            </w:pPr>
            <w:r>
              <w:rPr>
                <w:rFonts w:ascii="Arial" w:cs="Arial" w:eastAsia="Arial" w:hAnsi="Arial"/>
                <w:sz w:val="18"/>
                <w:szCs w:val="18"/>
                <w:color w:val="666666"/>
              </w:rPr>
              <w:t>Nancy J. Laben</w:t>
            </w:r>
          </w:p>
        </w:tc>
        <w:tc>
          <w:tcPr>
            <w:tcW w:w="4660" w:type="dxa"/>
            <w:vAlign w:val="bottom"/>
            <w:shd w:val="clear" w:color="auto" w:fill="D9E2F3"/>
          </w:tcPr>
          <w:p>
            <w:pPr>
              <w:jc w:val="center"/>
              <w:spacing w:after="0"/>
              <w:rPr>
                <w:sz w:val="20"/>
                <w:szCs w:val="20"/>
                <w:color w:val="auto"/>
              </w:rPr>
            </w:pPr>
            <w:r>
              <w:rPr>
                <w:rFonts w:ascii="Arial" w:cs="Arial" w:eastAsia="Arial" w:hAnsi="Arial"/>
                <w:sz w:val="18"/>
                <w:szCs w:val="18"/>
                <w:color w:val="666666"/>
              </w:rPr>
              <w:t>$584,984</w:t>
            </w:r>
          </w:p>
        </w:tc>
        <w:tc>
          <w:tcPr>
            <w:tcW w:w="3660" w:type="dxa"/>
            <w:vAlign w:val="bottom"/>
            <w:tcBorders>
              <w:right w:val="single" w:sz="8" w:color="828282"/>
            </w:tcBorders>
            <w:shd w:val="clear" w:color="auto" w:fill="D9E2F3"/>
          </w:tcPr>
          <w:p>
            <w:pPr>
              <w:jc w:val="center"/>
              <w:ind w:right="130"/>
              <w:spacing w:after="0"/>
              <w:rPr>
                <w:sz w:val="20"/>
                <w:szCs w:val="20"/>
                <w:color w:val="auto"/>
              </w:rPr>
            </w:pPr>
            <w:r>
              <w:rPr>
                <w:rFonts w:ascii="Arial" w:cs="Arial" w:eastAsia="Arial" w:hAnsi="Arial"/>
                <w:sz w:val="18"/>
                <w:szCs w:val="18"/>
                <w:color w:val="666666"/>
              </w:rPr>
              <w:t>$389,989</w:t>
            </w:r>
          </w:p>
        </w:tc>
      </w:tr>
      <w:tr>
        <w:trPr>
          <w:trHeight w:val="250"/>
        </w:trPr>
        <w:tc>
          <w:tcPr>
            <w:tcW w:w="2040" w:type="dxa"/>
            <w:vAlign w:val="bottom"/>
            <w:tcBorders>
              <w:left w:val="single" w:sz="8" w:color="828282"/>
              <w:bottom w:val="single" w:sz="8" w:color="828282"/>
            </w:tcBorders>
          </w:tcPr>
          <w:p>
            <w:pPr>
              <w:ind w:left="40"/>
              <w:spacing w:after="0"/>
              <w:rPr>
                <w:sz w:val="20"/>
                <w:szCs w:val="20"/>
                <w:color w:val="auto"/>
              </w:rPr>
            </w:pPr>
            <w:r>
              <w:rPr>
                <w:rFonts w:ascii="Arial" w:cs="Arial" w:eastAsia="Arial" w:hAnsi="Arial"/>
                <w:sz w:val="18"/>
                <w:szCs w:val="18"/>
                <w:color w:val="666666"/>
              </w:rPr>
              <w:t>Susan L. Penfield</w:t>
            </w:r>
          </w:p>
        </w:tc>
        <w:tc>
          <w:tcPr>
            <w:tcW w:w="4660" w:type="dxa"/>
            <w:vAlign w:val="bottom"/>
            <w:tcBorders>
              <w:bottom w:val="single" w:sz="8" w:color="828282"/>
            </w:tcBorders>
          </w:tcPr>
          <w:p>
            <w:pPr>
              <w:jc w:val="center"/>
              <w:spacing w:after="0"/>
              <w:rPr>
                <w:sz w:val="20"/>
                <w:szCs w:val="20"/>
                <w:color w:val="auto"/>
              </w:rPr>
            </w:pPr>
            <w:r>
              <w:rPr>
                <w:rFonts w:ascii="Arial" w:cs="Arial" w:eastAsia="Arial" w:hAnsi="Arial"/>
                <w:sz w:val="18"/>
                <w:szCs w:val="18"/>
                <w:color w:val="666666"/>
              </w:rPr>
              <w:t>$524,976</w:t>
            </w:r>
          </w:p>
        </w:tc>
        <w:tc>
          <w:tcPr>
            <w:tcW w:w="3660" w:type="dxa"/>
            <w:vAlign w:val="bottom"/>
            <w:tcBorders>
              <w:bottom w:val="single" w:sz="8" w:color="828282"/>
              <w:right w:val="single" w:sz="8" w:color="828282"/>
            </w:tcBorders>
          </w:tcPr>
          <w:p>
            <w:pPr>
              <w:jc w:val="center"/>
              <w:ind w:right="130"/>
              <w:spacing w:after="0"/>
              <w:rPr>
                <w:sz w:val="20"/>
                <w:szCs w:val="20"/>
                <w:color w:val="auto"/>
              </w:rPr>
            </w:pPr>
            <w:r>
              <w:rPr>
                <w:rFonts w:ascii="Arial" w:cs="Arial" w:eastAsia="Arial" w:hAnsi="Arial"/>
                <w:sz w:val="18"/>
                <w:szCs w:val="18"/>
                <w:color w:val="666666"/>
              </w:rPr>
              <w:t>$349,984</w:t>
            </w:r>
          </w:p>
        </w:tc>
      </w:tr>
    </w:tbl>
    <w:p>
      <w:pPr>
        <w:spacing w:after="0" w:line="2" w:lineRule="exact"/>
        <w:rPr>
          <w:sz w:val="20"/>
          <w:szCs w:val="20"/>
          <w:color w:val="auto"/>
        </w:rPr>
      </w:pPr>
    </w:p>
    <w:p>
      <w:pPr>
        <w:ind w:left="380"/>
        <w:spacing w:after="0"/>
        <w:rPr>
          <w:sz w:val="20"/>
          <w:szCs w:val="20"/>
          <w:color w:val="auto"/>
        </w:rPr>
      </w:pPr>
      <w:r>
        <w:rPr>
          <w:rFonts w:ascii="Arial" w:cs="Arial" w:eastAsia="Arial" w:hAnsi="Arial"/>
          <w:sz w:val="16"/>
          <w:szCs w:val="16"/>
          <w:color w:val="666666"/>
        </w:rPr>
        <w:t>(1) Grant date fair value of equity issued under the fiscal year 2020 executive annual compensation structure.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4F7CBA"/>
        </w:rPr>
        <w:t>Fiscal Year 2018 Performance-Based RSU Awards</w:t>
      </w:r>
    </w:p>
    <w:p>
      <w:pPr>
        <w:spacing w:after="0" w:line="249"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In May 2020, the Compensation Committee reviewed and certified the Cumulative ADEPS and Cumulative VAR performance results of the 2018-2020 performance period applicable to the performance-based RSU awards granted in May 2017 against the targets set at the beginning of the three-year period. Based on this assessment, the Compensation Committee approved a final payout percentage for the 2018-2020 performance-based RSU awards of 190% of target, with actual results and threshold, target and maximums presented below.</w:t>
      </w:r>
    </w:p>
    <w:p>
      <w:pPr>
        <w:spacing w:after="0" w:line="111" w:lineRule="exact"/>
        <w:rPr>
          <w:sz w:val="20"/>
          <w:szCs w:val="20"/>
          <w:color w:val="auto"/>
        </w:rPr>
      </w:pPr>
    </w:p>
    <w:tbl>
      <w:tblPr>
        <w:tblLayout w:type="fixed"/>
        <w:tblInd w:w="270" w:type="dxa"/>
        <w:tblCellMar>
          <w:top w:w="0" w:type="dxa"/>
          <w:left w:w="0" w:type="dxa"/>
          <w:bottom w:w="0" w:type="dxa"/>
          <w:right w:w="0" w:type="dxa"/>
        </w:tblCellMar>
      </w:tblPr>
      <w:tr>
        <w:trPr>
          <w:trHeight w:val="220"/>
        </w:trPr>
        <w:tc>
          <w:tcPr>
            <w:tcW w:w="1700" w:type="dxa"/>
            <w:vAlign w:val="bottom"/>
            <w:tcBorders>
              <w:top w:val="single" w:sz="8" w:color="828282"/>
              <w:left w:val="single" w:sz="8" w:color="828282"/>
            </w:tcBorders>
            <w:shd w:val="clear" w:color="auto" w:fill="4472C4"/>
          </w:tcPr>
          <w:p>
            <w:pPr>
              <w:ind w:left="320"/>
              <w:spacing w:after="0"/>
              <w:rPr>
                <w:sz w:val="20"/>
                <w:szCs w:val="20"/>
                <w:color w:val="auto"/>
              </w:rPr>
            </w:pPr>
            <w:r>
              <w:rPr>
                <w:rFonts w:ascii="Arial" w:cs="Arial" w:eastAsia="Arial" w:hAnsi="Arial"/>
                <w:sz w:val="18"/>
                <w:szCs w:val="18"/>
                <w:b w:val="1"/>
                <w:bCs w:val="1"/>
                <w:color w:val="FFFFFF"/>
              </w:rPr>
              <w:t>Performance</w:t>
            </w:r>
          </w:p>
        </w:tc>
        <w:tc>
          <w:tcPr>
            <w:tcW w:w="1200" w:type="dxa"/>
            <w:vAlign w:val="bottom"/>
            <w:tcBorders>
              <w:top w:val="single" w:sz="8" w:color="828282"/>
            </w:tcBorders>
            <w:vMerge w:val="restart"/>
            <w:shd w:val="clear" w:color="auto" w:fill="4472C4"/>
          </w:tcPr>
          <w:p>
            <w:pPr>
              <w:jc w:val="center"/>
              <w:spacing w:after="0"/>
              <w:rPr>
                <w:sz w:val="20"/>
                <w:szCs w:val="20"/>
                <w:color w:val="auto"/>
              </w:rPr>
            </w:pPr>
            <w:r>
              <w:rPr>
                <w:rFonts w:ascii="Arial" w:cs="Arial" w:eastAsia="Arial" w:hAnsi="Arial"/>
                <w:sz w:val="18"/>
                <w:szCs w:val="18"/>
                <w:b w:val="1"/>
                <w:bCs w:val="1"/>
                <w:color w:val="FFFFFF"/>
              </w:rPr>
              <w:t>Weighting</w:t>
            </w:r>
          </w:p>
        </w:tc>
        <w:tc>
          <w:tcPr>
            <w:tcW w:w="1320" w:type="dxa"/>
            <w:vAlign w:val="bottom"/>
            <w:tcBorders>
              <w:top w:val="single" w:sz="8" w:color="828282"/>
            </w:tcBorders>
            <w:shd w:val="clear" w:color="auto" w:fill="4472C4"/>
          </w:tcPr>
          <w:p>
            <w:pPr>
              <w:jc w:val="center"/>
              <w:spacing w:after="0"/>
              <w:rPr>
                <w:sz w:val="20"/>
                <w:szCs w:val="20"/>
                <w:color w:val="auto"/>
              </w:rPr>
            </w:pPr>
            <w:r>
              <w:rPr>
                <w:rFonts w:ascii="Arial" w:cs="Arial" w:eastAsia="Arial" w:hAnsi="Arial"/>
                <w:sz w:val="18"/>
                <w:szCs w:val="18"/>
                <w:b w:val="1"/>
                <w:bCs w:val="1"/>
                <w:color w:val="FFFFFF"/>
              </w:rPr>
              <w:t>Threshold</w:t>
            </w:r>
          </w:p>
        </w:tc>
        <w:tc>
          <w:tcPr>
            <w:tcW w:w="1340" w:type="dxa"/>
            <w:vAlign w:val="bottom"/>
            <w:tcBorders>
              <w:top w:val="single" w:sz="8" w:color="828282"/>
            </w:tcBorders>
            <w:shd w:val="clear" w:color="auto" w:fill="4472C4"/>
          </w:tcPr>
          <w:p>
            <w:pPr>
              <w:jc w:val="center"/>
              <w:spacing w:after="0"/>
              <w:rPr>
                <w:sz w:val="20"/>
                <w:szCs w:val="20"/>
                <w:color w:val="auto"/>
              </w:rPr>
            </w:pPr>
            <w:r>
              <w:rPr>
                <w:rFonts w:ascii="Arial" w:cs="Arial" w:eastAsia="Arial" w:hAnsi="Arial"/>
                <w:sz w:val="18"/>
                <w:szCs w:val="18"/>
                <w:b w:val="1"/>
                <w:bCs w:val="1"/>
                <w:color w:val="FFFFFF"/>
                <w:w w:val="98"/>
              </w:rPr>
              <w:t>Target 100%</w:t>
            </w:r>
          </w:p>
        </w:tc>
        <w:tc>
          <w:tcPr>
            <w:tcW w:w="1600" w:type="dxa"/>
            <w:vAlign w:val="bottom"/>
            <w:tcBorders>
              <w:top w:val="single" w:sz="8" w:color="828282"/>
            </w:tcBorders>
            <w:shd w:val="clear" w:color="auto" w:fill="4472C4"/>
          </w:tcPr>
          <w:p>
            <w:pPr>
              <w:jc w:val="center"/>
              <w:spacing w:after="0"/>
              <w:rPr>
                <w:sz w:val="20"/>
                <w:szCs w:val="20"/>
                <w:color w:val="auto"/>
              </w:rPr>
            </w:pPr>
            <w:r>
              <w:rPr>
                <w:rFonts w:ascii="Arial" w:cs="Arial" w:eastAsia="Arial" w:hAnsi="Arial"/>
                <w:sz w:val="18"/>
                <w:szCs w:val="18"/>
                <w:b w:val="1"/>
                <w:bCs w:val="1"/>
                <w:color w:val="FFFFFF"/>
                <w:w w:val="99"/>
              </w:rPr>
              <w:t>Maximum 200%</w:t>
            </w:r>
          </w:p>
        </w:tc>
        <w:tc>
          <w:tcPr>
            <w:tcW w:w="1100" w:type="dxa"/>
            <w:vAlign w:val="bottom"/>
            <w:tcBorders>
              <w:top w:val="single" w:sz="8" w:color="828282"/>
            </w:tcBorders>
            <w:vMerge w:val="restart"/>
            <w:shd w:val="clear" w:color="auto" w:fill="4472C4"/>
          </w:tcPr>
          <w:p>
            <w:pPr>
              <w:ind w:left="160"/>
              <w:spacing w:after="0"/>
              <w:rPr>
                <w:sz w:val="20"/>
                <w:szCs w:val="20"/>
                <w:color w:val="auto"/>
              </w:rPr>
            </w:pPr>
            <w:r>
              <w:rPr>
                <w:rFonts w:ascii="Arial" w:cs="Arial" w:eastAsia="Arial" w:hAnsi="Arial"/>
                <w:sz w:val="18"/>
                <w:szCs w:val="18"/>
                <w:b w:val="1"/>
                <w:bCs w:val="1"/>
                <w:color w:val="FFFFFF"/>
              </w:rPr>
              <w:t xml:space="preserve">Actual </w:t>
            </w:r>
            <w:r>
              <w:rPr>
                <w:rFonts w:ascii="Arial" w:cs="Arial" w:eastAsia="Arial" w:hAnsi="Arial"/>
                <w:sz w:val="14"/>
                <w:szCs w:val="14"/>
                <w:b w:val="1"/>
                <w:bCs w:val="1"/>
                <w:color w:val="FFFFFF"/>
              </w:rPr>
              <w:t>1</w:t>
            </w:r>
          </w:p>
        </w:tc>
        <w:tc>
          <w:tcPr>
            <w:tcW w:w="1360" w:type="dxa"/>
            <w:vAlign w:val="bottom"/>
            <w:tcBorders>
              <w:top w:val="single" w:sz="8" w:color="828282"/>
            </w:tcBorders>
            <w:shd w:val="clear" w:color="auto" w:fill="4472C4"/>
          </w:tcPr>
          <w:p>
            <w:pPr>
              <w:jc w:val="center"/>
              <w:spacing w:after="0"/>
              <w:rPr>
                <w:sz w:val="20"/>
                <w:szCs w:val="20"/>
                <w:color w:val="auto"/>
              </w:rPr>
            </w:pPr>
            <w:r>
              <w:rPr>
                <w:rFonts w:ascii="Arial" w:cs="Arial" w:eastAsia="Arial" w:hAnsi="Arial"/>
                <w:sz w:val="18"/>
                <w:szCs w:val="18"/>
                <w:b w:val="1"/>
                <w:bCs w:val="1"/>
                <w:color w:val="FFFFFF"/>
                <w:w w:val="97"/>
              </w:rPr>
              <w:t>% of Target</w:t>
            </w:r>
          </w:p>
        </w:tc>
        <w:tc>
          <w:tcPr>
            <w:tcW w:w="1140" w:type="dxa"/>
            <w:vAlign w:val="bottom"/>
            <w:tcBorders>
              <w:top w:val="single" w:sz="8" w:color="828282"/>
              <w:right w:val="single" w:sz="8" w:color="828282"/>
            </w:tcBorders>
            <w:shd w:val="clear" w:color="auto" w:fill="4472C4"/>
          </w:tcPr>
          <w:p>
            <w:pPr>
              <w:jc w:val="center"/>
              <w:ind w:right="10"/>
              <w:spacing w:after="0"/>
              <w:rPr>
                <w:sz w:val="20"/>
                <w:szCs w:val="20"/>
                <w:color w:val="auto"/>
              </w:rPr>
            </w:pPr>
            <w:r>
              <w:rPr>
                <w:rFonts w:ascii="Arial" w:cs="Arial" w:eastAsia="Arial" w:hAnsi="Arial"/>
                <w:sz w:val="18"/>
                <w:szCs w:val="18"/>
                <w:b w:val="1"/>
                <w:bCs w:val="1"/>
                <w:color w:val="FFFFFF"/>
                <w:w w:val="99"/>
              </w:rPr>
              <w:t>Payout</w:t>
            </w:r>
          </w:p>
        </w:tc>
        <w:tc>
          <w:tcPr>
            <w:tcW w:w="0" w:type="dxa"/>
            <w:vAlign w:val="bottom"/>
          </w:tcPr>
          <w:p>
            <w:pPr>
              <w:spacing w:after="0"/>
              <w:rPr>
                <w:sz w:val="1"/>
                <w:szCs w:val="1"/>
                <w:color w:val="auto"/>
              </w:rPr>
            </w:pPr>
          </w:p>
        </w:tc>
      </w:tr>
      <w:tr>
        <w:trPr>
          <w:trHeight w:val="131"/>
        </w:trPr>
        <w:tc>
          <w:tcPr>
            <w:tcW w:w="1700" w:type="dxa"/>
            <w:vAlign w:val="bottom"/>
            <w:tcBorders>
              <w:left w:val="single" w:sz="8" w:color="828282"/>
            </w:tcBorders>
            <w:vMerge w:val="restart"/>
            <w:shd w:val="clear" w:color="auto" w:fill="4472C4"/>
          </w:tcPr>
          <w:p>
            <w:pPr>
              <w:ind w:left="460"/>
              <w:spacing w:after="0"/>
              <w:rPr>
                <w:sz w:val="20"/>
                <w:szCs w:val="20"/>
                <w:color w:val="auto"/>
              </w:rPr>
            </w:pPr>
            <w:r>
              <w:rPr>
                <w:rFonts w:ascii="Arial" w:cs="Arial" w:eastAsia="Arial" w:hAnsi="Arial"/>
                <w:sz w:val="18"/>
                <w:szCs w:val="18"/>
                <w:b w:val="1"/>
                <w:bCs w:val="1"/>
                <w:color w:val="FFFFFF"/>
              </w:rPr>
              <w:t>Measures</w:t>
            </w:r>
          </w:p>
        </w:tc>
        <w:tc>
          <w:tcPr>
            <w:tcW w:w="1200" w:type="dxa"/>
            <w:vAlign w:val="bottom"/>
            <w:vMerge w:val="continue"/>
            <w:shd w:val="clear" w:color="auto" w:fill="4472C4"/>
          </w:tcPr>
          <w:p>
            <w:pPr>
              <w:spacing w:after="0"/>
              <w:rPr>
                <w:sz w:val="11"/>
                <w:szCs w:val="11"/>
                <w:color w:val="auto"/>
              </w:rPr>
            </w:pPr>
          </w:p>
        </w:tc>
        <w:tc>
          <w:tcPr>
            <w:tcW w:w="1320" w:type="dxa"/>
            <w:vAlign w:val="bottom"/>
            <w:vMerge w:val="restart"/>
            <w:shd w:val="clear" w:color="auto" w:fill="4472C4"/>
          </w:tcPr>
          <w:p>
            <w:pPr>
              <w:jc w:val="center"/>
              <w:spacing w:after="0"/>
              <w:rPr>
                <w:sz w:val="20"/>
                <w:szCs w:val="20"/>
                <w:color w:val="auto"/>
              </w:rPr>
            </w:pPr>
            <w:r>
              <w:rPr>
                <w:rFonts w:ascii="Arial" w:cs="Arial" w:eastAsia="Arial" w:hAnsi="Arial"/>
                <w:sz w:val="18"/>
                <w:szCs w:val="18"/>
                <w:b w:val="1"/>
                <w:bCs w:val="1"/>
                <w:color w:val="FFFFFF"/>
                <w:w w:val="98"/>
              </w:rPr>
              <w:t>25% Payout</w:t>
            </w:r>
          </w:p>
        </w:tc>
        <w:tc>
          <w:tcPr>
            <w:tcW w:w="1340" w:type="dxa"/>
            <w:vAlign w:val="bottom"/>
            <w:vMerge w:val="restart"/>
            <w:shd w:val="clear" w:color="auto" w:fill="4472C4"/>
          </w:tcPr>
          <w:p>
            <w:pPr>
              <w:jc w:val="center"/>
              <w:spacing w:after="0"/>
              <w:rPr>
                <w:sz w:val="20"/>
                <w:szCs w:val="20"/>
                <w:color w:val="auto"/>
              </w:rPr>
            </w:pPr>
            <w:r>
              <w:rPr>
                <w:rFonts w:ascii="Arial" w:cs="Arial" w:eastAsia="Arial" w:hAnsi="Arial"/>
                <w:sz w:val="18"/>
                <w:szCs w:val="18"/>
                <w:b w:val="1"/>
                <w:bCs w:val="1"/>
                <w:color w:val="FFFFFF"/>
                <w:w w:val="99"/>
              </w:rPr>
              <w:t>Payout</w:t>
            </w:r>
          </w:p>
        </w:tc>
        <w:tc>
          <w:tcPr>
            <w:tcW w:w="1600" w:type="dxa"/>
            <w:vAlign w:val="bottom"/>
            <w:vMerge w:val="restart"/>
            <w:shd w:val="clear" w:color="auto" w:fill="4472C4"/>
          </w:tcPr>
          <w:p>
            <w:pPr>
              <w:jc w:val="center"/>
              <w:spacing w:after="0"/>
              <w:rPr>
                <w:sz w:val="20"/>
                <w:szCs w:val="20"/>
                <w:color w:val="auto"/>
              </w:rPr>
            </w:pPr>
            <w:r>
              <w:rPr>
                <w:rFonts w:ascii="Arial" w:cs="Arial" w:eastAsia="Arial" w:hAnsi="Arial"/>
                <w:sz w:val="18"/>
                <w:szCs w:val="18"/>
                <w:b w:val="1"/>
                <w:bCs w:val="1"/>
                <w:color w:val="FFFFFF"/>
                <w:w w:val="99"/>
              </w:rPr>
              <w:t>Payout</w:t>
            </w:r>
          </w:p>
        </w:tc>
        <w:tc>
          <w:tcPr>
            <w:tcW w:w="1100" w:type="dxa"/>
            <w:vAlign w:val="bottom"/>
            <w:vMerge w:val="continue"/>
            <w:shd w:val="clear" w:color="auto" w:fill="4472C4"/>
          </w:tcPr>
          <w:p>
            <w:pPr>
              <w:spacing w:after="0"/>
              <w:rPr>
                <w:sz w:val="11"/>
                <w:szCs w:val="11"/>
                <w:color w:val="auto"/>
              </w:rPr>
            </w:pPr>
          </w:p>
        </w:tc>
        <w:tc>
          <w:tcPr>
            <w:tcW w:w="1360" w:type="dxa"/>
            <w:vAlign w:val="bottom"/>
            <w:vMerge w:val="restart"/>
            <w:shd w:val="clear" w:color="auto" w:fill="4472C4"/>
          </w:tcPr>
          <w:p>
            <w:pPr>
              <w:jc w:val="center"/>
              <w:spacing w:after="0"/>
              <w:rPr>
                <w:sz w:val="20"/>
                <w:szCs w:val="20"/>
                <w:color w:val="auto"/>
              </w:rPr>
            </w:pPr>
            <w:r>
              <w:rPr>
                <w:rFonts w:ascii="Arial" w:cs="Arial" w:eastAsia="Arial" w:hAnsi="Arial"/>
                <w:sz w:val="18"/>
                <w:szCs w:val="18"/>
                <w:b w:val="1"/>
                <w:bCs w:val="1"/>
                <w:color w:val="FFFFFF"/>
                <w:w w:val="99"/>
              </w:rPr>
              <w:t>Achieved</w:t>
            </w:r>
          </w:p>
        </w:tc>
        <w:tc>
          <w:tcPr>
            <w:tcW w:w="1140" w:type="dxa"/>
            <w:vAlign w:val="bottom"/>
            <w:tcBorders>
              <w:right w:val="single" w:sz="8" w:color="828282"/>
            </w:tcBorders>
            <w:vMerge w:val="restart"/>
            <w:shd w:val="clear" w:color="auto" w:fill="4472C4"/>
          </w:tcPr>
          <w:p>
            <w:pPr>
              <w:jc w:val="center"/>
              <w:ind w:right="10"/>
              <w:spacing w:after="0"/>
              <w:rPr>
                <w:sz w:val="20"/>
                <w:szCs w:val="20"/>
                <w:color w:val="auto"/>
              </w:rPr>
            </w:pPr>
            <w:r>
              <w:rPr>
                <w:rFonts w:ascii="Arial" w:cs="Arial" w:eastAsia="Arial" w:hAnsi="Arial"/>
                <w:sz w:val="18"/>
                <w:szCs w:val="18"/>
                <w:b w:val="1"/>
                <w:bCs w:val="1"/>
                <w:color w:val="FFFFFF"/>
              </w:rPr>
              <w:t>Factor</w:t>
            </w:r>
          </w:p>
        </w:tc>
        <w:tc>
          <w:tcPr>
            <w:tcW w:w="0" w:type="dxa"/>
            <w:vAlign w:val="bottom"/>
          </w:tcPr>
          <w:p>
            <w:pPr>
              <w:spacing w:after="0"/>
              <w:rPr>
                <w:sz w:val="1"/>
                <w:szCs w:val="1"/>
                <w:color w:val="auto"/>
              </w:rPr>
            </w:pPr>
          </w:p>
        </w:tc>
      </w:tr>
      <w:tr>
        <w:trPr>
          <w:trHeight w:val="121"/>
        </w:trPr>
        <w:tc>
          <w:tcPr>
            <w:tcW w:w="1700" w:type="dxa"/>
            <w:vAlign w:val="bottom"/>
            <w:tcBorders>
              <w:left w:val="single" w:sz="8" w:color="828282"/>
            </w:tcBorders>
            <w:vMerge w:val="continue"/>
            <w:shd w:val="clear" w:color="auto" w:fill="4472C4"/>
          </w:tcPr>
          <w:p>
            <w:pPr>
              <w:spacing w:after="0"/>
              <w:rPr>
                <w:sz w:val="10"/>
                <w:szCs w:val="10"/>
                <w:color w:val="auto"/>
              </w:rPr>
            </w:pPr>
          </w:p>
        </w:tc>
        <w:tc>
          <w:tcPr>
            <w:tcW w:w="1200" w:type="dxa"/>
            <w:vAlign w:val="bottom"/>
            <w:shd w:val="clear" w:color="auto" w:fill="4472C4"/>
          </w:tcPr>
          <w:p>
            <w:pPr>
              <w:spacing w:after="0"/>
              <w:rPr>
                <w:sz w:val="10"/>
                <w:szCs w:val="10"/>
                <w:color w:val="auto"/>
              </w:rPr>
            </w:pPr>
          </w:p>
        </w:tc>
        <w:tc>
          <w:tcPr>
            <w:tcW w:w="1320" w:type="dxa"/>
            <w:vAlign w:val="bottom"/>
            <w:vMerge w:val="continue"/>
            <w:shd w:val="clear" w:color="auto" w:fill="4472C4"/>
          </w:tcPr>
          <w:p>
            <w:pPr>
              <w:spacing w:after="0"/>
              <w:rPr>
                <w:sz w:val="10"/>
                <w:szCs w:val="10"/>
                <w:color w:val="auto"/>
              </w:rPr>
            </w:pPr>
          </w:p>
        </w:tc>
        <w:tc>
          <w:tcPr>
            <w:tcW w:w="1340" w:type="dxa"/>
            <w:vAlign w:val="bottom"/>
            <w:vMerge w:val="continue"/>
            <w:shd w:val="clear" w:color="auto" w:fill="4472C4"/>
          </w:tcPr>
          <w:p>
            <w:pPr>
              <w:spacing w:after="0"/>
              <w:rPr>
                <w:sz w:val="10"/>
                <w:szCs w:val="10"/>
                <w:color w:val="auto"/>
              </w:rPr>
            </w:pPr>
          </w:p>
        </w:tc>
        <w:tc>
          <w:tcPr>
            <w:tcW w:w="1600" w:type="dxa"/>
            <w:vAlign w:val="bottom"/>
            <w:vMerge w:val="continue"/>
            <w:shd w:val="clear" w:color="auto" w:fill="4472C4"/>
          </w:tcPr>
          <w:p>
            <w:pPr>
              <w:spacing w:after="0"/>
              <w:rPr>
                <w:sz w:val="10"/>
                <w:szCs w:val="10"/>
                <w:color w:val="auto"/>
              </w:rPr>
            </w:pPr>
          </w:p>
        </w:tc>
        <w:tc>
          <w:tcPr>
            <w:tcW w:w="1100" w:type="dxa"/>
            <w:vAlign w:val="bottom"/>
            <w:shd w:val="clear" w:color="auto" w:fill="4472C4"/>
          </w:tcPr>
          <w:p>
            <w:pPr>
              <w:spacing w:after="0"/>
              <w:rPr>
                <w:sz w:val="10"/>
                <w:szCs w:val="10"/>
                <w:color w:val="auto"/>
              </w:rPr>
            </w:pPr>
          </w:p>
        </w:tc>
        <w:tc>
          <w:tcPr>
            <w:tcW w:w="1360" w:type="dxa"/>
            <w:vAlign w:val="bottom"/>
            <w:vMerge w:val="continue"/>
            <w:shd w:val="clear" w:color="auto" w:fill="4472C4"/>
          </w:tcPr>
          <w:p>
            <w:pPr>
              <w:spacing w:after="0"/>
              <w:rPr>
                <w:sz w:val="10"/>
                <w:szCs w:val="10"/>
                <w:color w:val="auto"/>
              </w:rPr>
            </w:pPr>
          </w:p>
        </w:tc>
        <w:tc>
          <w:tcPr>
            <w:tcW w:w="1140" w:type="dxa"/>
            <w:vAlign w:val="bottom"/>
            <w:tcBorders>
              <w:right w:val="single" w:sz="8" w:color="828282"/>
            </w:tcBorders>
            <w:vMerge w:val="continue"/>
            <w:shd w:val="clear" w:color="auto" w:fill="4472C4"/>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700" w:type="dxa"/>
            <w:vAlign w:val="bottom"/>
            <w:tcBorders>
              <w:left w:val="single" w:sz="8" w:color="828282"/>
            </w:tcBorders>
          </w:tcPr>
          <w:p>
            <w:pPr>
              <w:ind w:left="40"/>
              <w:spacing w:after="0"/>
              <w:rPr>
                <w:sz w:val="20"/>
                <w:szCs w:val="20"/>
                <w:color w:val="auto"/>
              </w:rPr>
            </w:pPr>
            <w:r>
              <w:rPr>
                <w:rFonts w:ascii="Arial" w:cs="Arial" w:eastAsia="Arial" w:hAnsi="Arial"/>
                <w:sz w:val="18"/>
                <w:szCs w:val="18"/>
                <w:color w:val="666666"/>
              </w:rPr>
              <w:t>Cumulative Three-</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666666"/>
                <w:w w:val="99"/>
              </w:rPr>
              <w:t>75%</w:t>
            </w:r>
          </w:p>
        </w:tc>
        <w:tc>
          <w:tcPr>
            <w:tcW w:w="1320" w:type="dxa"/>
            <w:vAlign w:val="bottom"/>
            <w:vMerge w:val="restart"/>
          </w:tcPr>
          <w:p>
            <w:pPr>
              <w:jc w:val="right"/>
              <w:ind w:right="350"/>
              <w:spacing w:after="0"/>
              <w:rPr>
                <w:sz w:val="20"/>
                <w:szCs w:val="20"/>
                <w:color w:val="auto"/>
              </w:rPr>
            </w:pPr>
            <w:r>
              <w:rPr>
                <w:rFonts w:ascii="Arial" w:cs="Arial" w:eastAsia="Arial" w:hAnsi="Arial"/>
                <w:sz w:val="18"/>
                <w:szCs w:val="18"/>
                <w:color w:val="666666"/>
              </w:rPr>
              <w:t>$4.90</w:t>
            </w:r>
          </w:p>
        </w:tc>
        <w:tc>
          <w:tcPr>
            <w:tcW w:w="1340" w:type="dxa"/>
            <w:vAlign w:val="bottom"/>
            <w:vMerge w:val="restart"/>
          </w:tcPr>
          <w:p>
            <w:pPr>
              <w:jc w:val="right"/>
              <w:ind w:right="330"/>
              <w:spacing w:after="0"/>
              <w:rPr>
                <w:sz w:val="20"/>
                <w:szCs w:val="20"/>
                <w:color w:val="auto"/>
              </w:rPr>
            </w:pPr>
            <w:r>
              <w:rPr>
                <w:rFonts w:ascii="Arial" w:cs="Arial" w:eastAsia="Arial" w:hAnsi="Arial"/>
                <w:sz w:val="18"/>
                <w:szCs w:val="18"/>
                <w:color w:val="666666"/>
              </w:rPr>
              <w:t>$5.76</w:t>
            </w:r>
          </w:p>
        </w:tc>
        <w:tc>
          <w:tcPr>
            <w:tcW w:w="1600" w:type="dxa"/>
            <w:vAlign w:val="bottom"/>
            <w:vMerge w:val="restart"/>
          </w:tcPr>
          <w:p>
            <w:pPr>
              <w:jc w:val="right"/>
              <w:ind w:right="490"/>
              <w:spacing w:after="0"/>
              <w:rPr>
                <w:sz w:val="20"/>
                <w:szCs w:val="20"/>
                <w:color w:val="auto"/>
              </w:rPr>
            </w:pPr>
            <w:r>
              <w:rPr>
                <w:rFonts w:ascii="Arial" w:cs="Arial" w:eastAsia="Arial" w:hAnsi="Arial"/>
                <w:sz w:val="18"/>
                <w:szCs w:val="18"/>
                <w:color w:val="666666"/>
              </w:rPr>
              <w:t>$6.34</w:t>
            </w:r>
          </w:p>
        </w:tc>
        <w:tc>
          <w:tcPr>
            <w:tcW w:w="1100" w:type="dxa"/>
            <w:vAlign w:val="bottom"/>
            <w:vMerge w:val="restart"/>
          </w:tcPr>
          <w:p>
            <w:pPr>
              <w:jc w:val="right"/>
              <w:ind w:right="250"/>
              <w:spacing w:after="0"/>
              <w:rPr>
                <w:sz w:val="20"/>
                <w:szCs w:val="20"/>
                <w:color w:val="auto"/>
              </w:rPr>
            </w:pPr>
            <w:r>
              <w:rPr>
                <w:rFonts w:ascii="Arial" w:cs="Arial" w:eastAsia="Arial" w:hAnsi="Arial"/>
                <w:sz w:val="18"/>
                <w:szCs w:val="18"/>
                <w:color w:val="666666"/>
              </w:rPr>
              <w:t>$6.63</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666666"/>
                <w:w w:val="99"/>
              </w:rPr>
              <w:t>115%</w:t>
            </w:r>
          </w:p>
        </w:tc>
        <w:tc>
          <w:tcPr>
            <w:tcW w:w="1140" w:type="dxa"/>
            <w:vAlign w:val="bottom"/>
            <w:tcBorders>
              <w:right w:val="single" w:sz="8" w:color="828282"/>
            </w:tcBorders>
            <w:vMerge w:val="restart"/>
          </w:tcPr>
          <w:p>
            <w:pPr>
              <w:jc w:val="center"/>
              <w:spacing w:after="0"/>
              <w:rPr>
                <w:sz w:val="20"/>
                <w:szCs w:val="20"/>
                <w:color w:val="auto"/>
              </w:rPr>
            </w:pPr>
            <w:r>
              <w:rPr>
                <w:rFonts w:ascii="Arial" w:cs="Arial" w:eastAsia="Arial" w:hAnsi="Arial"/>
                <w:sz w:val="18"/>
                <w:szCs w:val="18"/>
                <w:color w:val="666666"/>
                <w:w w:val="99"/>
              </w:rPr>
              <w:t>200%</w:t>
            </w:r>
          </w:p>
        </w:tc>
        <w:tc>
          <w:tcPr>
            <w:tcW w:w="0" w:type="dxa"/>
            <w:vAlign w:val="bottom"/>
          </w:tcPr>
          <w:p>
            <w:pPr>
              <w:spacing w:after="0"/>
              <w:rPr>
                <w:sz w:val="1"/>
                <w:szCs w:val="1"/>
                <w:color w:val="auto"/>
              </w:rPr>
            </w:pPr>
          </w:p>
        </w:tc>
      </w:tr>
      <w:tr>
        <w:trPr>
          <w:trHeight w:val="109"/>
        </w:trPr>
        <w:tc>
          <w:tcPr>
            <w:tcW w:w="1700" w:type="dxa"/>
            <w:vAlign w:val="bottom"/>
            <w:tcBorders>
              <w:left w:val="single" w:sz="8" w:color="828282"/>
            </w:tcBorders>
            <w:vMerge w:val="restart"/>
          </w:tcPr>
          <w:p>
            <w:pPr>
              <w:ind w:left="40"/>
              <w:spacing w:after="0"/>
              <w:rPr>
                <w:sz w:val="20"/>
                <w:szCs w:val="20"/>
                <w:color w:val="auto"/>
              </w:rPr>
            </w:pPr>
            <w:r>
              <w:rPr>
                <w:rFonts w:ascii="Arial" w:cs="Arial" w:eastAsia="Arial" w:hAnsi="Arial"/>
                <w:sz w:val="18"/>
                <w:szCs w:val="18"/>
                <w:color w:val="666666"/>
              </w:rPr>
              <w:t>Year ADEPS</w:t>
            </w:r>
          </w:p>
        </w:tc>
        <w:tc>
          <w:tcPr>
            <w:tcW w:w="12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140" w:type="dxa"/>
            <w:vAlign w:val="bottom"/>
            <w:tcBorders>
              <w:right w:val="single" w:sz="8" w:color="82828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700" w:type="dxa"/>
            <w:vAlign w:val="bottom"/>
            <w:tcBorders>
              <w:left w:val="single" w:sz="8" w:color="828282"/>
            </w:tcBorders>
            <w:vMerge w:val="continue"/>
          </w:tcPr>
          <w:p>
            <w:pPr>
              <w:spacing w:after="0"/>
              <w:rPr>
                <w:sz w:val="9"/>
                <w:szCs w:val="9"/>
                <w:color w:val="auto"/>
              </w:rPr>
            </w:pPr>
          </w:p>
        </w:tc>
        <w:tc>
          <w:tcPr>
            <w:tcW w:w="1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40" w:type="dxa"/>
            <w:vAlign w:val="bottom"/>
            <w:tcBorders>
              <w:right w:val="single" w:sz="8" w:color="828282"/>
            </w:tcBorders>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700" w:type="dxa"/>
            <w:vAlign w:val="bottom"/>
            <w:tcBorders>
              <w:left w:val="single" w:sz="8" w:color="828282"/>
            </w:tcBorders>
            <w:shd w:val="clear" w:color="auto" w:fill="D9E2F3"/>
          </w:tcPr>
          <w:p>
            <w:pPr>
              <w:ind w:left="40"/>
              <w:spacing w:after="0"/>
              <w:rPr>
                <w:sz w:val="20"/>
                <w:szCs w:val="20"/>
                <w:color w:val="auto"/>
              </w:rPr>
            </w:pPr>
            <w:r>
              <w:rPr>
                <w:rFonts w:ascii="Arial" w:cs="Arial" w:eastAsia="Arial" w:hAnsi="Arial"/>
                <w:sz w:val="18"/>
                <w:szCs w:val="18"/>
                <w:color w:val="666666"/>
              </w:rPr>
              <w:t>Cumulative Three-</w:t>
            </w:r>
          </w:p>
        </w:tc>
        <w:tc>
          <w:tcPr>
            <w:tcW w:w="1200" w:type="dxa"/>
            <w:vAlign w:val="bottom"/>
            <w:vMerge w:val="restart"/>
            <w:shd w:val="clear" w:color="auto" w:fill="D9E2F3"/>
          </w:tcPr>
          <w:p>
            <w:pPr>
              <w:jc w:val="center"/>
              <w:spacing w:after="0"/>
              <w:rPr>
                <w:sz w:val="20"/>
                <w:szCs w:val="20"/>
                <w:color w:val="auto"/>
              </w:rPr>
            </w:pPr>
            <w:r>
              <w:rPr>
                <w:rFonts w:ascii="Arial" w:cs="Arial" w:eastAsia="Arial" w:hAnsi="Arial"/>
                <w:sz w:val="18"/>
                <w:szCs w:val="18"/>
                <w:color w:val="666666"/>
                <w:w w:val="99"/>
              </w:rPr>
              <w:t>25%</w:t>
            </w:r>
          </w:p>
        </w:tc>
        <w:tc>
          <w:tcPr>
            <w:tcW w:w="1320" w:type="dxa"/>
            <w:vAlign w:val="bottom"/>
            <w:vMerge w:val="restart"/>
            <w:shd w:val="clear" w:color="auto" w:fill="D9E2F3"/>
          </w:tcPr>
          <w:p>
            <w:pPr>
              <w:jc w:val="center"/>
              <w:spacing w:after="0"/>
              <w:rPr>
                <w:sz w:val="20"/>
                <w:szCs w:val="20"/>
                <w:color w:val="auto"/>
              </w:rPr>
            </w:pPr>
            <w:r>
              <w:rPr>
                <w:rFonts w:ascii="Arial" w:cs="Arial" w:eastAsia="Arial" w:hAnsi="Arial"/>
                <w:sz w:val="18"/>
                <w:szCs w:val="18"/>
                <w:color w:val="666666"/>
                <w:w w:val="99"/>
              </w:rPr>
              <w:t>$11,367M</w:t>
            </w:r>
          </w:p>
        </w:tc>
        <w:tc>
          <w:tcPr>
            <w:tcW w:w="1340" w:type="dxa"/>
            <w:vAlign w:val="bottom"/>
            <w:vMerge w:val="restart"/>
            <w:shd w:val="clear" w:color="auto" w:fill="D9E2F3"/>
          </w:tcPr>
          <w:p>
            <w:pPr>
              <w:jc w:val="center"/>
              <w:spacing w:after="0"/>
              <w:rPr>
                <w:sz w:val="20"/>
                <w:szCs w:val="20"/>
                <w:color w:val="auto"/>
              </w:rPr>
            </w:pPr>
            <w:r>
              <w:rPr>
                <w:rFonts w:ascii="Arial" w:cs="Arial" w:eastAsia="Arial" w:hAnsi="Arial"/>
                <w:sz w:val="18"/>
                <w:szCs w:val="18"/>
                <w:color w:val="666666"/>
                <w:w w:val="99"/>
              </w:rPr>
              <w:t>$13,373M</w:t>
            </w:r>
          </w:p>
        </w:tc>
        <w:tc>
          <w:tcPr>
            <w:tcW w:w="1600" w:type="dxa"/>
            <w:vAlign w:val="bottom"/>
            <w:vMerge w:val="restart"/>
            <w:shd w:val="clear" w:color="auto" w:fill="D9E2F3"/>
          </w:tcPr>
          <w:p>
            <w:pPr>
              <w:jc w:val="center"/>
              <w:spacing w:after="0"/>
              <w:rPr>
                <w:sz w:val="20"/>
                <w:szCs w:val="20"/>
                <w:color w:val="auto"/>
              </w:rPr>
            </w:pPr>
            <w:r>
              <w:rPr>
                <w:rFonts w:ascii="Arial" w:cs="Arial" w:eastAsia="Arial" w:hAnsi="Arial"/>
                <w:sz w:val="18"/>
                <w:szCs w:val="18"/>
                <w:color w:val="666666"/>
                <w:w w:val="99"/>
              </w:rPr>
              <w:t>$14,710M</w:t>
            </w:r>
          </w:p>
        </w:tc>
        <w:tc>
          <w:tcPr>
            <w:tcW w:w="1100" w:type="dxa"/>
            <w:vAlign w:val="bottom"/>
            <w:vMerge w:val="restart"/>
            <w:shd w:val="clear" w:color="auto" w:fill="D9E2F3"/>
          </w:tcPr>
          <w:p>
            <w:pPr>
              <w:jc w:val="center"/>
              <w:spacing w:after="0"/>
              <w:rPr>
                <w:sz w:val="20"/>
                <w:szCs w:val="20"/>
                <w:color w:val="auto"/>
              </w:rPr>
            </w:pPr>
            <w:r>
              <w:rPr>
                <w:rFonts w:ascii="Arial" w:cs="Arial" w:eastAsia="Arial" w:hAnsi="Arial"/>
                <w:sz w:val="18"/>
                <w:szCs w:val="18"/>
                <w:color w:val="666666"/>
                <w:w w:val="99"/>
              </w:rPr>
              <w:t>$14,175M</w:t>
            </w:r>
          </w:p>
        </w:tc>
        <w:tc>
          <w:tcPr>
            <w:tcW w:w="1360" w:type="dxa"/>
            <w:vAlign w:val="bottom"/>
            <w:vMerge w:val="restart"/>
            <w:shd w:val="clear" w:color="auto" w:fill="D9E2F3"/>
          </w:tcPr>
          <w:p>
            <w:pPr>
              <w:jc w:val="center"/>
              <w:spacing w:after="0"/>
              <w:rPr>
                <w:sz w:val="20"/>
                <w:szCs w:val="20"/>
                <w:color w:val="auto"/>
              </w:rPr>
            </w:pPr>
            <w:r>
              <w:rPr>
                <w:rFonts w:ascii="Arial" w:cs="Arial" w:eastAsia="Arial" w:hAnsi="Arial"/>
                <w:sz w:val="18"/>
                <w:szCs w:val="18"/>
                <w:color w:val="666666"/>
                <w:w w:val="99"/>
              </w:rPr>
              <w:t>106%</w:t>
            </w:r>
          </w:p>
        </w:tc>
        <w:tc>
          <w:tcPr>
            <w:tcW w:w="1140" w:type="dxa"/>
            <w:vAlign w:val="bottom"/>
            <w:tcBorders>
              <w:right w:val="single" w:sz="8" w:color="828282"/>
            </w:tcBorders>
            <w:vMerge w:val="restart"/>
            <w:shd w:val="clear" w:color="auto" w:fill="D9E2F3"/>
          </w:tcPr>
          <w:p>
            <w:pPr>
              <w:jc w:val="center"/>
              <w:spacing w:after="0"/>
              <w:rPr>
                <w:sz w:val="20"/>
                <w:szCs w:val="20"/>
                <w:color w:val="auto"/>
              </w:rPr>
            </w:pPr>
            <w:r>
              <w:rPr>
                <w:rFonts w:ascii="Arial" w:cs="Arial" w:eastAsia="Arial" w:hAnsi="Arial"/>
                <w:sz w:val="18"/>
                <w:szCs w:val="18"/>
                <w:color w:val="666666"/>
                <w:w w:val="99"/>
              </w:rPr>
              <w:t>160%</w:t>
            </w:r>
          </w:p>
        </w:tc>
        <w:tc>
          <w:tcPr>
            <w:tcW w:w="0" w:type="dxa"/>
            <w:vAlign w:val="bottom"/>
          </w:tcPr>
          <w:p>
            <w:pPr>
              <w:spacing w:after="0"/>
              <w:rPr>
                <w:sz w:val="1"/>
                <w:szCs w:val="1"/>
                <w:color w:val="auto"/>
              </w:rPr>
            </w:pPr>
          </w:p>
        </w:tc>
      </w:tr>
      <w:tr>
        <w:trPr>
          <w:trHeight w:val="109"/>
        </w:trPr>
        <w:tc>
          <w:tcPr>
            <w:tcW w:w="1700" w:type="dxa"/>
            <w:vAlign w:val="bottom"/>
            <w:tcBorders>
              <w:left w:val="single" w:sz="8" w:color="828282"/>
            </w:tcBorders>
            <w:vMerge w:val="restart"/>
            <w:shd w:val="clear" w:color="auto" w:fill="D9E2F3"/>
          </w:tcPr>
          <w:p>
            <w:pPr>
              <w:ind w:left="40"/>
              <w:spacing w:after="0"/>
              <w:rPr>
                <w:sz w:val="20"/>
                <w:szCs w:val="20"/>
                <w:color w:val="auto"/>
              </w:rPr>
            </w:pPr>
            <w:r>
              <w:rPr>
                <w:rFonts w:ascii="Arial" w:cs="Arial" w:eastAsia="Arial" w:hAnsi="Arial"/>
                <w:sz w:val="18"/>
                <w:szCs w:val="18"/>
                <w:color w:val="666666"/>
              </w:rPr>
              <w:t>Year VAR</w:t>
            </w:r>
          </w:p>
        </w:tc>
        <w:tc>
          <w:tcPr>
            <w:tcW w:w="1200" w:type="dxa"/>
            <w:vAlign w:val="bottom"/>
            <w:vMerge w:val="continue"/>
            <w:shd w:val="clear" w:color="auto" w:fill="D9E2F3"/>
          </w:tcPr>
          <w:p>
            <w:pPr>
              <w:spacing w:after="0"/>
              <w:rPr>
                <w:sz w:val="9"/>
                <w:szCs w:val="9"/>
                <w:color w:val="auto"/>
              </w:rPr>
            </w:pPr>
          </w:p>
        </w:tc>
        <w:tc>
          <w:tcPr>
            <w:tcW w:w="1320" w:type="dxa"/>
            <w:vAlign w:val="bottom"/>
            <w:vMerge w:val="continue"/>
            <w:shd w:val="clear" w:color="auto" w:fill="D9E2F3"/>
          </w:tcPr>
          <w:p>
            <w:pPr>
              <w:spacing w:after="0"/>
              <w:rPr>
                <w:sz w:val="9"/>
                <w:szCs w:val="9"/>
                <w:color w:val="auto"/>
              </w:rPr>
            </w:pPr>
          </w:p>
        </w:tc>
        <w:tc>
          <w:tcPr>
            <w:tcW w:w="1340" w:type="dxa"/>
            <w:vAlign w:val="bottom"/>
            <w:vMerge w:val="continue"/>
            <w:shd w:val="clear" w:color="auto" w:fill="D9E2F3"/>
          </w:tcPr>
          <w:p>
            <w:pPr>
              <w:spacing w:after="0"/>
              <w:rPr>
                <w:sz w:val="9"/>
                <w:szCs w:val="9"/>
                <w:color w:val="auto"/>
              </w:rPr>
            </w:pPr>
          </w:p>
        </w:tc>
        <w:tc>
          <w:tcPr>
            <w:tcW w:w="1600" w:type="dxa"/>
            <w:vAlign w:val="bottom"/>
            <w:vMerge w:val="continue"/>
            <w:shd w:val="clear" w:color="auto" w:fill="D9E2F3"/>
          </w:tcPr>
          <w:p>
            <w:pPr>
              <w:spacing w:after="0"/>
              <w:rPr>
                <w:sz w:val="9"/>
                <w:szCs w:val="9"/>
                <w:color w:val="auto"/>
              </w:rPr>
            </w:pPr>
          </w:p>
        </w:tc>
        <w:tc>
          <w:tcPr>
            <w:tcW w:w="1100" w:type="dxa"/>
            <w:vAlign w:val="bottom"/>
            <w:vMerge w:val="continue"/>
            <w:shd w:val="clear" w:color="auto" w:fill="D9E2F3"/>
          </w:tcPr>
          <w:p>
            <w:pPr>
              <w:spacing w:after="0"/>
              <w:rPr>
                <w:sz w:val="9"/>
                <w:szCs w:val="9"/>
                <w:color w:val="auto"/>
              </w:rPr>
            </w:pPr>
          </w:p>
        </w:tc>
        <w:tc>
          <w:tcPr>
            <w:tcW w:w="1360" w:type="dxa"/>
            <w:vAlign w:val="bottom"/>
            <w:vMerge w:val="continue"/>
            <w:shd w:val="clear" w:color="auto" w:fill="D9E2F3"/>
          </w:tcPr>
          <w:p>
            <w:pPr>
              <w:spacing w:after="0"/>
              <w:rPr>
                <w:sz w:val="9"/>
                <w:szCs w:val="9"/>
                <w:color w:val="auto"/>
              </w:rPr>
            </w:pPr>
          </w:p>
        </w:tc>
        <w:tc>
          <w:tcPr>
            <w:tcW w:w="1140" w:type="dxa"/>
            <w:vAlign w:val="bottom"/>
            <w:tcBorders>
              <w:right w:val="single" w:sz="8" w:color="828282"/>
            </w:tcBorders>
            <w:vMerge w:val="continue"/>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700" w:type="dxa"/>
            <w:vAlign w:val="bottom"/>
            <w:tcBorders>
              <w:left w:val="single" w:sz="8" w:color="828282"/>
            </w:tcBorders>
            <w:vMerge w:val="continue"/>
            <w:shd w:val="clear" w:color="auto" w:fill="D9E2F3"/>
          </w:tcPr>
          <w:p>
            <w:pPr>
              <w:spacing w:after="0"/>
              <w:rPr>
                <w:sz w:val="10"/>
                <w:szCs w:val="10"/>
                <w:color w:val="auto"/>
              </w:rPr>
            </w:pPr>
          </w:p>
        </w:tc>
        <w:tc>
          <w:tcPr>
            <w:tcW w:w="1200" w:type="dxa"/>
            <w:vAlign w:val="bottom"/>
            <w:shd w:val="clear" w:color="auto" w:fill="D9E2F3"/>
          </w:tcPr>
          <w:p>
            <w:pPr>
              <w:spacing w:after="0"/>
              <w:rPr>
                <w:sz w:val="10"/>
                <w:szCs w:val="10"/>
                <w:color w:val="auto"/>
              </w:rPr>
            </w:pPr>
          </w:p>
        </w:tc>
        <w:tc>
          <w:tcPr>
            <w:tcW w:w="1320" w:type="dxa"/>
            <w:vAlign w:val="bottom"/>
            <w:shd w:val="clear" w:color="auto" w:fill="D9E2F3"/>
          </w:tcPr>
          <w:p>
            <w:pPr>
              <w:spacing w:after="0"/>
              <w:rPr>
                <w:sz w:val="10"/>
                <w:szCs w:val="10"/>
                <w:color w:val="auto"/>
              </w:rPr>
            </w:pPr>
          </w:p>
        </w:tc>
        <w:tc>
          <w:tcPr>
            <w:tcW w:w="1340" w:type="dxa"/>
            <w:vAlign w:val="bottom"/>
            <w:shd w:val="clear" w:color="auto" w:fill="D9E2F3"/>
          </w:tcPr>
          <w:p>
            <w:pPr>
              <w:spacing w:after="0"/>
              <w:rPr>
                <w:sz w:val="10"/>
                <w:szCs w:val="10"/>
                <w:color w:val="auto"/>
              </w:rPr>
            </w:pPr>
          </w:p>
        </w:tc>
        <w:tc>
          <w:tcPr>
            <w:tcW w:w="1600" w:type="dxa"/>
            <w:vAlign w:val="bottom"/>
            <w:shd w:val="clear" w:color="auto" w:fill="D9E2F3"/>
          </w:tcPr>
          <w:p>
            <w:pPr>
              <w:spacing w:after="0"/>
              <w:rPr>
                <w:sz w:val="10"/>
                <w:szCs w:val="10"/>
                <w:color w:val="auto"/>
              </w:rPr>
            </w:pPr>
          </w:p>
        </w:tc>
        <w:tc>
          <w:tcPr>
            <w:tcW w:w="1100" w:type="dxa"/>
            <w:vAlign w:val="bottom"/>
            <w:shd w:val="clear" w:color="auto" w:fill="D9E2F3"/>
          </w:tcPr>
          <w:p>
            <w:pPr>
              <w:spacing w:after="0"/>
              <w:rPr>
                <w:sz w:val="10"/>
                <w:szCs w:val="10"/>
                <w:color w:val="auto"/>
              </w:rPr>
            </w:pPr>
          </w:p>
        </w:tc>
        <w:tc>
          <w:tcPr>
            <w:tcW w:w="1360" w:type="dxa"/>
            <w:vAlign w:val="bottom"/>
            <w:shd w:val="clear" w:color="auto" w:fill="D9E2F3"/>
          </w:tcPr>
          <w:p>
            <w:pPr>
              <w:spacing w:after="0"/>
              <w:rPr>
                <w:sz w:val="10"/>
                <w:szCs w:val="10"/>
                <w:color w:val="auto"/>
              </w:rPr>
            </w:pPr>
          </w:p>
        </w:tc>
        <w:tc>
          <w:tcPr>
            <w:tcW w:w="1140" w:type="dxa"/>
            <w:vAlign w:val="bottom"/>
            <w:tcBorders>
              <w:right w:val="single" w:sz="8" w:color="828282"/>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700" w:type="dxa"/>
            <w:vAlign w:val="bottom"/>
            <w:tcBorders>
              <w:left w:val="single" w:sz="8" w:color="828282"/>
            </w:tcBorders>
          </w:tcPr>
          <w:p>
            <w:pPr>
              <w:ind w:left="40"/>
              <w:spacing w:after="0"/>
              <w:rPr>
                <w:sz w:val="20"/>
                <w:szCs w:val="20"/>
                <w:color w:val="auto"/>
              </w:rPr>
            </w:pPr>
            <w:r>
              <w:rPr>
                <w:rFonts w:ascii="Arial" w:cs="Arial" w:eastAsia="Arial" w:hAnsi="Arial"/>
                <w:sz w:val="18"/>
                <w:szCs w:val="18"/>
                <w:b w:val="1"/>
                <w:bCs w:val="1"/>
                <w:color w:val="666666"/>
              </w:rPr>
              <w:t>Total Payout</w:t>
            </w:r>
          </w:p>
        </w:tc>
        <w:tc>
          <w:tcPr>
            <w:tcW w:w="1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40" w:type="dxa"/>
            <w:vAlign w:val="bottom"/>
            <w:tcBorders>
              <w:right w:val="single" w:sz="8" w:color="828282"/>
            </w:tcBorders>
          </w:tcPr>
          <w:p>
            <w:pPr>
              <w:jc w:val="center"/>
              <w:spacing w:after="0"/>
              <w:rPr>
                <w:sz w:val="20"/>
                <w:szCs w:val="20"/>
                <w:color w:val="auto"/>
              </w:rPr>
            </w:pPr>
            <w:r>
              <w:rPr>
                <w:rFonts w:ascii="Arial" w:cs="Arial" w:eastAsia="Arial" w:hAnsi="Arial"/>
                <w:sz w:val="18"/>
                <w:szCs w:val="18"/>
                <w:b w:val="1"/>
                <w:bCs w:val="1"/>
                <w:color w:val="666666"/>
                <w:w w:val="99"/>
              </w:rPr>
              <w:t>190%</w:t>
            </w:r>
          </w:p>
        </w:tc>
        <w:tc>
          <w:tcPr>
            <w:tcW w:w="0" w:type="dxa"/>
            <w:vAlign w:val="bottom"/>
          </w:tcPr>
          <w:p>
            <w:pPr>
              <w:spacing w:after="0"/>
              <w:rPr>
                <w:sz w:val="1"/>
                <w:szCs w:val="1"/>
                <w:color w:val="auto"/>
              </w:rPr>
            </w:pPr>
          </w:p>
        </w:tc>
      </w:tr>
      <w:tr>
        <w:trPr>
          <w:trHeight w:val="27"/>
        </w:trPr>
        <w:tc>
          <w:tcPr>
            <w:tcW w:w="1700" w:type="dxa"/>
            <w:vAlign w:val="bottom"/>
            <w:tcBorders>
              <w:left w:val="single" w:sz="8" w:color="828282"/>
              <w:bottom w:val="single" w:sz="8" w:color="828282"/>
            </w:tcBorders>
          </w:tcPr>
          <w:p>
            <w:pPr>
              <w:spacing w:after="0"/>
              <w:rPr>
                <w:sz w:val="2"/>
                <w:szCs w:val="2"/>
                <w:color w:val="auto"/>
              </w:rPr>
            </w:pPr>
          </w:p>
        </w:tc>
        <w:tc>
          <w:tcPr>
            <w:tcW w:w="1200" w:type="dxa"/>
            <w:vAlign w:val="bottom"/>
            <w:tcBorders>
              <w:bottom w:val="single" w:sz="8" w:color="828282"/>
            </w:tcBorders>
          </w:tcPr>
          <w:p>
            <w:pPr>
              <w:spacing w:after="0"/>
              <w:rPr>
                <w:sz w:val="2"/>
                <w:szCs w:val="2"/>
                <w:color w:val="auto"/>
              </w:rPr>
            </w:pPr>
          </w:p>
        </w:tc>
        <w:tc>
          <w:tcPr>
            <w:tcW w:w="1320" w:type="dxa"/>
            <w:vAlign w:val="bottom"/>
            <w:tcBorders>
              <w:bottom w:val="single" w:sz="8" w:color="828282"/>
            </w:tcBorders>
          </w:tcPr>
          <w:p>
            <w:pPr>
              <w:spacing w:after="0"/>
              <w:rPr>
                <w:sz w:val="2"/>
                <w:szCs w:val="2"/>
                <w:color w:val="auto"/>
              </w:rPr>
            </w:pPr>
          </w:p>
        </w:tc>
        <w:tc>
          <w:tcPr>
            <w:tcW w:w="1340" w:type="dxa"/>
            <w:vAlign w:val="bottom"/>
            <w:tcBorders>
              <w:bottom w:val="single" w:sz="8" w:color="828282"/>
            </w:tcBorders>
          </w:tcPr>
          <w:p>
            <w:pPr>
              <w:spacing w:after="0"/>
              <w:rPr>
                <w:sz w:val="2"/>
                <w:szCs w:val="2"/>
                <w:color w:val="auto"/>
              </w:rPr>
            </w:pPr>
          </w:p>
        </w:tc>
        <w:tc>
          <w:tcPr>
            <w:tcW w:w="1600" w:type="dxa"/>
            <w:vAlign w:val="bottom"/>
            <w:tcBorders>
              <w:bottom w:val="single" w:sz="8" w:color="828282"/>
            </w:tcBorders>
          </w:tcPr>
          <w:p>
            <w:pPr>
              <w:spacing w:after="0"/>
              <w:rPr>
                <w:sz w:val="2"/>
                <w:szCs w:val="2"/>
                <w:color w:val="auto"/>
              </w:rPr>
            </w:pPr>
          </w:p>
        </w:tc>
        <w:tc>
          <w:tcPr>
            <w:tcW w:w="1100" w:type="dxa"/>
            <w:vAlign w:val="bottom"/>
            <w:tcBorders>
              <w:bottom w:val="single" w:sz="8" w:color="828282"/>
            </w:tcBorders>
          </w:tcPr>
          <w:p>
            <w:pPr>
              <w:spacing w:after="0"/>
              <w:rPr>
                <w:sz w:val="2"/>
                <w:szCs w:val="2"/>
                <w:color w:val="auto"/>
              </w:rPr>
            </w:pPr>
          </w:p>
        </w:tc>
        <w:tc>
          <w:tcPr>
            <w:tcW w:w="1360" w:type="dxa"/>
            <w:vAlign w:val="bottom"/>
            <w:tcBorders>
              <w:bottom w:val="single" w:sz="8" w:color="828282"/>
            </w:tcBorders>
          </w:tcPr>
          <w:p>
            <w:pPr>
              <w:spacing w:after="0"/>
              <w:rPr>
                <w:sz w:val="2"/>
                <w:szCs w:val="2"/>
                <w:color w:val="auto"/>
              </w:rPr>
            </w:pPr>
          </w:p>
        </w:tc>
        <w:tc>
          <w:tcPr>
            <w:tcW w:w="1140" w:type="dxa"/>
            <w:vAlign w:val="bottom"/>
            <w:tcBorders>
              <w:bottom w:val="single" w:sz="8" w:color="828282"/>
              <w:right w:val="single" w:sz="8" w:color="82828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jc w:val="both"/>
        <w:ind w:left="340" w:hanging="8"/>
        <w:spacing w:after="0" w:line="253" w:lineRule="auto"/>
        <w:tabs>
          <w:tab w:leader="none" w:pos="593" w:val="left"/>
        </w:tabs>
        <w:numPr>
          <w:ilvl w:val="0"/>
          <w:numId w:val="40"/>
        </w:numPr>
        <w:rPr>
          <w:rFonts w:ascii="Arial" w:cs="Arial" w:eastAsia="Arial" w:hAnsi="Arial"/>
          <w:sz w:val="16"/>
          <w:szCs w:val="16"/>
          <w:color w:val="666666"/>
        </w:rPr>
      </w:pPr>
      <w:r>
        <w:rPr>
          <w:rFonts w:ascii="Arial" w:cs="Arial" w:eastAsia="Arial" w:hAnsi="Arial"/>
          <w:sz w:val="16"/>
          <w:szCs w:val="16"/>
          <w:color w:val="666666"/>
        </w:rPr>
        <w:t>See Appendix A to this proxy statement for a reconciliation between each non-GAAP financial measure and the most directly comparable financial measure calculated and presented in accordance with GAAP. The ADEPS results were adjusted from those included in the Company's filings with the Securities and Exchange Commission to exclude the net positive impact of the Tax Cuts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34</w:t>
      </w:r>
    </w:p>
    <w:p>
      <w:pPr>
        <w:sectPr>
          <w:pgSz w:w="11900" w:h="16838" w:orient="portrait"/>
          <w:cols w:equalWidth="0" w:num="1">
            <w:col w:w="11240"/>
          </w:cols>
          <w:pgMar w:left="320" w:top="352" w:right="339" w:bottom="1440" w:gutter="0" w:footer="0" w:header="0"/>
        </w:sectPr>
      </w:pPr>
    </w:p>
    <w:bookmarkStart w:id="43" w:name="page44"/>
    <w:bookmarkEnd w:id="43"/>
    <w:p>
      <w:pPr>
        <w:jc w:val="both"/>
        <w:ind w:left="340"/>
        <w:spacing w:after="0" w:line="253" w:lineRule="auto"/>
        <w:rPr>
          <w:sz w:val="20"/>
          <w:szCs w:val="20"/>
          <w:color w:val="auto"/>
        </w:rPr>
      </w:pPr>
      <w:r>
        <w:rPr>
          <w:rFonts w:ascii="Arial" w:cs="Arial" w:eastAsia="Arial" w:hAnsi="Arial"/>
          <w:sz w:val="16"/>
          <w:szCs w:val="16"/>
          <w:color w:val="666666"/>
        </w:rPr>
        <w:t>and Jobs Act of 2017 (the "2017 Tax Act") and related tax accounting changes to ensure executives were not unintentionally rewarded for Company financial benefits resulting solely from tax reform. In addition, the ADEPS and VAR results for fiscal year 2018 do not reflect the impact of the adoption of ASC 606.</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547BCC"/>
        </w:rPr>
        <w:t>Benefits and Perquisites</w:t>
      </w:r>
    </w:p>
    <w:p>
      <w:pPr>
        <w:spacing w:after="0" w:line="226"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Our employees are eligible to participate in a full complement of benefit plans. Our named executive officers also participate in enhanced medical and dental plans, life insurance, accidental death and dismemberment, and personal liability coverage at the Company's expense. During fiscal year 2020, our named executive officers were eligible to receive perquisites, including up to $15,000 per year for financial counseling, up to $7,500 every three years to update an estate plan, up to $3,000 for preparation of estate plans following relocation to a new tax jurisdiction, and a one-time reimbursement of up to $5,000 for retirement financial planning. In addition, to protect our executives from various risks, we maintain an executive protection program that provides our executives with a security assessment for their primary residence and security service for foreign or domestic travel. We believe that our executive benefit and perquisite programs are reasonable and necessary to provide for the well-being of our executives. For more detail on the perquisites that our named executive officers receive, see footnote 7 to the Summary Compensation Table under "Compensation Tables and Disclosures."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47BCC"/>
        </w:rPr>
        <w:t>Retirement Benefits</w:t>
      </w:r>
    </w:p>
    <w:p>
      <w:pPr>
        <w:spacing w:after="0" w:line="25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666666"/>
        </w:rPr>
        <w:t>We provide retirement benefits to our executives, including our named executive officers, to help them build financial security for retirement, while allowing them to direct the investment of their retirement savings as they choose.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4F81BD"/>
        </w:rPr>
        <w:t>Employees’ Capital Accumulation Plan</w:t>
      </w:r>
    </w:p>
    <w:p>
      <w:pPr>
        <w:spacing w:after="0" w:line="249" w:lineRule="exact"/>
        <w:rPr>
          <w:sz w:val="20"/>
          <w:szCs w:val="20"/>
          <w:color w:val="auto"/>
        </w:rPr>
      </w:pPr>
    </w:p>
    <w:p>
      <w:pPr>
        <w:jc w:val="both"/>
        <w:ind w:firstLine="391"/>
        <w:spacing w:after="0"/>
        <w:rPr>
          <w:sz w:val="20"/>
          <w:szCs w:val="20"/>
          <w:color w:val="auto"/>
        </w:rPr>
      </w:pPr>
      <w:r>
        <w:rPr>
          <w:rFonts w:ascii="Arial" w:cs="Arial" w:eastAsia="Arial" w:hAnsi="Arial"/>
          <w:sz w:val="20"/>
          <w:szCs w:val="20"/>
          <w:color w:val="666666"/>
        </w:rPr>
        <w:t>All eligible employees, which includes our named executive officers, may participate in the tax-qualified Employees' Capital Accumulation Plan, or ECAP. Under this plan, eligible employees, including our named executive officers, receive an annual matching contribution based on their voluntary contributions up to 6% of their eligible annual income as determined by the Code. Each executive is also eligible to receive a payment that is equivalent to the annual tax-deferred contribution he or she is permitted to make to ECAP under the Code. Executives may elect to have these funds deposited into a pre-tax or Roth 401(k), or the executive may simply receive the funds as a cash payment and be taxed accordingly.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4F81BD"/>
        </w:rPr>
        <w:t>Non-Qualified Deferred Compensation Plan</w:t>
      </w:r>
    </w:p>
    <w:p>
      <w:pPr>
        <w:spacing w:after="0" w:line="249" w:lineRule="exact"/>
        <w:rPr>
          <w:sz w:val="20"/>
          <w:szCs w:val="20"/>
          <w:color w:val="auto"/>
        </w:rPr>
      </w:pPr>
    </w:p>
    <w:p>
      <w:pPr>
        <w:jc w:val="both"/>
        <w:ind w:right="200" w:firstLine="324"/>
        <w:spacing w:after="0" w:line="241" w:lineRule="auto"/>
        <w:rPr>
          <w:sz w:val="20"/>
          <w:szCs w:val="20"/>
          <w:color w:val="auto"/>
        </w:rPr>
      </w:pPr>
      <w:r>
        <w:rPr>
          <w:rFonts w:ascii="Arial" w:cs="Arial" w:eastAsia="Arial" w:hAnsi="Arial"/>
          <w:sz w:val="20"/>
          <w:szCs w:val="20"/>
          <w:color w:val="666666"/>
        </w:rPr>
        <w:t>As part of our executive compensation program, we offer a non-qualified deferred compensation plan for our executives to encourage employees to save for their retirement. Eligible employees, which include all named executive officers, may elect to contribute up to 100% of their annual cash bonus to this plan. None of our named executive officers enrolled for the fiscal year 2020 deferral.</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4F81BD"/>
        </w:rPr>
        <w:t>Additional Retirement Benefits</w:t>
      </w:r>
    </w:p>
    <w:p>
      <w:pPr>
        <w:spacing w:after="0" w:line="249"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We provide additional retirement benefits to our executives, including our named executive officers, in order to provide them with additional security in retirement and promote a long-term career with our Company. Our executives participate in the Officers' Retirement Plan, under which the executive may retire with full benefits after a minimum of either (a) age 60 with five years of service as an executive or (b) age 50 with 10 years of service as an executive. An eligible executive who retires and does not receive severance benefits is entitled to receive a single lump-sum retirement payment equal to $10,000 for each year of service as an executive, pro-rated as appropriate, and an annual allowance of $4,000 for financial counseling and tax preparation assistance. Our retirees are also eligible to receive comprehensive coverage for medical, pharmacy, and dental healthcare. The premiums for this healthcare coverage are paid by the Company.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35</w:t>
      </w:r>
    </w:p>
    <w:p>
      <w:pPr>
        <w:sectPr>
          <w:pgSz w:w="11900" w:h="16838" w:orient="portrait"/>
          <w:cols w:equalWidth="0" w:num="1">
            <w:col w:w="11240"/>
          </w:cols>
          <w:pgMar w:left="320" w:top="357"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u w:val="single" w:color="auto"/>
          <w:color w:val="547BCC"/>
        </w:rPr>
        <w:t>Executive Ownership Requirements</w:t>
      </w:r>
    </w:p>
    <w:p>
      <w:pPr>
        <w:spacing w:after="0" w:line="253"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Equity ownership requirements are in place for our executives, including our named executive officers, to further align their interests to those of our stockholders. Our ownership requirements extend beyond market expectations. Our named executive officers have regularly exceeded our equity ownership guidelines and demonstrate a commitment to the Company's long-term value by owning equity well above their requirements. Until an executive has satisfied the ownership requirements set forth below, the executive cannot sell any equity granted as equity compensation by the Company. Each executive’s required equity ownership amount is determined as a multiple of his or her base salary. The applicable multiples for our named executive officers for fiscal year 2020 are set forth in the table below as well as a comparison of their approximate actual equity ownership as of the end of the fiscal year:</w:t>
      </w:r>
    </w:p>
    <w:p>
      <w:pPr>
        <w:spacing w:after="0" w:line="331" w:lineRule="exact"/>
        <w:rPr>
          <w:sz w:val="20"/>
          <w:szCs w:val="20"/>
          <w:color w:val="auto"/>
        </w:rPr>
      </w:pPr>
    </w:p>
    <w:tbl>
      <w:tblPr>
        <w:tblLayout w:type="fixed"/>
        <w:tblInd w:w="430" w:type="dxa"/>
        <w:tblCellMar>
          <w:top w:w="0" w:type="dxa"/>
          <w:left w:w="0" w:type="dxa"/>
          <w:bottom w:w="0" w:type="dxa"/>
          <w:right w:w="0" w:type="dxa"/>
        </w:tblCellMar>
      </w:tblPr>
      <w:tr>
        <w:trPr>
          <w:trHeight w:val="270"/>
        </w:trPr>
        <w:tc>
          <w:tcPr>
            <w:tcW w:w="3760" w:type="dxa"/>
            <w:vAlign w:val="bottom"/>
            <w:tcBorders>
              <w:top w:val="single" w:sz="8" w:color="828282"/>
              <w:left w:val="single" w:sz="8" w:color="828282"/>
            </w:tcBorders>
            <w:shd w:val="clear" w:color="auto" w:fill="4472C4"/>
          </w:tcPr>
          <w:p>
            <w:pPr>
              <w:ind w:left="760"/>
              <w:spacing w:after="0"/>
              <w:rPr>
                <w:sz w:val="20"/>
                <w:szCs w:val="20"/>
                <w:color w:val="auto"/>
              </w:rPr>
            </w:pPr>
            <w:r>
              <w:rPr>
                <w:rFonts w:ascii="Arial" w:cs="Arial" w:eastAsia="Arial" w:hAnsi="Arial"/>
                <w:sz w:val="18"/>
                <w:szCs w:val="18"/>
                <w:b w:val="1"/>
                <w:bCs w:val="1"/>
                <w:i w:val="1"/>
                <w:iCs w:val="1"/>
                <w:color w:val="FFFFFF"/>
              </w:rPr>
              <w:t>Named Executive Officers</w:t>
            </w:r>
          </w:p>
        </w:tc>
        <w:tc>
          <w:tcPr>
            <w:tcW w:w="3580" w:type="dxa"/>
            <w:vAlign w:val="bottom"/>
            <w:tcBorders>
              <w:top w:val="single" w:sz="8" w:color="828282"/>
            </w:tcBorders>
            <w:shd w:val="clear" w:color="auto" w:fill="4472C4"/>
          </w:tcPr>
          <w:p>
            <w:pPr>
              <w:jc w:val="center"/>
              <w:spacing w:after="0"/>
              <w:rPr>
                <w:sz w:val="20"/>
                <w:szCs w:val="20"/>
                <w:color w:val="auto"/>
              </w:rPr>
            </w:pPr>
            <w:r>
              <w:rPr>
                <w:rFonts w:ascii="Arial" w:cs="Arial" w:eastAsia="Arial" w:hAnsi="Arial"/>
                <w:sz w:val="18"/>
                <w:szCs w:val="18"/>
                <w:b w:val="1"/>
                <w:bCs w:val="1"/>
                <w:i w:val="1"/>
                <w:iCs w:val="1"/>
                <w:color w:val="FFFFFF"/>
                <w:w w:val="99"/>
              </w:rPr>
              <w:t>Ownership Requirement</w:t>
            </w:r>
          </w:p>
        </w:tc>
        <w:tc>
          <w:tcPr>
            <w:tcW w:w="3100" w:type="dxa"/>
            <w:vAlign w:val="bottom"/>
            <w:tcBorders>
              <w:top w:val="single" w:sz="8" w:color="828282"/>
              <w:right w:val="single" w:sz="8" w:color="828282"/>
            </w:tcBorders>
            <w:shd w:val="clear" w:color="auto" w:fill="4472C4"/>
          </w:tcPr>
          <w:p>
            <w:pPr>
              <w:jc w:val="center"/>
              <w:spacing w:after="0"/>
              <w:rPr>
                <w:sz w:val="20"/>
                <w:szCs w:val="20"/>
                <w:color w:val="auto"/>
              </w:rPr>
            </w:pPr>
            <w:r>
              <w:rPr>
                <w:rFonts w:ascii="Arial" w:cs="Arial" w:eastAsia="Arial" w:hAnsi="Arial"/>
                <w:sz w:val="18"/>
                <w:szCs w:val="18"/>
                <w:b w:val="1"/>
                <w:bCs w:val="1"/>
                <w:i w:val="1"/>
                <w:iCs w:val="1"/>
                <w:color w:val="FFFFFF"/>
              </w:rPr>
              <w:t xml:space="preserve">Actual Ownership </w:t>
            </w:r>
            <w:r>
              <w:rPr>
                <w:rFonts w:ascii="Arial" w:cs="Arial" w:eastAsia="Arial" w:hAnsi="Arial"/>
                <w:sz w:val="14"/>
                <w:szCs w:val="14"/>
                <w:b w:val="1"/>
                <w:bCs w:val="1"/>
                <w:i w:val="1"/>
                <w:iCs w:val="1"/>
                <w:color w:val="FFFFFF"/>
              </w:rPr>
              <w:t>1</w:t>
            </w:r>
          </w:p>
        </w:tc>
      </w:tr>
      <w:tr>
        <w:trPr>
          <w:trHeight w:val="257"/>
        </w:trPr>
        <w:tc>
          <w:tcPr>
            <w:tcW w:w="3760" w:type="dxa"/>
            <w:vAlign w:val="bottom"/>
            <w:tcBorders>
              <w:left w:val="single" w:sz="8" w:color="828282"/>
            </w:tcBorders>
            <w:shd w:val="clear" w:color="auto" w:fill="D9E2F3"/>
          </w:tcPr>
          <w:p>
            <w:pPr>
              <w:ind w:left="20"/>
              <w:spacing w:after="0"/>
              <w:rPr>
                <w:sz w:val="20"/>
                <w:szCs w:val="20"/>
                <w:color w:val="auto"/>
              </w:rPr>
            </w:pPr>
            <w:r>
              <w:rPr>
                <w:rFonts w:ascii="Arial" w:cs="Arial" w:eastAsia="Arial" w:hAnsi="Arial"/>
                <w:sz w:val="18"/>
                <w:szCs w:val="18"/>
                <w:color w:val="666666"/>
              </w:rPr>
              <w:t>Chief Executive Officer</w:t>
            </w:r>
          </w:p>
        </w:tc>
        <w:tc>
          <w:tcPr>
            <w:tcW w:w="3580" w:type="dxa"/>
            <w:vAlign w:val="bottom"/>
            <w:shd w:val="clear" w:color="auto" w:fill="D9E2F3"/>
          </w:tcPr>
          <w:p>
            <w:pPr>
              <w:jc w:val="center"/>
              <w:spacing w:after="0"/>
              <w:rPr>
                <w:sz w:val="20"/>
                <w:szCs w:val="20"/>
                <w:color w:val="auto"/>
              </w:rPr>
            </w:pPr>
            <w:r>
              <w:rPr>
                <w:rFonts w:ascii="Arial" w:cs="Arial" w:eastAsia="Arial" w:hAnsi="Arial"/>
                <w:sz w:val="18"/>
                <w:szCs w:val="18"/>
                <w:color w:val="666666"/>
                <w:w w:val="99"/>
              </w:rPr>
              <w:t>7x base salary</w:t>
            </w:r>
          </w:p>
        </w:tc>
        <w:tc>
          <w:tcPr>
            <w:tcW w:w="3100" w:type="dxa"/>
            <w:vAlign w:val="bottom"/>
            <w:tcBorders>
              <w:right w:val="single" w:sz="8" w:color="828282"/>
            </w:tcBorders>
            <w:shd w:val="clear" w:color="auto" w:fill="D9E2F3"/>
          </w:tcPr>
          <w:p>
            <w:pPr>
              <w:jc w:val="center"/>
              <w:spacing w:after="0"/>
              <w:rPr>
                <w:sz w:val="20"/>
                <w:szCs w:val="20"/>
                <w:color w:val="auto"/>
              </w:rPr>
            </w:pPr>
            <w:r>
              <w:rPr>
                <w:rFonts w:ascii="Arial" w:cs="Arial" w:eastAsia="Arial" w:hAnsi="Arial"/>
                <w:sz w:val="18"/>
                <w:szCs w:val="18"/>
                <w:color w:val="666666"/>
                <w:w w:val="99"/>
              </w:rPr>
              <w:t>34x base salary</w:t>
            </w:r>
          </w:p>
        </w:tc>
      </w:tr>
      <w:tr>
        <w:trPr>
          <w:trHeight w:val="250"/>
        </w:trPr>
        <w:tc>
          <w:tcPr>
            <w:tcW w:w="3760" w:type="dxa"/>
            <w:vAlign w:val="bottom"/>
            <w:tcBorders>
              <w:left w:val="single" w:sz="8" w:color="828282"/>
              <w:bottom w:val="single" w:sz="8" w:color="828282"/>
            </w:tcBorders>
          </w:tcPr>
          <w:p>
            <w:pPr>
              <w:ind w:left="20"/>
              <w:spacing w:after="0"/>
              <w:rPr>
                <w:sz w:val="20"/>
                <w:szCs w:val="20"/>
                <w:color w:val="auto"/>
              </w:rPr>
            </w:pPr>
            <w:r>
              <w:rPr>
                <w:rFonts w:ascii="Arial" w:cs="Arial" w:eastAsia="Arial" w:hAnsi="Arial"/>
                <w:sz w:val="18"/>
                <w:szCs w:val="18"/>
                <w:color w:val="666666"/>
              </w:rPr>
              <w:t>Other named executive officers</w:t>
            </w:r>
          </w:p>
        </w:tc>
        <w:tc>
          <w:tcPr>
            <w:tcW w:w="3580" w:type="dxa"/>
            <w:vAlign w:val="bottom"/>
            <w:tcBorders>
              <w:bottom w:val="single" w:sz="8" w:color="828282"/>
            </w:tcBorders>
          </w:tcPr>
          <w:p>
            <w:pPr>
              <w:jc w:val="center"/>
              <w:spacing w:after="0"/>
              <w:rPr>
                <w:sz w:val="20"/>
                <w:szCs w:val="20"/>
                <w:color w:val="auto"/>
              </w:rPr>
            </w:pPr>
            <w:r>
              <w:rPr>
                <w:rFonts w:ascii="Arial" w:cs="Arial" w:eastAsia="Arial" w:hAnsi="Arial"/>
                <w:sz w:val="18"/>
                <w:szCs w:val="18"/>
                <w:color w:val="666666"/>
                <w:w w:val="99"/>
              </w:rPr>
              <w:t>4x base salary</w:t>
            </w:r>
          </w:p>
        </w:tc>
        <w:tc>
          <w:tcPr>
            <w:tcW w:w="3100" w:type="dxa"/>
            <w:vAlign w:val="bottom"/>
            <w:tcBorders>
              <w:bottom w:val="single" w:sz="8" w:color="828282"/>
              <w:right w:val="single" w:sz="8" w:color="828282"/>
            </w:tcBorders>
          </w:tcPr>
          <w:p>
            <w:pPr>
              <w:jc w:val="center"/>
              <w:spacing w:after="0"/>
              <w:rPr>
                <w:sz w:val="20"/>
                <w:szCs w:val="20"/>
                <w:color w:val="auto"/>
              </w:rPr>
            </w:pPr>
            <w:r>
              <w:rPr>
                <w:rFonts w:ascii="Arial" w:cs="Arial" w:eastAsia="Arial" w:hAnsi="Arial"/>
                <w:sz w:val="18"/>
                <w:szCs w:val="18"/>
                <w:color w:val="666666"/>
                <w:w w:val="99"/>
              </w:rPr>
              <w:t>13x base salary</w:t>
            </w:r>
          </w:p>
        </w:tc>
      </w:tr>
    </w:tbl>
    <w:p>
      <w:pPr>
        <w:spacing w:after="0" w:line="2" w:lineRule="exact"/>
        <w:rPr>
          <w:sz w:val="20"/>
          <w:szCs w:val="20"/>
          <w:color w:val="auto"/>
        </w:rPr>
      </w:pPr>
    </w:p>
    <w:p>
      <w:pPr>
        <w:ind w:left="340" w:right="200" w:hanging="8"/>
        <w:spacing w:after="0" w:line="260" w:lineRule="auto"/>
        <w:tabs>
          <w:tab w:leader="none" w:pos="575" w:val="left"/>
        </w:tabs>
        <w:numPr>
          <w:ilvl w:val="0"/>
          <w:numId w:val="41"/>
        </w:numPr>
        <w:rPr>
          <w:rFonts w:ascii="Arial" w:cs="Arial" w:eastAsia="Arial" w:hAnsi="Arial"/>
          <w:sz w:val="16"/>
          <w:szCs w:val="16"/>
          <w:color w:val="666666"/>
        </w:rPr>
      </w:pPr>
      <w:r>
        <w:rPr>
          <w:rFonts w:ascii="Arial" w:cs="Arial" w:eastAsia="Arial" w:hAnsi="Arial"/>
          <w:sz w:val="16"/>
          <w:szCs w:val="16"/>
          <w:color w:val="666666"/>
        </w:rPr>
        <w:t>Ownership for the other named executive officers is an average of their equity holdings compared to their respective base pay amounts as of fiscal year end.</w:t>
      </w:r>
    </w:p>
    <w:p>
      <w:pPr>
        <w:spacing w:after="0" w:line="20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666666"/>
        </w:rPr>
        <w:t>In calculating an executive's ownership, Class A Common Stock, vested in-the-money stock options, restricted stock, restricted stock units, and performance stock units at target, issued under the Equity Incentive Plan are considered as owned by the executive. Each of our named executive officers has satisfied his or her individual stock ownership requirement.</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Risk Assessment</w:t>
      </w:r>
    </w:p>
    <w:p>
      <w:pPr>
        <w:spacing w:after="0" w:line="253" w:lineRule="exact"/>
        <w:rPr>
          <w:sz w:val="20"/>
          <w:szCs w:val="20"/>
          <w:color w:val="auto"/>
        </w:rPr>
      </w:pPr>
    </w:p>
    <w:p>
      <w:pPr>
        <w:ind w:right="80" w:firstLine="324"/>
        <w:spacing w:after="0"/>
        <w:rPr>
          <w:sz w:val="20"/>
          <w:szCs w:val="20"/>
          <w:color w:val="auto"/>
        </w:rPr>
      </w:pPr>
      <w:r>
        <w:rPr>
          <w:rFonts w:ascii="Arial" w:cs="Arial" w:eastAsia="Arial" w:hAnsi="Arial"/>
          <w:sz w:val="20"/>
          <w:szCs w:val="20"/>
          <w:color w:val="666666"/>
        </w:rPr>
        <w:t>In fiscal year 2020, we engaged Korn Ferry to conduct a risk assessment of our compensation programs in order to receive an external perspective. Based on our approach of compensating our executives to foster the financial success of the Company as a whole and other elements of our compensation system, and the results of Korn Ferry's review, the Compensation Committee concluded that our executive compensation program does not encourage undue risk-taking and the risks arising from our compensation policies and practices for our employees are not reasonably likely to have a material adverse effect on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Advisory Vote to Approve Executive Compensation</w:t>
      </w:r>
    </w:p>
    <w:p>
      <w:pPr>
        <w:spacing w:after="0" w:line="253" w:lineRule="exact"/>
        <w:rPr>
          <w:sz w:val="20"/>
          <w:szCs w:val="20"/>
          <w:color w:val="auto"/>
        </w:rPr>
      </w:pPr>
    </w:p>
    <w:p>
      <w:pPr>
        <w:ind w:right="320" w:firstLine="324"/>
        <w:spacing w:after="0" w:line="241" w:lineRule="auto"/>
        <w:rPr>
          <w:sz w:val="20"/>
          <w:szCs w:val="20"/>
          <w:color w:val="auto"/>
        </w:rPr>
      </w:pPr>
      <w:r>
        <w:rPr>
          <w:rFonts w:ascii="Arial" w:cs="Arial" w:eastAsia="Arial" w:hAnsi="Arial"/>
          <w:sz w:val="20"/>
          <w:szCs w:val="20"/>
          <w:color w:val="666666"/>
        </w:rPr>
        <w:t>At the 2019 Annual Meeting of Stockholders, approximately 95% of the votes cast were in favor of our executive compensation structure. The Board and Compensation Committee viewed this strong support as an indicator of general approval of our approach to executive compensation. In 2017, the Company’s stockholders approved holding the say-on-pay vote annually. The next advisory vote for the frequency of holding the say-on-pay vote is scheduled for the Annual Meeting of Stockholders in 2023.</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20"/>
          <w:szCs w:val="20"/>
          <w:color w:val="666666"/>
        </w:rPr>
        <w:t>We continue to engage with our stockholders and welcome feedback regarding our executive compensation programs.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Government Limitations on Reimbursement of Compensation Costs</w:t>
      </w:r>
    </w:p>
    <w:p>
      <w:pPr>
        <w:spacing w:after="0" w:line="253"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As a government contractor, we are subject to applicable federal statutes and the Federal Acquisition Regulation, or the FAR, which govern the reimbursement of costs by our government clients. Pursuant to the FAR our contracts limit the allowability of reimbursement for compensation to certain, or in some cases, all employees including our named executive officers, to a benchmark compensation cap established for each year by the Office of Management and Budget (OMB). When comparing compensation to the benchmark cap, all wages, salary, bonuses, deferred compensation, and employer contributions to defined contribution pension plans, if any, for the year, as recorded in our books and records, must be included. Any amounts over the cap are considered unallowable and are therefore not recoverable under our government contracts. The compensation cap established by the OMB, which is applicable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36</w:t>
      </w:r>
    </w:p>
    <w:p>
      <w:pPr>
        <w:sectPr>
          <w:pgSz w:w="11900" w:h="16838" w:orient="portrait"/>
          <w:cols w:equalWidth="0" w:num="1">
            <w:col w:w="11240"/>
          </w:cols>
          <w:pgMar w:left="320" w:top="490" w:right="339" w:bottom="1440" w:gutter="0" w:footer="0" w:header="0"/>
        </w:sectPr>
      </w:pPr>
    </w:p>
    <w:bookmarkStart w:id="45" w:name="page46"/>
    <w:bookmarkEnd w:id="45"/>
    <w:p>
      <w:pPr>
        <w:spacing w:after="0" w:line="246" w:lineRule="auto"/>
        <w:rPr>
          <w:sz w:val="20"/>
          <w:szCs w:val="20"/>
          <w:color w:val="auto"/>
        </w:rPr>
      </w:pPr>
      <w:r>
        <w:rPr>
          <w:rFonts w:ascii="Arial" w:cs="Arial" w:eastAsia="Arial" w:hAnsi="Arial"/>
          <w:sz w:val="20"/>
          <w:szCs w:val="20"/>
          <w:color w:val="666666"/>
        </w:rPr>
        <w:t>to a portion of our contracts for the 2019 calendar year has not been established yet. Other contracts have higher caps and/or limit the allowable compensation of fewer employees.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Compensation Recovery Provisions (Clawbacks) in Incentive Plans</w:t>
      </w:r>
    </w:p>
    <w:p>
      <w:pPr>
        <w:spacing w:after="0" w:line="253" w:lineRule="exact"/>
        <w:rPr>
          <w:sz w:val="20"/>
          <w:szCs w:val="20"/>
          <w:color w:val="auto"/>
        </w:rPr>
      </w:pPr>
    </w:p>
    <w:p>
      <w:pPr>
        <w:jc w:val="both"/>
        <w:ind w:right="460" w:firstLine="324"/>
        <w:spacing w:after="0" w:line="243" w:lineRule="auto"/>
        <w:rPr>
          <w:sz w:val="20"/>
          <w:szCs w:val="20"/>
          <w:color w:val="auto"/>
        </w:rPr>
      </w:pPr>
      <w:r>
        <w:rPr>
          <w:rFonts w:ascii="Arial" w:cs="Arial" w:eastAsia="Arial" w:hAnsi="Arial"/>
          <w:sz w:val="20"/>
          <w:szCs w:val="20"/>
          <w:color w:val="666666"/>
        </w:rPr>
        <w:t>We have provisions in our incentive plans that provide us with the ability to impose the forfeiture of bonuses and equity compensation and the recovery of certain bonus amounts and gains from equity compensation awarded under those plans. Such forfeitures and recoveries may occur:</w:t>
      </w:r>
    </w:p>
    <w:p>
      <w:pPr>
        <w:spacing w:after="0" w:line="98" w:lineRule="exact"/>
        <w:rPr>
          <w:sz w:val="20"/>
          <w:szCs w:val="20"/>
          <w:color w:val="auto"/>
        </w:rPr>
      </w:pPr>
    </w:p>
    <w:p>
      <w:pPr>
        <w:jc w:val="both"/>
        <w:ind w:left="660" w:right="520" w:hanging="328"/>
        <w:spacing w:after="0" w:line="243" w:lineRule="auto"/>
        <w:tabs>
          <w:tab w:leader="none" w:pos="660" w:val="left"/>
        </w:tabs>
        <w:numPr>
          <w:ilvl w:val="0"/>
          <w:numId w:val="42"/>
        </w:numPr>
        <w:rPr>
          <w:rFonts w:ascii="Arial" w:cs="Arial" w:eastAsia="Arial" w:hAnsi="Arial"/>
          <w:sz w:val="20"/>
          <w:szCs w:val="20"/>
          <w:color w:val="666666"/>
        </w:rPr>
      </w:pPr>
      <w:r>
        <w:rPr>
          <w:rFonts w:ascii="Arial" w:cs="Arial" w:eastAsia="Arial" w:hAnsi="Arial"/>
          <w:sz w:val="20"/>
          <w:szCs w:val="20"/>
          <w:color w:val="666666"/>
        </w:rPr>
        <w:t>in the event of an accounting restatement due to material non-compliance with any financial reporting requirements under the securities laws with respect to individuals who engage in misconduct or gross negligence that results in a restatement of our financial statements,</w:t>
      </w:r>
    </w:p>
    <w:p>
      <w:pPr>
        <w:spacing w:after="0" w:line="97" w:lineRule="exact"/>
        <w:rPr>
          <w:rFonts w:ascii="Arial" w:cs="Arial" w:eastAsia="Arial" w:hAnsi="Arial"/>
          <w:sz w:val="20"/>
          <w:szCs w:val="20"/>
          <w:color w:val="666666"/>
        </w:rPr>
      </w:pPr>
    </w:p>
    <w:p>
      <w:pPr>
        <w:ind w:left="660" w:hanging="328"/>
        <w:spacing w:after="0"/>
        <w:tabs>
          <w:tab w:leader="none" w:pos="660" w:val="left"/>
        </w:tabs>
        <w:numPr>
          <w:ilvl w:val="0"/>
          <w:numId w:val="42"/>
        </w:numPr>
        <w:rPr>
          <w:rFonts w:ascii="Arial" w:cs="Arial" w:eastAsia="Arial" w:hAnsi="Arial"/>
          <w:sz w:val="20"/>
          <w:szCs w:val="20"/>
          <w:color w:val="666666"/>
        </w:rPr>
      </w:pPr>
      <w:r>
        <w:rPr>
          <w:rFonts w:ascii="Arial" w:cs="Arial" w:eastAsia="Arial" w:hAnsi="Arial"/>
          <w:sz w:val="20"/>
          <w:szCs w:val="20"/>
          <w:color w:val="666666"/>
        </w:rPr>
        <w:t>with respect to individuals subject to automatic forfeiture under Section 304 of the Sarbanes-Oxley Act of 2002, and,</w:t>
      </w:r>
    </w:p>
    <w:p>
      <w:pPr>
        <w:spacing w:after="0" w:line="107" w:lineRule="exact"/>
        <w:rPr>
          <w:rFonts w:ascii="Arial" w:cs="Arial" w:eastAsia="Arial" w:hAnsi="Arial"/>
          <w:sz w:val="20"/>
          <w:szCs w:val="20"/>
          <w:color w:val="666666"/>
        </w:rPr>
      </w:pPr>
    </w:p>
    <w:p>
      <w:pPr>
        <w:ind w:left="660" w:right="100" w:hanging="328"/>
        <w:spacing w:after="0" w:line="243" w:lineRule="auto"/>
        <w:tabs>
          <w:tab w:leader="none" w:pos="660" w:val="left"/>
        </w:tabs>
        <w:numPr>
          <w:ilvl w:val="0"/>
          <w:numId w:val="42"/>
        </w:numPr>
        <w:rPr>
          <w:rFonts w:ascii="Arial" w:cs="Arial" w:eastAsia="Arial" w:hAnsi="Arial"/>
          <w:sz w:val="20"/>
          <w:szCs w:val="20"/>
          <w:color w:val="666666"/>
        </w:rPr>
      </w:pPr>
      <w:r>
        <w:rPr>
          <w:rFonts w:ascii="Arial" w:cs="Arial" w:eastAsia="Arial" w:hAnsi="Arial"/>
          <w:sz w:val="20"/>
          <w:szCs w:val="20"/>
          <w:color w:val="666666"/>
        </w:rPr>
        <w:t>to the extent that, based on erroneous data, any award or payment is in excess of what would have been paid under the accounting restatement during the three-year period preceding the date on which a financial restatement is required, current or former executives, or as otherwise required under applicable laws or regulations.</w:t>
      </w:r>
    </w:p>
    <w:p>
      <w:pPr>
        <w:spacing w:after="0" w:line="219" w:lineRule="exact"/>
        <w:rPr>
          <w:sz w:val="20"/>
          <w:szCs w:val="20"/>
          <w:color w:val="auto"/>
        </w:rPr>
      </w:pPr>
    </w:p>
    <w:p>
      <w:pPr>
        <w:ind w:right="80" w:firstLine="324"/>
        <w:spacing w:after="0" w:line="257" w:lineRule="auto"/>
        <w:rPr>
          <w:sz w:val="20"/>
          <w:szCs w:val="20"/>
          <w:color w:val="auto"/>
        </w:rPr>
      </w:pPr>
      <w:r>
        <w:rPr>
          <w:rFonts w:ascii="Arial" w:cs="Arial" w:eastAsia="Arial" w:hAnsi="Arial"/>
          <w:sz w:val="19"/>
          <w:szCs w:val="19"/>
          <w:color w:val="666666"/>
        </w:rPr>
        <w:t>In addition, if an individual engages in certain other misconduct, we have the discretion to suspend vesting of all or a portion of any award and/or require the forfeiture or disgorgement to us of any equity award (including gains on the sale of the stock, if any) that vested, was paid or settled in the 12 months prior to or any time after the individual engaged in such misconduct. Our Equity Incentive Plan and Annual Incentive Plan also permit the Company to subject awards to forfeiture, disgorgement and recoupment under any applicable claw-back policies that may be adopted by the Board or our Compensation Committee.</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Certain Change in Control Provisions</w:t>
      </w:r>
    </w:p>
    <w:p>
      <w:pPr>
        <w:spacing w:after="0" w:line="253" w:lineRule="exact"/>
        <w:rPr>
          <w:sz w:val="20"/>
          <w:szCs w:val="20"/>
          <w:color w:val="auto"/>
        </w:rPr>
      </w:pPr>
    </w:p>
    <w:p>
      <w:pPr>
        <w:ind w:firstLine="324"/>
        <w:spacing w:after="0"/>
        <w:rPr>
          <w:sz w:val="20"/>
          <w:szCs w:val="20"/>
          <w:color w:val="auto"/>
        </w:rPr>
      </w:pPr>
      <w:r>
        <w:rPr>
          <w:rFonts w:ascii="Arial" w:cs="Arial" w:eastAsia="Arial" w:hAnsi="Arial"/>
          <w:sz w:val="20"/>
          <w:szCs w:val="20"/>
          <w:color w:val="666666"/>
        </w:rPr>
        <w:t>In the event of a change in control, unless the plan administrator determines otherwise, all time-based awards under the Equity Incentive Plan, including options and time restricted stock units, will fully vest. Unvested performance-based restricted stock units will remain outstanding at target levels and will vest on the original vesting date, subject to the continued employment or service of the participant by the Company or any subsidiary thereof through such date, but without regard to achievement of any performance goals; however, if the participant’s employment or service is terminated by the Company without cause or for good reason within two years following the effective date of the change in control, such outstanding restricted stock units will vest as of the date of termination. Under the Equity Incentive Plan, “change in control” is generally defined as the acquisition by any person of 50% or more of the combined voting power of our Company's then outstanding voting securities, the merger of our Company if our stockholders immediately prior to the merger do not own more than 50% of the combined voting power of the merged entity, the liquidation or dissolution of our Company (other than in a bankruptcy proceeding or for the purposes of effecting a corporate restructuring or reorganization), or the sale of all or substantially all the assets of our Company to non-affiliates.</w:t>
      </w:r>
    </w:p>
    <w:p>
      <w:pPr>
        <w:spacing w:after="0" w:line="224" w:lineRule="exact"/>
        <w:rPr>
          <w:sz w:val="20"/>
          <w:szCs w:val="20"/>
          <w:color w:val="auto"/>
        </w:rPr>
      </w:pPr>
    </w:p>
    <w:p>
      <w:pPr>
        <w:ind w:right="160" w:firstLine="324"/>
        <w:spacing w:after="0"/>
        <w:rPr>
          <w:sz w:val="20"/>
          <w:szCs w:val="20"/>
          <w:color w:val="auto"/>
        </w:rPr>
      </w:pPr>
      <w:r>
        <w:rPr>
          <w:rFonts w:ascii="Arial" w:cs="Arial" w:eastAsia="Arial" w:hAnsi="Arial"/>
          <w:sz w:val="20"/>
          <w:szCs w:val="20"/>
          <w:color w:val="666666"/>
        </w:rPr>
        <w:t>In addition, if during the five-year period after a change in control our executives' retiree medical plan is terminated or modified in a manner that is materially adverse to our executives, each of our executives, including our named executive officers, will be guaranteed their existing benefits under the plan through the fifth anniversary of the change in control and receive at the end of the five-year period a cash payment equal to the excess of the actuarial cost of the executive's benefits under the plan that would be accrued on the Company's financial statements on the fifth anniversary of the change in control in the absence of the termination or modification over the amount that is accrued on our financial statements on the fifth anniversary of the change in control giving effect to the termination or modification (but excluding the accrual on the payment itself).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37</w:t>
      </w:r>
    </w:p>
    <w:p>
      <w:pPr>
        <w:sectPr>
          <w:pgSz w:w="11900" w:h="16838" w:orient="portrait"/>
          <w:cols w:equalWidth="0" w:num="1">
            <w:col w:w="11240"/>
          </w:cols>
          <w:pgMar w:left="320" w:top="352" w:right="339"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u w:val="single" w:color="auto"/>
          <w:color w:val="547BCC"/>
        </w:rPr>
        <w:t>Policies on Timing of Equity Grants</w:t>
      </w:r>
    </w:p>
    <w:p>
      <w:pPr>
        <w:spacing w:after="0" w:line="253" w:lineRule="exact"/>
        <w:rPr>
          <w:sz w:val="20"/>
          <w:szCs w:val="20"/>
          <w:color w:val="auto"/>
        </w:rPr>
      </w:pPr>
    </w:p>
    <w:p>
      <w:pPr>
        <w:ind w:right="460" w:firstLine="324"/>
        <w:spacing w:after="0" w:line="241" w:lineRule="auto"/>
        <w:rPr>
          <w:sz w:val="20"/>
          <w:szCs w:val="20"/>
          <w:color w:val="auto"/>
        </w:rPr>
      </w:pPr>
      <w:r>
        <w:rPr>
          <w:rFonts w:ascii="Arial" w:cs="Arial" w:eastAsia="Arial" w:hAnsi="Arial"/>
          <w:sz w:val="20"/>
          <w:szCs w:val="20"/>
          <w:color w:val="666666"/>
        </w:rPr>
        <w:t>It is our policy not to time the granting of equity awards in relation to the release of material, non-public information. Accordingly, regularly scheduled awards are permitted to be granted at times when there is material non-public information. Annual awards to all officers, including the named executive officers, are typically granted by the Compensation Committee meeting each year in May. We generally grant awards to newly hired and promoted executive officers at the next scheduled Compensation Committee or Board meeting following the hire or promotion effective date.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Effect of Accounting and Tax Treatment on Compensation Decisions</w:t>
      </w:r>
    </w:p>
    <w:p>
      <w:pPr>
        <w:spacing w:after="0" w:line="253"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The Compensation Committee has from time to time considered the potential impact of Section 162(m) of the Code on elements of our compensation program. Section 162(m) imposes a limit on the amount of compensation that we may deduct in any one year with respect to certain “covered employees.” The Tax Cuts and Jobs Act of 2017 made certain changes to Section 162(m), including repealing the performance-based compensation exception and expanding the scope of persons covered by the limitations on deductibility under Section 162(m). Accordingly, compensation paid after March 31, 2018 to our covered employees in excess of $1 million will not be deductible unless it qualifies for transition relief applicable to certain arrangements in place as of November 2, 2017 that are not modified in any material respect after that date.</w:t>
      </w:r>
    </w:p>
    <w:p>
      <w:pPr>
        <w:spacing w:after="0" w:line="21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color w:val="666666"/>
        </w:rPr>
        <w:t>In prior years, we sought to structure our annual incentive compensation and long-term equity incentive compensation paid to our “covered employees” to be deductible under Section 162(m) to the extent possible. However, our Compensation Committee considers it important to retain the flexibility to design compensation programs that are in the best long-term interests of our Company and our stockholders and does not have a policy requiring compensation to be fully deductible under Section 162(m). While we intend to rely on the transition relief included in the 2017 Tax Act to the extent practicable and consistent with our business needs, as a result of the elimination of the exemption for qualified performance-based compensation, our Compensation Committee expects to pay compensation at levels that are not deductible under Section 162(m).</w:t>
      </w:r>
    </w:p>
    <w:p>
      <w:pPr>
        <w:spacing w:after="0" w:line="198"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Other provisions of the Code can also affect compensation decisions. Section 409A of the Code, or Section 409A, which governs the form and timing of payment of deferred compensation, imposes sanctions, including a 20% penalty and an interest penalty, on a recipient of deferred compensation that does not comply with Section 409A. Our Compensation Committee takes into account the potential implications of Section 409A in determining the form and timing of compensation awarded to our executives and strives to structure its nonqualified deferred compensation plans to meet these requirements.</w:t>
      </w:r>
    </w:p>
    <w:p>
      <w:pPr>
        <w:spacing w:after="0" w:line="209" w:lineRule="exact"/>
        <w:rPr>
          <w:sz w:val="20"/>
          <w:szCs w:val="20"/>
          <w:color w:val="auto"/>
        </w:rPr>
      </w:pPr>
    </w:p>
    <w:p>
      <w:pPr>
        <w:ind w:right="140" w:firstLine="324"/>
        <w:spacing w:after="0"/>
        <w:rPr>
          <w:sz w:val="20"/>
          <w:szCs w:val="20"/>
          <w:color w:val="auto"/>
        </w:rPr>
      </w:pPr>
      <w:r>
        <w:rPr>
          <w:rFonts w:ascii="Arial" w:cs="Arial" w:eastAsia="Arial" w:hAnsi="Arial"/>
          <w:sz w:val="20"/>
          <w:szCs w:val="20"/>
          <w:color w:val="666666"/>
        </w:rPr>
        <w:t>Section 280G of the Code, or Section 280G, disallows a company's tax deduction for payments received by certain individuals in connection with a change in control to the extent that the payments exceed an amount approximately three times their average annual compensation and Section 4999 of the Code imposes a 20% excise tax on those payments. As described above, awards under our Equity Incentive Plan have or will contain provisions that accelerate vesting of all or a portion of the awards in connection with a change in control. To the extent that payments upon a change in control are classified as excess parachute payments, our Company's tax deduction would be disallowed under Section 280G.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38</w:t>
      </w:r>
    </w:p>
    <w:p>
      <w:pPr>
        <w:sectPr>
          <w:pgSz w:w="11900" w:h="16838" w:orient="portrait"/>
          <w:cols w:equalWidth="0" w:num="1">
            <w:col w:w="11240"/>
          </w:cols>
          <w:pgMar w:left="320" w:top="490" w:right="339" w:bottom="1440" w:gutter="0" w:footer="0" w:header="0"/>
        </w:sectPr>
      </w:pPr>
    </w:p>
    <w:bookmarkStart w:id="47" w:name="page48"/>
    <w:bookmarkEnd w:id="47"/>
    <w:p>
      <w:pPr>
        <w:spacing w:after="0"/>
        <w:rPr>
          <w:sz w:val="20"/>
          <w:szCs w:val="20"/>
          <w:color w:val="auto"/>
        </w:rPr>
      </w:pPr>
      <w:r>
        <w:rPr>
          <w:rFonts w:ascii="Arial" w:cs="Arial" w:eastAsia="Arial" w:hAnsi="Arial"/>
          <w:sz w:val="20"/>
          <w:szCs w:val="20"/>
          <w:b w:val="1"/>
          <w:bCs w:val="1"/>
          <w:u w:val="single" w:color="auto"/>
          <w:color w:val="547BCC"/>
        </w:rPr>
        <w:t>Compensation Tables and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291465</wp:posOffset>
            </wp:positionV>
            <wp:extent cx="7149465" cy="31546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315468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FFFFFF"/>
        </w:rPr>
        <w:t>SUMMARY COMPENSATION TABLE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20" w:type="dxa"/>
            <w:vAlign w:val="bottom"/>
            <w:shd w:val="clear" w:color="auto" w:fill="DDDDDD"/>
          </w:tcPr>
          <w:p>
            <w:pPr>
              <w:spacing w:after="0"/>
              <w:rPr>
                <w:sz w:val="16"/>
                <w:szCs w:val="16"/>
                <w:color w:val="auto"/>
              </w:rPr>
            </w:pPr>
          </w:p>
        </w:tc>
        <w:tc>
          <w:tcPr>
            <w:tcW w:w="680" w:type="dxa"/>
            <w:vAlign w:val="bottom"/>
            <w:shd w:val="clear" w:color="auto" w:fill="DDDDDD"/>
          </w:tcPr>
          <w:p>
            <w:pPr>
              <w:spacing w:after="0"/>
              <w:rPr>
                <w:sz w:val="16"/>
                <w:szCs w:val="16"/>
                <w:color w:val="auto"/>
              </w:rPr>
            </w:pPr>
          </w:p>
        </w:tc>
        <w:tc>
          <w:tcPr>
            <w:tcW w:w="90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94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360" w:type="dxa"/>
            <w:vAlign w:val="bottom"/>
            <w:shd w:val="clear" w:color="auto" w:fill="DDDDDD"/>
          </w:tcPr>
          <w:p>
            <w:pPr>
              <w:spacing w:after="0"/>
              <w:rPr>
                <w:sz w:val="16"/>
                <w:szCs w:val="16"/>
                <w:color w:val="auto"/>
              </w:rPr>
            </w:pPr>
          </w:p>
        </w:tc>
        <w:tc>
          <w:tcPr>
            <w:tcW w:w="132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Change in</w:t>
            </w:r>
          </w:p>
        </w:tc>
        <w:tc>
          <w:tcPr>
            <w:tcW w:w="1500" w:type="dxa"/>
            <w:vAlign w:val="bottom"/>
            <w:shd w:val="clear" w:color="auto" w:fill="DDDDDD"/>
          </w:tcPr>
          <w:p>
            <w:pPr>
              <w:spacing w:after="0"/>
              <w:rPr>
                <w:sz w:val="16"/>
                <w:szCs w:val="16"/>
                <w:color w:val="auto"/>
              </w:rPr>
            </w:pPr>
          </w:p>
        </w:tc>
        <w:tc>
          <w:tcPr>
            <w:tcW w:w="1060" w:type="dxa"/>
            <w:vAlign w:val="bottom"/>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900" w:type="dxa"/>
            <w:vAlign w:val="bottom"/>
            <w:shd w:val="clear" w:color="auto" w:fill="DDDDDD"/>
          </w:tcPr>
          <w:p>
            <w:pPr>
              <w:spacing w:after="0"/>
              <w:rPr>
                <w:sz w:val="14"/>
                <w:szCs w:val="14"/>
                <w:color w:val="auto"/>
              </w:rPr>
            </w:pPr>
          </w:p>
        </w:tc>
        <w:tc>
          <w:tcPr>
            <w:tcW w:w="800" w:type="dxa"/>
            <w:vAlign w:val="bottom"/>
            <w:shd w:val="clear" w:color="auto" w:fill="DDDDDD"/>
          </w:tcPr>
          <w:p>
            <w:pPr>
              <w:spacing w:after="0"/>
              <w:rPr>
                <w:sz w:val="14"/>
                <w:szCs w:val="14"/>
                <w:color w:val="auto"/>
              </w:rPr>
            </w:pPr>
          </w:p>
        </w:tc>
        <w:tc>
          <w:tcPr>
            <w:tcW w:w="940" w:type="dxa"/>
            <w:vAlign w:val="bottom"/>
            <w:shd w:val="clear" w:color="auto" w:fill="DDDDDD"/>
          </w:tcPr>
          <w:p>
            <w:pPr>
              <w:spacing w:after="0"/>
              <w:rPr>
                <w:sz w:val="14"/>
                <w:szCs w:val="14"/>
                <w:color w:val="auto"/>
              </w:rPr>
            </w:pPr>
          </w:p>
        </w:tc>
        <w:tc>
          <w:tcPr>
            <w:tcW w:w="860" w:type="dxa"/>
            <w:vAlign w:val="bottom"/>
            <w:shd w:val="clear" w:color="auto" w:fill="DDDDDD"/>
          </w:tcPr>
          <w:p>
            <w:pPr>
              <w:spacing w:after="0"/>
              <w:rPr>
                <w:sz w:val="14"/>
                <w:szCs w:val="14"/>
                <w:color w:val="auto"/>
              </w:rPr>
            </w:pPr>
          </w:p>
        </w:tc>
        <w:tc>
          <w:tcPr>
            <w:tcW w:w="1360" w:type="dxa"/>
            <w:vAlign w:val="bottom"/>
            <w:shd w:val="clear" w:color="auto" w:fill="DDDDDD"/>
          </w:tcPr>
          <w:p>
            <w:pPr>
              <w:spacing w:after="0"/>
              <w:rPr>
                <w:sz w:val="14"/>
                <w:szCs w:val="14"/>
                <w:color w:val="auto"/>
              </w:rPr>
            </w:pPr>
          </w:p>
        </w:tc>
        <w:tc>
          <w:tcPr>
            <w:tcW w:w="132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Pension</w:t>
            </w:r>
          </w:p>
        </w:tc>
        <w:tc>
          <w:tcPr>
            <w:tcW w:w="1500" w:type="dxa"/>
            <w:vAlign w:val="bottom"/>
            <w:shd w:val="clear" w:color="auto" w:fill="DDDDDD"/>
          </w:tcPr>
          <w:p>
            <w:pPr>
              <w:spacing w:after="0"/>
              <w:rPr>
                <w:sz w:val="14"/>
                <w:szCs w:val="14"/>
                <w:color w:val="auto"/>
              </w:rPr>
            </w:pPr>
          </w:p>
        </w:tc>
        <w:tc>
          <w:tcPr>
            <w:tcW w:w="1060" w:type="dxa"/>
            <w:vAlign w:val="bottom"/>
            <w:shd w:val="clear" w:color="auto" w:fill="DDDDDD"/>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900" w:type="dxa"/>
            <w:vAlign w:val="bottom"/>
            <w:shd w:val="clear" w:color="auto" w:fill="DDDDDD"/>
          </w:tcPr>
          <w:p>
            <w:pPr>
              <w:spacing w:after="0"/>
              <w:rPr>
                <w:sz w:val="14"/>
                <w:szCs w:val="14"/>
                <w:color w:val="auto"/>
              </w:rPr>
            </w:pPr>
          </w:p>
        </w:tc>
        <w:tc>
          <w:tcPr>
            <w:tcW w:w="800" w:type="dxa"/>
            <w:vAlign w:val="bottom"/>
            <w:shd w:val="clear" w:color="auto" w:fill="DDDDDD"/>
          </w:tcPr>
          <w:p>
            <w:pPr>
              <w:spacing w:after="0"/>
              <w:rPr>
                <w:sz w:val="14"/>
                <w:szCs w:val="14"/>
                <w:color w:val="auto"/>
              </w:rPr>
            </w:pPr>
          </w:p>
        </w:tc>
        <w:tc>
          <w:tcPr>
            <w:tcW w:w="940" w:type="dxa"/>
            <w:vAlign w:val="bottom"/>
            <w:shd w:val="clear" w:color="auto" w:fill="DDDDDD"/>
          </w:tcPr>
          <w:p>
            <w:pPr>
              <w:spacing w:after="0"/>
              <w:rPr>
                <w:sz w:val="14"/>
                <w:szCs w:val="14"/>
                <w:color w:val="auto"/>
              </w:rPr>
            </w:pPr>
          </w:p>
        </w:tc>
        <w:tc>
          <w:tcPr>
            <w:tcW w:w="860" w:type="dxa"/>
            <w:vAlign w:val="bottom"/>
            <w:shd w:val="clear" w:color="auto" w:fill="DDDDDD"/>
          </w:tcPr>
          <w:p>
            <w:pPr>
              <w:spacing w:after="0"/>
              <w:rPr>
                <w:sz w:val="14"/>
                <w:szCs w:val="14"/>
                <w:color w:val="auto"/>
              </w:rPr>
            </w:pPr>
          </w:p>
        </w:tc>
        <w:tc>
          <w:tcPr>
            <w:tcW w:w="1360" w:type="dxa"/>
            <w:vAlign w:val="bottom"/>
            <w:shd w:val="clear" w:color="auto" w:fill="DDDDDD"/>
          </w:tcPr>
          <w:p>
            <w:pPr>
              <w:spacing w:after="0"/>
              <w:rPr>
                <w:sz w:val="14"/>
                <w:szCs w:val="14"/>
                <w:color w:val="auto"/>
              </w:rPr>
            </w:pPr>
          </w:p>
        </w:tc>
        <w:tc>
          <w:tcPr>
            <w:tcW w:w="132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w w:val="99"/>
              </w:rPr>
              <w:t>Value and</w:t>
            </w:r>
          </w:p>
        </w:tc>
        <w:tc>
          <w:tcPr>
            <w:tcW w:w="1500" w:type="dxa"/>
            <w:vAlign w:val="bottom"/>
            <w:shd w:val="clear" w:color="auto" w:fill="DDDDDD"/>
          </w:tcPr>
          <w:p>
            <w:pPr>
              <w:spacing w:after="0"/>
              <w:rPr>
                <w:sz w:val="14"/>
                <w:szCs w:val="14"/>
                <w:color w:val="auto"/>
              </w:rPr>
            </w:pPr>
          </w:p>
        </w:tc>
        <w:tc>
          <w:tcPr>
            <w:tcW w:w="1060" w:type="dxa"/>
            <w:vAlign w:val="bottom"/>
            <w:shd w:val="clear" w:color="auto" w:fill="DDDDDD"/>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900" w:type="dxa"/>
            <w:vAlign w:val="bottom"/>
            <w:shd w:val="clear" w:color="auto" w:fill="DDDDDD"/>
          </w:tcPr>
          <w:p>
            <w:pPr>
              <w:spacing w:after="0"/>
              <w:rPr>
                <w:sz w:val="14"/>
                <w:szCs w:val="14"/>
                <w:color w:val="auto"/>
              </w:rPr>
            </w:pPr>
          </w:p>
        </w:tc>
        <w:tc>
          <w:tcPr>
            <w:tcW w:w="800" w:type="dxa"/>
            <w:vAlign w:val="bottom"/>
            <w:shd w:val="clear" w:color="auto" w:fill="DDDDDD"/>
          </w:tcPr>
          <w:p>
            <w:pPr>
              <w:spacing w:after="0"/>
              <w:rPr>
                <w:sz w:val="14"/>
                <w:szCs w:val="14"/>
                <w:color w:val="auto"/>
              </w:rPr>
            </w:pPr>
          </w:p>
        </w:tc>
        <w:tc>
          <w:tcPr>
            <w:tcW w:w="940" w:type="dxa"/>
            <w:vAlign w:val="bottom"/>
            <w:shd w:val="clear" w:color="auto" w:fill="DDDDDD"/>
          </w:tcPr>
          <w:p>
            <w:pPr>
              <w:spacing w:after="0"/>
              <w:rPr>
                <w:sz w:val="14"/>
                <w:szCs w:val="14"/>
                <w:color w:val="auto"/>
              </w:rPr>
            </w:pPr>
          </w:p>
        </w:tc>
        <w:tc>
          <w:tcPr>
            <w:tcW w:w="860" w:type="dxa"/>
            <w:vAlign w:val="bottom"/>
            <w:shd w:val="clear" w:color="auto" w:fill="DDDDDD"/>
          </w:tcPr>
          <w:p>
            <w:pPr>
              <w:spacing w:after="0"/>
              <w:rPr>
                <w:sz w:val="14"/>
                <w:szCs w:val="14"/>
                <w:color w:val="auto"/>
              </w:rPr>
            </w:pPr>
          </w:p>
        </w:tc>
        <w:tc>
          <w:tcPr>
            <w:tcW w:w="1360" w:type="dxa"/>
            <w:vAlign w:val="bottom"/>
            <w:shd w:val="clear" w:color="auto" w:fill="DDDDDD"/>
          </w:tcPr>
          <w:p>
            <w:pPr>
              <w:spacing w:after="0"/>
              <w:rPr>
                <w:sz w:val="14"/>
                <w:szCs w:val="14"/>
                <w:color w:val="auto"/>
              </w:rPr>
            </w:pPr>
          </w:p>
        </w:tc>
        <w:tc>
          <w:tcPr>
            <w:tcW w:w="132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Nonqualified</w:t>
            </w:r>
          </w:p>
        </w:tc>
        <w:tc>
          <w:tcPr>
            <w:tcW w:w="1500" w:type="dxa"/>
            <w:vAlign w:val="bottom"/>
            <w:shd w:val="clear" w:color="auto" w:fill="DDDDDD"/>
          </w:tcPr>
          <w:p>
            <w:pPr>
              <w:spacing w:after="0"/>
              <w:rPr>
                <w:sz w:val="14"/>
                <w:szCs w:val="14"/>
                <w:color w:val="auto"/>
              </w:rPr>
            </w:pPr>
          </w:p>
        </w:tc>
        <w:tc>
          <w:tcPr>
            <w:tcW w:w="1060" w:type="dxa"/>
            <w:vAlign w:val="bottom"/>
            <w:shd w:val="clear" w:color="auto" w:fill="DDDDDD"/>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900" w:type="dxa"/>
            <w:vAlign w:val="bottom"/>
            <w:shd w:val="clear" w:color="auto" w:fill="DDDDDD"/>
          </w:tcPr>
          <w:p>
            <w:pPr>
              <w:spacing w:after="0"/>
              <w:rPr>
                <w:sz w:val="14"/>
                <w:szCs w:val="14"/>
                <w:color w:val="auto"/>
              </w:rPr>
            </w:pPr>
          </w:p>
        </w:tc>
        <w:tc>
          <w:tcPr>
            <w:tcW w:w="800" w:type="dxa"/>
            <w:vAlign w:val="bottom"/>
            <w:shd w:val="clear" w:color="auto" w:fill="DDDDDD"/>
          </w:tcPr>
          <w:p>
            <w:pPr>
              <w:spacing w:after="0"/>
              <w:rPr>
                <w:sz w:val="14"/>
                <w:szCs w:val="14"/>
                <w:color w:val="auto"/>
              </w:rPr>
            </w:pPr>
          </w:p>
        </w:tc>
        <w:tc>
          <w:tcPr>
            <w:tcW w:w="940" w:type="dxa"/>
            <w:vAlign w:val="bottom"/>
            <w:shd w:val="clear" w:color="auto" w:fill="DDDDDD"/>
          </w:tcPr>
          <w:p>
            <w:pPr>
              <w:spacing w:after="0"/>
              <w:rPr>
                <w:sz w:val="14"/>
                <w:szCs w:val="14"/>
                <w:color w:val="auto"/>
              </w:rPr>
            </w:pPr>
          </w:p>
        </w:tc>
        <w:tc>
          <w:tcPr>
            <w:tcW w:w="860" w:type="dxa"/>
            <w:vAlign w:val="bottom"/>
            <w:shd w:val="clear" w:color="auto" w:fill="DDDDDD"/>
          </w:tcPr>
          <w:p>
            <w:pPr>
              <w:spacing w:after="0"/>
              <w:rPr>
                <w:sz w:val="14"/>
                <w:szCs w:val="14"/>
                <w:color w:val="auto"/>
              </w:rPr>
            </w:pPr>
          </w:p>
        </w:tc>
        <w:tc>
          <w:tcPr>
            <w:tcW w:w="136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Non-Equity</w:t>
            </w:r>
          </w:p>
        </w:tc>
        <w:tc>
          <w:tcPr>
            <w:tcW w:w="132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Deferred</w:t>
            </w:r>
          </w:p>
        </w:tc>
        <w:tc>
          <w:tcPr>
            <w:tcW w:w="1500" w:type="dxa"/>
            <w:vAlign w:val="bottom"/>
            <w:shd w:val="clear" w:color="auto" w:fill="DDDDDD"/>
          </w:tcPr>
          <w:p>
            <w:pPr>
              <w:spacing w:after="0"/>
              <w:rPr>
                <w:sz w:val="14"/>
                <w:szCs w:val="14"/>
                <w:color w:val="auto"/>
              </w:rPr>
            </w:pPr>
          </w:p>
        </w:tc>
        <w:tc>
          <w:tcPr>
            <w:tcW w:w="1060" w:type="dxa"/>
            <w:vAlign w:val="bottom"/>
            <w:shd w:val="clear" w:color="auto" w:fill="DDDDDD"/>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20" w:type="dxa"/>
            <w:vAlign w:val="bottom"/>
            <w:shd w:val="clear" w:color="auto" w:fill="DDDDDD"/>
          </w:tcPr>
          <w:p>
            <w:pPr>
              <w:ind w:left="260"/>
              <w:spacing w:after="0"/>
              <w:rPr>
                <w:sz w:val="20"/>
                <w:szCs w:val="20"/>
                <w:color w:val="auto"/>
              </w:rPr>
            </w:pPr>
            <w:r>
              <w:rPr>
                <w:rFonts w:ascii="Arial" w:cs="Arial" w:eastAsia="Arial" w:hAnsi="Arial"/>
                <w:sz w:val="14"/>
                <w:szCs w:val="14"/>
                <w:b w:val="1"/>
                <w:bCs w:val="1"/>
                <w:color w:val="666666"/>
              </w:rPr>
              <w:t>Name and Principal</w:t>
            </w:r>
          </w:p>
        </w:tc>
        <w:tc>
          <w:tcPr>
            <w:tcW w:w="68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Fiscal</w:t>
            </w:r>
          </w:p>
        </w:tc>
        <w:tc>
          <w:tcPr>
            <w:tcW w:w="900" w:type="dxa"/>
            <w:vAlign w:val="bottom"/>
            <w:shd w:val="clear" w:color="auto" w:fill="DDDDDD"/>
          </w:tcPr>
          <w:p>
            <w:pPr>
              <w:spacing w:after="0"/>
              <w:rPr>
                <w:sz w:val="13"/>
                <w:szCs w:val="13"/>
                <w:color w:val="auto"/>
              </w:rPr>
            </w:pPr>
          </w:p>
        </w:tc>
        <w:tc>
          <w:tcPr>
            <w:tcW w:w="800" w:type="dxa"/>
            <w:vAlign w:val="bottom"/>
            <w:shd w:val="clear" w:color="auto" w:fill="DDDDDD"/>
          </w:tcPr>
          <w:p>
            <w:pPr>
              <w:spacing w:after="0"/>
              <w:rPr>
                <w:sz w:val="13"/>
                <w:szCs w:val="13"/>
                <w:color w:val="auto"/>
              </w:rPr>
            </w:pPr>
          </w:p>
        </w:tc>
        <w:tc>
          <w:tcPr>
            <w:tcW w:w="94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w w:val="99"/>
              </w:rPr>
              <w:t>Stock</w:t>
            </w:r>
          </w:p>
        </w:tc>
        <w:tc>
          <w:tcPr>
            <w:tcW w:w="86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Option</w:t>
            </w:r>
          </w:p>
        </w:tc>
        <w:tc>
          <w:tcPr>
            <w:tcW w:w="136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Incentive Plan</w:t>
            </w:r>
          </w:p>
        </w:tc>
        <w:tc>
          <w:tcPr>
            <w:tcW w:w="132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Compensation</w:t>
            </w:r>
          </w:p>
        </w:tc>
        <w:tc>
          <w:tcPr>
            <w:tcW w:w="1500" w:type="dxa"/>
            <w:vAlign w:val="bottom"/>
            <w:shd w:val="clear" w:color="auto" w:fill="DDDDDD"/>
          </w:tcPr>
          <w:p>
            <w:pPr>
              <w:jc w:val="center"/>
              <w:ind w:right="108"/>
              <w:spacing w:after="0"/>
              <w:rPr>
                <w:sz w:val="20"/>
                <w:szCs w:val="20"/>
                <w:color w:val="auto"/>
              </w:rPr>
            </w:pPr>
            <w:r>
              <w:rPr>
                <w:rFonts w:ascii="Arial" w:cs="Arial" w:eastAsia="Arial" w:hAnsi="Arial"/>
                <w:sz w:val="14"/>
                <w:szCs w:val="14"/>
                <w:b w:val="1"/>
                <w:bCs w:val="1"/>
                <w:color w:val="666666"/>
              </w:rPr>
              <w:t>All Other</w:t>
            </w:r>
          </w:p>
        </w:tc>
        <w:tc>
          <w:tcPr>
            <w:tcW w:w="1060" w:type="dxa"/>
            <w:vAlign w:val="bottom"/>
            <w:shd w:val="clear" w:color="auto" w:fill="DDDDDD"/>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20" w:type="dxa"/>
            <w:vAlign w:val="bottom"/>
            <w:shd w:val="clear" w:color="auto" w:fill="DDDDDD"/>
          </w:tcPr>
          <w:p>
            <w:pPr>
              <w:ind w:left="640"/>
              <w:spacing w:after="0"/>
              <w:rPr>
                <w:sz w:val="20"/>
                <w:szCs w:val="20"/>
                <w:color w:val="auto"/>
              </w:rPr>
            </w:pPr>
            <w:r>
              <w:rPr>
                <w:rFonts w:ascii="Arial" w:cs="Arial" w:eastAsia="Arial" w:hAnsi="Arial"/>
                <w:sz w:val="14"/>
                <w:szCs w:val="14"/>
                <w:b w:val="1"/>
                <w:bCs w:val="1"/>
                <w:color w:val="666666"/>
              </w:rPr>
              <w:t>Position</w:t>
            </w:r>
          </w:p>
        </w:tc>
        <w:tc>
          <w:tcPr>
            <w:tcW w:w="680" w:type="dxa"/>
            <w:vAlign w:val="bottom"/>
            <w:shd w:val="clear" w:color="auto" w:fill="DDDDDD"/>
          </w:tcPr>
          <w:p>
            <w:pPr>
              <w:jc w:val="center"/>
              <w:spacing w:after="0" w:line="203" w:lineRule="exact"/>
              <w:rPr>
                <w:sz w:val="20"/>
                <w:szCs w:val="20"/>
                <w:color w:val="auto"/>
              </w:rPr>
            </w:pPr>
            <w:r>
              <w:rPr>
                <w:rFonts w:ascii="Arial" w:cs="Arial" w:eastAsia="Arial" w:hAnsi="Arial"/>
                <w:sz w:val="14"/>
                <w:szCs w:val="14"/>
                <w:b w:val="1"/>
                <w:bCs w:val="1"/>
                <w:color w:val="666666"/>
                <w:w w:val="93"/>
              </w:rPr>
              <w:t xml:space="preserve">Year </w:t>
            </w:r>
            <w:r>
              <w:rPr>
                <w:rFonts w:ascii="Arial" w:cs="Arial" w:eastAsia="Arial" w:hAnsi="Arial"/>
                <w:sz w:val="23"/>
                <w:szCs w:val="23"/>
                <w:b w:val="1"/>
                <w:bCs w:val="1"/>
                <w:color w:val="666666"/>
                <w:w w:val="93"/>
                <w:vertAlign w:val="superscript"/>
              </w:rPr>
              <w:t>1</w:t>
            </w:r>
          </w:p>
        </w:tc>
        <w:tc>
          <w:tcPr>
            <w:tcW w:w="900" w:type="dxa"/>
            <w:vAlign w:val="bottom"/>
            <w:shd w:val="clear" w:color="auto" w:fill="DDDDDD"/>
          </w:tcPr>
          <w:p>
            <w:pPr>
              <w:ind w:left="220"/>
              <w:spacing w:after="0"/>
              <w:rPr>
                <w:sz w:val="20"/>
                <w:szCs w:val="20"/>
                <w:color w:val="auto"/>
              </w:rPr>
            </w:pPr>
            <w:r>
              <w:rPr>
                <w:rFonts w:ascii="Arial" w:cs="Arial" w:eastAsia="Arial" w:hAnsi="Arial"/>
                <w:sz w:val="14"/>
                <w:szCs w:val="14"/>
                <w:b w:val="1"/>
                <w:bCs w:val="1"/>
                <w:color w:val="666666"/>
              </w:rPr>
              <w:t>Salary</w:t>
            </w:r>
          </w:p>
        </w:tc>
        <w:tc>
          <w:tcPr>
            <w:tcW w:w="800" w:type="dxa"/>
            <w:vAlign w:val="bottom"/>
            <w:shd w:val="clear" w:color="auto" w:fill="DDDDDD"/>
          </w:tcPr>
          <w:p>
            <w:pPr>
              <w:ind w:left="180"/>
              <w:spacing w:after="0"/>
              <w:rPr>
                <w:sz w:val="20"/>
                <w:szCs w:val="20"/>
                <w:color w:val="auto"/>
              </w:rPr>
            </w:pPr>
            <w:r>
              <w:rPr>
                <w:rFonts w:ascii="Arial" w:cs="Arial" w:eastAsia="Arial" w:hAnsi="Arial"/>
                <w:sz w:val="14"/>
                <w:szCs w:val="14"/>
                <w:b w:val="1"/>
                <w:bCs w:val="1"/>
                <w:color w:val="666666"/>
              </w:rPr>
              <w:t>Bonus</w:t>
            </w:r>
          </w:p>
        </w:tc>
        <w:tc>
          <w:tcPr>
            <w:tcW w:w="940" w:type="dxa"/>
            <w:vAlign w:val="bottom"/>
            <w:shd w:val="clear" w:color="auto" w:fill="DDDDDD"/>
          </w:tcPr>
          <w:p>
            <w:pPr>
              <w:jc w:val="center"/>
              <w:spacing w:after="0" w:line="203" w:lineRule="exact"/>
              <w:rPr>
                <w:sz w:val="20"/>
                <w:szCs w:val="20"/>
                <w:color w:val="auto"/>
              </w:rPr>
            </w:pPr>
            <w:r>
              <w:rPr>
                <w:rFonts w:ascii="Arial" w:cs="Arial" w:eastAsia="Arial" w:hAnsi="Arial"/>
                <w:sz w:val="14"/>
                <w:szCs w:val="14"/>
                <w:b w:val="1"/>
                <w:bCs w:val="1"/>
                <w:color w:val="666666"/>
                <w:w w:val="98"/>
              </w:rPr>
              <w:t xml:space="preserve">Awards </w:t>
            </w:r>
            <w:r>
              <w:rPr>
                <w:rFonts w:ascii="Arial" w:cs="Arial" w:eastAsia="Arial" w:hAnsi="Arial"/>
                <w:sz w:val="23"/>
                <w:szCs w:val="23"/>
                <w:b w:val="1"/>
                <w:bCs w:val="1"/>
                <w:color w:val="666666"/>
                <w:w w:val="98"/>
                <w:vertAlign w:val="superscript"/>
              </w:rPr>
              <w:t>2</w:t>
            </w:r>
          </w:p>
        </w:tc>
        <w:tc>
          <w:tcPr>
            <w:tcW w:w="86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Awards</w:t>
            </w:r>
          </w:p>
        </w:tc>
        <w:tc>
          <w:tcPr>
            <w:tcW w:w="1360" w:type="dxa"/>
            <w:vAlign w:val="bottom"/>
            <w:shd w:val="clear" w:color="auto" w:fill="DDDDDD"/>
          </w:tcPr>
          <w:p>
            <w:pPr>
              <w:jc w:val="center"/>
              <w:spacing w:after="0" w:line="203" w:lineRule="exact"/>
              <w:rPr>
                <w:sz w:val="20"/>
                <w:szCs w:val="20"/>
                <w:color w:val="auto"/>
              </w:rPr>
            </w:pPr>
            <w:r>
              <w:rPr>
                <w:rFonts w:ascii="Arial" w:cs="Arial" w:eastAsia="Arial" w:hAnsi="Arial"/>
                <w:sz w:val="14"/>
                <w:szCs w:val="14"/>
                <w:b w:val="1"/>
                <w:bCs w:val="1"/>
                <w:color w:val="666666"/>
              </w:rPr>
              <w:t xml:space="preserve">Compensation </w:t>
            </w:r>
            <w:r>
              <w:rPr>
                <w:rFonts w:ascii="Arial" w:cs="Arial" w:eastAsia="Arial" w:hAnsi="Arial"/>
                <w:sz w:val="23"/>
                <w:szCs w:val="23"/>
                <w:b w:val="1"/>
                <w:bCs w:val="1"/>
                <w:color w:val="666666"/>
                <w:vertAlign w:val="superscript"/>
              </w:rPr>
              <w:t>3</w:t>
            </w:r>
          </w:p>
        </w:tc>
        <w:tc>
          <w:tcPr>
            <w:tcW w:w="1320" w:type="dxa"/>
            <w:vAlign w:val="bottom"/>
            <w:shd w:val="clear" w:color="auto" w:fill="DDDDDD"/>
          </w:tcPr>
          <w:p>
            <w:pPr>
              <w:jc w:val="center"/>
              <w:spacing w:after="0" w:line="203" w:lineRule="exact"/>
              <w:rPr>
                <w:sz w:val="20"/>
                <w:szCs w:val="20"/>
                <w:color w:val="auto"/>
              </w:rPr>
            </w:pPr>
            <w:r>
              <w:rPr>
                <w:rFonts w:ascii="Arial" w:cs="Arial" w:eastAsia="Arial" w:hAnsi="Arial"/>
                <w:sz w:val="14"/>
                <w:szCs w:val="14"/>
                <w:b w:val="1"/>
                <w:bCs w:val="1"/>
                <w:color w:val="666666"/>
                <w:w w:val="99"/>
              </w:rPr>
              <w:t xml:space="preserve">Earnings </w:t>
            </w:r>
            <w:r>
              <w:rPr>
                <w:rFonts w:ascii="Arial" w:cs="Arial" w:eastAsia="Arial" w:hAnsi="Arial"/>
                <w:sz w:val="23"/>
                <w:szCs w:val="23"/>
                <w:b w:val="1"/>
                <w:bCs w:val="1"/>
                <w:color w:val="666666"/>
                <w:w w:val="99"/>
                <w:vertAlign w:val="superscript"/>
              </w:rPr>
              <w:t>4</w:t>
            </w:r>
          </w:p>
        </w:tc>
        <w:tc>
          <w:tcPr>
            <w:tcW w:w="1500" w:type="dxa"/>
            <w:vAlign w:val="bottom"/>
            <w:shd w:val="clear" w:color="auto" w:fill="DDDDDD"/>
          </w:tcPr>
          <w:p>
            <w:pPr>
              <w:jc w:val="center"/>
              <w:ind w:right="88"/>
              <w:spacing w:after="0" w:line="203" w:lineRule="exact"/>
              <w:rPr>
                <w:sz w:val="20"/>
                <w:szCs w:val="20"/>
                <w:color w:val="auto"/>
              </w:rPr>
            </w:pPr>
            <w:r>
              <w:rPr>
                <w:rFonts w:ascii="Arial" w:cs="Arial" w:eastAsia="Arial" w:hAnsi="Arial"/>
                <w:sz w:val="14"/>
                <w:szCs w:val="14"/>
                <w:b w:val="1"/>
                <w:bCs w:val="1"/>
                <w:color w:val="666666"/>
              </w:rPr>
              <w:t xml:space="preserve">Compensation </w:t>
            </w:r>
            <w:r>
              <w:rPr>
                <w:rFonts w:ascii="Arial" w:cs="Arial" w:eastAsia="Arial" w:hAnsi="Arial"/>
                <w:sz w:val="23"/>
                <w:szCs w:val="23"/>
                <w:b w:val="1"/>
                <w:bCs w:val="1"/>
                <w:color w:val="666666"/>
                <w:vertAlign w:val="superscript"/>
              </w:rPr>
              <w:t>6</w:t>
            </w:r>
          </w:p>
        </w:tc>
        <w:tc>
          <w:tcPr>
            <w:tcW w:w="1060" w:type="dxa"/>
            <w:vAlign w:val="bottom"/>
            <w:shd w:val="clear" w:color="auto" w:fill="DDDDDD"/>
          </w:tcPr>
          <w:p>
            <w:pPr>
              <w:jc w:val="right"/>
              <w:ind w:right="388"/>
              <w:spacing w:after="0"/>
              <w:rPr>
                <w:sz w:val="20"/>
                <w:szCs w:val="20"/>
                <w:color w:val="auto"/>
              </w:rPr>
            </w:pPr>
            <w:r>
              <w:rPr>
                <w:rFonts w:ascii="Arial" w:cs="Arial" w:eastAsia="Arial" w:hAnsi="Arial"/>
                <w:sz w:val="14"/>
                <w:szCs w:val="14"/>
                <w:b w:val="1"/>
                <w:bCs w:val="1"/>
                <w:color w:val="666666"/>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20" w:type="dxa"/>
            <w:vAlign w:val="bottom"/>
            <w:tcBorders>
              <w:bottom w:val="single" w:sz="8" w:color="auto"/>
            </w:tcBorders>
            <w:shd w:val="clear" w:color="auto" w:fill="DDDDDD"/>
          </w:tcPr>
          <w:p>
            <w:pPr>
              <w:spacing w:after="0"/>
              <w:rPr>
                <w:sz w:val="19"/>
                <w:szCs w:val="19"/>
                <w:color w:val="auto"/>
              </w:rPr>
            </w:pPr>
          </w:p>
        </w:tc>
        <w:tc>
          <w:tcPr>
            <w:tcW w:w="680" w:type="dxa"/>
            <w:vAlign w:val="bottom"/>
            <w:tcBorders>
              <w:bottom w:val="single" w:sz="8" w:color="auto"/>
            </w:tcBorders>
            <w:shd w:val="clear" w:color="auto" w:fill="DDDDDD"/>
          </w:tcPr>
          <w:p>
            <w:pPr>
              <w:spacing w:after="0"/>
              <w:rPr>
                <w:sz w:val="19"/>
                <w:szCs w:val="19"/>
                <w:color w:val="auto"/>
              </w:rPr>
            </w:pPr>
          </w:p>
        </w:tc>
        <w:tc>
          <w:tcPr>
            <w:tcW w:w="90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w:t>
            </w:r>
          </w:p>
        </w:tc>
        <w:tc>
          <w:tcPr>
            <w:tcW w:w="800" w:type="dxa"/>
            <w:vAlign w:val="bottom"/>
            <w:tcBorders>
              <w:bottom w:val="single" w:sz="8" w:color="auto"/>
            </w:tcBorders>
            <w:shd w:val="clear" w:color="auto" w:fill="DDDDDD"/>
          </w:tcPr>
          <w:p>
            <w:pPr>
              <w:ind w:left="300"/>
              <w:spacing w:after="0"/>
              <w:rPr>
                <w:sz w:val="20"/>
                <w:szCs w:val="20"/>
                <w:color w:val="auto"/>
              </w:rPr>
            </w:pPr>
            <w:r>
              <w:rPr>
                <w:rFonts w:ascii="Arial" w:cs="Arial" w:eastAsia="Arial" w:hAnsi="Arial"/>
                <w:sz w:val="14"/>
                <w:szCs w:val="14"/>
                <w:b w:val="1"/>
                <w:bCs w:val="1"/>
                <w:color w:val="666666"/>
              </w:rPr>
              <w:t>($)</w:t>
            </w:r>
          </w:p>
        </w:tc>
        <w:tc>
          <w:tcPr>
            <w:tcW w:w="94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w:t>
            </w:r>
          </w:p>
        </w:tc>
        <w:tc>
          <w:tcPr>
            <w:tcW w:w="86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w:t>
            </w:r>
          </w:p>
        </w:tc>
        <w:tc>
          <w:tcPr>
            <w:tcW w:w="136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w:t>
            </w:r>
          </w:p>
        </w:tc>
        <w:tc>
          <w:tcPr>
            <w:tcW w:w="132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w:t>
            </w:r>
          </w:p>
        </w:tc>
        <w:tc>
          <w:tcPr>
            <w:tcW w:w="1500" w:type="dxa"/>
            <w:vAlign w:val="bottom"/>
            <w:tcBorders>
              <w:bottom w:val="single" w:sz="8" w:color="auto"/>
            </w:tcBorders>
            <w:shd w:val="clear" w:color="auto" w:fill="DDDDDD"/>
          </w:tcPr>
          <w:p>
            <w:pPr>
              <w:jc w:val="center"/>
              <w:ind w:right="88"/>
              <w:spacing w:after="0"/>
              <w:rPr>
                <w:sz w:val="20"/>
                <w:szCs w:val="20"/>
                <w:color w:val="auto"/>
              </w:rPr>
            </w:pPr>
            <w:r>
              <w:rPr>
                <w:rFonts w:ascii="Arial" w:cs="Arial" w:eastAsia="Arial" w:hAnsi="Arial"/>
                <w:sz w:val="14"/>
                <w:szCs w:val="14"/>
                <w:b w:val="1"/>
                <w:bCs w:val="1"/>
                <w:color w:val="666666"/>
              </w:rPr>
              <w:t>($)</w:t>
            </w:r>
          </w:p>
        </w:tc>
        <w:tc>
          <w:tcPr>
            <w:tcW w:w="1060" w:type="dxa"/>
            <w:vAlign w:val="bottom"/>
            <w:tcBorders>
              <w:bottom w:val="single" w:sz="8" w:color="auto"/>
            </w:tcBorders>
            <w:shd w:val="clear" w:color="auto" w:fill="DDDDDD"/>
          </w:tcPr>
          <w:p>
            <w:pPr>
              <w:jc w:val="right"/>
              <w:ind w:right="468"/>
              <w:spacing w:after="0"/>
              <w:rPr>
                <w:sz w:val="20"/>
                <w:szCs w:val="20"/>
                <w:color w:val="auto"/>
              </w:rPr>
            </w:pPr>
            <w:r>
              <w:rPr>
                <w:rFonts w:ascii="Arial" w:cs="Arial" w:eastAsia="Arial" w:hAnsi="Arial"/>
                <w:sz w:val="14"/>
                <w:szCs w:val="14"/>
                <w:b w:val="1"/>
                <w:bCs w:val="1"/>
                <w:color w:val="666666"/>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820" w:type="dxa"/>
            <w:vAlign w:val="bottom"/>
          </w:tcPr>
          <w:p>
            <w:pPr>
              <w:ind w:left="40"/>
              <w:spacing w:after="0"/>
              <w:rPr>
                <w:sz w:val="20"/>
                <w:szCs w:val="20"/>
                <w:color w:val="auto"/>
              </w:rPr>
            </w:pPr>
            <w:r>
              <w:rPr>
                <w:rFonts w:ascii="Arial" w:cs="Arial" w:eastAsia="Arial" w:hAnsi="Arial"/>
                <w:sz w:val="14"/>
                <w:szCs w:val="14"/>
                <w:b w:val="1"/>
                <w:bCs w:val="1"/>
                <w:color w:val="666666"/>
              </w:rPr>
              <w:t>Horacio D. Rozanski</w:t>
            </w:r>
          </w:p>
        </w:tc>
        <w:tc>
          <w:tcPr>
            <w:tcW w:w="680" w:type="dxa"/>
            <w:vAlign w:val="bottom"/>
          </w:tcPr>
          <w:p>
            <w:pPr>
              <w:jc w:val="center"/>
              <w:spacing w:after="0"/>
              <w:rPr>
                <w:sz w:val="20"/>
                <w:szCs w:val="20"/>
                <w:color w:val="auto"/>
              </w:rPr>
            </w:pPr>
            <w:r>
              <w:rPr>
                <w:rFonts w:ascii="Arial" w:cs="Arial" w:eastAsia="Arial" w:hAnsi="Arial"/>
                <w:sz w:val="14"/>
                <w:szCs w:val="14"/>
                <w:color w:val="828282"/>
              </w:rPr>
              <w:t>2020</w:t>
            </w:r>
          </w:p>
        </w:tc>
        <w:tc>
          <w:tcPr>
            <w:tcW w:w="900" w:type="dxa"/>
            <w:vAlign w:val="bottom"/>
          </w:tcPr>
          <w:p>
            <w:pPr>
              <w:jc w:val="center"/>
              <w:spacing w:after="0"/>
              <w:rPr>
                <w:sz w:val="20"/>
                <w:szCs w:val="20"/>
                <w:color w:val="auto"/>
              </w:rPr>
            </w:pPr>
            <w:r>
              <w:rPr>
                <w:rFonts w:ascii="Arial" w:cs="Arial" w:eastAsia="Arial" w:hAnsi="Arial"/>
                <w:sz w:val="14"/>
                <w:szCs w:val="14"/>
                <w:color w:val="828282"/>
              </w:rPr>
              <w:t>1,500,000</w:t>
            </w:r>
          </w:p>
        </w:tc>
        <w:tc>
          <w:tcPr>
            <w:tcW w:w="800" w:type="dxa"/>
            <w:vAlign w:val="bottom"/>
          </w:tcPr>
          <w:p>
            <w:pPr>
              <w:ind w:left="520"/>
              <w:spacing w:after="0"/>
              <w:rPr>
                <w:sz w:val="20"/>
                <w:szCs w:val="20"/>
                <w:color w:val="auto"/>
              </w:rPr>
            </w:pPr>
            <w:r>
              <w:rPr>
                <w:rFonts w:ascii="Arial" w:cs="Arial" w:eastAsia="Arial" w:hAnsi="Arial"/>
                <w:sz w:val="14"/>
                <w:szCs w:val="14"/>
                <w:color w:val="828282"/>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828282"/>
              </w:rPr>
              <w:t>4,999,977</w:t>
            </w:r>
          </w:p>
        </w:tc>
        <w:tc>
          <w:tcPr>
            <w:tcW w:w="860" w:type="dxa"/>
            <w:vAlign w:val="bottom"/>
          </w:tcPr>
          <w:p>
            <w:pPr>
              <w:jc w:val="right"/>
              <w:ind w:right="28"/>
              <w:spacing w:after="0"/>
              <w:rPr>
                <w:sz w:val="20"/>
                <w:szCs w:val="20"/>
                <w:color w:val="auto"/>
              </w:rPr>
            </w:pPr>
            <w:r>
              <w:rPr>
                <w:rFonts w:ascii="Arial" w:cs="Arial" w:eastAsia="Arial" w:hAnsi="Arial"/>
                <w:sz w:val="14"/>
                <w:szCs w:val="14"/>
                <w:color w:val="828282"/>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828282"/>
              </w:rPr>
              <w:t>1,305,000</w:t>
            </w:r>
          </w:p>
        </w:tc>
        <w:tc>
          <w:tcPr>
            <w:tcW w:w="1320" w:type="dxa"/>
            <w:vAlign w:val="bottom"/>
          </w:tcPr>
          <w:p>
            <w:pPr>
              <w:jc w:val="right"/>
              <w:ind w:right="48"/>
              <w:spacing w:after="0"/>
              <w:rPr>
                <w:sz w:val="20"/>
                <w:szCs w:val="20"/>
                <w:color w:val="auto"/>
              </w:rPr>
            </w:pPr>
            <w:r>
              <w:rPr>
                <w:rFonts w:ascii="Arial" w:cs="Arial" w:eastAsia="Arial" w:hAnsi="Arial"/>
                <w:sz w:val="14"/>
                <w:szCs w:val="14"/>
                <w:color w:val="828282"/>
              </w:rPr>
              <w:t>10,000</w:t>
            </w:r>
          </w:p>
        </w:tc>
        <w:tc>
          <w:tcPr>
            <w:tcW w:w="1500" w:type="dxa"/>
            <w:vAlign w:val="bottom"/>
          </w:tcPr>
          <w:p>
            <w:pPr>
              <w:jc w:val="right"/>
              <w:ind w:right="208"/>
              <w:spacing w:after="0"/>
              <w:rPr>
                <w:sz w:val="20"/>
                <w:szCs w:val="20"/>
                <w:color w:val="auto"/>
              </w:rPr>
            </w:pPr>
            <w:r>
              <w:rPr>
                <w:rFonts w:ascii="Arial" w:cs="Arial" w:eastAsia="Arial" w:hAnsi="Arial"/>
                <w:sz w:val="14"/>
                <w:szCs w:val="14"/>
                <w:color w:val="828282"/>
              </w:rPr>
              <w:t>280,457</w:t>
            </w:r>
          </w:p>
        </w:tc>
        <w:tc>
          <w:tcPr>
            <w:tcW w:w="1060" w:type="dxa"/>
            <w:vAlign w:val="bottom"/>
          </w:tcPr>
          <w:p>
            <w:pPr>
              <w:jc w:val="right"/>
              <w:ind w:right="28"/>
              <w:spacing w:after="0"/>
              <w:rPr>
                <w:sz w:val="20"/>
                <w:szCs w:val="20"/>
                <w:color w:val="auto"/>
              </w:rPr>
            </w:pPr>
            <w:r>
              <w:rPr>
                <w:rFonts w:ascii="Arial" w:cs="Arial" w:eastAsia="Arial" w:hAnsi="Arial"/>
                <w:sz w:val="14"/>
                <w:szCs w:val="14"/>
                <w:color w:val="828282"/>
              </w:rPr>
              <w:t>8,095,433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40"/>
              <w:spacing w:after="0"/>
              <w:rPr>
                <w:sz w:val="20"/>
                <w:szCs w:val="20"/>
                <w:color w:val="auto"/>
              </w:rPr>
            </w:pPr>
            <w:r>
              <w:rPr>
                <w:rFonts w:ascii="Arial" w:cs="Arial" w:eastAsia="Arial" w:hAnsi="Arial"/>
                <w:sz w:val="14"/>
                <w:szCs w:val="14"/>
                <w:color w:val="666666"/>
              </w:rPr>
              <w:t>President &amp; Chief</w:t>
            </w:r>
          </w:p>
        </w:tc>
        <w:tc>
          <w:tcPr>
            <w:tcW w:w="680" w:type="dxa"/>
            <w:vAlign w:val="bottom"/>
          </w:tcPr>
          <w:p>
            <w:pPr>
              <w:jc w:val="center"/>
              <w:spacing w:after="0"/>
              <w:rPr>
                <w:sz w:val="20"/>
                <w:szCs w:val="20"/>
                <w:color w:val="auto"/>
              </w:rPr>
            </w:pPr>
            <w:r>
              <w:rPr>
                <w:rFonts w:ascii="Arial" w:cs="Arial" w:eastAsia="Arial" w:hAnsi="Arial"/>
                <w:sz w:val="14"/>
                <w:szCs w:val="14"/>
                <w:color w:val="828282"/>
              </w:rPr>
              <w:t>2019</w:t>
            </w:r>
          </w:p>
        </w:tc>
        <w:tc>
          <w:tcPr>
            <w:tcW w:w="900" w:type="dxa"/>
            <w:vAlign w:val="bottom"/>
          </w:tcPr>
          <w:p>
            <w:pPr>
              <w:jc w:val="center"/>
              <w:spacing w:after="0"/>
              <w:rPr>
                <w:sz w:val="20"/>
                <w:szCs w:val="20"/>
                <w:color w:val="auto"/>
              </w:rPr>
            </w:pPr>
            <w:r>
              <w:rPr>
                <w:rFonts w:ascii="Arial" w:cs="Arial" w:eastAsia="Arial" w:hAnsi="Arial"/>
                <w:sz w:val="14"/>
                <w:szCs w:val="14"/>
                <w:color w:val="828282"/>
              </w:rPr>
              <w:t>1,500,000</w:t>
            </w:r>
          </w:p>
        </w:tc>
        <w:tc>
          <w:tcPr>
            <w:tcW w:w="800" w:type="dxa"/>
            <w:vAlign w:val="bottom"/>
          </w:tcPr>
          <w:p>
            <w:pPr>
              <w:ind w:left="520"/>
              <w:spacing w:after="0"/>
              <w:rPr>
                <w:sz w:val="20"/>
                <w:szCs w:val="20"/>
                <w:color w:val="auto"/>
              </w:rPr>
            </w:pPr>
            <w:r>
              <w:rPr>
                <w:rFonts w:ascii="Arial" w:cs="Arial" w:eastAsia="Arial" w:hAnsi="Arial"/>
                <w:sz w:val="14"/>
                <w:szCs w:val="14"/>
                <w:color w:val="828282"/>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828282"/>
              </w:rPr>
              <w:t>3,999,930</w:t>
            </w:r>
          </w:p>
        </w:tc>
        <w:tc>
          <w:tcPr>
            <w:tcW w:w="860" w:type="dxa"/>
            <w:vAlign w:val="bottom"/>
          </w:tcPr>
          <w:p>
            <w:pPr>
              <w:jc w:val="right"/>
              <w:ind w:right="28"/>
              <w:spacing w:after="0"/>
              <w:rPr>
                <w:sz w:val="20"/>
                <w:szCs w:val="20"/>
                <w:color w:val="auto"/>
              </w:rPr>
            </w:pPr>
            <w:r>
              <w:rPr>
                <w:rFonts w:ascii="Arial" w:cs="Arial" w:eastAsia="Arial" w:hAnsi="Arial"/>
                <w:sz w:val="14"/>
                <w:szCs w:val="14"/>
                <w:color w:val="828282"/>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828282"/>
              </w:rPr>
              <w:t>1,687,500</w:t>
            </w:r>
          </w:p>
        </w:tc>
        <w:tc>
          <w:tcPr>
            <w:tcW w:w="1320" w:type="dxa"/>
            <w:vAlign w:val="bottom"/>
          </w:tcPr>
          <w:p>
            <w:pPr>
              <w:jc w:val="right"/>
              <w:ind w:right="48"/>
              <w:spacing w:after="0"/>
              <w:rPr>
                <w:sz w:val="20"/>
                <w:szCs w:val="20"/>
                <w:color w:val="auto"/>
              </w:rPr>
            </w:pPr>
            <w:r>
              <w:rPr>
                <w:rFonts w:ascii="Arial" w:cs="Arial" w:eastAsia="Arial" w:hAnsi="Arial"/>
                <w:sz w:val="14"/>
                <w:szCs w:val="14"/>
                <w:color w:val="828282"/>
              </w:rPr>
              <w:t>10,000</w:t>
            </w:r>
          </w:p>
        </w:tc>
        <w:tc>
          <w:tcPr>
            <w:tcW w:w="1500" w:type="dxa"/>
            <w:vAlign w:val="bottom"/>
          </w:tcPr>
          <w:p>
            <w:pPr>
              <w:jc w:val="right"/>
              <w:ind w:right="208"/>
              <w:spacing w:after="0"/>
              <w:rPr>
                <w:sz w:val="20"/>
                <w:szCs w:val="20"/>
                <w:color w:val="auto"/>
              </w:rPr>
            </w:pPr>
            <w:r>
              <w:rPr>
                <w:rFonts w:ascii="Arial" w:cs="Arial" w:eastAsia="Arial" w:hAnsi="Arial"/>
                <w:sz w:val="14"/>
                <w:szCs w:val="14"/>
                <w:color w:val="828282"/>
              </w:rPr>
              <w:t>251,099</w:t>
            </w:r>
          </w:p>
        </w:tc>
        <w:tc>
          <w:tcPr>
            <w:tcW w:w="1060" w:type="dxa"/>
            <w:vAlign w:val="bottom"/>
          </w:tcPr>
          <w:p>
            <w:pPr>
              <w:jc w:val="right"/>
              <w:ind w:right="28"/>
              <w:spacing w:after="0"/>
              <w:rPr>
                <w:sz w:val="20"/>
                <w:szCs w:val="20"/>
                <w:color w:val="auto"/>
              </w:rPr>
            </w:pPr>
            <w:r>
              <w:rPr>
                <w:rFonts w:ascii="Arial" w:cs="Arial" w:eastAsia="Arial" w:hAnsi="Arial"/>
                <w:sz w:val="14"/>
                <w:szCs w:val="14"/>
                <w:color w:val="828282"/>
              </w:rPr>
              <w:t>7,448,529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20" w:type="dxa"/>
            <w:vAlign w:val="bottom"/>
          </w:tcPr>
          <w:p>
            <w:pPr>
              <w:ind w:left="40"/>
              <w:spacing w:after="0"/>
              <w:rPr>
                <w:sz w:val="20"/>
                <w:szCs w:val="20"/>
                <w:color w:val="auto"/>
              </w:rPr>
            </w:pPr>
            <w:r>
              <w:rPr>
                <w:rFonts w:ascii="Arial" w:cs="Arial" w:eastAsia="Arial" w:hAnsi="Arial"/>
                <w:sz w:val="14"/>
                <w:szCs w:val="14"/>
                <w:color w:val="666666"/>
              </w:rPr>
              <w:t>Executive Officer</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828282"/>
              </w:rPr>
              <w:t>2018</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828282"/>
              </w:rPr>
              <w:t>1,500,000</w:t>
            </w:r>
          </w:p>
        </w:tc>
        <w:tc>
          <w:tcPr>
            <w:tcW w:w="800" w:type="dxa"/>
            <w:vAlign w:val="bottom"/>
            <w:vMerge w:val="restart"/>
          </w:tcPr>
          <w:p>
            <w:pPr>
              <w:ind w:left="520"/>
              <w:spacing w:after="0"/>
              <w:rPr>
                <w:sz w:val="20"/>
                <w:szCs w:val="20"/>
                <w:color w:val="auto"/>
              </w:rPr>
            </w:pPr>
            <w:r>
              <w:rPr>
                <w:rFonts w:ascii="Arial" w:cs="Arial" w:eastAsia="Arial" w:hAnsi="Arial"/>
                <w:sz w:val="14"/>
                <w:szCs w:val="14"/>
                <w:color w:val="828282"/>
              </w:rPr>
              <w:t>—</w:t>
            </w: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828282"/>
              </w:rPr>
              <w:t>2,227,798</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828282"/>
              </w:rPr>
              <w:t>—</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828282"/>
              </w:rPr>
              <w:t>928,000</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828282"/>
              </w:rPr>
              <w:t>17,215</w:t>
            </w:r>
          </w:p>
        </w:tc>
        <w:tc>
          <w:tcPr>
            <w:tcW w:w="1500" w:type="dxa"/>
            <w:vAlign w:val="bottom"/>
            <w:vMerge w:val="restart"/>
          </w:tcPr>
          <w:p>
            <w:pPr>
              <w:jc w:val="right"/>
              <w:ind w:right="208"/>
              <w:spacing w:after="0"/>
              <w:rPr>
                <w:sz w:val="20"/>
                <w:szCs w:val="20"/>
                <w:color w:val="auto"/>
              </w:rPr>
            </w:pPr>
            <w:r>
              <w:rPr>
                <w:rFonts w:ascii="Arial" w:cs="Arial" w:eastAsia="Arial" w:hAnsi="Arial"/>
                <w:sz w:val="14"/>
                <w:szCs w:val="14"/>
                <w:color w:val="828282"/>
              </w:rPr>
              <w:t>249,344</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828282"/>
              </w:rPr>
              <w:t>4,922,357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8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820" w:type="dxa"/>
            <w:vAlign w:val="bottom"/>
            <w:shd w:val="clear" w:color="auto" w:fill="DDDDDD"/>
          </w:tcPr>
          <w:p>
            <w:pPr>
              <w:ind w:left="40"/>
              <w:spacing w:after="0"/>
              <w:rPr>
                <w:sz w:val="20"/>
                <w:szCs w:val="20"/>
                <w:color w:val="auto"/>
              </w:rPr>
            </w:pPr>
            <w:r>
              <w:rPr>
                <w:rFonts w:ascii="Arial" w:cs="Arial" w:eastAsia="Arial" w:hAnsi="Arial"/>
                <w:sz w:val="14"/>
                <w:szCs w:val="14"/>
                <w:b w:val="1"/>
                <w:bCs w:val="1"/>
                <w:color w:val="666666"/>
              </w:rPr>
              <w:t>Lloyd W. Howell, Jr.</w:t>
            </w:r>
          </w:p>
        </w:tc>
        <w:tc>
          <w:tcPr>
            <w:tcW w:w="680" w:type="dxa"/>
            <w:vAlign w:val="bottom"/>
            <w:shd w:val="clear" w:color="auto" w:fill="DDDDDD"/>
          </w:tcPr>
          <w:p>
            <w:pPr>
              <w:jc w:val="center"/>
              <w:spacing w:after="0"/>
              <w:rPr>
                <w:sz w:val="20"/>
                <w:szCs w:val="20"/>
                <w:color w:val="auto"/>
              </w:rPr>
            </w:pPr>
            <w:r>
              <w:rPr>
                <w:rFonts w:ascii="Arial" w:cs="Arial" w:eastAsia="Arial" w:hAnsi="Arial"/>
                <w:sz w:val="14"/>
                <w:szCs w:val="14"/>
                <w:color w:val="828282"/>
              </w:rPr>
              <w:t>2020</w:t>
            </w:r>
          </w:p>
        </w:tc>
        <w:tc>
          <w:tcPr>
            <w:tcW w:w="900" w:type="dxa"/>
            <w:vAlign w:val="bottom"/>
            <w:shd w:val="clear" w:color="auto" w:fill="DDDDDD"/>
          </w:tcPr>
          <w:p>
            <w:pPr>
              <w:jc w:val="center"/>
              <w:spacing w:after="0"/>
              <w:rPr>
                <w:sz w:val="20"/>
                <w:szCs w:val="20"/>
                <w:color w:val="auto"/>
              </w:rPr>
            </w:pPr>
            <w:r>
              <w:rPr>
                <w:rFonts w:ascii="Arial" w:cs="Arial" w:eastAsia="Arial" w:hAnsi="Arial"/>
                <w:sz w:val="14"/>
                <w:szCs w:val="14"/>
                <w:color w:val="828282"/>
              </w:rPr>
              <w:t>1,025,000</w:t>
            </w:r>
          </w:p>
        </w:tc>
        <w:tc>
          <w:tcPr>
            <w:tcW w:w="800" w:type="dxa"/>
            <w:vAlign w:val="bottom"/>
            <w:shd w:val="clear" w:color="auto" w:fill="DDDDDD"/>
          </w:tcPr>
          <w:p>
            <w:pPr>
              <w:ind w:left="520"/>
              <w:spacing w:after="0"/>
              <w:rPr>
                <w:sz w:val="20"/>
                <w:szCs w:val="20"/>
                <w:color w:val="auto"/>
              </w:rPr>
            </w:pPr>
            <w:r>
              <w:rPr>
                <w:rFonts w:ascii="Arial" w:cs="Arial" w:eastAsia="Arial" w:hAnsi="Arial"/>
                <w:sz w:val="14"/>
                <w:szCs w:val="14"/>
                <w:color w:val="828282"/>
              </w:rPr>
              <w:t>—</w:t>
            </w:r>
          </w:p>
        </w:tc>
        <w:tc>
          <w:tcPr>
            <w:tcW w:w="94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828282"/>
              </w:rPr>
              <w:t>1,874,968</w:t>
            </w:r>
          </w:p>
        </w:tc>
        <w:tc>
          <w:tcPr>
            <w:tcW w:w="86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828282"/>
              </w:rPr>
              <w:t>—</w:t>
            </w:r>
          </w:p>
        </w:tc>
        <w:tc>
          <w:tcPr>
            <w:tcW w:w="136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828282"/>
              </w:rPr>
              <w:t>580,000</w:t>
            </w:r>
          </w:p>
        </w:tc>
        <w:tc>
          <w:tcPr>
            <w:tcW w:w="13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828282"/>
              </w:rPr>
              <w:t>10,000</w:t>
            </w:r>
          </w:p>
        </w:tc>
        <w:tc>
          <w:tcPr>
            <w:tcW w:w="150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828282"/>
              </w:rPr>
              <w:t>164,968</w:t>
            </w:r>
          </w:p>
        </w:tc>
        <w:tc>
          <w:tcPr>
            <w:tcW w:w="106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828282"/>
              </w:rPr>
              <w:t>3,654,936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DDDDDD"/>
          </w:tcPr>
          <w:p>
            <w:pPr>
              <w:ind w:left="40"/>
              <w:spacing w:after="0"/>
              <w:rPr>
                <w:sz w:val="20"/>
                <w:szCs w:val="20"/>
                <w:color w:val="auto"/>
              </w:rPr>
            </w:pPr>
            <w:r>
              <w:rPr>
                <w:rFonts w:ascii="Arial" w:cs="Arial" w:eastAsia="Arial" w:hAnsi="Arial"/>
                <w:sz w:val="14"/>
                <w:szCs w:val="14"/>
                <w:color w:val="666666"/>
              </w:rPr>
              <w:t>Executive Vice President,</w:t>
            </w:r>
          </w:p>
        </w:tc>
        <w:tc>
          <w:tcPr>
            <w:tcW w:w="680" w:type="dxa"/>
            <w:vAlign w:val="bottom"/>
            <w:vMerge w:val="restart"/>
            <w:shd w:val="clear" w:color="auto" w:fill="DDDDDD"/>
          </w:tcPr>
          <w:p>
            <w:pPr>
              <w:jc w:val="center"/>
              <w:spacing w:after="0"/>
              <w:rPr>
                <w:sz w:val="20"/>
                <w:szCs w:val="20"/>
                <w:color w:val="auto"/>
              </w:rPr>
            </w:pPr>
            <w:r>
              <w:rPr>
                <w:rFonts w:ascii="Arial" w:cs="Arial" w:eastAsia="Arial" w:hAnsi="Arial"/>
                <w:sz w:val="14"/>
                <w:szCs w:val="14"/>
                <w:color w:val="828282"/>
              </w:rPr>
              <w:t>2019</w:t>
            </w:r>
          </w:p>
        </w:tc>
        <w:tc>
          <w:tcPr>
            <w:tcW w:w="900" w:type="dxa"/>
            <w:vAlign w:val="bottom"/>
            <w:vMerge w:val="restart"/>
            <w:shd w:val="clear" w:color="auto" w:fill="DDDDDD"/>
          </w:tcPr>
          <w:p>
            <w:pPr>
              <w:jc w:val="center"/>
              <w:spacing w:after="0"/>
              <w:rPr>
                <w:sz w:val="20"/>
                <w:szCs w:val="20"/>
                <w:color w:val="auto"/>
              </w:rPr>
            </w:pPr>
            <w:r>
              <w:rPr>
                <w:rFonts w:ascii="Arial" w:cs="Arial" w:eastAsia="Arial" w:hAnsi="Arial"/>
                <w:sz w:val="14"/>
                <w:szCs w:val="14"/>
                <w:color w:val="828282"/>
              </w:rPr>
              <w:t>1,025,000</w:t>
            </w:r>
          </w:p>
        </w:tc>
        <w:tc>
          <w:tcPr>
            <w:tcW w:w="800" w:type="dxa"/>
            <w:vAlign w:val="bottom"/>
            <w:vMerge w:val="restart"/>
            <w:shd w:val="clear" w:color="auto" w:fill="DDDDDD"/>
          </w:tcPr>
          <w:p>
            <w:pPr>
              <w:ind w:left="520"/>
              <w:spacing w:after="0"/>
              <w:rPr>
                <w:sz w:val="20"/>
                <w:szCs w:val="20"/>
                <w:color w:val="auto"/>
              </w:rPr>
            </w:pPr>
            <w:r>
              <w:rPr>
                <w:rFonts w:ascii="Arial" w:cs="Arial" w:eastAsia="Arial" w:hAnsi="Arial"/>
                <w:sz w:val="14"/>
                <w:szCs w:val="14"/>
                <w:color w:val="828282"/>
              </w:rPr>
              <w:t>—</w:t>
            </w:r>
          </w:p>
        </w:tc>
        <w:tc>
          <w:tcPr>
            <w:tcW w:w="940" w:type="dxa"/>
            <w:vAlign w:val="bottom"/>
            <w:vMerge w:val="restart"/>
            <w:shd w:val="clear" w:color="auto" w:fill="DDDDDD"/>
          </w:tcPr>
          <w:p>
            <w:pPr>
              <w:jc w:val="right"/>
              <w:ind w:right="88"/>
              <w:spacing w:after="0"/>
              <w:rPr>
                <w:sz w:val="20"/>
                <w:szCs w:val="20"/>
                <w:color w:val="auto"/>
              </w:rPr>
            </w:pPr>
            <w:r>
              <w:rPr>
                <w:rFonts w:ascii="Arial" w:cs="Arial" w:eastAsia="Arial" w:hAnsi="Arial"/>
                <w:sz w:val="14"/>
                <w:szCs w:val="14"/>
                <w:color w:val="828282"/>
              </w:rPr>
              <w:t>1,874,942</w:t>
            </w:r>
          </w:p>
        </w:tc>
        <w:tc>
          <w:tcPr>
            <w:tcW w:w="860" w:type="dxa"/>
            <w:vAlign w:val="bottom"/>
            <w:vMerge w:val="restart"/>
            <w:shd w:val="clear" w:color="auto" w:fill="DDDDDD"/>
          </w:tcPr>
          <w:p>
            <w:pPr>
              <w:jc w:val="right"/>
              <w:ind w:right="28"/>
              <w:spacing w:after="0"/>
              <w:rPr>
                <w:sz w:val="20"/>
                <w:szCs w:val="20"/>
                <w:color w:val="auto"/>
              </w:rPr>
            </w:pPr>
            <w:r>
              <w:rPr>
                <w:rFonts w:ascii="Arial" w:cs="Arial" w:eastAsia="Arial" w:hAnsi="Arial"/>
                <w:sz w:val="14"/>
                <w:szCs w:val="14"/>
                <w:color w:val="828282"/>
              </w:rPr>
              <w:t>—</w:t>
            </w:r>
          </w:p>
        </w:tc>
        <w:tc>
          <w:tcPr>
            <w:tcW w:w="1360" w:type="dxa"/>
            <w:vAlign w:val="bottom"/>
            <w:vMerge w:val="restart"/>
            <w:shd w:val="clear" w:color="auto" w:fill="DDDDDD"/>
          </w:tcPr>
          <w:p>
            <w:pPr>
              <w:jc w:val="right"/>
              <w:ind w:right="48"/>
              <w:spacing w:after="0"/>
              <w:rPr>
                <w:sz w:val="20"/>
                <w:szCs w:val="20"/>
                <w:color w:val="auto"/>
              </w:rPr>
            </w:pPr>
            <w:r>
              <w:rPr>
                <w:rFonts w:ascii="Arial" w:cs="Arial" w:eastAsia="Arial" w:hAnsi="Arial"/>
                <w:sz w:val="14"/>
                <w:szCs w:val="14"/>
                <w:color w:val="828282"/>
              </w:rPr>
              <w:t>750,000</w:t>
            </w:r>
          </w:p>
        </w:tc>
        <w:tc>
          <w:tcPr>
            <w:tcW w:w="1320" w:type="dxa"/>
            <w:vAlign w:val="bottom"/>
            <w:vMerge w:val="restart"/>
            <w:shd w:val="clear" w:color="auto" w:fill="DDDDDD"/>
          </w:tcPr>
          <w:p>
            <w:pPr>
              <w:jc w:val="right"/>
              <w:ind w:right="48"/>
              <w:spacing w:after="0"/>
              <w:rPr>
                <w:sz w:val="20"/>
                <w:szCs w:val="20"/>
                <w:color w:val="auto"/>
              </w:rPr>
            </w:pPr>
            <w:r>
              <w:rPr>
                <w:rFonts w:ascii="Arial" w:cs="Arial" w:eastAsia="Arial" w:hAnsi="Arial"/>
                <w:sz w:val="14"/>
                <w:szCs w:val="14"/>
                <w:color w:val="828282"/>
              </w:rPr>
              <w:t>10,000</w:t>
            </w:r>
          </w:p>
        </w:tc>
        <w:tc>
          <w:tcPr>
            <w:tcW w:w="1500" w:type="dxa"/>
            <w:vAlign w:val="bottom"/>
            <w:vMerge w:val="restart"/>
            <w:shd w:val="clear" w:color="auto" w:fill="DDDDDD"/>
          </w:tcPr>
          <w:p>
            <w:pPr>
              <w:jc w:val="right"/>
              <w:ind w:right="208"/>
              <w:spacing w:after="0"/>
              <w:rPr>
                <w:sz w:val="20"/>
                <w:szCs w:val="20"/>
                <w:color w:val="auto"/>
              </w:rPr>
            </w:pPr>
            <w:r>
              <w:rPr>
                <w:rFonts w:ascii="Arial" w:cs="Arial" w:eastAsia="Arial" w:hAnsi="Arial"/>
                <w:sz w:val="14"/>
                <w:szCs w:val="14"/>
                <w:color w:val="828282"/>
              </w:rPr>
              <w:t>160,084</w:t>
            </w:r>
          </w:p>
        </w:tc>
        <w:tc>
          <w:tcPr>
            <w:tcW w:w="1060" w:type="dxa"/>
            <w:vAlign w:val="bottom"/>
            <w:vMerge w:val="restart"/>
            <w:shd w:val="clear" w:color="auto" w:fill="DDDDDD"/>
          </w:tcPr>
          <w:p>
            <w:pPr>
              <w:jc w:val="right"/>
              <w:ind w:right="28"/>
              <w:spacing w:after="0"/>
              <w:rPr>
                <w:sz w:val="20"/>
                <w:szCs w:val="20"/>
                <w:color w:val="auto"/>
              </w:rPr>
            </w:pPr>
            <w:r>
              <w:rPr>
                <w:rFonts w:ascii="Arial" w:cs="Arial" w:eastAsia="Arial" w:hAnsi="Arial"/>
                <w:sz w:val="14"/>
                <w:szCs w:val="14"/>
                <w:color w:val="828282"/>
              </w:rPr>
              <w:t>3,820,026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1820" w:type="dxa"/>
            <w:vAlign w:val="bottom"/>
            <w:vMerge w:val="restart"/>
            <w:shd w:val="clear" w:color="auto" w:fill="DDDDDD"/>
          </w:tcPr>
          <w:p>
            <w:pPr>
              <w:ind w:left="40"/>
              <w:spacing w:after="0"/>
              <w:rPr>
                <w:sz w:val="20"/>
                <w:szCs w:val="20"/>
                <w:color w:val="auto"/>
              </w:rPr>
            </w:pPr>
            <w:r>
              <w:rPr>
                <w:rFonts w:ascii="Arial" w:cs="Arial" w:eastAsia="Arial" w:hAnsi="Arial"/>
                <w:sz w:val="14"/>
                <w:szCs w:val="14"/>
                <w:color w:val="666666"/>
              </w:rPr>
              <w:t>Chief Financial Officer &amp;</w:t>
            </w:r>
          </w:p>
        </w:tc>
        <w:tc>
          <w:tcPr>
            <w:tcW w:w="680" w:type="dxa"/>
            <w:vAlign w:val="bottom"/>
            <w:vMerge w:val="continue"/>
            <w:shd w:val="clear" w:color="auto" w:fill="DDDDDD"/>
          </w:tcPr>
          <w:p>
            <w:pPr>
              <w:spacing w:after="0"/>
              <w:rPr>
                <w:sz w:val="7"/>
                <w:szCs w:val="7"/>
                <w:color w:val="auto"/>
              </w:rPr>
            </w:pPr>
          </w:p>
        </w:tc>
        <w:tc>
          <w:tcPr>
            <w:tcW w:w="900" w:type="dxa"/>
            <w:vAlign w:val="bottom"/>
            <w:vMerge w:val="continue"/>
            <w:shd w:val="clear" w:color="auto" w:fill="DDDDDD"/>
          </w:tcPr>
          <w:p>
            <w:pPr>
              <w:spacing w:after="0"/>
              <w:rPr>
                <w:sz w:val="7"/>
                <w:szCs w:val="7"/>
                <w:color w:val="auto"/>
              </w:rPr>
            </w:pPr>
          </w:p>
        </w:tc>
        <w:tc>
          <w:tcPr>
            <w:tcW w:w="800" w:type="dxa"/>
            <w:vAlign w:val="bottom"/>
            <w:vMerge w:val="continue"/>
            <w:shd w:val="clear" w:color="auto" w:fill="DDDDDD"/>
          </w:tcPr>
          <w:p>
            <w:pPr>
              <w:spacing w:after="0"/>
              <w:rPr>
                <w:sz w:val="7"/>
                <w:szCs w:val="7"/>
                <w:color w:val="auto"/>
              </w:rPr>
            </w:pPr>
          </w:p>
        </w:tc>
        <w:tc>
          <w:tcPr>
            <w:tcW w:w="940" w:type="dxa"/>
            <w:vAlign w:val="bottom"/>
            <w:vMerge w:val="continue"/>
            <w:shd w:val="clear" w:color="auto" w:fill="DDDDDD"/>
          </w:tcPr>
          <w:p>
            <w:pPr>
              <w:spacing w:after="0"/>
              <w:rPr>
                <w:sz w:val="7"/>
                <w:szCs w:val="7"/>
                <w:color w:val="auto"/>
              </w:rPr>
            </w:pPr>
          </w:p>
        </w:tc>
        <w:tc>
          <w:tcPr>
            <w:tcW w:w="860" w:type="dxa"/>
            <w:vAlign w:val="bottom"/>
            <w:vMerge w:val="continue"/>
            <w:shd w:val="clear" w:color="auto" w:fill="DDDDDD"/>
          </w:tcPr>
          <w:p>
            <w:pPr>
              <w:spacing w:after="0"/>
              <w:rPr>
                <w:sz w:val="7"/>
                <w:szCs w:val="7"/>
                <w:color w:val="auto"/>
              </w:rPr>
            </w:pPr>
          </w:p>
        </w:tc>
        <w:tc>
          <w:tcPr>
            <w:tcW w:w="1360" w:type="dxa"/>
            <w:vAlign w:val="bottom"/>
            <w:vMerge w:val="continue"/>
            <w:shd w:val="clear" w:color="auto" w:fill="DDDDDD"/>
          </w:tcPr>
          <w:p>
            <w:pPr>
              <w:spacing w:after="0"/>
              <w:rPr>
                <w:sz w:val="7"/>
                <w:szCs w:val="7"/>
                <w:color w:val="auto"/>
              </w:rPr>
            </w:pPr>
          </w:p>
        </w:tc>
        <w:tc>
          <w:tcPr>
            <w:tcW w:w="1320" w:type="dxa"/>
            <w:vAlign w:val="bottom"/>
            <w:vMerge w:val="continue"/>
            <w:shd w:val="clear" w:color="auto" w:fill="DDDDDD"/>
          </w:tcPr>
          <w:p>
            <w:pPr>
              <w:spacing w:after="0"/>
              <w:rPr>
                <w:sz w:val="7"/>
                <w:szCs w:val="7"/>
                <w:color w:val="auto"/>
              </w:rPr>
            </w:pPr>
          </w:p>
        </w:tc>
        <w:tc>
          <w:tcPr>
            <w:tcW w:w="1500" w:type="dxa"/>
            <w:vAlign w:val="bottom"/>
            <w:vMerge w:val="continue"/>
            <w:shd w:val="clear" w:color="auto" w:fill="DDDDDD"/>
          </w:tcPr>
          <w:p>
            <w:pPr>
              <w:spacing w:after="0"/>
              <w:rPr>
                <w:sz w:val="7"/>
                <w:szCs w:val="7"/>
                <w:color w:val="auto"/>
              </w:rPr>
            </w:pPr>
          </w:p>
        </w:tc>
        <w:tc>
          <w:tcPr>
            <w:tcW w:w="1060" w:type="dxa"/>
            <w:vAlign w:val="bottom"/>
            <w:vMerge w:val="continue"/>
            <w:shd w:val="clear" w:color="auto" w:fill="DDDDDD"/>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820" w:type="dxa"/>
            <w:vAlign w:val="bottom"/>
            <w:vMerge w:val="continue"/>
            <w:shd w:val="clear" w:color="auto" w:fill="DDDDDD"/>
          </w:tcPr>
          <w:p>
            <w:pPr>
              <w:spacing w:after="0"/>
              <w:rPr>
                <w:sz w:val="6"/>
                <w:szCs w:val="6"/>
                <w:color w:val="auto"/>
              </w:rPr>
            </w:pPr>
          </w:p>
        </w:tc>
        <w:tc>
          <w:tcPr>
            <w:tcW w:w="680" w:type="dxa"/>
            <w:vAlign w:val="bottom"/>
            <w:shd w:val="clear" w:color="auto" w:fill="DDDDDD"/>
          </w:tcPr>
          <w:p>
            <w:pPr>
              <w:spacing w:after="0"/>
              <w:rPr>
                <w:sz w:val="6"/>
                <w:szCs w:val="6"/>
                <w:color w:val="auto"/>
              </w:rPr>
            </w:pPr>
          </w:p>
        </w:tc>
        <w:tc>
          <w:tcPr>
            <w:tcW w:w="900" w:type="dxa"/>
            <w:vAlign w:val="bottom"/>
            <w:shd w:val="clear" w:color="auto" w:fill="DDDDDD"/>
          </w:tcPr>
          <w:p>
            <w:pPr>
              <w:spacing w:after="0"/>
              <w:rPr>
                <w:sz w:val="6"/>
                <w:szCs w:val="6"/>
                <w:color w:val="auto"/>
              </w:rPr>
            </w:pPr>
          </w:p>
        </w:tc>
        <w:tc>
          <w:tcPr>
            <w:tcW w:w="800" w:type="dxa"/>
            <w:vAlign w:val="bottom"/>
            <w:shd w:val="clear" w:color="auto" w:fill="DDDDDD"/>
          </w:tcPr>
          <w:p>
            <w:pPr>
              <w:spacing w:after="0"/>
              <w:rPr>
                <w:sz w:val="6"/>
                <w:szCs w:val="6"/>
                <w:color w:val="auto"/>
              </w:rPr>
            </w:pPr>
          </w:p>
        </w:tc>
        <w:tc>
          <w:tcPr>
            <w:tcW w:w="940" w:type="dxa"/>
            <w:vAlign w:val="bottom"/>
            <w:shd w:val="clear" w:color="auto" w:fill="DDDDDD"/>
          </w:tcPr>
          <w:p>
            <w:pPr>
              <w:spacing w:after="0"/>
              <w:rPr>
                <w:sz w:val="6"/>
                <w:szCs w:val="6"/>
                <w:color w:val="auto"/>
              </w:rPr>
            </w:pPr>
          </w:p>
        </w:tc>
        <w:tc>
          <w:tcPr>
            <w:tcW w:w="860" w:type="dxa"/>
            <w:vAlign w:val="bottom"/>
            <w:shd w:val="clear" w:color="auto" w:fill="DDDDDD"/>
          </w:tcPr>
          <w:p>
            <w:pPr>
              <w:spacing w:after="0"/>
              <w:rPr>
                <w:sz w:val="6"/>
                <w:szCs w:val="6"/>
                <w:color w:val="auto"/>
              </w:rPr>
            </w:pPr>
          </w:p>
        </w:tc>
        <w:tc>
          <w:tcPr>
            <w:tcW w:w="1360" w:type="dxa"/>
            <w:vAlign w:val="bottom"/>
            <w:shd w:val="clear" w:color="auto" w:fill="DDDDDD"/>
          </w:tcPr>
          <w:p>
            <w:pPr>
              <w:spacing w:after="0"/>
              <w:rPr>
                <w:sz w:val="6"/>
                <w:szCs w:val="6"/>
                <w:color w:val="auto"/>
              </w:rPr>
            </w:pPr>
          </w:p>
        </w:tc>
        <w:tc>
          <w:tcPr>
            <w:tcW w:w="1320" w:type="dxa"/>
            <w:vAlign w:val="bottom"/>
            <w:shd w:val="clear" w:color="auto" w:fill="DDDDDD"/>
          </w:tcPr>
          <w:p>
            <w:pPr>
              <w:spacing w:after="0"/>
              <w:rPr>
                <w:sz w:val="6"/>
                <w:szCs w:val="6"/>
                <w:color w:val="auto"/>
              </w:rPr>
            </w:pPr>
          </w:p>
        </w:tc>
        <w:tc>
          <w:tcPr>
            <w:tcW w:w="1500" w:type="dxa"/>
            <w:vAlign w:val="bottom"/>
            <w:shd w:val="clear" w:color="auto" w:fill="DDDDDD"/>
          </w:tcPr>
          <w:p>
            <w:pPr>
              <w:spacing w:after="0"/>
              <w:rPr>
                <w:sz w:val="6"/>
                <w:szCs w:val="6"/>
                <w:color w:val="auto"/>
              </w:rPr>
            </w:pPr>
          </w:p>
        </w:tc>
        <w:tc>
          <w:tcPr>
            <w:tcW w:w="1060" w:type="dxa"/>
            <w:vAlign w:val="bottom"/>
            <w:shd w:val="clear" w:color="auto" w:fill="DDDDDD"/>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820" w:type="dxa"/>
            <w:vAlign w:val="bottom"/>
            <w:shd w:val="clear" w:color="auto" w:fill="DDDDDD"/>
          </w:tcPr>
          <w:p>
            <w:pPr>
              <w:ind w:left="40"/>
              <w:spacing w:after="0"/>
              <w:rPr>
                <w:sz w:val="20"/>
                <w:szCs w:val="20"/>
                <w:color w:val="auto"/>
              </w:rPr>
            </w:pPr>
            <w:r>
              <w:rPr>
                <w:rFonts w:ascii="Arial" w:cs="Arial" w:eastAsia="Arial" w:hAnsi="Arial"/>
                <w:sz w:val="14"/>
                <w:szCs w:val="14"/>
                <w:color w:val="666666"/>
              </w:rPr>
              <w:t>Treasurer</w:t>
            </w:r>
          </w:p>
        </w:tc>
        <w:tc>
          <w:tcPr>
            <w:tcW w:w="680" w:type="dxa"/>
            <w:vAlign w:val="bottom"/>
            <w:shd w:val="clear" w:color="auto" w:fill="DDDDDD"/>
          </w:tcPr>
          <w:p>
            <w:pPr>
              <w:jc w:val="center"/>
              <w:spacing w:after="0"/>
              <w:rPr>
                <w:sz w:val="20"/>
                <w:szCs w:val="20"/>
                <w:color w:val="auto"/>
              </w:rPr>
            </w:pPr>
            <w:r>
              <w:rPr>
                <w:rFonts w:ascii="Arial" w:cs="Arial" w:eastAsia="Arial" w:hAnsi="Arial"/>
                <w:sz w:val="14"/>
                <w:szCs w:val="14"/>
                <w:color w:val="828282"/>
              </w:rPr>
              <w:t>2018</w:t>
            </w:r>
          </w:p>
        </w:tc>
        <w:tc>
          <w:tcPr>
            <w:tcW w:w="900" w:type="dxa"/>
            <w:vAlign w:val="bottom"/>
            <w:shd w:val="clear" w:color="auto" w:fill="DDDDDD"/>
          </w:tcPr>
          <w:p>
            <w:pPr>
              <w:jc w:val="center"/>
              <w:spacing w:after="0"/>
              <w:rPr>
                <w:sz w:val="20"/>
                <w:szCs w:val="20"/>
                <w:color w:val="auto"/>
              </w:rPr>
            </w:pPr>
            <w:r>
              <w:rPr>
                <w:rFonts w:ascii="Arial" w:cs="Arial" w:eastAsia="Arial" w:hAnsi="Arial"/>
                <w:sz w:val="14"/>
                <w:szCs w:val="14"/>
                <w:color w:val="828282"/>
              </w:rPr>
              <w:t>1,025,000</w:t>
            </w:r>
          </w:p>
        </w:tc>
        <w:tc>
          <w:tcPr>
            <w:tcW w:w="800" w:type="dxa"/>
            <w:vAlign w:val="bottom"/>
            <w:shd w:val="clear" w:color="auto" w:fill="DDDDDD"/>
          </w:tcPr>
          <w:p>
            <w:pPr>
              <w:ind w:left="520"/>
              <w:spacing w:after="0"/>
              <w:rPr>
                <w:sz w:val="20"/>
                <w:szCs w:val="20"/>
                <w:color w:val="auto"/>
              </w:rPr>
            </w:pPr>
            <w:r>
              <w:rPr>
                <w:rFonts w:ascii="Arial" w:cs="Arial" w:eastAsia="Arial" w:hAnsi="Arial"/>
                <w:sz w:val="14"/>
                <w:szCs w:val="14"/>
                <w:color w:val="828282"/>
              </w:rPr>
              <w:t>—</w:t>
            </w:r>
          </w:p>
        </w:tc>
        <w:tc>
          <w:tcPr>
            <w:tcW w:w="94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828282"/>
              </w:rPr>
              <w:t>1,242,148</w:t>
            </w:r>
          </w:p>
        </w:tc>
        <w:tc>
          <w:tcPr>
            <w:tcW w:w="86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828282"/>
              </w:rPr>
              <w:t>499,991</w:t>
            </w:r>
          </w:p>
        </w:tc>
        <w:tc>
          <w:tcPr>
            <w:tcW w:w="136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828282"/>
              </w:rPr>
              <w:t>580,000</w:t>
            </w:r>
          </w:p>
        </w:tc>
        <w:tc>
          <w:tcPr>
            <w:tcW w:w="13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828282"/>
              </w:rPr>
              <w:t>10,000</w:t>
            </w:r>
          </w:p>
        </w:tc>
        <w:tc>
          <w:tcPr>
            <w:tcW w:w="150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828282"/>
              </w:rPr>
              <w:t>129,847</w:t>
            </w:r>
          </w:p>
        </w:tc>
        <w:tc>
          <w:tcPr>
            <w:tcW w:w="106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828282"/>
              </w:rPr>
              <w:t>3,486,986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820" w:type="dxa"/>
            <w:vAlign w:val="bottom"/>
            <w:vMerge w:val="restart"/>
          </w:tcPr>
          <w:p>
            <w:pPr>
              <w:ind w:left="40"/>
              <w:spacing w:after="0"/>
              <w:rPr>
                <w:sz w:val="20"/>
                <w:szCs w:val="20"/>
                <w:color w:val="auto"/>
              </w:rPr>
            </w:pPr>
            <w:r>
              <w:rPr>
                <w:rFonts w:ascii="Arial" w:cs="Arial" w:eastAsia="Arial" w:hAnsi="Arial"/>
                <w:sz w:val="14"/>
                <w:szCs w:val="14"/>
                <w:b w:val="1"/>
                <w:bCs w:val="1"/>
                <w:color w:val="666666"/>
              </w:rPr>
              <w:t>Karen M. Dahut</w:t>
            </w:r>
          </w:p>
        </w:tc>
        <w:tc>
          <w:tcPr>
            <w:tcW w:w="680" w:type="dxa"/>
            <w:vAlign w:val="bottom"/>
          </w:tcPr>
          <w:p>
            <w:pPr>
              <w:jc w:val="center"/>
              <w:spacing w:after="0"/>
              <w:rPr>
                <w:sz w:val="20"/>
                <w:szCs w:val="20"/>
                <w:color w:val="auto"/>
              </w:rPr>
            </w:pPr>
            <w:r>
              <w:rPr>
                <w:rFonts w:ascii="Arial" w:cs="Arial" w:eastAsia="Arial" w:hAnsi="Arial"/>
                <w:sz w:val="14"/>
                <w:szCs w:val="14"/>
                <w:color w:val="828282"/>
              </w:rPr>
              <w:t>2020</w:t>
            </w:r>
          </w:p>
        </w:tc>
        <w:tc>
          <w:tcPr>
            <w:tcW w:w="900" w:type="dxa"/>
            <w:vAlign w:val="bottom"/>
          </w:tcPr>
          <w:p>
            <w:pPr>
              <w:jc w:val="center"/>
              <w:spacing w:after="0"/>
              <w:rPr>
                <w:sz w:val="20"/>
                <w:szCs w:val="20"/>
                <w:color w:val="auto"/>
              </w:rPr>
            </w:pPr>
            <w:r>
              <w:rPr>
                <w:rFonts w:ascii="Arial" w:cs="Arial" w:eastAsia="Arial" w:hAnsi="Arial"/>
                <w:sz w:val="14"/>
                <w:szCs w:val="14"/>
                <w:color w:val="828282"/>
              </w:rPr>
              <w:t>1,025,000</w:t>
            </w:r>
          </w:p>
        </w:tc>
        <w:tc>
          <w:tcPr>
            <w:tcW w:w="800" w:type="dxa"/>
            <w:vAlign w:val="bottom"/>
          </w:tcPr>
          <w:p>
            <w:pPr>
              <w:ind w:left="520"/>
              <w:spacing w:after="0"/>
              <w:rPr>
                <w:sz w:val="20"/>
                <w:szCs w:val="20"/>
                <w:color w:val="auto"/>
              </w:rPr>
            </w:pPr>
            <w:r>
              <w:rPr>
                <w:rFonts w:ascii="Arial" w:cs="Arial" w:eastAsia="Arial" w:hAnsi="Arial"/>
                <w:sz w:val="14"/>
                <w:szCs w:val="14"/>
                <w:color w:val="828282"/>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828282"/>
              </w:rPr>
              <w:t>1,874,968</w:t>
            </w:r>
          </w:p>
        </w:tc>
        <w:tc>
          <w:tcPr>
            <w:tcW w:w="860" w:type="dxa"/>
            <w:vAlign w:val="bottom"/>
          </w:tcPr>
          <w:p>
            <w:pPr>
              <w:jc w:val="right"/>
              <w:ind w:right="28"/>
              <w:spacing w:after="0"/>
              <w:rPr>
                <w:sz w:val="20"/>
                <w:szCs w:val="20"/>
                <w:color w:val="auto"/>
              </w:rPr>
            </w:pPr>
            <w:r>
              <w:rPr>
                <w:rFonts w:ascii="Arial" w:cs="Arial" w:eastAsia="Arial" w:hAnsi="Arial"/>
                <w:sz w:val="14"/>
                <w:szCs w:val="14"/>
                <w:color w:val="828282"/>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828282"/>
              </w:rPr>
              <w:t>580,000</w:t>
            </w:r>
          </w:p>
        </w:tc>
        <w:tc>
          <w:tcPr>
            <w:tcW w:w="1320" w:type="dxa"/>
            <w:vAlign w:val="bottom"/>
          </w:tcPr>
          <w:p>
            <w:pPr>
              <w:jc w:val="right"/>
              <w:ind w:right="48"/>
              <w:spacing w:after="0"/>
              <w:rPr>
                <w:sz w:val="20"/>
                <w:szCs w:val="20"/>
                <w:color w:val="auto"/>
              </w:rPr>
            </w:pPr>
            <w:r>
              <w:rPr>
                <w:rFonts w:ascii="Arial" w:cs="Arial" w:eastAsia="Arial" w:hAnsi="Arial"/>
                <w:sz w:val="14"/>
                <w:szCs w:val="14"/>
                <w:color w:val="828282"/>
              </w:rPr>
              <w:t>10,000</w:t>
            </w:r>
          </w:p>
        </w:tc>
        <w:tc>
          <w:tcPr>
            <w:tcW w:w="1500" w:type="dxa"/>
            <w:vAlign w:val="bottom"/>
          </w:tcPr>
          <w:p>
            <w:pPr>
              <w:jc w:val="right"/>
              <w:ind w:right="208"/>
              <w:spacing w:after="0"/>
              <w:rPr>
                <w:sz w:val="20"/>
                <w:szCs w:val="20"/>
                <w:color w:val="auto"/>
              </w:rPr>
            </w:pPr>
            <w:r>
              <w:rPr>
                <w:rFonts w:ascii="Arial" w:cs="Arial" w:eastAsia="Arial" w:hAnsi="Arial"/>
                <w:sz w:val="14"/>
                <w:szCs w:val="14"/>
                <w:color w:val="828282"/>
              </w:rPr>
              <w:t>186,693</w:t>
            </w:r>
          </w:p>
        </w:tc>
        <w:tc>
          <w:tcPr>
            <w:tcW w:w="1060" w:type="dxa"/>
            <w:vAlign w:val="bottom"/>
          </w:tcPr>
          <w:p>
            <w:pPr>
              <w:jc w:val="right"/>
              <w:ind w:right="28"/>
              <w:spacing w:after="0"/>
              <w:rPr>
                <w:sz w:val="20"/>
                <w:szCs w:val="20"/>
                <w:color w:val="auto"/>
              </w:rPr>
            </w:pPr>
            <w:r>
              <w:rPr>
                <w:rFonts w:ascii="Arial" w:cs="Arial" w:eastAsia="Arial" w:hAnsi="Arial"/>
                <w:sz w:val="14"/>
                <w:szCs w:val="14"/>
                <w:color w:val="828282"/>
              </w:rPr>
              <w:t>3,676,661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1820" w:type="dxa"/>
            <w:vAlign w:val="bottom"/>
            <w:vMerge w:val="continue"/>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828282"/>
              </w:rPr>
              <w:t>2019</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828282"/>
              </w:rPr>
              <w:t>1,025,000</w:t>
            </w:r>
          </w:p>
        </w:tc>
        <w:tc>
          <w:tcPr>
            <w:tcW w:w="800" w:type="dxa"/>
            <w:vAlign w:val="bottom"/>
            <w:vMerge w:val="restart"/>
          </w:tcPr>
          <w:p>
            <w:pPr>
              <w:ind w:left="520"/>
              <w:spacing w:after="0"/>
              <w:rPr>
                <w:sz w:val="20"/>
                <w:szCs w:val="20"/>
                <w:color w:val="auto"/>
              </w:rPr>
            </w:pPr>
            <w:r>
              <w:rPr>
                <w:rFonts w:ascii="Arial" w:cs="Arial" w:eastAsia="Arial" w:hAnsi="Arial"/>
                <w:sz w:val="14"/>
                <w:szCs w:val="14"/>
                <w:color w:val="828282"/>
              </w:rPr>
              <w:t>—</w:t>
            </w: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828282"/>
              </w:rPr>
              <w:t>1,874,942</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828282"/>
              </w:rPr>
              <w:t>—</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828282"/>
              </w:rPr>
              <w:t>750,000</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828282"/>
              </w:rPr>
              <w:t>10,000</w:t>
            </w:r>
          </w:p>
        </w:tc>
        <w:tc>
          <w:tcPr>
            <w:tcW w:w="1500" w:type="dxa"/>
            <w:vAlign w:val="bottom"/>
            <w:vMerge w:val="restart"/>
          </w:tcPr>
          <w:p>
            <w:pPr>
              <w:jc w:val="right"/>
              <w:ind w:right="208"/>
              <w:spacing w:after="0"/>
              <w:rPr>
                <w:sz w:val="20"/>
                <w:szCs w:val="20"/>
                <w:color w:val="auto"/>
              </w:rPr>
            </w:pPr>
            <w:r>
              <w:rPr>
                <w:rFonts w:ascii="Arial" w:cs="Arial" w:eastAsia="Arial" w:hAnsi="Arial"/>
                <w:sz w:val="14"/>
                <w:szCs w:val="14"/>
                <w:color w:val="828282"/>
              </w:rPr>
              <w:t>189,872</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828282"/>
              </w:rPr>
              <w:t>3,849,814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820" w:type="dxa"/>
            <w:vAlign w:val="bottom"/>
            <w:vMerge w:val="restart"/>
          </w:tcPr>
          <w:p>
            <w:pPr>
              <w:ind w:left="40"/>
              <w:spacing w:after="0"/>
              <w:rPr>
                <w:sz w:val="20"/>
                <w:szCs w:val="20"/>
                <w:color w:val="auto"/>
              </w:rPr>
            </w:pPr>
            <w:r>
              <w:rPr>
                <w:rFonts w:ascii="Arial" w:cs="Arial" w:eastAsia="Arial" w:hAnsi="Arial"/>
                <w:sz w:val="14"/>
                <w:szCs w:val="14"/>
                <w:color w:val="666666"/>
              </w:rPr>
              <w:t>Executive Vice President</w:t>
            </w: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82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828282"/>
              </w:rPr>
              <w:t>2018</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828282"/>
              </w:rPr>
              <w:t>1,025,000</w:t>
            </w:r>
          </w:p>
        </w:tc>
        <w:tc>
          <w:tcPr>
            <w:tcW w:w="800" w:type="dxa"/>
            <w:vAlign w:val="bottom"/>
            <w:vMerge w:val="restart"/>
          </w:tcPr>
          <w:p>
            <w:pPr>
              <w:ind w:left="520"/>
              <w:spacing w:after="0"/>
              <w:rPr>
                <w:sz w:val="20"/>
                <w:szCs w:val="20"/>
                <w:color w:val="auto"/>
              </w:rPr>
            </w:pPr>
            <w:r>
              <w:rPr>
                <w:rFonts w:ascii="Arial" w:cs="Arial" w:eastAsia="Arial" w:hAnsi="Arial"/>
                <w:sz w:val="14"/>
                <w:szCs w:val="14"/>
                <w:color w:val="828282"/>
              </w:rPr>
              <w:t>—</w:t>
            </w: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828282"/>
              </w:rPr>
              <w:t>1,242,148</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828282"/>
              </w:rPr>
              <w:t>499,991</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828282"/>
              </w:rPr>
              <w:t>580,000</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828282"/>
              </w:rPr>
              <w:t>10,000</w:t>
            </w:r>
          </w:p>
        </w:tc>
        <w:tc>
          <w:tcPr>
            <w:tcW w:w="1500" w:type="dxa"/>
            <w:vAlign w:val="bottom"/>
            <w:vMerge w:val="restart"/>
          </w:tcPr>
          <w:p>
            <w:pPr>
              <w:jc w:val="right"/>
              <w:ind w:right="208"/>
              <w:spacing w:after="0"/>
              <w:rPr>
                <w:sz w:val="20"/>
                <w:szCs w:val="20"/>
                <w:color w:val="auto"/>
              </w:rPr>
            </w:pPr>
            <w:r>
              <w:rPr>
                <w:rFonts w:ascii="Arial" w:cs="Arial" w:eastAsia="Arial" w:hAnsi="Arial"/>
                <w:sz w:val="14"/>
                <w:szCs w:val="14"/>
                <w:color w:val="828282"/>
              </w:rPr>
              <w:t>177,629</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828282"/>
              </w:rPr>
              <w:t>3,534,768</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8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820" w:type="dxa"/>
            <w:vAlign w:val="bottom"/>
            <w:shd w:val="clear" w:color="auto" w:fill="DDDDDD"/>
          </w:tcPr>
          <w:p>
            <w:pPr>
              <w:ind w:left="40"/>
              <w:spacing w:after="0" w:line="200" w:lineRule="exact"/>
              <w:rPr>
                <w:sz w:val="20"/>
                <w:szCs w:val="20"/>
                <w:color w:val="auto"/>
              </w:rPr>
            </w:pPr>
            <w:r>
              <w:rPr>
                <w:rFonts w:ascii="Arial" w:cs="Arial" w:eastAsia="Arial" w:hAnsi="Arial"/>
                <w:sz w:val="14"/>
                <w:szCs w:val="14"/>
                <w:b w:val="1"/>
                <w:bCs w:val="1"/>
                <w:color w:val="666666"/>
              </w:rPr>
              <w:t xml:space="preserve">Nancy J. Laben </w:t>
            </w:r>
            <w:r>
              <w:rPr>
                <w:rFonts w:ascii="Arial" w:cs="Arial" w:eastAsia="Arial" w:hAnsi="Arial"/>
                <w:sz w:val="23"/>
                <w:szCs w:val="23"/>
                <w:b w:val="1"/>
                <w:bCs w:val="1"/>
                <w:color w:val="666666"/>
                <w:vertAlign w:val="superscript"/>
              </w:rPr>
              <w:t>5</w:t>
            </w:r>
          </w:p>
        </w:tc>
        <w:tc>
          <w:tcPr>
            <w:tcW w:w="680" w:type="dxa"/>
            <w:vAlign w:val="bottom"/>
            <w:vMerge w:val="restart"/>
            <w:shd w:val="clear" w:color="auto" w:fill="DDDDDD"/>
          </w:tcPr>
          <w:p>
            <w:pPr>
              <w:jc w:val="center"/>
              <w:spacing w:after="0"/>
              <w:rPr>
                <w:sz w:val="20"/>
                <w:szCs w:val="20"/>
                <w:color w:val="auto"/>
              </w:rPr>
            </w:pPr>
            <w:r>
              <w:rPr>
                <w:rFonts w:ascii="Arial" w:cs="Arial" w:eastAsia="Arial" w:hAnsi="Arial"/>
                <w:sz w:val="14"/>
                <w:szCs w:val="14"/>
                <w:color w:val="828282"/>
              </w:rPr>
              <w:t>2020</w:t>
            </w:r>
          </w:p>
        </w:tc>
        <w:tc>
          <w:tcPr>
            <w:tcW w:w="900" w:type="dxa"/>
            <w:vAlign w:val="bottom"/>
            <w:vMerge w:val="restart"/>
            <w:shd w:val="clear" w:color="auto" w:fill="DDDDDD"/>
          </w:tcPr>
          <w:p>
            <w:pPr>
              <w:jc w:val="center"/>
              <w:spacing w:after="0"/>
              <w:rPr>
                <w:sz w:val="20"/>
                <w:szCs w:val="20"/>
                <w:color w:val="auto"/>
              </w:rPr>
            </w:pPr>
            <w:r>
              <w:rPr>
                <w:rFonts w:ascii="Arial" w:cs="Arial" w:eastAsia="Arial" w:hAnsi="Arial"/>
                <w:sz w:val="14"/>
                <w:szCs w:val="14"/>
                <w:color w:val="828282"/>
              </w:rPr>
              <w:t>650,000</w:t>
            </w:r>
          </w:p>
        </w:tc>
        <w:tc>
          <w:tcPr>
            <w:tcW w:w="800" w:type="dxa"/>
            <w:vAlign w:val="bottom"/>
            <w:vMerge w:val="restart"/>
            <w:shd w:val="clear" w:color="auto" w:fill="DDDDDD"/>
          </w:tcPr>
          <w:p>
            <w:pPr>
              <w:ind w:left="520"/>
              <w:spacing w:after="0"/>
              <w:rPr>
                <w:sz w:val="20"/>
                <w:szCs w:val="20"/>
                <w:color w:val="auto"/>
              </w:rPr>
            </w:pPr>
            <w:r>
              <w:rPr>
                <w:rFonts w:ascii="Arial" w:cs="Arial" w:eastAsia="Arial" w:hAnsi="Arial"/>
                <w:sz w:val="14"/>
                <w:szCs w:val="14"/>
                <w:color w:val="828282"/>
              </w:rPr>
              <w:t>—</w:t>
            </w:r>
          </w:p>
        </w:tc>
        <w:tc>
          <w:tcPr>
            <w:tcW w:w="940" w:type="dxa"/>
            <w:vAlign w:val="bottom"/>
            <w:vMerge w:val="restart"/>
            <w:shd w:val="clear" w:color="auto" w:fill="DDDDDD"/>
          </w:tcPr>
          <w:p>
            <w:pPr>
              <w:jc w:val="right"/>
              <w:ind w:right="88"/>
              <w:spacing w:after="0"/>
              <w:rPr>
                <w:sz w:val="20"/>
                <w:szCs w:val="20"/>
                <w:color w:val="auto"/>
              </w:rPr>
            </w:pPr>
            <w:r>
              <w:rPr>
                <w:rFonts w:ascii="Arial" w:cs="Arial" w:eastAsia="Arial" w:hAnsi="Arial"/>
                <w:sz w:val="14"/>
                <w:szCs w:val="14"/>
                <w:color w:val="828282"/>
              </w:rPr>
              <w:t>974,973</w:t>
            </w:r>
          </w:p>
        </w:tc>
        <w:tc>
          <w:tcPr>
            <w:tcW w:w="860" w:type="dxa"/>
            <w:vAlign w:val="bottom"/>
            <w:vMerge w:val="restart"/>
            <w:shd w:val="clear" w:color="auto" w:fill="DDDDDD"/>
          </w:tcPr>
          <w:p>
            <w:pPr>
              <w:jc w:val="right"/>
              <w:ind w:right="28"/>
              <w:spacing w:after="0"/>
              <w:rPr>
                <w:sz w:val="20"/>
                <w:szCs w:val="20"/>
                <w:color w:val="auto"/>
              </w:rPr>
            </w:pPr>
            <w:r>
              <w:rPr>
                <w:rFonts w:ascii="Arial" w:cs="Arial" w:eastAsia="Arial" w:hAnsi="Arial"/>
                <w:sz w:val="14"/>
                <w:szCs w:val="14"/>
                <w:color w:val="828282"/>
              </w:rPr>
              <w:t>—</w:t>
            </w:r>
          </w:p>
        </w:tc>
        <w:tc>
          <w:tcPr>
            <w:tcW w:w="1360" w:type="dxa"/>
            <w:vAlign w:val="bottom"/>
            <w:vMerge w:val="restart"/>
            <w:shd w:val="clear" w:color="auto" w:fill="DDDDDD"/>
          </w:tcPr>
          <w:p>
            <w:pPr>
              <w:jc w:val="right"/>
              <w:ind w:right="48"/>
              <w:spacing w:after="0"/>
              <w:rPr>
                <w:sz w:val="20"/>
                <w:szCs w:val="20"/>
                <w:color w:val="auto"/>
              </w:rPr>
            </w:pPr>
            <w:r>
              <w:rPr>
                <w:rFonts w:ascii="Arial" w:cs="Arial" w:eastAsia="Arial" w:hAnsi="Arial"/>
                <w:sz w:val="14"/>
                <w:szCs w:val="14"/>
                <w:color w:val="828282"/>
              </w:rPr>
              <w:t>551,000</w:t>
            </w:r>
          </w:p>
        </w:tc>
        <w:tc>
          <w:tcPr>
            <w:tcW w:w="1320" w:type="dxa"/>
            <w:vAlign w:val="bottom"/>
            <w:vMerge w:val="restart"/>
            <w:shd w:val="clear" w:color="auto" w:fill="DDDDDD"/>
          </w:tcPr>
          <w:p>
            <w:pPr>
              <w:jc w:val="right"/>
              <w:ind w:right="48"/>
              <w:spacing w:after="0"/>
              <w:rPr>
                <w:sz w:val="20"/>
                <w:szCs w:val="20"/>
                <w:color w:val="auto"/>
              </w:rPr>
            </w:pPr>
            <w:r>
              <w:rPr>
                <w:rFonts w:ascii="Arial" w:cs="Arial" w:eastAsia="Arial" w:hAnsi="Arial"/>
                <w:sz w:val="14"/>
                <w:szCs w:val="14"/>
                <w:color w:val="828282"/>
              </w:rPr>
              <w:t>11,880</w:t>
            </w:r>
          </w:p>
        </w:tc>
        <w:tc>
          <w:tcPr>
            <w:tcW w:w="1500" w:type="dxa"/>
            <w:vAlign w:val="bottom"/>
            <w:vMerge w:val="restart"/>
            <w:shd w:val="clear" w:color="auto" w:fill="DDDDDD"/>
          </w:tcPr>
          <w:p>
            <w:pPr>
              <w:jc w:val="right"/>
              <w:ind w:right="208"/>
              <w:spacing w:after="0"/>
              <w:rPr>
                <w:sz w:val="20"/>
                <w:szCs w:val="20"/>
                <w:color w:val="auto"/>
              </w:rPr>
            </w:pPr>
            <w:r>
              <w:rPr>
                <w:rFonts w:ascii="Arial" w:cs="Arial" w:eastAsia="Arial" w:hAnsi="Arial"/>
                <w:sz w:val="14"/>
                <w:szCs w:val="14"/>
                <w:color w:val="828282"/>
              </w:rPr>
              <w:t>170,018</w:t>
            </w:r>
          </w:p>
        </w:tc>
        <w:tc>
          <w:tcPr>
            <w:tcW w:w="1060" w:type="dxa"/>
            <w:vAlign w:val="bottom"/>
            <w:vMerge w:val="restart"/>
            <w:shd w:val="clear" w:color="auto" w:fill="DDDDDD"/>
          </w:tcPr>
          <w:p>
            <w:pPr>
              <w:jc w:val="right"/>
              <w:ind w:right="28"/>
              <w:spacing w:after="0"/>
              <w:rPr>
                <w:sz w:val="20"/>
                <w:szCs w:val="20"/>
                <w:color w:val="auto"/>
              </w:rPr>
            </w:pPr>
            <w:r>
              <w:rPr>
                <w:rFonts w:ascii="Arial" w:cs="Arial" w:eastAsia="Arial" w:hAnsi="Arial"/>
                <w:sz w:val="14"/>
                <w:szCs w:val="14"/>
                <w:color w:val="828282"/>
              </w:rPr>
              <w:t>2,357,872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1820" w:type="dxa"/>
            <w:vAlign w:val="bottom"/>
            <w:vMerge w:val="restart"/>
            <w:shd w:val="clear" w:color="auto" w:fill="DDDDDD"/>
          </w:tcPr>
          <w:p>
            <w:pPr>
              <w:ind w:left="40"/>
              <w:spacing w:after="0"/>
              <w:rPr>
                <w:sz w:val="20"/>
                <w:szCs w:val="20"/>
                <w:color w:val="auto"/>
              </w:rPr>
            </w:pPr>
            <w:r>
              <w:rPr>
                <w:rFonts w:ascii="Arial" w:cs="Arial" w:eastAsia="Arial" w:hAnsi="Arial"/>
                <w:sz w:val="14"/>
                <w:szCs w:val="14"/>
                <w:color w:val="666666"/>
              </w:rPr>
              <w:t>Executive Vice President,</w:t>
            </w:r>
          </w:p>
        </w:tc>
        <w:tc>
          <w:tcPr>
            <w:tcW w:w="680" w:type="dxa"/>
            <w:vAlign w:val="bottom"/>
            <w:vMerge w:val="continue"/>
            <w:shd w:val="clear" w:color="auto" w:fill="DDDDDD"/>
          </w:tcPr>
          <w:p>
            <w:pPr>
              <w:spacing w:after="0"/>
              <w:rPr>
                <w:sz w:val="5"/>
                <w:szCs w:val="5"/>
                <w:color w:val="auto"/>
              </w:rPr>
            </w:pPr>
          </w:p>
        </w:tc>
        <w:tc>
          <w:tcPr>
            <w:tcW w:w="900" w:type="dxa"/>
            <w:vAlign w:val="bottom"/>
            <w:vMerge w:val="continue"/>
            <w:shd w:val="clear" w:color="auto" w:fill="DDDDDD"/>
          </w:tcPr>
          <w:p>
            <w:pPr>
              <w:spacing w:after="0"/>
              <w:rPr>
                <w:sz w:val="5"/>
                <w:szCs w:val="5"/>
                <w:color w:val="auto"/>
              </w:rPr>
            </w:pPr>
          </w:p>
        </w:tc>
        <w:tc>
          <w:tcPr>
            <w:tcW w:w="800" w:type="dxa"/>
            <w:vAlign w:val="bottom"/>
            <w:vMerge w:val="continue"/>
            <w:shd w:val="clear" w:color="auto" w:fill="DDDDDD"/>
          </w:tcPr>
          <w:p>
            <w:pPr>
              <w:spacing w:after="0"/>
              <w:rPr>
                <w:sz w:val="5"/>
                <w:szCs w:val="5"/>
                <w:color w:val="auto"/>
              </w:rPr>
            </w:pPr>
          </w:p>
        </w:tc>
        <w:tc>
          <w:tcPr>
            <w:tcW w:w="940" w:type="dxa"/>
            <w:vAlign w:val="bottom"/>
            <w:vMerge w:val="continue"/>
            <w:shd w:val="clear" w:color="auto" w:fill="DDDDDD"/>
          </w:tcPr>
          <w:p>
            <w:pPr>
              <w:spacing w:after="0"/>
              <w:rPr>
                <w:sz w:val="5"/>
                <w:szCs w:val="5"/>
                <w:color w:val="auto"/>
              </w:rPr>
            </w:pPr>
          </w:p>
        </w:tc>
        <w:tc>
          <w:tcPr>
            <w:tcW w:w="860" w:type="dxa"/>
            <w:vAlign w:val="bottom"/>
            <w:vMerge w:val="continue"/>
            <w:shd w:val="clear" w:color="auto" w:fill="DDDDDD"/>
          </w:tcPr>
          <w:p>
            <w:pPr>
              <w:spacing w:after="0"/>
              <w:rPr>
                <w:sz w:val="5"/>
                <w:szCs w:val="5"/>
                <w:color w:val="auto"/>
              </w:rPr>
            </w:pPr>
          </w:p>
        </w:tc>
        <w:tc>
          <w:tcPr>
            <w:tcW w:w="1360" w:type="dxa"/>
            <w:vAlign w:val="bottom"/>
            <w:vMerge w:val="continue"/>
            <w:shd w:val="clear" w:color="auto" w:fill="DDDDDD"/>
          </w:tcPr>
          <w:p>
            <w:pPr>
              <w:spacing w:after="0"/>
              <w:rPr>
                <w:sz w:val="5"/>
                <w:szCs w:val="5"/>
                <w:color w:val="auto"/>
              </w:rPr>
            </w:pPr>
          </w:p>
        </w:tc>
        <w:tc>
          <w:tcPr>
            <w:tcW w:w="1320" w:type="dxa"/>
            <w:vAlign w:val="bottom"/>
            <w:vMerge w:val="continue"/>
            <w:shd w:val="clear" w:color="auto" w:fill="DDDDDD"/>
          </w:tcPr>
          <w:p>
            <w:pPr>
              <w:spacing w:after="0"/>
              <w:rPr>
                <w:sz w:val="5"/>
                <w:szCs w:val="5"/>
                <w:color w:val="auto"/>
              </w:rPr>
            </w:pPr>
          </w:p>
        </w:tc>
        <w:tc>
          <w:tcPr>
            <w:tcW w:w="1500" w:type="dxa"/>
            <w:vAlign w:val="bottom"/>
            <w:vMerge w:val="continue"/>
            <w:shd w:val="clear" w:color="auto" w:fill="DDDDDD"/>
          </w:tcPr>
          <w:p>
            <w:pPr>
              <w:spacing w:after="0"/>
              <w:rPr>
                <w:sz w:val="5"/>
                <w:szCs w:val="5"/>
                <w:color w:val="auto"/>
              </w:rPr>
            </w:pPr>
          </w:p>
        </w:tc>
        <w:tc>
          <w:tcPr>
            <w:tcW w:w="1060" w:type="dxa"/>
            <w:vAlign w:val="bottom"/>
            <w:vMerge w:val="continue"/>
            <w:shd w:val="clear" w:color="auto" w:fill="DDDDDD"/>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820" w:type="dxa"/>
            <w:vAlign w:val="bottom"/>
            <w:vMerge w:val="continue"/>
            <w:shd w:val="clear" w:color="auto" w:fill="DDDDDD"/>
          </w:tcPr>
          <w:p>
            <w:pPr>
              <w:spacing w:after="0"/>
              <w:rPr>
                <w:sz w:val="8"/>
                <w:szCs w:val="8"/>
                <w:color w:val="auto"/>
              </w:rPr>
            </w:pPr>
          </w:p>
        </w:tc>
        <w:tc>
          <w:tcPr>
            <w:tcW w:w="680" w:type="dxa"/>
            <w:vAlign w:val="bottom"/>
            <w:shd w:val="clear" w:color="auto" w:fill="DDDDDD"/>
          </w:tcPr>
          <w:p>
            <w:pPr>
              <w:spacing w:after="0"/>
              <w:rPr>
                <w:sz w:val="8"/>
                <w:szCs w:val="8"/>
                <w:color w:val="auto"/>
              </w:rPr>
            </w:pPr>
          </w:p>
        </w:tc>
        <w:tc>
          <w:tcPr>
            <w:tcW w:w="900" w:type="dxa"/>
            <w:vAlign w:val="bottom"/>
            <w:shd w:val="clear" w:color="auto" w:fill="DDDDDD"/>
          </w:tcPr>
          <w:p>
            <w:pPr>
              <w:spacing w:after="0"/>
              <w:rPr>
                <w:sz w:val="8"/>
                <w:szCs w:val="8"/>
                <w:color w:val="auto"/>
              </w:rPr>
            </w:pPr>
          </w:p>
        </w:tc>
        <w:tc>
          <w:tcPr>
            <w:tcW w:w="800" w:type="dxa"/>
            <w:vAlign w:val="bottom"/>
            <w:shd w:val="clear" w:color="auto" w:fill="DDDDDD"/>
          </w:tcPr>
          <w:p>
            <w:pPr>
              <w:spacing w:after="0"/>
              <w:rPr>
                <w:sz w:val="8"/>
                <w:szCs w:val="8"/>
                <w:color w:val="auto"/>
              </w:rPr>
            </w:pPr>
          </w:p>
        </w:tc>
        <w:tc>
          <w:tcPr>
            <w:tcW w:w="940" w:type="dxa"/>
            <w:vAlign w:val="bottom"/>
            <w:shd w:val="clear" w:color="auto" w:fill="DDDDDD"/>
          </w:tcPr>
          <w:p>
            <w:pPr>
              <w:spacing w:after="0"/>
              <w:rPr>
                <w:sz w:val="8"/>
                <w:szCs w:val="8"/>
                <w:color w:val="auto"/>
              </w:rPr>
            </w:pPr>
          </w:p>
        </w:tc>
        <w:tc>
          <w:tcPr>
            <w:tcW w:w="860" w:type="dxa"/>
            <w:vAlign w:val="bottom"/>
            <w:shd w:val="clear" w:color="auto" w:fill="DDDDDD"/>
          </w:tcPr>
          <w:p>
            <w:pPr>
              <w:spacing w:after="0"/>
              <w:rPr>
                <w:sz w:val="8"/>
                <w:szCs w:val="8"/>
                <w:color w:val="auto"/>
              </w:rPr>
            </w:pPr>
          </w:p>
        </w:tc>
        <w:tc>
          <w:tcPr>
            <w:tcW w:w="1360" w:type="dxa"/>
            <w:vAlign w:val="bottom"/>
            <w:shd w:val="clear" w:color="auto" w:fill="DDDDDD"/>
          </w:tcPr>
          <w:p>
            <w:pPr>
              <w:spacing w:after="0"/>
              <w:rPr>
                <w:sz w:val="8"/>
                <w:szCs w:val="8"/>
                <w:color w:val="auto"/>
              </w:rPr>
            </w:pPr>
          </w:p>
        </w:tc>
        <w:tc>
          <w:tcPr>
            <w:tcW w:w="1320" w:type="dxa"/>
            <w:vAlign w:val="bottom"/>
            <w:shd w:val="clear" w:color="auto" w:fill="DDDDDD"/>
          </w:tcPr>
          <w:p>
            <w:pPr>
              <w:spacing w:after="0"/>
              <w:rPr>
                <w:sz w:val="8"/>
                <w:szCs w:val="8"/>
                <w:color w:val="auto"/>
              </w:rPr>
            </w:pPr>
          </w:p>
        </w:tc>
        <w:tc>
          <w:tcPr>
            <w:tcW w:w="1500" w:type="dxa"/>
            <w:vAlign w:val="bottom"/>
            <w:shd w:val="clear" w:color="auto" w:fill="DDDDDD"/>
          </w:tcPr>
          <w:p>
            <w:pPr>
              <w:spacing w:after="0"/>
              <w:rPr>
                <w:sz w:val="8"/>
                <w:szCs w:val="8"/>
                <w:color w:val="auto"/>
              </w:rPr>
            </w:pPr>
          </w:p>
        </w:tc>
        <w:tc>
          <w:tcPr>
            <w:tcW w:w="1060" w:type="dxa"/>
            <w:vAlign w:val="bottom"/>
            <w:shd w:val="clear" w:color="auto" w:fill="DDDDDD"/>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20" w:type="dxa"/>
            <w:vAlign w:val="bottom"/>
            <w:shd w:val="clear" w:color="auto" w:fill="DDDDDD"/>
          </w:tcPr>
          <w:p>
            <w:pPr>
              <w:ind w:left="40"/>
              <w:spacing w:after="0"/>
              <w:rPr>
                <w:sz w:val="20"/>
                <w:szCs w:val="20"/>
                <w:color w:val="auto"/>
              </w:rPr>
            </w:pPr>
            <w:r>
              <w:rPr>
                <w:rFonts w:ascii="Arial" w:cs="Arial" w:eastAsia="Arial" w:hAnsi="Arial"/>
                <w:sz w:val="14"/>
                <w:szCs w:val="14"/>
                <w:color w:val="666666"/>
              </w:rPr>
              <w:t>Chief Legal Officer</w:t>
            </w:r>
          </w:p>
        </w:tc>
        <w:tc>
          <w:tcPr>
            <w:tcW w:w="680" w:type="dxa"/>
            <w:vAlign w:val="bottom"/>
            <w:shd w:val="clear" w:color="auto" w:fill="DDDDDD"/>
          </w:tcPr>
          <w:p>
            <w:pPr>
              <w:jc w:val="center"/>
              <w:spacing w:after="0"/>
              <w:rPr>
                <w:sz w:val="20"/>
                <w:szCs w:val="20"/>
                <w:color w:val="auto"/>
              </w:rPr>
            </w:pPr>
            <w:r>
              <w:rPr>
                <w:rFonts w:ascii="Arial" w:cs="Arial" w:eastAsia="Arial" w:hAnsi="Arial"/>
                <w:sz w:val="14"/>
                <w:szCs w:val="14"/>
                <w:color w:val="828282"/>
              </w:rPr>
              <w:t>2019</w:t>
            </w:r>
          </w:p>
        </w:tc>
        <w:tc>
          <w:tcPr>
            <w:tcW w:w="900" w:type="dxa"/>
            <w:vAlign w:val="bottom"/>
            <w:shd w:val="clear" w:color="auto" w:fill="DDDDDD"/>
          </w:tcPr>
          <w:p>
            <w:pPr>
              <w:jc w:val="center"/>
              <w:spacing w:after="0"/>
              <w:rPr>
                <w:sz w:val="20"/>
                <w:szCs w:val="20"/>
                <w:color w:val="auto"/>
              </w:rPr>
            </w:pPr>
            <w:r>
              <w:rPr>
                <w:rFonts w:ascii="Arial" w:cs="Arial" w:eastAsia="Arial" w:hAnsi="Arial"/>
                <w:sz w:val="14"/>
                <w:szCs w:val="14"/>
                <w:color w:val="828282"/>
              </w:rPr>
              <w:t>650,000</w:t>
            </w:r>
          </w:p>
        </w:tc>
        <w:tc>
          <w:tcPr>
            <w:tcW w:w="800" w:type="dxa"/>
            <w:vAlign w:val="bottom"/>
            <w:shd w:val="clear" w:color="auto" w:fill="DDDDDD"/>
          </w:tcPr>
          <w:p>
            <w:pPr>
              <w:ind w:left="520"/>
              <w:spacing w:after="0"/>
              <w:rPr>
                <w:sz w:val="20"/>
                <w:szCs w:val="20"/>
                <w:color w:val="auto"/>
              </w:rPr>
            </w:pPr>
            <w:r>
              <w:rPr>
                <w:rFonts w:ascii="Arial" w:cs="Arial" w:eastAsia="Arial" w:hAnsi="Arial"/>
                <w:sz w:val="14"/>
                <w:szCs w:val="14"/>
                <w:color w:val="828282"/>
              </w:rPr>
              <w:t>—</w:t>
            </w:r>
          </w:p>
        </w:tc>
        <w:tc>
          <w:tcPr>
            <w:tcW w:w="94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828282"/>
              </w:rPr>
              <w:t>670,169</w:t>
            </w:r>
          </w:p>
        </w:tc>
        <w:tc>
          <w:tcPr>
            <w:tcW w:w="86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828282"/>
              </w:rPr>
              <w:t>249,997</w:t>
            </w:r>
          </w:p>
        </w:tc>
        <w:tc>
          <w:tcPr>
            <w:tcW w:w="136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828282"/>
              </w:rPr>
              <w:t>712,500</w:t>
            </w:r>
          </w:p>
        </w:tc>
        <w:tc>
          <w:tcPr>
            <w:tcW w:w="13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828282"/>
              </w:rPr>
              <w:t>10,605</w:t>
            </w:r>
          </w:p>
        </w:tc>
        <w:tc>
          <w:tcPr>
            <w:tcW w:w="150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828282"/>
              </w:rPr>
              <w:t>134,322</w:t>
            </w:r>
          </w:p>
        </w:tc>
        <w:tc>
          <w:tcPr>
            <w:tcW w:w="106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828282"/>
              </w:rPr>
              <w:t>2,427,593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820" w:type="dxa"/>
            <w:vAlign w:val="bottom"/>
          </w:tcPr>
          <w:p>
            <w:pPr>
              <w:ind w:left="40"/>
              <w:spacing w:after="0"/>
              <w:rPr>
                <w:sz w:val="20"/>
                <w:szCs w:val="20"/>
                <w:color w:val="auto"/>
              </w:rPr>
            </w:pPr>
            <w:r>
              <w:rPr>
                <w:rFonts w:ascii="Arial" w:cs="Arial" w:eastAsia="Arial" w:hAnsi="Arial"/>
                <w:sz w:val="14"/>
                <w:szCs w:val="14"/>
                <w:b w:val="1"/>
                <w:bCs w:val="1"/>
                <w:color w:val="666666"/>
              </w:rPr>
              <w:t>Susan L. Penfield</w:t>
            </w:r>
          </w:p>
        </w:tc>
        <w:tc>
          <w:tcPr>
            <w:tcW w:w="680" w:type="dxa"/>
            <w:vAlign w:val="bottom"/>
          </w:tcPr>
          <w:p>
            <w:pPr>
              <w:jc w:val="center"/>
              <w:spacing w:after="0"/>
              <w:rPr>
                <w:sz w:val="20"/>
                <w:szCs w:val="20"/>
                <w:color w:val="auto"/>
              </w:rPr>
            </w:pPr>
            <w:r>
              <w:rPr>
                <w:rFonts w:ascii="Arial" w:cs="Arial" w:eastAsia="Arial" w:hAnsi="Arial"/>
                <w:sz w:val="14"/>
                <w:szCs w:val="14"/>
                <w:color w:val="828282"/>
              </w:rPr>
              <w:t>2020</w:t>
            </w:r>
          </w:p>
        </w:tc>
        <w:tc>
          <w:tcPr>
            <w:tcW w:w="900" w:type="dxa"/>
            <w:vAlign w:val="bottom"/>
          </w:tcPr>
          <w:p>
            <w:pPr>
              <w:jc w:val="center"/>
              <w:spacing w:after="0"/>
              <w:rPr>
                <w:sz w:val="20"/>
                <w:szCs w:val="20"/>
                <w:color w:val="auto"/>
              </w:rPr>
            </w:pPr>
            <w:r>
              <w:rPr>
                <w:rFonts w:ascii="Arial" w:cs="Arial" w:eastAsia="Arial" w:hAnsi="Arial"/>
                <w:sz w:val="14"/>
                <w:szCs w:val="14"/>
                <w:color w:val="828282"/>
              </w:rPr>
              <w:t>800,000</w:t>
            </w:r>
          </w:p>
        </w:tc>
        <w:tc>
          <w:tcPr>
            <w:tcW w:w="800" w:type="dxa"/>
            <w:vAlign w:val="bottom"/>
          </w:tcPr>
          <w:p>
            <w:pPr>
              <w:ind w:left="520"/>
              <w:spacing w:after="0"/>
              <w:rPr>
                <w:sz w:val="20"/>
                <w:szCs w:val="20"/>
                <w:color w:val="auto"/>
              </w:rPr>
            </w:pPr>
            <w:r>
              <w:rPr>
                <w:rFonts w:ascii="Arial" w:cs="Arial" w:eastAsia="Arial" w:hAnsi="Arial"/>
                <w:sz w:val="14"/>
                <w:szCs w:val="14"/>
                <w:color w:val="828282"/>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828282"/>
              </w:rPr>
              <w:t>874,960</w:t>
            </w:r>
          </w:p>
        </w:tc>
        <w:tc>
          <w:tcPr>
            <w:tcW w:w="860" w:type="dxa"/>
            <w:vAlign w:val="bottom"/>
          </w:tcPr>
          <w:p>
            <w:pPr>
              <w:jc w:val="right"/>
              <w:ind w:right="28"/>
              <w:spacing w:after="0"/>
              <w:rPr>
                <w:sz w:val="20"/>
                <w:szCs w:val="20"/>
                <w:color w:val="auto"/>
              </w:rPr>
            </w:pPr>
            <w:r>
              <w:rPr>
                <w:rFonts w:ascii="Arial" w:cs="Arial" w:eastAsia="Arial" w:hAnsi="Arial"/>
                <w:sz w:val="14"/>
                <w:szCs w:val="14"/>
                <w:color w:val="828282"/>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828282"/>
              </w:rPr>
              <w:t>501,000</w:t>
            </w:r>
          </w:p>
        </w:tc>
        <w:tc>
          <w:tcPr>
            <w:tcW w:w="1320" w:type="dxa"/>
            <w:vAlign w:val="bottom"/>
          </w:tcPr>
          <w:p>
            <w:pPr>
              <w:jc w:val="right"/>
              <w:ind w:right="48"/>
              <w:spacing w:after="0"/>
              <w:rPr>
                <w:sz w:val="20"/>
                <w:szCs w:val="20"/>
                <w:color w:val="auto"/>
              </w:rPr>
            </w:pPr>
            <w:r>
              <w:rPr>
                <w:rFonts w:ascii="Arial" w:cs="Arial" w:eastAsia="Arial" w:hAnsi="Arial"/>
                <w:sz w:val="14"/>
                <w:szCs w:val="14"/>
                <w:color w:val="828282"/>
              </w:rPr>
              <w:t>10,000</w:t>
            </w:r>
          </w:p>
        </w:tc>
        <w:tc>
          <w:tcPr>
            <w:tcW w:w="1500" w:type="dxa"/>
            <w:vAlign w:val="bottom"/>
          </w:tcPr>
          <w:p>
            <w:pPr>
              <w:jc w:val="right"/>
              <w:ind w:right="208"/>
              <w:spacing w:after="0"/>
              <w:rPr>
                <w:sz w:val="20"/>
                <w:szCs w:val="20"/>
                <w:color w:val="auto"/>
              </w:rPr>
            </w:pPr>
            <w:r>
              <w:rPr>
                <w:rFonts w:ascii="Arial" w:cs="Arial" w:eastAsia="Arial" w:hAnsi="Arial"/>
                <w:sz w:val="14"/>
                <w:szCs w:val="14"/>
                <w:color w:val="828282"/>
              </w:rPr>
              <w:t>146,157</w:t>
            </w:r>
          </w:p>
        </w:tc>
        <w:tc>
          <w:tcPr>
            <w:tcW w:w="1060" w:type="dxa"/>
            <w:vAlign w:val="bottom"/>
          </w:tcPr>
          <w:p>
            <w:pPr>
              <w:jc w:val="right"/>
              <w:ind w:right="28"/>
              <w:spacing w:after="0"/>
              <w:rPr>
                <w:sz w:val="20"/>
                <w:szCs w:val="20"/>
                <w:color w:val="auto"/>
              </w:rPr>
            </w:pPr>
            <w:r>
              <w:rPr>
                <w:rFonts w:ascii="Arial" w:cs="Arial" w:eastAsia="Arial" w:hAnsi="Arial"/>
                <w:sz w:val="14"/>
                <w:szCs w:val="14"/>
                <w:color w:val="828282"/>
              </w:rPr>
              <w:t>2,332,117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40"/>
              <w:spacing w:after="0"/>
              <w:rPr>
                <w:sz w:val="20"/>
                <w:szCs w:val="20"/>
                <w:color w:val="auto"/>
              </w:rPr>
            </w:pPr>
            <w:r>
              <w:rPr>
                <w:rFonts w:ascii="Arial" w:cs="Arial" w:eastAsia="Arial" w:hAnsi="Arial"/>
                <w:sz w:val="14"/>
                <w:szCs w:val="14"/>
                <w:color w:val="666666"/>
              </w:rPr>
              <w:t>Executive Vice President,</w:t>
            </w:r>
          </w:p>
        </w:tc>
        <w:tc>
          <w:tcPr>
            <w:tcW w:w="680" w:type="dxa"/>
            <w:vAlign w:val="bottom"/>
          </w:tcPr>
          <w:p>
            <w:pPr>
              <w:jc w:val="center"/>
              <w:spacing w:after="0"/>
              <w:rPr>
                <w:sz w:val="20"/>
                <w:szCs w:val="20"/>
                <w:color w:val="auto"/>
              </w:rPr>
            </w:pPr>
            <w:r>
              <w:rPr>
                <w:rFonts w:ascii="Arial" w:cs="Arial" w:eastAsia="Arial" w:hAnsi="Arial"/>
                <w:sz w:val="14"/>
                <w:szCs w:val="14"/>
                <w:color w:val="828282"/>
              </w:rPr>
              <w:t>2019</w:t>
            </w:r>
          </w:p>
        </w:tc>
        <w:tc>
          <w:tcPr>
            <w:tcW w:w="900" w:type="dxa"/>
            <w:vAlign w:val="bottom"/>
          </w:tcPr>
          <w:p>
            <w:pPr>
              <w:jc w:val="center"/>
              <w:spacing w:after="0"/>
              <w:rPr>
                <w:sz w:val="20"/>
                <w:szCs w:val="20"/>
                <w:color w:val="auto"/>
              </w:rPr>
            </w:pPr>
            <w:r>
              <w:rPr>
                <w:rFonts w:ascii="Arial" w:cs="Arial" w:eastAsia="Arial" w:hAnsi="Arial"/>
                <w:sz w:val="14"/>
                <w:szCs w:val="14"/>
                <w:color w:val="828282"/>
              </w:rPr>
              <w:t>800,000</w:t>
            </w:r>
          </w:p>
        </w:tc>
        <w:tc>
          <w:tcPr>
            <w:tcW w:w="800" w:type="dxa"/>
            <w:vAlign w:val="bottom"/>
          </w:tcPr>
          <w:p>
            <w:pPr>
              <w:ind w:left="520"/>
              <w:spacing w:after="0"/>
              <w:rPr>
                <w:sz w:val="20"/>
                <w:szCs w:val="20"/>
                <w:color w:val="auto"/>
              </w:rPr>
            </w:pPr>
            <w:r>
              <w:rPr>
                <w:rFonts w:ascii="Arial" w:cs="Arial" w:eastAsia="Arial" w:hAnsi="Arial"/>
                <w:sz w:val="14"/>
                <w:szCs w:val="14"/>
                <w:color w:val="828282"/>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828282"/>
              </w:rPr>
              <w:t>774,965</w:t>
            </w:r>
          </w:p>
        </w:tc>
        <w:tc>
          <w:tcPr>
            <w:tcW w:w="860" w:type="dxa"/>
            <w:vAlign w:val="bottom"/>
          </w:tcPr>
          <w:p>
            <w:pPr>
              <w:jc w:val="right"/>
              <w:ind w:right="28"/>
              <w:spacing w:after="0"/>
              <w:rPr>
                <w:sz w:val="20"/>
                <w:szCs w:val="20"/>
                <w:color w:val="auto"/>
              </w:rPr>
            </w:pPr>
            <w:r>
              <w:rPr>
                <w:rFonts w:ascii="Arial" w:cs="Arial" w:eastAsia="Arial" w:hAnsi="Arial"/>
                <w:sz w:val="14"/>
                <w:szCs w:val="14"/>
                <w:color w:val="828282"/>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828282"/>
              </w:rPr>
              <w:t>637,500</w:t>
            </w:r>
          </w:p>
        </w:tc>
        <w:tc>
          <w:tcPr>
            <w:tcW w:w="1320" w:type="dxa"/>
            <w:vAlign w:val="bottom"/>
          </w:tcPr>
          <w:p>
            <w:pPr>
              <w:jc w:val="right"/>
              <w:ind w:right="48"/>
              <w:spacing w:after="0"/>
              <w:rPr>
                <w:sz w:val="20"/>
                <w:szCs w:val="20"/>
                <w:color w:val="auto"/>
              </w:rPr>
            </w:pPr>
            <w:r>
              <w:rPr>
                <w:rFonts w:ascii="Arial" w:cs="Arial" w:eastAsia="Arial" w:hAnsi="Arial"/>
                <w:sz w:val="14"/>
                <w:szCs w:val="14"/>
                <w:color w:val="828282"/>
              </w:rPr>
              <w:t>10,000</w:t>
            </w:r>
          </w:p>
        </w:tc>
        <w:tc>
          <w:tcPr>
            <w:tcW w:w="1500" w:type="dxa"/>
            <w:vAlign w:val="bottom"/>
          </w:tcPr>
          <w:p>
            <w:pPr>
              <w:jc w:val="right"/>
              <w:ind w:right="208"/>
              <w:spacing w:after="0"/>
              <w:rPr>
                <w:sz w:val="20"/>
                <w:szCs w:val="20"/>
                <w:color w:val="auto"/>
              </w:rPr>
            </w:pPr>
            <w:r>
              <w:rPr>
                <w:rFonts w:ascii="Arial" w:cs="Arial" w:eastAsia="Arial" w:hAnsi="Arial"/>
                <w:sz w:val="14"/>
                <w:szCs w:val="14"/>
                <w:color w:val="828282"/>
              </w:rPr>
              <w:t>150,043</w:t>
            </w:r>
          </w:p>
        </w:tc>
        <w:tc>
          <w:tcPr>
            <w:tcW w:w="1060" w:type="dxa"/>
            <w:vAlign w:val="bottom"/>
          </w:tcPr>
          <w:p>
            <w:pPr>
              <w:jc w:val="right"/>
              <w:ind w:right="28"/>
              <w:spacing w:after="0"/>
              <w:rPr>
                <w:sz w:val="20"/>
                <w:szCs w:val="20"/>
                <w:color w:val="auto"/>
              </w:rPr>
            </w:pPr>
            <w:r>
              <w:rPr>
                <w:rFonts w:ascii="Arial" w:cs="Arial" w:eastAsia="Arial" w:hAnsi="Arial"/>
                <w:sz w:val="14"/>
                <w:szCs w:val="14"/>
                <w:color w:val="828282"/>
              </w:rPr>
              <w:t>2,372,508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20" w:type="dxa"/>
            <w:vAlign w:val="bottom"/>
          </w:tcPr>
          <w:p>
            <w:pPr>
              <w:ind w:left="40"/>
              <w:spacing w:after="0"/>
              <w:rPr>
                <w:sz w:val="20"/>
                <w:szCs w:val="20"/>
                <w:color w:val="auto"/>
              </w:rPr>
            </w:pPr>
            <w:r>
              <w:rPr>
                <w:rFonts w:ascii="Arial" w:cs="Arial" w:eastAsia="Arial" w:hAnsi="Arial"/>
                <w:sz w:val="14"/>
                <w:szCs w:val="14"/>
                <w:color w:val="666666"/>
              </w:rPr>
              <w:t>Chief Innovation Officer</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828282"/>
              </w:rPr>
              <w:t>2018</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828282"/>
              </w:rPr>
              <w:t>800,000</w:t>
            </w:r>
          </w:p>
        </w:tc>
        <w:tc>
          <w:tcPr>
            <w:tcW w:w="800" w:type="dxa"/>
            <w:vAlign w:val="bottom"/>
            <w:vMerge w:val="restart"/>
          </w:tcPr>
          <w:p>
            <w:pPr>
              <w:ind w:left="520"/>
              <w:spacing w:after="0"/>
              <w:rPr>
                <w:sz w:val="20"/>
                <w:szCs w:val="20"/>
                <w:color w:val="auto"/>
              </w:rPr>
            </w:pPr>
            <w:r>
              <w:rPr>
                <w:rFonts w:ascii="Arial" w:cs="Arial" w:eastAsia="Arial" w:hAnsi="Arial"/>
                <w:sz w:val="14"/>
                <w:szCs w:val="14"/>
                <w:color w:val="828282"/>
              </w:rPr>
              <w:t>—</w:t>
            </w: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828282"/>
              </w:rPr>
              <w:t>1,050,311</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828282"/>
              </w:rPr>
              <w:t>499,991</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828282"/>
              </w:rPr>
              <w:t>493,000</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828282"/>
              </w:rPr>
              <w:t>10,000</w:t>
            </w:r>
          </w:p>
        </w:tc>
        <w:tc>
          <w:tcPr>
            <w:tcW w:w="1500" w:type="dxa"/>
            <w:vAlign w:val="bottom"/>
            <w:vMerge w:val="restart"/>
          </w:tcPr>
          <w:p>
            <w:pPr>
              <w:jc w:val="right"/>
              <w:ind w:right="208"/>
              <w:spacing w:after="0"/>
              <w:rPr>
                <w:sz w:val="20"/>
                <w:szCs w:val="20"/>
                <w:color w:val="auto"/>
              </w:rPr>
            </w:pPr>
            <w:r>
              <w:rPr>
                <w:rFonts w:ascii="Arial" w:cs="Arial" w:eastAsia="Arial" w:hAnsi="Arial"/>
                <w:sz w:val="14"/>
                <w:szCs w:val="14"/>
                <w:color w:val="828282"/>
              </w:rPr>
              <w:t>143,745</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828282"/>
              </w:rPr>
              <w:t>2,997,047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8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500" w:right="20" w:hanging="330"/>
        <w:spacing w:after="0" w:line="241" w:lineRule="auto"/>
        <w:tabs>
          <w:tab w:leader="none" w:pos="500" w:val="left"/>
        </w:tabs>
        <w:numPr>
          <w:ilvl w:val="0"/>
          <w:numId w:val="43"/>
        </w:numPr>
        <w:rPr>
          <w:rFonts w:ascii="Arial" w:cs="Arial" w:eastAsia="Arial" w:hAnsi="Arial"/>
          <w:sz w:val="14"/>
          <w:szCs w:val="14"/>
          <w:color w:val="666666"/>
        </w:rPr>
      </w:pPr>
      <w:r>
        <w:rPr>
          <w:rFonts w:ascii="Arial" w:cs="Arial" w:eastAsia="Arial" w:hAnsi="Arial"/>
          <w:sz w:val="14"/>
          <w:szCs w:val="14"/>
          <w:color w:val="666666"/>
        </w:rPr>
        <w:t>Compensation is provided only for fiscal years for which each individual qualified as a named executive officer. The fiscal year runs from April 1 through March 31 of the subsequent year.</w:t>
      </w:r>
    </w:p>
    <w:p>
      <w:pPr>
        <w:jc w:val="both"/>
        <w:ind w:left="500" w:right="20" w:hanging="330"/>
        <w:spacing w:after="0" w:line="241" w:lineRule="auto"/>
        <w:tabs>
          <w:tab w:leader="none" w:pos="500" w:val="left"/>
        </w:tabs>
        <w:numPr>
          <w:ilvl w:val="0"/>
          <w:numId w:val="43"/>
        </w:numPr>
        <w:rPr>
          <w:rFonts w:ascii="Arial" w:cs="Arial" w:eastAsia="Arial" w:hAnsi="Arial"/>
          <w:sz w:val="14"/>
          <w:szCs w:val="14"/>
          <w:color w:val="666666"/>
        </w:rPr>
      </w:pPr>
      <w:r>
        <w:rPr>
          <w:rFonts w:ascii="Arial" w:cs="Arial" w:eastAsia="Arial" w:hAnsi="Arial"/>
          <w:sz w:val="14"/>
          <w:szCs w:val="14"/>
          <w:color w:val="666666"/>
        </w:rPr>
        <w:t>This column reflects the aggregate grant date fair value of the annual time- and performance-based restricted stock units computed in accordance with FASB ASC Topic 718 using the valuation methodology and assumptions set forth in Note 19 to our financial statements for the fiscal year ended March 31, 2020, which are incorporated by reference herein, modified to exclude any forfeiture assumptions related to service-based vesting conditions. The amounts in this column do not reflect the value, if any, that ultimately may be realized by the executive. Values for the performance-based restricted stock units are computed based on the target number of shares. Assuming the maximum level of performance conditions is achieved, the value of the fiscal 2020 performance-based restricted stock units reflected in this column would be as follows: Mr. Rozanski, $7,199,956; Mr. Howell, $2,249,986; Ms. Dahut, $2,249,986; Ms. Laben $1,169,968; and Ms. Penfield, $1,049,952.</w:t>
      </w:r>
    </w:p>
    <w:p>
      <w:pPr>
        <w:spacing w:after="0" w:line="2" w:lineRule="exact"/>
        <w:rPr>
          <w:rFonts w:ascii="Arial" w:cs="Arial" w:eastAsia="Arial" w:hAnsi="Arial"/>
          <w:sz w:val="14"/>
          <w:szCs w:val="14"/>
          <w:color w:val="666666"/>
        </w:rPr>
      </w:pPr>
    </w:p>
    <w:p>
      <w:pPr>
        <w:jc w:val="both"/>
        <w:ind w:left="500" w:right="20" w:hanging="330"/>
        <w:spacing w:after="0" w:line="241" w:lineRule="auto"/>
        <w:tabs>
          <w:tab w:leader="none" w:pos="500" w:val="left"/>
        </w:tabs>
        <w:numPr>
          <w:ilvl w:val="0"/>
          <w:numId w:val="43"/>
        </w:numPr>
        <w:rPr>
          <w:rFonts w:ascii="Arial" w:cs="Arial" w:eastAsia="Arial" w:hAnsi="Arial"/>
          <w:sz w:val="14"/>
          <w:szCs w:val="14"/>
          <w:color w:val="666666"/>
        </w:rPr>
      </w:pPr>
      <w:r>
        <w:rPr>
          <w:rFonts w:ascii="Arial" w:cs="Arial" w:eastAsia="Arial" w:hAnsi="Arial"/>
          <w:sz w:val="14"/>
          <w:szCs w:val="14"/>
          <w:color w:val="666666"/>
        </w:rPr>
        <w:t>This column reflects the fiscal year 2020 annual cash incentive bonus program, which provides awards based on the achievement of corporate performance objectives. The amount reported in the Summary Compensation Table is with respect to the year in which the bonus is earned. See “Compensation Discussion and Analysis - Compensation Elements - Annual Cash Incentive” for additional detail regarding the annual performance bonus program.</w:t>
      </w:r>
    </w:p>
    <w:p>
      <w:pPr>
        <w:spacing w:after="0" w:line="1" w:lineRule="exact"/>
        <w:rPr>
          <w:rFonts w:ascii="Arial" w:cs="Arial" w:eastAsia="Arial" w:hAnsi="Arial"/>
          <w:sz w:val="14"/>
          <w:szCs w:val="14"/>
          <w:color w:val="666666"/>
        </w:rPr>
      </w:pPr>
    </w:p>
    <w:p>
      <w:pPr>
        <w:ind w:left="500" w:hanging="330"/>
        <w:spacing w:after="0"/>
        <w:tabs>
          <w:tab w:leader="none" w:pos="500" w:val="left"/>
        </w:tabs>
        <w:numPr>
          <w:ilvl w:val="0"/>
          <w:numId w:val="43"/>
        </w:numPr>
        <w:rPr>
          <w:rFonts w:ascii="Arial" w:cs="Arial" w:eastAsia="Arial" w:hAnsi="Arial"/>
          <w:sz w:val="14"/>
          <w:szCs w:val="14"/>
          <w:color w:val="666666"/>
        </w:rPr>
      </w:pPr>
      <w:r>
        <w:rPr>
          <w:rFonts w:ascii="Arial" w:cs="Arial" w:eastAsia="Arial" w:hAnsi="Arial"/>
          <w:sz w:val="14"/>
          <w:szCs w:val="14"/>
          <w:color w:val="666666"/>
        </w:rPr>
        <w:t>This column reflects the change in value of the cash retirement benefit accrued under the Officers' Retirement Plan for each of our named executive officers.</w:t>
      </w:r>
    </w:p>
    <w:p>
      <w:pPr>
        <w:spacing w:after="0" w:line="1" w:lineRule="exact"/>
        <w:rPr>
          <w:rFonts w:ascii="Arial" w:cs="Arial" w:eastAsia="Arial" w:hAnsi="Arial"/>
          <w:sz w:val="14"/>
          <w:szCs w:val="14"/>
          <w:color w:val="666666"/>
        </w:rPr>
      </w:pPr>
    </w:p>
    <w:p>
      <w:pPr>
        <w:ind w:left="500" w:hanging="330"/>
        <w:spacing w:after="0"/>
        <w:tabs>
          <w:tab w:leader="none" w:pos="500" w:val="left"/>
        </w:tabs>
        <w:numPr>
          <w:ilvl w:val="0"/>
          <w:numId w:val="43"/>
        </w:numPr>
        <w:rPr>
          <w:rFonts w:ascii="Arial" w:cs="Arial" w:eastAsia="Arial" w:hAnsi="Arial"/>
          <w:sz w:val="14"/>
          <w:szCs w:val="14"/>
          <w:color w:val="666666"/>
        </w:rPr>
      </w:pPr>
      <w:r>
        <w:rPr>
          <w:rFonts w:ascii="Arial" w:cs="Arial" w:eastAsia="Arial" w:hAnsi="Arial"/>
          <w:sz w:val="14"/>
          <w:szCs w:val="14"/>
          <w:color w:val="666666"/>
        </w:rPr>
        <w:t>Ms. Laben became a named executive officer in fiscal year 2019.</w:t>
      </w:r>
    </w:p>
    <w:p>
      <w:pPr>
        <w:spacing w:after="0" w:line="1" w:lineRule="exact"/>
        <w:rPr>
          <w:rFonts w:ascii="Arial" w:cs="Arial" w:eastAsia="Arial" w:hAnsi="Arial"/>
          <w:sz w:val="14"/>
          <w:szCs w:val="14"/>
          <w:color w:val="666666"/>
        </w:rPr>
      </w:pPr>
    </w:p>
    <w:p>
      <w:pPr>
        <w:ind w:left="500" w:hanging="330"/>
        <w:spacing w:after="0"/>
        <w:tabs>
          <w:tab w:leader="none" w:pos="500" w:val="left"/>
        </w:tabs>
        <w:numPr>
          <w:ilvl w:val="0"/>
          <w:numId w:val="43"/>
        </w:numPr>
        <w:rPr>
          <w:rFonts w:ascii="Arial" w:cs="Arial" w:eastAsia="Arial" w:hAnsi="Arial"/>
          <w:sz w:val="14"/>
          <w:szCs w:val="14"/>
          <w:color w:val="666666"/>
        </w:rPr>
      </w:pPr>
      <w:r>
        <w:rPr>
          <w:rFonts w:ascii="Arial" w:cs="Arial" w:eastAsia="Arial" w:hAnsi="Arial"/>
          <w:sz w:val="14"/>
          <w:szCs w:val="14"/>
          <w:color w:val="666666"/>
        </w:rPr>
        <w:t>The table below describes the elements included in All Other Compensation.</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666666"/>
        </w:rPr>
        <w:t>39</w:t>
      </w:r>
    </w:p>
    <w:p>
      <w:pPr>
        <w:sectPr>
          <w:pgSz w:w="11900" w:h="16838" w:orient="portrait"/>
          <w:cols w:equalWidth="0" w:num="1">
            <w:col w:w="11260"/>
          </w:cols>
          <w:pgMar w:left="320" w:top="328" w:right="319" w:bottom="1440" w:gutter="0" w:footer="0" w:header="0"/>
        </w:sectPr>
      </w:pPr>
    </w:p>
    <w:bookmarkStart w:id="48" w:name="page49"/>
    <w:bookmarkEnd w:id="48"/>
    <w:p>
      <w:pPr>
        <w:jc w:val="center"/>
        <w:ind w:right="10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919480</wp:posOffset>
            </wp:positionH>
            <wp:positionV relativeFrom="page">
              <wp:posOffset>311785</wp:posOffset>
            </wp:positionV>
            <wp:extent cx="5709285" cy="1611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9285" cy="1611630"/>
                    </a:xfrm>
                    <a:prstGeom prst="rect">
                      <a:avLst/>
                    </a:prstGeom>
                    <a:noFill/>
                  </pic:spPr>
                </pic:pic>
              </a:graphicData>
            </a:graphic>
          </wp:anchor>
        </w:drawing>
        <w:t>OTHER COMPENSATION TABLE</w:t>
      </w:r>
    </w:p>
    <w:p>
      <w:pPr>
        <w:spacing w:after="0" w:line="54"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720" w:type="dxa"/>
            <w:vAlign w:val="bottom"/>
            <w:shd w:val="clear" w:color="auto" w:fill="DDDDDD"/>
          </w:tcPr>
          <w:p>
            <w:pPr>
              <w:spacing w:after="0"/>
              <w:rPr>
                <w:sz w:val="16"/>
                <w:szCs w:val="16"/>
                <w:color w:val="auto"/>
              </w:rPr>
            </w:pPr>
          </w:p>
        </w:tc>
        <w:tc>
          <w:tcPr>
            <w:tcW w:w="1080" w:type="dxa"/>
            <w:vAlign w:val="bottom"/>
            <w:shd w:val="clear" w:color="auto" w:fill="DDDDDD"/>
          </w:tcPr>
          <w:p>
            <w:pPr>
              <w:spacing w:after="0"/>
              <w:rPr>
                <w:sz w:val="16"/>
                <w:szCs w:val="16"/>
                <w:color w:val="auto"/>
              </w:rPr>
            </w:pPr>
          </w:p>
        </w:tc>
        <w:tc>
          <w:tcPr>
            <w:tcW w:w="1100" w:type="dxa"/>
            <w:vAlign w:val="bottom"/>
            <w:shd w:val="clear" w:color="auto" w:fill="DDDDDD"/>
          </w:tcPr>
          <w:p>
            <w:pPr>
              <w:spacing w:after="0"/>
              <w:rPr>
                <w:sz w:val="16"/>
                <w:szCs w:val="16"/>
                <w:color w:val="auto"/>
              </w:rPr>
            </w:pPr>
          </w:p>
        </w:tc>
        <w:tc>
          <w:tcPr>
            <w:tcW w:w="120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828282"/>
              </w:rPr>
              <w:t>Company Non-</w:t>
            </w:r>
          </w:p>
        </w:tc>
        <w:tc>
          <w:tcPr>
            <w:tcW w:w="1180" w:type="dxa"/>
            <w:vAlign w:val="bottom"/>
            <w:shd w:val="clear" w:color="auto" w:fill="DDDDDD"/>
          </w:tcPr>
          <w:p>
            <w:pPr>
              <w:spacing w:after="0"/>
              <w:rPr>
                <w:sz w:val="16"/>
                <w:szCs w:val="16"/>
                <w:color w:val="auto"/>
              </w:rPr>
            </w:pPr>
          </w:p>
        </w:tc>
        <w:tc>
          <w:tcPr>
            <w:tcW w:w="980" w:type="dxa"/>
            <w:vAlign w:val="bottom"/>
            <w:shd w:val="clear" w:color="auto" w:fill="DDDDDD"/>
          </w:tcPr>
          <w:p>
            <w:pPr>
              <w:spacing w:after="0"/>
              <w:rPr>
                <w:sz w:val="16"/>
                <w:szCs w:val="16"/>
                <w:color w:val="auto"/>
              </w:rPr>
            </w:pPr>
          </w:p>
        </w:tc>
        <w:tc>
          <w:tcPr>
            <w:tcW w:w="920" w:type="dxa"/>
            <w:vAlign w:val="bottom"/>
            <w:shd w:val="clear" w:color="auto" w:fill="DDDDDD"/>
          </w:tcPr>
          <w:p>
            <w:pPr>
              <w:spacing w:after="0"/>
              <w:rPr>
                <w:sz w:val="16"/>
                <w:szCs w:val="16"/>
                <w:color w:val="auto"/>
              </w:rPr>
            </w:pPr>
          </w:p>
        </w:tc>
        <w:tc>
          <w:tcPr>
            <w:tcW w:w="780" w:type="dxa"/>
            <w:vAlign w:val="bottom"/>
            <w:shd w:val="clear" w:color="auto" w:fill="DDDDDD"/>
          </w:tcPr>
          <w:p>
            <w:pPr>
              <w:spacing w:after="0"/>
              <w:rPr>
                <w:sz w:val="16"/>
                <w:szCs w:val="16"/>
                <w:color w:val="auto"/>
              </w:rPr>
            </w:pPr>
          </w:p>
        </w:tc>
        <w:tc>
          <w:tcPr>
            <w:tcW w:w="2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1720" w:type="dxa"/>
            <w:vAlign w:val="bottom"/>
            <w:shd w:val="clear" w:color="auto" w:fill="DDDDDD"/>
          </w:tcPr>
          <w:p>
            <w:pPr>
              <w:spacing w:after="0"/>
              <w:rPr>
                <w:sz w:val="14"/>
                <w:szCs w:val="14"/>
                <w:color w:val="auto"/>
              </w:rPr>
            </w:pPr>
          </w:p>
        </w:tc>
        <w:tc>
          <w:tcPr>
            <w:tcW w:w="1080" w:type="dxa"/>
            <w:vAlign w:val="bottom"/>
            <w:shd w:val="clear" w:color="auto" w:fill="DDDDDD"/>
          </w:tcPr>
          <w:p>
            <w:pPr>
              <w:spacing w:after="0"/>
              <w:rPr>
                <w:sz w:val="14"/>
                <w:szCs w:val="14"/>
                <w:color w:val="auto"/>
              </w:rPr>
            </w:pPr>
          </w:p>
        </w:tc>
        <w:tc>
          <w:tcPr>
            <w:tcW w:w="110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828282"/>
              </w:rPr>
              <w:t>Qualified</w:t>
            </w:r>
          </w:p>
        </w:tc>
        <w:tc>
          <w:tcPr>
            <w:tcW w:w="120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828282"/>
              </w:rPr>
              <w:t>Qualified</w:t>
            </w:r>
          </w:p>
        </w:tc>
        <w:tc>
          <w:tcPr>
            <w:tcW w:w="118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828282"/>
              </w:rPr>
              <w:t>Executive</w:t>
            </w:r>
          </w:p>
        </w:tc>
        <w:tc>
          <w:tcPr>
            <w:tcW w:w="980" w:type="dxa"/>
            <w:vAlign w:val="bottom"/>
            <w:shd w:val="clear" w:color="auto" w:fill="DDDDDD"/>
          </w:tcPr>
          <w:p>
            <w:pPr>
              <w:spacing w:after="0"/>
              <w:rPr>
                <w:sz w:val="14"/>
                <w:szCs w:val="14"/>
                <w:color w:val="auto"/>
              </w:rPr>
            </w:pPr>
          </w:p>
        </w:tc>
        <w:tc>
          <w:tcPr>
            <w:tcW w:w="920" w:type="dxa"/>
            <w:vAlign w:val="bottom"/>
            <w:shd w:val="clear" w:color="auto" w:fill="DDDDDD"/>
          </w:tcPr>
          <w:p>
            <w:pPr>
              <w:spacing w:after="0"/>
              <w:rPr>
                <w:sz w:val="14"/>
                <w:szCs w:val="14"/>
                <w:color w:val="auto"/>
              </w:rPr>
            </w:pPr>
          </w:p>
        </w:tc>
        <w:tc>
          <w:tcPr>
            <w:tcW w:w="780" w:type="dxa"/>
            <w:vAlign w:val="bottom"/>
            <w:shd w:val="clear" w:color="auto" w:fill="DDDDDD"/>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720" w:type="dxa"/>
            <w:vAlign w:val="bottom"/>
            <w:shd w:val="clear" w:color="auto" w:fill="DDDDDD"/>
          </w:tcPr>
          <w:p>
            <w:pPr>
              <w:spacing w:after="0"/>
              <w:rPr>
                <w:sz w:val="14"/>
                <w:szCs w:val="14"/>
                <w:color w:val="auto"/>
              </w:rPr>
            </w:pPr>
          </w:p>
        </w:tc>
        <w:tc>
          <w:tcPr>
            <w:tcW w:w="1080" w:type="dxa"/>
            <w:vAlign w:val="bottom"/>
            <w:shd w:val="clear" w:color="auto" w:fill="DDDDDD"/>
          </w:tcPr>
          <w:p>
            <w:pPr>
              <w:spacing w:after="0"/>
              <w:rPr>
                <w:sz w:val="14"/>
                <w:szCs w:val="14"/>
                <w:color w:val="auto"/>
              </w:rPr>
            </w:pPr>
          </w:p>
        </w:tc>
        <w:tc>
          <w:tcPr>
            <w:tcW w:w="110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828282"/>
              </w:rPr>
              <w:t>Company</w:t>
            </w:r>
          </w:p>
        </w:tc>
        <w:tc>
          <w:tcPr>
            <w:tcW w:w="120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828282"/>
              </w:rPr>
              <w:t>Retirement</w:t>
            </w:r>
          </w:p>
        </w:tc>
        <w:tc>
          <w:tcPr>
            <w:tcW w:w="118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828282"/>
              </w:rPr>
              <w:t>Medical and</w:t>
            </w:r>
          </w:p>
        </w:tc>
        <w:tc>
          <w:tcPr>
            <w:tcW w:w="980" w:type="dxa"/>
            <w:vAlign w:val="bottom"/>
            <w:shd w:val="clear" w:color="auto" w:fill="DDDDDD"/>
          </w:tcPr>
          <w:p>
            <w:pPr>
              <w:spacing w:after="0"/>
              <w:rPr>
                <w:sz w:val="14"/>
                <w:szCs w:val="14"/>
                <w:color w:val="auto"/>
              </w:rPr>
            </w:pPr>
          </w:p>
        </w:tc>
        <w:tc>
          <w:tcPr>
            <w:tcW w:w="920" w:type="dxa"/>
            <w:vAlign w:val="bottom"/>
            <w:shd w:val="clear" w:color="auto" w:fill="DDDDDD"/>
          </w:tcPr>
          <w:p>
            <w:pPr>
              <w:spacing w:after="0"/>
              <w:rPr>
                <w:sz w:val="14"/>
                <w:szCs w:val="14"/>
                <w:color w:val="auto"/>
              </w:rPr>
            </w:pPr>
          </w:p>
        </w:tc>
        <w:tc>
          <w:tcPr>
            <w:tcW w:w="780" w:type="dxa"/>
            <w:vAlign w:val="bottom"/>
            <w:shd w:val="clear" w:color="auto" w:fill="DDDDDD"/>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3"/>
                <w:szCs w:val="13"/>
                <w:color w:val="auto"/>
              </w:rPr>
            </w:pPr>
          </w:p>
        </w:tc>
        <w:tc>
          <w:tcPr>
            <w:tcW w:w="1720" w:type="dxa"/>
            <w:vAlign w:val="bottom"/>
            <w:shd w:val="clear" w:color="auto" w:fill="DDDDDD"/>
          </w:tcPr>
          <w:p>
            <w:pPr>
              <w:spacing w:after="0"/>
              <w:rPr>
                <w:sz w:val="13"/>
                <w:szCs w:val="13"/>
                <w:color w:val="auto"/>
              </w:rPr>
            </w:pPr>
          </w:p>
        </w:tc>
        <w:tc>
          <w:tcPr>
            <w:tcW w:w="108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828282"/>
              </w:rPr>
              <w:t>Financial</w:t>
            </w:r>
          </w:p>
        </w:tc>
        <w:tc>
          <w:tcPr>
            <w:tcW w:w="110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828282"/>
              </w:rPr>
              <w:t>Contributions</w:t>
            </w:r>
          </w:p>
        </w:tc>
        <w:tc>
          <w:tcPr>
            <w:tcW w:w="120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828282"/>
              </w:rPr>
              <w:t>Contributions</w:t>
            </w:r>
          </w:p>
        </w:tc>
        <w:tc>
          <w:tcPr>
            <w:tcW w:w="118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828282"/>
              </w:rPr>
              <w:t>Retiree Plan</w:t>
            </w:r>
          </w:p>
        </w:tc>
        <w:tc>
          <w:tcPr>
            <w:tcW w:w="980" w:type="dxa"/>
            <w:vAlign w:val="bottom"/>
            <w:shd w:val="clear" w:color="auto" w:fill="DDDDDD"/>
          </w:tcPr>
          <w:p>
            <w:pPr>
              <w:jc w:val="center"/>
              <w:ind w:right="8"/>
              <w:spacing w:after="0"/>
              <w:rPr>
                <w:sz w:val="20"/>
                <w:szCs w:val="20"/>
                <w:color w:val="auto"/>
              </w:rPr>
            </w:pPr>
            <w:r>
              <w:rPr>
                <w:rFonts w:ascii="Arial" w:cs="Arial" w:eastAsia="Arial" w:hAnsi="Arial"/>
                <w:sz w:val="14"/>
                <w:szCs w:val="14"/>
                <w:b w:val="1"/>
                <w:bCs w:val="1"/>
                <w:color w:val="828282"/>
              </w:rPr>
              <w:t>Life</w:t>
            </w:r>
          </w:p>
        </w:tc>
        <w:tc>
          <w:tcPr>
            <w:tcW w:w="920" w:type="dxa"/>
            <w:vAlign w:val="bottom"/>
            <w:shd w:val="clear" w:color="auto" w:fill="DDDDDD"/>
          </w:tcPr>
          <w:p>
            <w:pPr>
              <w:spacing w:after="0"/>
              <w:rPr>
                <w:sz w:val="13"/>
                <w:szCs w:val="13"/>
                <w:color w:val="auto"/>
              </w:rPr>
            </w:pPr>
          </w:p>
        </w:tc>
        <w:tc>
          <w:tcPr>
            <w:tcW w:w="780" w:type="dxa"/>
            <w:vAlign w:val="bottom"/>
            <w:shd w:val="clear" w:color="auto" w:fill="DDDDDD"/>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DDDDDD"/>
          </w:tcPr>
          <w:p>
            <w:pPr>
              <w:ind w:left="40"/>
              <w:spacing w:after="0"/>
              <w:rPr>
                <w:sz w:val="20"/>
                <w:szCs w:val="20"/>
                <w:color w:val="auto"/>
              </w:rPr>
            </w:pPr>
            <w:r>
              <w:rPr>
                <w:rFonts w:ascii="Arial" w:cs="Arial" w:eastAsia="Arial" w:hAnsi="Arial"/>
                <w:sz w:val="14"/>
                <w:szCs w:val="14"/>
                <w:b w:val="1"/>
                <w:bCs w:val="1"/>
                <w:color w:val="828282"/>
              </w:rPr>
              <w:t>Name</w:t>
            </w:r>
          </w:p>
        </w:tc>
        <w:tc>
          <w:tcPr>
            <w:tcW w:w="108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828282"/>
              </w:rPr>
              <w:t>Counseling</w:t>
            </w:r>
          </w:p>
        </w:tc>
        <w:tc>
          <w:tcPr>
            <w:tcW w:w="110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828282"/>
              </w:rPr>
              <w:t>to 401(k)</w:t>
            </w:r>
          </w:p>
        </w:tc>
        <w:tc>
          <w:tcPr>
            <w:tcW w:w="1200" w:type="dxa"/>
            <w:vAlign w:val="bottom"/>
            <w:shd w:val="clear" w:color="auto" w:fill="DDDDDD"/>
          </w:tcPr>
          <w:p>
            <w:pPr>
              <w:jc w:val="center"/>
              <w:spacing w:after="0" w:line="203" w:lineRule="exact"/>
              <w:rPr>
                <w:sz w:val="20"/>
                <w:szCs w:val="20"/>
                <w:color w:val="auto"/>
              </w:rPr>
            </w:pPr>
            <w:r>
              <w:rPr>
                <w:rFonts w:ascii="Arial" w:cs="Arial" w:eastAsia="Arial" w:hAnsi="Arial"/>
                <w:sz w:val="14"/>
                <w:szCs w:val="14"/>
                <w:b w:val="1"/>
                <w:bCs w:val="1"/>
                <w:color w:val="828282"/>
                <w:w w:val="98"/>
              </w:rPr>
              <w:t xml:space="preserve">to Employees </w:t>
            </w:r>
            <w:r>
              <w:rPr>
                <w:rFonts w:ascii="Arial" w:cs="Arial" w:eastAsia="Arial" w:hAnsi="Arial"/>
                <w:sz w:val="23"/>
                <w:szCs w:val="23"/>
                <w:b w:val="1"/>
                <w:bCs w:val="1"/>
                <w:color w:val="828282"/>
                <w:w w:val="98"/>
                <w:vertAlign w:val="superscript"/>
              </w:rPr>
              <w:t>a</w:t>
            </w:r>
          </w:p>
        </w:tc>
        <w:tc>
          <w:tcPr>
            <w:tcW w:w="118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828282"/>
              </w:rPr>
              <w:t>Contributions</w:t>
            </w:r>
          </w:p>
        </w:tc>
        <w:tc>
          <w:tcPr>
            <w:tcW w:w="980" w:type="dxa"/>
            <w:vAlign w:val="bottom"/>
            <w:shd w:val="clear" w:color="auto" w:fill="DDDDDD"/>
          </w:tcPr>
          <w:p>
            <w:pPr>
              <w:jc w:val="center"/>
              <w:ind w:right="28"/>
              <w:spacing w:after="0"/>
              <w:rPr>
                <w:sz w:val="20"/>
                <w:szCs w:val="20"/>
                <w:color w:val="auto"/>
              </w:rPr>
            </w:pPr>
            <w:r>
              <w:rPr>
                <w:rFonts w:ascii="Arial" w:cs="Arial" w:eastAsia="Arial" w:hAnsi="Arial"/>
                <w:sz w:val="14"/>
                <w:szCs w:val="14"/>
                <w:b w:val="1"/>
                <w:bCs w:val="1"/>
                <w:color w:val="828282"/>
              </w:rPr>
              <w:t>Insurance</w:t>
            </w:r>
          </w:p>
        </w:tc>
        <w:tc>
          <w:tcPr>
            <w:tcW w:w="920" w:type="dxa"/>
            <w:vAlign w:val="bottom"/>
            <w:shd w:val="clear" w:color="auto" w:fill="DDDDDD"/>
          </w:tcPr>
          <w:p>
            <w:pPr>
              <w:jc w:val="right"/>
              <w:ind w:right="208"/>
              <w:spacing w:after="0" w:line="203" w:lineRule="exact"/>
              <w:rPr>
                <w:sz w:val="20"/>
                <w:szCs w:val="20"/>
                <w:color w:val="auto"/>
              </w:rPr>
            </w:pPr>
            <w:r>
              <w:rPr>
                <w:rFonts w:ascii="Arial" w:cs="Arial" w:eastAsia="Arial" w:hAnsi="Arial"/>
                <w:sz w:val="14"/>
                <w:szCs w:val="14"/>
                <w:b w:val="1"/>
                <w:bCs w:val="1"/>
                <w:color w:val="828282"/>
              </w:rPr>
              <w:t xml:space="preserve">Other </w:t>
            </w:r>
            <w:r>
              <w:rPr>
                <w:rFonts w:ascii="Arial" w:cs="Arial" w:eastAsia="Arial" w:hAnsi="Arial"/>
                <w:sz w:val="23"/>
                <w:szCs w:val="23"/>
                <w:b w:val="1"/>
                <w:bCs w:val="1"/>
                <w:color w:val="828282"/>
                <w:vertAlign w:val="superscript"/>
              </w:rPr>
              <w:t>b</w:t>
            </w:r>
          </w:p>
        </w:tc>
        <w:tc>
          <w:tcPr>
            <w:tcW w:w="780" w:type="dxa"/>
            <w:vAlign w:val="bottom"/>
            <w:shd w:val="clear" w:color="auto" w:fill="DDDDDD"/>
          </w:tcPr>
          <w:p>
            <w:pPr>
              <w:ind w:left="180"/>
              <w:spacing w:after="0"/>
              <w:rPr>
                <w:sz w:val="20"/>
                <w:szCs w:val="20"/>
                <w:color w:val="auto"/>
              </w:rPr>
            </w:pPr>
            <w:r>
              <w:rPr>
                <w:rFonts w:ascii="Arial" w:cs="Arial" w:eastAsia="Arial" w:hAnsi="Arial"/>
                <w:sz w:val="14"/>
                <w:szCs w:val="14"/>
                <w:b w:val="1"/>
                <w:bCs w:val="1"/>
                <w:color w:val="828282"/>
              </w:rPr>
              <w:t>Total</w:t>
            </w:r>
          </w:p>
        </w:tc>
        <w:tc>
          <w:tcPr>
            <w:tcW w:w="20" w:type="dxa"/>
            <w:vAlign w:val="bottom"/>
          </w:tcPr>
          <w:p>
            <w:pPr>
              <w:spacing w:after="0"/>
              <w:rPr>
                <w:sz w:val="17"/>
                <w:szCs w:val="17"/>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shd w:val="clear" w:color="auto" w:fill="DDDDDD"/>
          </w:tcPr>
          <w:p>
            <w:pPr>
              <w:spacing w:after="0"/>
              <w:rPr>
                <w:sz w:val="19"/>
                <w:szCs w:val="19"/>
                <w:color w:val="auto"/>
              </w:rPr>
            </w:pPr>
          </w:p>
        </w:tc>
        <w:tc>
          <w:tcPr>
            <w:tcW w:w="108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828282"/>
              </w:rPr>
              <w:t>($)</w:t>
            </w:r>
          </w:p>
        </w:tc>
        <w:tc>
          <w:tcPr>
            <w:tcW w:w="110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828282"/>
              </w:rPr>
              <w:t>($)</w:t>
            </w:r>
          </w:p>
        </w:tc>
        <w:tc>
          <w:tcPr>
            <w:tcW w:w="120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828282"/>
              </w:rPr>
              <w:t>($)</w:t>
            </w:r>
          </w:p>
        </w:tc>
        <w:tc>
          <w:tcPr>
            <w:tcW w:w="118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828282"/>
                <w:w w:val="93"/>
              </w:rPr>
              <w:t>($)</w:t>
            </w:r>
          </w:p>
        </w:tc>
        <w:tc>
          <w:tcPr>
            <w:tcW w:w="980" w:type="dxa"/>
            <w:vAlign w:val="bottom"/>
            <w:tcBorders>
              <w:bottom w:val="single" w:sz="8" w:color="auto"/>
            </w:tcBorders>
            <w:shd w:val="clear" w:color="auto" w:fill="DDDDDD"/>
          </w:tcPr>
          <w:p>
            <w:pPr>
              <w:jc w:val="center"/>
              <w:ind w:right="8"/>
              <w:spacing w:after="0"/>
              <w:rPr>
                <w:sz w:val="20"/>
                <w:szCs w:val="20"/>
                <w:color w:val="auto"/>
              </w:rPr>
            </w:pPr>
            <w:r>
              <w:rPr>
                <w:rFonts w:ascii="Arial" w:cs="Arial" w:eastAsia="Arial" w:hAnsi="Arial"/>
                <w:sz w:val="14"/>
                <w:szCs w:val="14"/>
                <w:b w:val="1"/>
                <w:bCs w:val="1"/>
                <w:color w:val="828282"/>
              </w:rPr>
              <w:t>($)</w:t>
            </w:r>
          </w:p>
        </w:tc>
        <w:tc>
          <w:tcPr>
            <w:tcW w:w="920" w:type="dxa"/>
            <w:vAlign w:val="bottom"/>
            <w:tcBorders>
              <w:bottom w:val="single" w:sz="8" w:color="auto"/>
            </w:tcBorders>
            <w:shd w:val="clear" w:color="auto" w:fill="DDDDDD"/>
          </w:tcPr>
          <w:p>
            <w:pPr>
              <w:jc w:val="right"/>
              <w:ind w:right="368"/>
              <w:spacing w:after="0"/>
              <w:rPr>
                <w:sz w:val="20"/>
                <w:szCs w:val="20"/>
                <w:color w:val="auto"/>
              </w:rPr>
            </w:pPr>
            <w:r>
              <w:rPr>
                <w:rFonts w:ascii="Arial" w:cs="Arial" w:eastAsia="Arial" w:hAnsi="Arial"/>
                <w:sz w:val="14"/>
                <w:szCs w:val="14"/>
                <w:b w:val="1"/>
                <w:bCs w:val="1"/>
                <w:color w:val="828282"/>
              </w:rPr>
              <w:t>($)</w:t>
            </w:r>
          </w:p>
        </w:tc>
        <w:tc>
          <w:tcPr>
            <w:tcW w:w="780" w:type="dxa"/>
            <w:vAlign w:val="bottom"/>
            <w:tcBorders>
              <w:bottom w:val="single" w:sz="8" w:color="auto"/>
            </w:tcBorders>
            <w:shd w:val="clear" w:color="auto" w:fill="DDDDDD"/>
          </w:tcPr>
          <w:p>
            <w:pPr>
              <w:ind w:left="260"/>
              <w:spacing w:after="0"/>
              <w:rPr>
                <w:sz w:val="20"/>
                <w:szCs w:val="20"/>
                <w:color w:val="auto"/>
              </w:rPr>
            </w:pPr>
            <w:r>
              <w:rPr>
                <w:rFonts w:ascii="Arial" w:cs="Arial" w:eastAsia="Arial" w:hAnsi="Arial"/>
                <w:sz w:val="14"/>
                <w:szCs w:val="14"/>
                <w:b w:val="1"/>
                <w:bCs w:val="1"/>
                <w:color w:val="828282"/>
              </w:rPr>
              <w:t>($)</w:t>
            </w:r>
          </w:p>
        </w:tc>
        <w:tc>
          <w:tcPr>
            <w:tcW w:w="20" w:type="dxa"/>
            <w:vAlign w:val="bottom"/>
            <w:tcBorders>
              <w:bottom w:val="single" w:sz="8" w:color="auto"/>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720" w:type="dxa"/>
            <w:vAlign w:val="bottom"/>
          </w:tcPr>
          <w:p>
            <w:pPr>
              <w:ind w:left="40"/>
              <w:spacing w:after="0"/>
              <w:rPr>
                <w:sz w:val="20"/>
                <w:szCs w:val="20"/>
                <w:color w:val="auto"/>
              </w:rPr>
            </w:pPr>
            <w:r>
              <w:rPr>
                <w:rFonts w:ascii="Arial" w:cs="Arial" w:eastAsia="Arial" w:hAnsi="Arial"/>
                <w:sz w:val="14"/>
                <w:szCs w:val="14"/>
                <w:b w:val="1"/>
                <w:bCs w:val="1"/>
                <w:color w:val="828282"/>
              </w:rPr>
              <w:t>Horacio D. Rozanski</w:t>
            </w:r>
          </w:p>
        </w:tc>
        <w:tc>
          <w:tcPr>
            <w:tcW w:w="1080" w:type="dxa"/>
            <w:vAlign w:val="bottom"/>
          </w:tcPr>
          <w:p>
            <w:pPr>
              <w:jc w:val="right"/>
              <w:ind w:right="8"/>
              <w:spacing w:after="0"/>
              <w:rPr>
                <w:sz w:val="20"/>
                <w:szCs w:val="20"/>
                <w:color w:val="auto"/>
              </w:rPr>
            </w:pPr>
            <w:r>
              <w:rPr>
                <w:rFonts w:ascii="Arial" w:cs="Arial" w:eastAsia="Arial" w:hAnsi="Arial"/>
                <w:sz w:val="14"/>
                <w:szCs w:val="14"/>
                <w:color w:val="828282"/>
              </w:rPr>
              <w:t>15,000</w:t>
            </w:r>
          </w:p>
        </w:tc>
        <w:tc>
          <w:tcPr>
            <w:tcW w:w="1100" w:type="dxa"/>
            <w:vAlign w:val="bottom"/>
          </w:tcPr>
          <w:p>
            <w:pPr>
              <w:jc w:val="right"/>
              <w:ind w:right="28"/>
              <w:spacing w:after="0"/>
              <w:rPr>
                <w:sz w:val="20"/>
                <w:szCs w:val="20"/>
                <w:color w:val="auto"/>
              </w:rPr>
            </w:pPr>
            <w:r>
              <w:rPr>
                <w:rFonts w:ascii="Arial" w:cs="Arial" w:eastAsia="Arial" w:hAnsi="Arial"/>
                <w:sz w:val="14"/>
                <w:szCs w:val="14"/>
                <w:color w:val="828282"/>
              </w:rPr>
              <w:t>16,800</w:t>
            </w:r>
          </w:p>
        </w:tc>
        <w:tc>
          <w:tcPr>
            <w:tcW w:w="1200" w:type="dxa"/>
            <w:vAlign w:val="bottom"/>
          </w:tcPr>
          <w:p>
            <w:pPr>
              <w:jc w:val="right"/>
              <w:ind w:right="48"/>
              <w:spacing w:after="0"/>
              <w:rPr>
                <w:sz w:val="20"/>
                <w:szCs w:val="20"/>
                <w:color w:val="auto"/>
              </w:rPr>
            </w:pPr>
            <w:r>
              <w:rPr>
                <w:rFonts w:ascii="Arial" w:cs="Arial" w:eastAsia="Arial" w:hAnsi="Arial"/>
                <w:sz w:val="14"/>
                <w:szCs w:val="14"/>
                <w:color w:val="828282"/>
              </w:rPr>
              <w:t>25,000</w:t>
            </w:r>
          </w:p>
        </w:tc>
        <w:tc>
          <w:tcPr>
            <w:tcW w:w="1180" w:type="dxa"/>
            <w:vAlign w:val="bottom"/>
          </w:tcPr>
          <w:p>
            <w:pPr>
              <w:jc w:val="right"/>
              <w:ind w:right="48"/>
              <w:spacing w:after="0"/>
              <w:rPr>
                <w:sz w:val="20"/>
                <w:szCs w:val="20"/>
                <w:color w:val="auto"/>
              </w:rPr>
            </w:pPr>
            <w:r>
              <w:rPr>
                <w:rFonts w:ascii="Arial" w:cs="Arial" w:eastAsia="Arial" w:hAnsi="Arial"/>
                <w:sz w:val="14"/>
                <w:szCs w:val="14"/>
                <w:color w:val="828282"/>
              </w:rPr>
              <w:t>52,408</w:t>
            </w:r>
          </w:p>
        </w:tc>
        <w:tc>
          <w:tcPr>
            <w:tcW w:w="980" w:type="dxa"/>
            <w:vAlign w:val="bottom"/>
          </w:tcPr>
          <w:p>
            <w:pPr>
              <w:jc w:val="right"/>
              <w:ind w:right="48"/>
              <w:spacing w:after="0"/>
              <w:rPr>
                <w:sz w:val="20"/>
                <w:szCs w:val="20"/>
                <w:color w:val="auto"/>
              </w:rPr>
            </w:pPr>
            <w:r>
              <w:rPr>
                <w:rFonts w:ascii="Arial" w:cs="Arial" w:eastAsia="Arial" w:hAnsi="Arial"/>
                <w:sz w:val="14"/>
                <w:szCs w:val="14"/>
                <w:color w:val="828282"/>
              </w:rPr>
              <w:t>3,468</w:t>
            </w:r>
          </w:p>
        </w:tc>
        <w:tc>
          <w:tcPr>
            <w:tcW w:w="920" w:type="dxa"/>
            <w:vAlign w:val="bottom"/>
          </w:tcPr>
          <w:p>
            <w:pPr>
              <w:jc w:val="right"/>
              <w:ind w:right="108"/>
              <w:spacing w:after="0"/>
              <w:rPr>
                <w:sz w:val="20"/>
                <w:szCs w:val="20"/>
                <w:color w:val="auto"/>
              </w:rPr>
            </w:pPr>
            <w:r>
              <w:rPr>
                <w:rFonts w:ascii="Arial" w:cs="Arial" w:eastAsia="Arial" w:hAnsi="Arial"/>
                <w:sz w:val="14"/>
                <w:szCs w:val="14"/>
                <w:color w:val="828282"/>
              </w:rPr>
              <w:t>167,781</w:t>
            </w:r>
          </w:p>
        </w:tc>
        <w:tc>
          <w:tcPr>
            <w:tcW w:w="780" w:type="dxa"/>
            <w:vAlign w:val="bottom"/>
          </w:tcPr>
          <w:p>
            <w:pPr>
              <w:ind w:left="180"/>
              <w:spacing w:after="0"/>
              <w:rPr>
                <w:sz w:val="20"/>
                <w:szCs w:val="20"/>
                <w:color w:val="auto"/>
              </w:rPr>
            </w:pPr>
            <w:r>
              <w:rPr>
                <w:rFonts w:ascii="Arial" w:cs="Arial" w:eastAsia="Arial" w:hAnsi="Arial"/>
                <w:sz w:val="14"/>
                <w:szCs w:val="14"/>
                <w:color w:val="828282"/>
              </w:rPr>
              <w:t>280,457</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720" w:type="dxa"/>
            <w:vAlign w:val="bottom"/>
            <w:shd w:val="clear" w:color="auto" w:fill="DDDDDD"/>
          </w:tcPr>
          <w:p>
            <w:pPr>
              <w:ind w:left="40"/>
              <w:spacing w:after="0"/>
              <w:rPr>
                <w:sz w:val="20"/>
                <w:szCs w:val="20"/>
                <w:color w:val="auto"/>
              </w:rPr>
            </w:pPr>
            <w:r>
              <w:rPr>
                <w:rFonts w:ascii="Arial" w:cs="Arial" w:eastAsia="Arial" w:hAnsi="Arial"/>
                <w:sz w:val="14"/>
                <w:szCs w:val="14"/>
                <w:b w:val="1"/>
                <w:bCs w:val="1"/>
                <w:color w:val="828282"/>
              </w:rPr>
              <w:t>Lloyd W. Howell, Jr.</w:t>
            </w:r>
          </w:p>
        </w:tc>
        <w:tc>
          <w:tcPr>
            <w:tcW w:w="10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828282"/>
              </w:rPr>
              <w:t>15,000</w:t>
            </w:r>
          </w:p>
        </w:tc>
        <w:tc>
          <w:tcPr>
            <w:tcW w:w="110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828282"/>
              </w:rPr>
              <w:t>16,800</w:t>
            </w:r>
          </w:p>
        </w:tc>
        <w:tc>
          <w:tcPr>
            <w:tcW w:w="120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828282"/>
              </w:rPr>
              <w:t>25,000</w:t>
            </w:r>
          </w:p>
        </w:tc>
        <w:tc>
          <w:tcPr>
            <w:tcW w:w="118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828282"/>
              </w:rPr>
              <w:t>52,408</w:t>
            </w:r>
          </w:p>
        </w:tc>
        <w:tc>
          <w:tcPr>
            <w:tcW w:w="98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828282"/>
              </w:rPr>
              <w:t>4,116</w:t>
            </w:r>
          </w:p>
        </w:tc>
        <w:tc>
          <w:tcPr>
            <w:tcW w:w="92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828282"/>
              </w:rPr>
              <w:t>51,644</w:t>
            </w:r>
          </w:p>
        </w:tc>
        <w:tc>
          <w:tcPr>
            <w:tcW w:w="780" w:type="dxa"/>
            <w:vAlign w:val="bottom"/>
            <w:shd w:val="clear" w:color="auto" w:fill="DDDDDD"/>
          </w:tcPr>
          <w:p>
            <w:pPr>
              <w:ind w:left="180"/>
              <w:spacing w:after="0"/>
              <w:rPr>
                <w:sz w:val="20"/>
                <w:szCs w:val="20"/>
                <w:color w:val="auto"/>
              </w:rPr>
            </w:pPr>
            <w:r>
              <w:rPr>
                <w:rFonts w:ascii="Arial" w:cs="Arial" w:eastAsia="Arial" w:hAnsi="Arial"/>
                <w:sz w:val="14"/>
                <w:szCs w:val="14"/>
                <w:color w:val="828282"/>
              </w:rPr>
              <w:t>164,968</w:t>
            </w: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720" w:type="dxa"/>
            <w:vAlign w:val="bottom"/>
          </w:tcPr>
          <w:p>
            <w:pPr>
              <w:ind w:left="40"/>
              <w:spacing w:after="0"/>
              <w:rPr>
                <w:sz w:val="20"/>
                <w:szCs w:val="20"/>
                <w:color w:val="auto"/>
              </w:rPr>
            </w:pPr>
            <w:r>
              <w:rPr>
                <w:rFonts w:ascii="Arial" w:cs="Arial" w:eastAsia="Arial" w:hAnsi="Arial"/>
                <w:sz w:val="14"/>
                <w:szCs w:val="14"/>
                <w:b w:val="1"/>
                <w:bCs w:val="1"/>
                <w:color w:val="828282"/>
              </w:rPr>
              <w:t>Karen M. Dahut</w:t>
            </w:r>
          </w:p>
        </w:tc>
        <w:tc>
          <w:tcPr>
            <w:tcW w:w="1080" w:type="dxa"/>
            <w:vAlign w:val="bottom"/>
          </w:tcPr>
          <w:p>
            <w:pPr>
              <w:jc w:val="right"/>
              <w:ind w:right="8"/>
              <w:spacing w:after="0"/>
              <w:rPr>
                <w:sz w:val="20"/>
                <w:szCs w:val="20"/>
                <w:color w:val="auto"/>
              </w:rPr>
            </w:pPr>
            <w:r>
              <w:rPr>
                <w:rFonts w:ascii="Arial" w:cs="Arial" w:eastAsia="Arial" w:hAnsi="Arial"/>
                <w:sz w:val="14"/>
                <w:szCs w:val="14"/>
                <w:color w:val="828282"/>
              </w:rPr>
              <w:t>15,000</w:t>
            </w:r>
          </w:p>
        </w:tc>
        <w:tc>
          <w:tcPr>
            <w:tcW w:w="1100" w:type="dxa"/>
            <w:vAlign w:val="bottom"/>
          </w:tcPr>
          <w:p>
            <w:pPr>
              <w:jc w:val="right"/>
              <w:ind w:right="28"/>
              <w:spacing w:after="0"/>
              <w:rPr>
                <w:sz w:val="20"/>
                <w:szCs w:val="20"/>
                <w:color w:val="auto"/>
              </w:rPr>
            </w:pPr>
            <w:r>
              <w:rPr>
                <w:rFonts w:ascii="Arial" w:cs="Arial" w:eastAsia="Arial" w:hAnsi="Arial"/>
                <w:sz w:val="14"/>
                <w:szCs w:val="14"/>
                <w:color w:val="828282"/>
              </w:rPr>
              <w:t>16,800</w:t>
            </w:r>
          </w:p>
        </w:tc>
        <w:tc>
          <w:tcPr>
            <w:tcW w:w="1200" w:type="dxa"/>
            <w:vAlign w:val="bottom"/>
          </w:tcPr>
          <w:p>
            <w:pPr>
              <w:jc w:val="right"/>
              <w:ind w:right="48"/>
              <w:spacing w:after="0"/>
              <w:rPr>
                <w:sz w:val="20"/>
                <w:szCs w:val="20"/>
                <w:color w:val="auto"/>
              </w:rPr>
            </w:pPr>
            <w:r>
              <w:rPr>
                <w:rFonts w:ascii="Arial" w:cs="Arial" w:eastAsia="Arial" w:hAnsi="Arial"/>
                <w:sz w:val="14"/>
                <w:szCs w:val="14"/>
                <w:color w:val="828282"/>
              </w:rPr>
              <w:t>25,000</w:t>
            </w:r>
          </w:p>
        </w:tc>
        <w:tc>
          <w:tcPr>
            <w:tcW w:w="1180" w:type="dxa"/>
            <w:vAlign w:val="bottom"/>
          </w:tcPr>
          <w:p>
            <w:pPr>
              <w:jc w:val="right"/>
              <w:ind w:right="48"/>
              <w:spacing w:after="0"/>
              <w:rPr>
                <w:sz w:val="20"/>
                <w:szCs w:val="20"/>
                <w:color w:val="auto"/>
              </w:rPr>
            </w:pPr>
            <w:r>
              <w:rPr>
                <w:rFonts w:ascii="Arial" w:cs="Arial" w:eastAsia="Arial" w:hAnsi="Arial"/>
                <w:sz w:val="14"/>
                <w:szCs w:val="14"/>
                <w:color w:val="828282"/>
              </w:rPr>
              <w:t>52,408</w:t>
            </w:r>
          </w:p>
        </w:tc>
        <w:tc>
          <w:tcPr>
            <w:tcW w:w="980" w:type="dxa"/>
            <w:vAlign w:val="bottom"/>
          </w:tcPr>
          <w:p>
            <w:pPr>
              <w:jc w:val="right"/>
              <w:ind w:right="48"/>
              <w:spacing w:after="0"/>
              <w:rPr>
                <w:sz w:val="20"/>
                <w:szCs w:val="20"/>
                <w:color w:val="auto"/>
              </w:rPr>
            </w:pPr>
            <w:r>
              <w:rPr>
                <w:rFonts w:ascii="Arial" w:cs="Arial" w:eastAsia="Arial" w:hAnsi="Arial"/>
                <w:sz w:val="14"/>
                <w:szCs w:val="14"/>
                <w:color w:val="828282"/>
              </w:rPr>
              <w:t>5,862</w:t>
            </w:r>
          </w:p>
        </w:tc>
        <w:tc>
          <w:tcPr>
            <w:tcW w:w="920" w:type="dxa"/>
            <w:vAlign w:val="bottom"/>
          </w:tcPr>
          <w:p>
            <w:pPr>
              <w:jc w:val="right"/>
              <w:ind w:right="108"/>
              <w:spacing w:after="0"/>
              <w:rPr>
                <w:sz w:val="20"/>
                <w:szCs w:val="20"/>
                <w:color w:val="auto"/>
              </w:rPr>
            </w:pPr>
            <w:r>
              <w:rPr>
                <w:rFonts w:ascii="Arial" w:cs="Arial" w:eastAsia="Arial" w:hAnsi="Arial"/>
                <w:sz w:val="14"/>
                <w:szCs w:val="14"/>
                <w:color w:val="828282"/>
              </w:rPr>
              <w:t>71,623</w:t>
            </w:r>
          </w:p>
        </w:tc>
        <w:tc>
          <w:tcPr>
            <w:tcW w:w="780" w:type="dxa"/>
            <w:vAlign w:val="bottom"/>
          </w:tcPr>
          <w:p>
            <w:pPr>
              <w:ind w:left="180"/>
              <w:spacing w:after="0"/>
              <w:rPr>
                <w:sz w:val="20"/>
                <w:szCs w:val="20"/>
                <w:color w:val="auto"/>
              </w:rPr>
            </w:pPr>
            <w:r>
              <w:rPr>
                <w:rFonts w:ascii="Arial" w:cs="Arial" w:eastAsia="Arial" w:hAnsi="Arial"/>
                <w:sz w:val="14"/>
                <w:szCs w:val="14"/>
                <w:color w:val="828282"/>
              </w:rPr>
              <w:t>186,693</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720" w:type="dxa"/>
            <w:vAlign w:val="bottom"/>
            <w:shd w:val="clear" w:color="auto" w:fill="DDDDDD"/>
          </w:tcPr>
          <w:p>
            <w:pPr>
              <w:ind w:left="40"/>
              <w:spacing w:after="0"/>
              <w:rPr>
                <w:sz w:val="20"/>
                <w:szCs w:val="20"/>
                <w:color w:val="auto"/>
              </w:rPr>
            </w:pPr>
            <w:r>
              <w:rPr>
                <w:rFonts w:ascii="Arial" w:cs="Arial" w:eastAsia="Arial" w:hAnsi="Arial"/>
                <w:sz w:val="14"/>
                <w:szCs w:val="14"/>
                <w:b w:val="1"/>
                <w:bCs w:val="1"/>
                <w:color w:val="828282"/>
              </w:rPr>
              <w:t>Nancy J. Laben</w:t>
            </w:r>
          </w:p>
        </w:tc>
        <w:tc>
          <w:tcPr>
            <w:tcW w:w="10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828282"/>
              </w:rPr>
              <w:t>15,000</w:t>
            </w:r>
          </w:p>
        </w:tc>
        <w:tc>
          <w:tcPr>
            <w:tcW w:w="110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828282"/>
              </w:rPr>
              <w:t>16,800</w:t>
            </w:r>
          </w:p>
        </w:tc>
        <w:tc>
          <w:tcPr>
            <w:tcW w:w="120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828282"/>
              </w:rPr>
              <w:t>25,000</w:t>
            </w:r>
          </w:p>
        </w:tc>
        <w:tc>
          <w:tcPr>
            <w:tcW w:w="118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828282"/>
              </w:rPr>
              <w:t>52,408</w:t>
            </w:r>
          </w:p>
        </w:tc>
        <w:tc>
          <w:tcPr>
            <w:tcW w:w="98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828282"/>
              </w:rPr>
              <w:t>7,218</w:t>
            </w:r>
          </w:p>
        </w:tc>
        <w:tc>
          <w:tcPr>
            <w:tcW w:w="92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828282"/>
              </w:rPr>
              <w:t>53,593</w:t>
            </w:r>
          </w:p>
        </w:tc>
        <w:tc>
          <w:tcPr>
            <w:tcW w:w="780" w:type="dxa"/>
            <w:vAlign w:val="bottom"/>
            <w:shd w:val="clear" w:color="auto" w:fill="DDDDDD"/>
          </w:tcPr>
          <w:p>
            <w:pPr>
              <w:ind w:left="180"/>
              <w:spacing w:after="0"/>
              <w:rPr>
                <w:sz w:val="20"/>
                <w:szCs w:val="20"/>
                <w:color w:val="auto"/>
              </w:rPr>
            </w:pPr>
            <w:r>
              <w:rPr>
                <w:rFonts w:ascii="Arial" w:cs="Arial" w:eastAsia="Arial" w:hAnsi="Arial"/>
                <w:sz w:val="14"/>
                <w:szCs w:val="14"/>
                <w:color w:val="828282"/>
              </w:rPr>
              <w:t>170,018</w:t>
            </w:r>
          </w:p>
        </w:tc>
        <w:tc>
          <w:tcPr>
            <w:tcW w:w="2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1720" w:type="dxa"/>
            <w:vAlign w:val="bottom"/>
          </w:tcPr>
          <w:p>
            <w:pPr>
              <w:ind w:left="40"/>
              <w:spacing w:after="0"/>
              <w:rPr>
                <w:sz w:val="20"/>
                <w:szCs w:val="20"/>
                <w:color w:val="auto"/>
              </w:rPr>
            </w:pPr>
            <w:r>
              <w:rPr>
                <w:rFonts w:ascii="Arial" w:cs="Arial" w:eastAsia="Arial" w:hAnsi="Arial"/>
                <w:sz w:val="14"/>
                <w:szCs w:val="14"/>
                <w:b w:val="1"/>
                <w:bCs w:val="1"/>
                <w:color w:val="828282"/>
              </w:rPr>
              <w:t>Susan L. Penfield</w:t>
            </w:r>
          </w:p>
        </w:tc>
        <w:tc>
          <w:tcPr>
            <w:tcW w:w="1080" w:type="dxa"/>
            <w:vAlign w:val="bottom"/>
          </w:tcPr>
          <w:p>
            <w:pPr>
              <w:jc w:val="right"/>
              <w:ind w:right="8"/>
              <w:spacing w:after="0"/>
              <w:rPr>
                <w:sz w:val="20"/>
                <w:szCs w:val="20"/>
                <w:color w:val="auto"/>
              </w:rPr>
            </w:pPr>
            <w:r>
              <w:rPr>
                <w:rFonts w:ascii="Arial" w:cs="Arial" w:eastAsia="Arial" w:hAnsi="Arial"/>
                <w:sz w:val="14"/>
                <w:szCs w:val="14"/>
                <w:color w:val="828282"/>
              </w:rPr>
              <w:t>12,500</w:t>
            </w:r>
          </w:p>
        </w:tc>
        <w:tc>
          <w:tcPr>
            <w:tcW w:w="1100" w:type="dxa"/>
            <w:vAlign w:val="bottom"/>
          </w:tcPr>
          <w:p>
            <w:pPr>
              <w:jc w:val="right"/>
              <w:ind w:right="28"/>
              <w:spacing w:after="0"/>
              <w:rPr>
                <w:sz w:val="20"/>
                <w:szCs w:val="20"/>
                <w:color w:val="auto"/>
              </w:rPr>
            </w:pPr>
            <w:r>
              <w:rPr>
                <w:rFonts w:ascii="Arial" w:cs="Arial" w:eastAsia="Arial" w:hAnsi="Arial"/>
                <w:sz w:val="14"/>
                <w:szCs w:val="14"/>
                <w:color w:val="828282"/>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828282"/>
              </w:rPr>
              <w:t>25,000</w:t>
            </w:r>
          </w:p>
        </w:tc>
        <w:tc>
          <w:tcPr>
            <w:tcW w:w="1180" w:type="dxa"/>
            <w:vAlign w:val="bottom"/>
          </w:tcPr>
          <w:p>
            <w:pPr>
              <w:jc w:val="right"/>
              <w:ind w:right="48"/>
              <w:spacing w:after="0"/>
              <w:rPr>
                <w:sz w:val="20"/>
                <w:szCs w:val="20"/>
                <w:color w:val="auto"/>
              </w:rPr>
            </w:pPr>
            <w:r>
              <w:rPr>
                <w:rFonts w:ascii="Arial" w:cs="Arial" w:eastAsia="Arial" w:hAnsi="Arial"/>
                <w:sz w:val="14"/>
                <w:szCs w:val="14"/>
                <w:color w:val="828282"/>
              </w:rPr>
              <w:t>52,408</w:t>
            </w:r>
          </w:p>
        </w:tc>
        <w:tc>
          <w:tcPr>
            <w:tcW w:w="980" w:type="dxa"/>
            <w:vAlign w:val="bottom"/>
          </w:tcPr>
          <w:p>
            <w:pPr>
              <w:jc w:val="right"/>
              <w:ind w:right="48"/>
              <w:spacing w:after="0"/>
              <w:rPr>
                <w:sz w:val="20"/>
                <w:szCs w:val="20"/>
                <w:color w:val="auto"/>
              </w:rPr>
            </w:pPr>
            <w:r>
              <w:rPr>
                <w:rFonts w:ascii="Arial" w:cs="Arial" w:eastAsia="Arial" w:hAnsi="Arial"/>
                <w:sz w:val="14"/>
                <w:szCs w:val="14"/>
                <w:color w:val="828282"/>
              </w:rPr>
              <w:t>7,218</w:t>
            </w:r>
          </w:p>
        </w:tc>
        <w:tc>
          <w:tcPr>
            <w:tcW w:w="920" w:type="dxa"/>
            <w:vAlign w:val="bottom"/>
          </w:tcPr>
          <w:p>
            <w:pPr>
              <w:jc w:val="right"/>
              <w:ind w:right="108"/>
              <w:spacing w:after="0"/>
              <w:rPr>
                <w:sz w:val="20"/>
                <w:szCs w:val="20"/>
                <w:color w:val="auto"/>
              </w:rPr>
            </w:pPr>
            <w:r>
              <w:rPr>
                <w:rFonts w:ascii="Arial" w:cs="Arial" w:eastAsia="Arial" w:hAnsi="Arial"/>
                <w:sz w:val="14"/>
                <w:szCs w:val="14"/>
                <w:color w:val="828282"/>
              </w:rPr>
              <w:t>49,031</w:t>
            </w:r>
          </w:p>
        </w:tc>
        <w:tc>
          <w:tcPr>
            <w:tcW w:w="780" w:type="dxa"/>
            <w:vAlign w:val="bottom"/>
          </w:tcPr>
          <w:p>
            <w:pPr>
              <w:ind w:left="180"/>
              <w:spacing w:after="0"/>
              <w:rPr>
                <w:sz w:val="20"/>
                <w:szCs w:val="20"/>
                <w:color w:val="auto"/>
              </w:rPr>
            </w:pPr>
            <w:r>
              <w:rPr>
                <w:rFonts w:ascii="Arial" w:cs="Arial" w:eastAsia="Arial" w:hAnsi="Arial"/>
                <w:sz w:val="14"/>
                <w:szCs w:val="14"/>
                <w:color w:val="828282"/>
              </w:rPr>
              <w:t>146,157</w:t>
            </w:r>
          </w:p>
        </w:tc>
        <w:tc>
          <w:tcPr>
            <w:tcW w:w="20" w:type="dxa"/>
            <w:vAlign w:val="bottom"/>
          </w:tcPr>
          <w:p>
            <w:pPr>
              <w:spacing w:after="0"/>
              <w:rPr>
                <w:sz w:val="17"/>
                <w:szCs w:val="17"/>
                <w:color w:val="auto"/>
              </w:rPr>
            </w:pPr>
          </w:p>
        </w:tc>
      </w:tr>
    </w:tbl>
    <w:p>
      <w:pPr>
        <w:spacing w:after="0" w:line="233" w:lineRule="exact"/>
        <w:rPr>
          <w:sz w:val="20"/>
          <w:szCs w:val="20"/>
          <w:color w:val="auto"/>
        </w:rPr>
      </w:pPr>
    </w:p>
    <w:p>
      <w:pPr>
        <w:ind w:left="420" w:right="20" w:hanging="316"/>
        <w:spacing w:after="0" w:line="241" w:lineRule="auto"/>
        <w:tabs>
          <w:tab w:leader="none" w:pos="420" w:val="left"/>
        </w:tabs>
        <w:numPr>
          <w:ilvl w:val="0"/>
          <w:numId w:val="44"/>
        </w:numPr>
        <w:rPr>
          <w:rFonts w:ascii="Arial" w:cs="Arial" w:eastAsia="Arial" w:hAnsi="Arial"/>
          <w:sz w:val="14"/>
          <w:szCs w:val="14"/>
          <w:color w:val="666666"/>
        </w:rPr>
      </w:pPr>
      <w:r>
        <w:rPr>
          <w:rFonts w:ascii="Arial" w:cs="Arial" w:eastAsia="Arial" w:hAnsi="Arial"/>
          <w:sz w:val="14"/>
          <w:szCs w:val="14"/>
          <w:color w:val="666666"/>
        </w:rPr>
        <w:t>Represents retirement plan contributions paid by the Company to the named executive officers as described above under “Compensation Discussion and Analysis — Compensation Elements — Retirement Benefits.”</w:t>
      </w:r>
    </w:p>
    <w:p>
      <w:pPr>
        <w:jc w:val="both"/>
        <w:ind w:left="420" w:hanging="316"/>
        <w:spacing w:after="0" w:line="249" w:lineRule="auto"/>
        <w:tabs>
          <w:tab w:leader="none" w:pos="420" w:val="left"/>
        </w:tabs>
        <w:numPr>
          <w:ilvl w:val="0"/>
          <w:numId w:val="44"/>
        </w:numPr>
        <w:rPr>
          <w:rFonts w:ascii="Arial" w:cs="Arial" w:eastAsia="Arial" w:hAnsi="Arial"/>
          <w:sz w:val="14"/>
          <w:szCs w:val="14"/>
          <w:color w:val="666666"/>
        </w:rPr>
      </w:pPr>
      <w:r>
        <w:rPr>
          <w:rFonts w:ascii="Arial" w:cs="Arial" w:eastAsia="Arial" w:hAnsi="Arial"/>
          <w:sz w:val="14"/>
          <w:szCs w:val="14"/>
          <w:color w:val="666666"/>
        </w:rPr>
        <w:t>This column includes dental, supplemental medical, accident insurance, personal excess liability coverage, and vehicle parking. This column also includes a milestone anniversary award for Ms. Penfield ($5,000), gifts provided to attendees at corporate offsite events for Ms. Dahut and Ms. Penfield, security services for Mr. Rozanski ($144,688), Mr. Howell ($29,071), Ms. Dahut ($51,723), Ms. Laben ($31,019), and Ms. Penfield ($20,858).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175895</wp:posOffset>
            </wp:positionV>
            <wp:extent cx="6711950" cy="3549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11950" cy="3549015"/>
                    </a:xfrm>
                    <a:prstGeom prst="rect">
                      <a:avLst/>
                    </a:prstGeom>
                    <a:noFill/>
                  </pic:spPr>
                </pic:pic>
              </a:graphicData>
            </a:graphic>
          </wp:anchor>
        </w:drawing>
      </w: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FFFFFF"/>
        </w:rPr>
        <w:t>GRANTS OF PLAN BASED AWARDS TABLE</w:t>
      </w:r>
    </w:p>
    <w:p>
      <w:pPr>
        <w:spacing w:after="0" w:line="54"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2480" w:type="dxa"/>
            <w:vAlign w:val="bottom"/>
            <w:gridSpan w:val="3"/>
            <w:shd w:val="clear" w:color="auto" w:fill="DDDDDD"/>
          </w:tcPr>
          <w:p>
            <w:pPr>
              <w:jc w:val="center"/>
              <w:ind w:left="697"/>
              <w:spacing w:after="0"/>
              <w:rPr>
                <w:sz w:val="20"/>
                <w:szCs w:val="20"/>
                <w:color w:val="auto"/>
              </w:rPr>
            </w:pPr>
            <w:r>
              <w:rPr>
                <w:rFonts w:ascii="Arial" w:cs="Arial" w:eastAsia="Arial" w:hAnsi="Arial"/>
                <w:sz w:val="13"/>
                <w:szCs w:val="13"/>
                <w:b w:val="1"/>
                <w:bCs w:val="1"/>
                <w:color w:val="828282"/>
                <w:w w:val="96"/>
              </w:rPr>
              <w:t>Estimated Possible Payouts</w:t>
            </w:r>
          </w:p>
        </w:tc>
        <w:tc>
          <w:tcPr>
            <w:tcW w:w="720" w:type="dxa"/>
            <w:vAlign w:val="bottom"/>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3120" w:type="dxa"/>
            <w:vAlign w:val="bottom"/>
            <w:gridSpan w:val="3"/>
            <w:shd w:val="clear" w:color="auto" w:fill="DDDDDD"/>
          </w:tcPr>
          <w:p>
            <w:pPr>
              <w:jc w:val="center"/>
              <w:spacing w:after="0"/>
              <w:rPr>
                <w:sz w:val="20"/>
                <w:szCs w:val="20"/>
                <w:color w:val="auto"/>
              </w:rPr>
            </w:pPr>
            <w:r>
              <w:rPr>
                <w:rFonts w:ascii="Arial" w:cs="Arial" w:eastAsia="Arial" w:hAnsi="Arial"/>
                <w:sz w:val="13"/>
                <w:szCs w:val="13"/>
                <w:b w:val="1"/>
                <w:bCs w:val="1"/>
                <w:color w:val="828282"/>
                <w:w w:val="96"/>
              </w:rPr>
              <w:t>Estimated Future and Possible Payouts Under</w:t>
            </w:r>
          </w:p>
        </w:tc>
        <w:tc>
          <w:tcPr>
            <w:tcW w:w="1080" w:type="dxa"/>
            <w:vAlign w:val="bottom"/>
            <w:shd w:val="clear" w:color="auto" w:fill="DDDDDD"/>
          </w:tcPr>
          <w:p>
            <w:pPr>
              <w:jc w:val="center"/>
              <w:spacing w:after="0"/>
              <w:rPr>
                <w:sz w:val="20"/>
                <w:szCs w:val="20"/>
                <w:color w:val="auto"/>
              </w:rPr>
            </w:pPr>
            <w:r>
              <w:rPr>
                <w:rFonts w:ascii="Arial" w:cs="Arial" w:eastAsia="Arial" w:hAnsi="Arial"/>
                <w:sz w:val="13"/>
                <w:szCs w:val="13"/>
                <w:b w:val="1"/>
                <w:bCs w:val="1"/>
                <w:color w:val="828282"/>
                <w:w w:val="94"/>
              </w:rPr>
              <w:t>All Other</w:t>
            </w:r>
          </w:p>
        </w:tc>
        <w:tc>
          <w:tcPr>
            <w:tcW w:w="1000" w:type="dxa"/>
            <w:vAlign w:val="bottom"/>
            <w:shd w:val="clear" w:color="auto" w:fill="DDDDDD"/>
          </w:tcPr>
          <w:p>
            <w:pPr>
              <w:spacing w:after="0"/>
              <w:rPr>
                <w:sz w:val="15"/>
                <w:szCs w:val="15"/>
                <w:color w:val="auto"/>
              </w:rPr>
            </w:pPr>
          </w:p>
        </w:tc>
        <w:tc>
          <w:tcPr>
            <w:tcW w:w="2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96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spacing w:after="0"/>
              <w:rPr>
                <w:sz w:val="16"/>
                <w:szCs w:val="16"/>
                <w:color w:val="auto"/>
              </w:rPr>
            </w:pPr>
          </w:p>
        </w:tc>
        <w:tc>
          <w:tcPr>
            <w:tcW w:w="3420" w:type="dxa"/>
            <w:vAlign w:val="bottom"/>
            <w:tcBorders>
              <w:bottom w:val="single" w:sz="8" w:color="DDDDDD"/>
            </w:tcBorders>
            <w:gridSpan w:val="5"/>
            <w:shd w:val="clear" w:color="auto" w:fill="DDDDDD"/>
          </w:tcPr>
          <w:p>
            <w:pPr>
              <w:jc w:val="center"/>
              <w:ind w:right="220"/>
              <w:spacing w:after="0" w:line="135" w:lineRule="exact"/>
              <w:rPr>
                <w:sz w:val="20"/>
                <w:szCs w:val="20"/>
                <w:color w:val="auto"/>
              </w:rPr>
            </w:pPr>
            <w:r>
              <w:rPr>
                <w:rFonts w:ascii="Arial" w:cs="Arial" w:eastAsia="Arial" w:hAnsi="Arial"/>
                <w:sz w:val="13"/>
                <w:szCs w:val="13"/>
                <w:b w:val="1"/>
                <w:bCs w:val="1"/>
                <w:color w:val="828282"/>
                <w:w w:val="96"/>
              </w:rPr>
              <w:t xml:space="preserve">Under Non-Equity Incentive Plan Awards </w:t>
            </w:r>
            <w:r>
              <w:rPr>
                <w:rFonts w:ascii="Arial" w:cs="Arial" w:eastAsia="Arial" w:hAnsi="Arial"/>
                <w:sz w:val="10"/>
                <w:szCs w:val="10"/>
                <w:b w:val="1"/>
                <w:bCs w:val="1"/>
                <w:color w:val="828282"/>
                <w:w w:val="96"/>
              </w:rPr>
              <w:t>1</w:t>
            </w:r>
          </w:p>
        </w:tc>
        <w:tc>
          <w:tcPr>
            <w:tcW w:w="3120" w:type="dxa"/>
            <w:vAlign w:val="bottom"/>
            <w:tcBorders>
              <w:bottom w:val="single" w:sz="8" w:color="DDDDDD"/>
            </w:tcBorders>
            <w:gridSpan w:val="3"/>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6"/>
              </w:rPr>
              <w:t xml:space="preserve">Equity Incentive Plan Awards </w:t>
            </w:r>
            <w:r>
              <w:rPr>
                <w:rFonts w:ascii="Arial" w:cs="Arial" w:eastAsia="Arial" w:hAnsi="Arial"/>
                <w:sz w:val="10"/>
                <w:szCs w:val="10"/>
                <w:b w:val="1"/>
                <w:bCs w:val="1"/>
                <w:color w:val="828282"/>
                <w:w w:val="96"/>
              </w:rPr>
              <w:t>2</w:t>
            </w:r>
          </w:p>
        </w:tc>
        <w:tc>
          <w:tcPr>
            <w:tcW w:w="1080" w:type="dxa"/>
            <w:vAlign w:val="bottom"/>
            <w:tcBorders>
              <w:bottom w:val="single" w:sz="8" w:color="DDDDDD"/>
            </w:tcBorders>
            <w:shd w:val="clear" w:color="auto" w:fill="DDDDDD"/>
          </w:tcPr>
          <w:p>
            <w:pPr>
              <w:jc w:val="center"/>
              <w:ind w:right="1"/>
              <w:spacing w:after="0" w:line="135" w:lineRule="exact"/>
              <w:rPr>
                <w:sz w:val="20"/>
                <w:szCs w:val="20"/>
                <w:color w:val="auto"/>
              </w:rPr>
            </w:pPr>
            <w:r>
              <w:rPr>
                <w:rFonts w:ascii="Arial" w:cs="Arial" w:eastAsia="Arial" w:hAnsi="Arial"/>
                <w:sz w:val="13"/>
                <w:szCs w:val="13"/>
                <w:b w:val="1"/>
                <w:bCs w:val="1"/>
                <w:color w:val="828282"/>
                <w:w w:val="95"/>
              </w:rPr>
              <w:t>Stock</w:t>
            </w:r>
          </w:p>
        </w:tc>
        <w:tc>
          <w:tcPr>
            <w:tcW w:w="1000" w:type="dxa"/>
            <w:vAlign w:val="bottom"/>
            <w:tcBorders>
              <w:bottom w:val="single" w:sz="8" w:color="DDDDDD"/>
            </w:tcBorders>
            <w:shd w:val="clear" w:color="auto" w:fill="DDDDDD"/>
          </w:tcPr>
          <w:p>
            <w:pPr>
              <w:spacing w:after="0"/>
              <w:rPr>
                <w:sz w:val="16"/>
                <w:szCs w:val="16"/>
                <w:color w:val="auto"/>
              </w:rPr>
            </w:pPr>
          </w:p>
        </w:tc>
        <w:tc>
          <w:tcPr>
            <w:tcW w:w="20" w:type="dxa"/>
            <w:vAlign w:val="bottom"/>
          </w:tcPr>
          <w:p>
            <w:pPr>
              <w:spacing w:after="0"/>
              <w:rPr>
                <w:sz w:val="16"/>
                <w:szCs w:val="16"/>
                <w:color w:val="auto"/>
              </w:rPr>
            </w:pPr>
          </w:p>
        </w:tc>
      </w:tr>
      <w:tr>
        <w:trPr>
          <w:trHeight w:val="39"/>
        </w:trPr>
        <w:tc>
          <w:tcPr>
            <w:tcW w:w="20" w:type="dxa"/>
            <w:vAlign w:val="bottom"/>
          </w:tcPr>
          <w:p>
            <w:pPr>
              <w:spacing w:after="0"/>
              <w:rPr>
                <w:sz w:val="3"/>
                <w:szCs w:val="3"/>
                <w:color w:val="auto"/>
              </w:rPr>
            </w:pPr>
          </w:p>
        </w:tc>
        <w:tc>
          <w:tcPr>
            <w:tcW w:w="960" w:type="dxa"/>
            <w:vAlign w:val="bottom"/>
            <w:tcBorders>
              <w:top w:val="single" w:sz="8" w:color="DDDDDD"/>
            </w:tcBorders>
            <w:shd w:val="clear" w:color="auto" w:fill="DDDDDD"/>
          </w:tcPr>
          <w:p>
            <w:pPr>
              <w:spacing w:after="0"/>
              <w:rPr>
                <w:sz w:val="3"/>
                <w:szCs w:val="3"/>
                <w:color w:val="auto"/>
              </w:rPr>
            </w:pPr>
          </w:p>
        </w:tc>
        <w:tc>
          <w:tcPr>
            <w:tcW w:w="960" w:type="dxa"/>
            <w:vAlign w:val="bottom"/>
            <w:tcBorders>
              <w:top w:val="single" w:sz="8" w:color="DDDDDD"/>
            </w:tcBorders>
            <w:shd w:val="clear" w:color="auto" w:fill="DDDDDD"/>
          </w:tcPr>
          <w:p>
            <w:pPr>
              <w:spacing w:after="0"/>
              <w:rPr>
                <w:sz w:val="3"/>
                <w:szCs w:val="3"/>
                <w:color w:val="auto"/>
              </w:rPr>
            </w:pPr>
          </w:p>
        </w:tc>
        <w:tc>
          <w:tcPr>
            <w:tcW w:w="800" w:type="dxa"/>
            <w:vAlign w:val="bottom"/>
            <w:tcBorders>
              <w:top w:val="single" w:sz="8" w:color="666666"/>
            </w:tcBorders>
            <w:shd w:val="clear" w:color="auto" w:fill="DDDDDD"/>
          </w:tcPr>
          <w:p>
            <w:pPr>
              <w:spacing w:after="0"/>
              <w:rPr>
                <w:sz w:val="3"/>
                <w:szCs w:val="3"/>
                <w:color w:val="auto"/>
              </w:rPr>
            </w:pPr>
          </w:p>
        </w:tc>
        <w:tc>
          <w:tcPr>
            <w:tcW w:w="260" w:type="dxa"/>
            <w:vAlign w:val="bottom"/>
            <w:tcBorders>
              <w:top w:val="single" w:sz="8" w:color="666666"/>
            </w:tcBorders>
            <w:shd w:val="clear" w:color="auto" w:fill="DDDDDD"/>
          </w:tcPr>
          <w:p>
            <w:pPr>
              <w:spacing w:after="0"/>
              <w:rPr>
                <w:sz w:val="3"/>
                <w:szCs w:val="3"/>
                <w:color w:val="auto"/>
              </w:rPr>
            </w:pPr>
          </w:p>
        </w:tc>
        <w:tc>
          <w:tcPr>
            <w:tcW w:w="1420" w:type="dxa"/>
            <w:vAlign w:val="bottom"/>
            <w:tcBorders>
              <w:top w:val="single" w:sz="8" w:color="666666"/>
            </w:tcBorders>
            <w:shd w:val="clear" w:color="auto" w:fill="DDDDDD"/>
          </w:tcPr>
          <w:p>
            <w:pPr>
              <w:spacing w:after="0"/>
              <w:rPr>
                <w:sz w:val="3"/>
                <w:szCs w:val="3"/>
                <w:color w:val="auto"/>
              </w:rPr>
            </w:pPr>
          </w:p>
        </w:tc>
        <w:tc>
          <w:tcPr>
            <w:tcW w:w="720" w:type="dxa"/>
            <w:vAlign w:val="bottom"/>
            <w:tcBorders>
              <w:top w:val="single" w:sz="8" w:color="666666"/>
            </w:tcBorders>
            <w:shd w:val="clear" w:color="auto" w:fill="DDDDDD"/>
          </w:tcPr>
          <w:p>
            <w:pPr>
              <w:spacing w:after="0"/>
              <w:rPr>
                <w:sz w:val="3"/>
                <w:szCs w:val="3"/>
                <w:color w:val="auto"/>
              </w:rPr>
            </w:pPr>
          </w:p>
        </w:tc>
        <w:tc>
          <w:tcPr>
            <w:tcW w:w="220" w:type="dxa"/>
            <w:vAlign w:val="bottom"/>
            <w:tcBorders>
              <w:top w:val="single" w:sz="8" w:color="DDDDDD"/>
            </w:tcBorders>
            <w:shd w:val="clear" w:color="auto" w:fill="DDDDDD"/>
          </w:tcPr>
          <w:p>
            <w:pPr>
              <w:spacing w:after="0"/>
              <w:rPr>
                <w:sz w:val="3"/>
                <w:szCs w:val="3"/>
                <w:color w:val="auto"/>
              </w:rPr>
            </w:pPr>
          </w:p>
        </w:tc>
        <w:tc>
          <w:tcPr>
            <w:tcW w:w="1160" w:type="dxa"/>
            <w:vAlign w:val="bottom"/>
            <w:tcBorders>
              <w:top w:val="single" w:sz="8" w:color="666666"/>
            </w:tcBorders>
            <w:shd w:val="clear" w:color="auto" w:fill="DDDDDD"/>
          </w:tcPr>
          <w:p>
            <w:pPr>
              <w:spacing w:after="0"/>
              <w:rPr>
                <w:sz w:val="3"/>
                <w:szCs w:val="3"/>
                <w:color w:val="auto"/>
              </w:rPr>
            </w:pPr>
          </w:p>
        </w:tc>
        <w:tc>
          <w:tcPr>
            <w:tcW w:w="1060" w:type="dxa"/>
            <w:vAlign w:val="bottom"/>
            <w:tcBorders>
              <w:top w:val="single" w:sz="8" w:color="666666"/>
            </w:tcBorders>
            <w:shd w:val="clear" w:color="auto" w:fill="DDDDDD"/>
          </w:tcPr>
          <w:p>
            <w:pPr>
              <w:spacing w:after="0"/>
              <w:rPr>
                <w:sz w:val="3"/>
                <w:szCs w:val="3"/>
                <w:color w:val="auto"/>
              </w:rPr>
            </w:pPr>
          </w:p>
        </w:tc>
        <w:tc>
          <w:tcPr>
            <w:tcW w:w="900" w:type="dxa"/>
            <w:vAlign w:val="bottom"/>
            <w:tcBorders>
              <w:top w:val="single" w:sz="8" w:color="666666"/>
            </w:tcBorders>
            <w:shd w:val="clear" w:color="auto" w:fill="DDDDDD"/>
          </w:tcPr>
          <w:p>
            <w:pPr>
              <w:spacing w:after="0"/>
              <w:rPr>
                <w:sz w:val="3"/>
                <w:szCs w:val="3"/>
                <w:color w:val="auto"/>
              </w:rPr>
            </w:pPr>
          </w:p>
        </w:tc>
        <w:tc>
          <w:tcPr>
            <w:tcW w:w="1080" w:type="dxa"/>
            <w:vAlign w:val="bottom"/>
            <w:tcBorders>
              <w:top w:val="single" w:sz="8" w:color="DDDDDD"/>
            </w:tcBorders>
            <w:shd w:val="clear" w:color="auto" w:fill="DDDDDD"/>
          </w:tcPr>
          <w:p>
            <w:pPr>
              <w:jc w:val="center"/>
              <w:ind w:right="1"/>
              <w:spacing w:after="0" w:line="39" w:lineRule="exact"/>
              <w:rPr>
                <w:sz w:val="20"/>
                <w:szCs w:val="20"/>
                <w:color w:val="auto"/>
              </w:rPr>
            </w:pPr>
            <w:r>
              <w:rPr>
                <w:rFonts w:ascii="Arial" w:cs="Arial" w:eastAsia="Arial" w:hAnsi="Arial"/>
                <w:sz w:val="4"/>
                <w:szCs w:val="4"/>
                <w:b w:val="1"/>
                <w:bCs w:val="1"/>
                <w:color w:val="828282"/>
              </w:rPr>
              <w:t>Awards;</w:t>
            </w:r>
          </w:p>
        </w:tc>
        <w:tc>
          <w:tcPr>
            <w:tcW w:w="1000" w:type="dxa"/>
            <w:vAlign w:val="bottom"/>
            <w:tcBorders>
              <w:top w:val="single" w:sz="8" w:color="DDDDDD"/>
            </w:tcBorders>
            <w:shd w:val="clear" w:color="auto" w:fill="DDDDDD"/>
          </w:tcPr>
          <w:p>
            <w:pPr>
              <w:jc w:val="center"/>
              <w:ind w:right="1"/>
              <w:spacing w:after="0" w:line="39" w:lineRule="exact"/>
              <w:rPr>
                <w:sz w:val="20"/>
                <w:szCs w:val="20"/>
                <w:color w:val="auto"/>
              </w:rPr>
            </w:pPr>
            <w:r>
              <w:rPr>
                <w:rFonts w:ascii="Arial" w:cs="Arial" w:eastAsia="Arial" w:hAnsi="Arial"/>
                <w:sz w:val="4"/>
                <w:szCs w:val="4"/>
                <w:b w:val="1"/>
                <w:bCs w:val="1"/>
                <w:color w:val="828282"/>
              </w:rPr>
              <w:t>Grant Date</w:t>
            </w:r>
          </w:p>
        </w:tc>
        <w:tc>
          <w:tcPr>
            <w:tcW w:w="20" w:type="dxa"/>
            <w:vAlign w:val="bottom"/>
          </w:tcPr>
          <w:p>
            <w:pPr>
              <w:spacing w:after="0"/>
              <w:rPr>
                <w:sz w:val="3"/>
                <w:szCs w:val="3"/>
                <w:color w:val="auto"/>
              </w:rPr>
            </w:pPr>
          </w:p>
        </w:tc>
      </w:tr>
      <w:tr>
        <w:trPr>
          <w:trHeight w:val="170"/>
        </w:trPr>
        <w:tc>
          <w:tcPr>
            <w:tcW w:w="20" w:type="dxa"/>
            <w:vAlign w:val="bottom"/>
          </w:tcPr>
          <w:p>
            <w:pPr>
              <w:spacing w:after="0"/>
              <w:rPr>
                <w:sz w:val="14"/>
                <w:szCs w:val="14"/>
                <w:color w:val="auto"/>
              </w:rPr>
            </w:pPr>
          </w:p>
        </w:tc>
        <w:tc>
          <w:tcPr>
            <w:tcW w:w="960" w:type="dxa"/>
            <w:vAlign w:val="bottom"/>
            <w:shd w:val="clear" w:color="auto" w:fill="DDDDDD"/>
          </w:tcPr>
          <w:p>
            <w:pPr>
              <w:spacing w:after="0"/>
              <w:rPr>
                <w:sz w:val="14"/>
                <w:szCs w:val="14"/>
                <w:color w:val="auto"/>
              </w:rPr>
            </w:pPr>
          </w:p>
        </w:tc>
        <w:tc>
          <w:tcPr>
            <w:tcW w:w="960" w:type="dxa"/>
            <w:vAlign w:val="bottom"/>
            <w:shd w:val="clear" w:color="auto" w:fill="DDDDDD"/>
          </w:tcPr>
          <w:p>
            <w:pPr>
              <w:spacing w:after="0"/>
              <w:rPr>
                <w:sz w:val="14"/>
                <w:szCs w:val="14"/>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3"/>
                <w:szCs w:val="13"/>
                <w:b w:val="1"/>
                <w:bCs w:val="1"/>
                <w:color w:val="828282"/>
              </w:rPr>
              <w:t>Threshold</w:t>
            </w:r>
          </w:p>
        </w:tc>
        <w:tc>
          <w:tcPr>
            <w:tcW w:w="260" w:type="dxa"/>
            <w:vAlign w:val="bottom"/>
            <w:shd w:val="clear" w:color="auto" w:fill="DDDDDD"/>
          </w:tcPr>
          <w:p>
            <w:pPr>
              <w:spacing w:after="0"/>
              <w:rPr>
                <w:sz w:val="14"/>
                <w:szCs w:val="14"/>
                <w:color w:val="auto"/>
              </w:rPr>
            </w:pPr>
          </w:p>
        </w:tc>
        <w:tc>
          <w:tcPr>
            <w:tcW w:w="1420" w:type="dxa"/>
            <w:vAlign w:val="bottom"/>
            <w:shd w:val="clear" w:color="auto" w:fill="DDDDDD"/>
          </w:tcPr>
          <w:p>
            <w:pPr>
              <w:jc w:val="right"/>
              <w:ind w:right="679"/>
              <w:spacing w:after="0"/>
              <w:rPr>
                <w:sz w:val="20"/>
                <w:szCs w:val="20"/>
                <w:color w:val="auto"/>
              </w:rPr>
            </w:pPr>
            <w:r>
              <w:rPr>
                <w:rFonts w:ascii="Arial" w:cs="Arial" w:eastAsia="Arial" w:hAnsi="Arial"/>
                <w:sz w:val="13"/>
                <w:szCs w:val="13"/>
                <w:b w:val="1"/>
                <w:bCs w:val="1"/>
                <w:color w:val="828282"/>
              </w:rPr>
              <w:t>Target</w:t>
            </w:r>
          </w:p>
        </w:tc>
        <w:tc>
          <w:tcPr>
            <w:tcW w:w="940" w:type="dxa"/>
            <w:vAlign w:val="bottom"/>
            <w:gridSpan w:val="2"/>
            <w:shd w:val="clear" w:color="auto" w:fill="DDDDDD"/>
          </w:tcPr>
          <w:p>
            <w:pPr>
              <w:ind w:left="20"/>
              <w:spacing w:after="0"/>
              <w:rPr>
                <w:sz w:val="20"/>
                <w:szCs w:val="20"/>
                <w:color w:val="auto"/>
              </w:rPr>
            </w:pPr>
            <w:r>
              <w:rPr>
                <w:rFonts w:ascii="Arial" w:cs="Arial" w:eastAsia="Arial" w:hAnsi="Arial"/>
                <w:sz w:val="13"/>
                <w:szCs w:val="13"/>
                <w:b w:val="1"/>
                <w:bCs w:val="1"/>
                <w:color w:val="828282"/>
              </w:rPr>
              <w:t>Max</w:t>
            </w:r>
          </w:p>
        </w:tc>
        <w:tc>
          <w:tcPr>
            <w:tcW w:w="1160" w:type="dxa"/>
            <w:vAlign w:val="bottom"/>
            <w:shd w:val="clear" w:color="auto" w:fill="DDDDDD"/>
          </w:tcPr>
          <w:p>
            <w:pPr>
              <w:jc w:val="right"/>
              <w:ind w:right="279"/>
              <w:spacing w:after="0"/>
              <w:rPr>
                <w:sz w:val="20"/>
                <w:szCs w:val="20"/>
                <w:color w:val="auto"/>
              </w:rPr>
            </w:pPr>
            <w:r>
              <w:rPr>
                <w:rFonts w:ascii="Arial" w:cs="Arial" w:eastAsia="Arial" w:hAnsi="Arial"/>
                <w:sz w:val="13"/>
                <w:szCs w:val="13"/>
                <w:b w:val="1"/>
                <w:bCs w:val="1"/>
                <w:color w:val="828282"/>
              </w:rPr>
              <w:t>Threshold</w:t>
            </w:r>
          </w:p>
        </w:tc>
        <w:tc>
          <w:tcPr>
            <w:tcW w:w="1060" w:type="dxa"/>
            <w:vAlign w:val="bottom"/>
            <w:shd w:val="clear" w:color="auto" w:fill="DDDDDD"/>
          </w:tcPr>
          <w:p>
            <w:pPr>
              <w:jc w:val="center"/>
              <w:ind w:right="219"/>
              <w:spacing w:after="0"/>
              <w:rPr>
                <w:sz w:val="20"/>
                <w:szCs w:val="20"/>
                <w:color w:val="auto"/>
              </w:rPr>
            </w:pPr>
            <w:r>
              <w:rPr>
                <w:rFonts w:ascii="Arial" w:cs="Arial" w:eastAsia="Arial" w:hAnsi="Arial"/>
                <w:sz w:val="13"/>
                <w:szCs w:val="13"/>
                <w:b w:val="1"/>
                <w:bCs w:val="1"/>
                <w:color w:val="828282"/>
                <w:w w:val="95"/>
              </w:rPr>
              <w:t>Target</w:t>
            </w:r>
          </w:p>
        </w:tc>
        <w:tc>
          <w:tcPr>
            <w:tcW w:w="900" w:type="dxa"/>
            <w:vAlign w:val="bottom"/>
            <w:shd w:val="clear" w:color="auto" w:fill="DDDDDD"/>
          </w:tcPr>
          <w:p>
            <w:pPr>
              <w:jc w:val="right"/>
              <w:ind w:right="339"/>
              <w:spacing w:after="0"/>
              <w:rPr>
                <w:sz w:val="20"/>
                <w:szCs w:val="20"/>
                <w:color w:val="auto"/>
              </w:rPr>
            </w:pPr>
            <w:r>
              <w:rPr>
                <w:rFonts w:ascii="Arial" w:cs="Arial" w:eastAsia="Arial" w:hAnsi="Arial"/>
                <w:sz w:val="13"/>
                <w:szCs w:val="13"/>
                <w:b w:val="1"/>
                <w:bCs w:val="1"/>
                <w:color w:val="828282"/>
              </w:rPr>
              <w:t>Max</w:t>
            </w:r>
          </w:p>
        </w:tc>
        <w:tc>
          <w:tcPr>
            <w:tcW w:w="1080" w:type="dxa"/>
            <w:vAlign w:val="bottom"/>
            <w:shd w:val="clear" w:color="auto" w:fill="DDDDDD"/>
          </w:tcPr>
          <w:p>
            <w:pPr>
              <w:jc w:val="center"/>
              <w:spacing w:after="0"/>
              <w:rPr>
                <w:sz w:val="20"/>
                <w:szCs w:val="20"/>
                <w:color w:val="auto"/>
              </w:rPr>
            </w:pPr>
            <w:r>
              <w:rPr>
                <w:rFonts w:ascii="Arial" w:cs="Arial" w:eastAsia="Arial" w:hAnsi="Arial"/>
                <w:sz w:val="13"/>
                <w:szCs w:val="13"/>
                <w:b w:val="1"/>
                <w:bCs w:val="1"/>
                <w:color w:val="828282"/>
                <w:w w:val="98"/>
              </w:rPr>
              <w:t>Number of</w:t>
            </w:r>
          </w:p>
        </w:tc>
        <w:tc>
          <w:tcPr>
            <w:tcW w:w="1000" w:type="dxa"/>
            <w:vAlign w:val="bottom"/>
            <w:shd w:val="clear" w:color="auto" w:fill="DDDDDD"/>
          </w:tcPr>
          <w:p>
            <w:pPr>
              <w:jc w:val="center"/>
              <w:ind w:right="1"/>
              <w:spacing w:after="0"/>
              <w:rPr>
                <w:sz w:val="20"/>
                <w:szCs w:val="20"/>
                <w:color w:val="auto"/>
              </w:rPr>
            </w:pPr>
            <w:r>
              <w:rPr>
                <w:rFonts w:ascii="Arial" w:cs="Arial" w:eastAsia="Arial" w:hAnsi="Arial"/>
                <w:sz w:val="13"/>
                <w:szCs w:val="13"/>
                <w:b w:val="1"/>
                <w:bCs w:val="1"/>
                <w:color w:val="828282"/>
                <w:w w:val="93"/>
              </w:rPr>
              <w:t>Fair Value</w:t>
            </w:r>
          </w:p>
        </w:tc>
        <w:tc>
          <w:tcPr>
            <w:tcW w:w="20" w:type="dxa"/>
            <w:vAlign w:val="bottom"/>
          </w:tcPr>
          <w:p>
            <w:pPr>
              <w:spacing w:after="0"/>
              <w:rPr>
                <w:sz w:val="14"/>
                <w:szCs w:val="14"/>
                <w:color w:val="auto"/>
              </w:rPr>
            </w:pPr>
          </w:p>
        </w:tc>
      </w:tr>
      <w:tr>
        <w:trPr>
          <w:trHeight w:val="100"/>
        </w:trPr>
        <w:tc>
          <w:tcPr>
            <w:tcW w:w="20" w:type="dxa"/>
            <w:vAlign w:val="bottom"/>
          </w:tcPr>
          <w:p>
            <w:pPr>
              <w:spacing w:after="0"/>
              <w:rPr>
                <w:sz w:val="8"/>
                <w:szCs w:val="8"/>
                <w:color w:val="auto"/>
              </w:rPr>
            </w:pPr>
          </w:p>
        </w:tc>
        <w:tc>
          <w:tcPr>
            <w:tcW w:w="960" w:type="dxa"/>
            <w:vAlign w:val="bottom"/>
            <w:shd w:val="clear" w:color="auto" w:fill="DDDDDD"/>
          </w:tcPr>
          <w:p>
            <w:pPr>
              <w:spacing w:after="0"/>
              <w:rPr>
                <w:sz w:val="8"/>
                <w:szCs w:val="8"/>
                <w:color w:val="auto"/>
              </w:rPr>
            </w:pPr>
          </w:p>
        </w:tc>
        <w:tc>
          <w:tcPr>
            <w:tcW w:w="960" w:type="dxa"/>
            <w:vAlign w:val="bottom"/>
            <w:shd w:val="clear" w:color="auto" w:fill="DDDDDD"/>
          </w:tcPr>
          <w:p>
            <w:pPr>
              <w:spacing w:after="0"/>
              <w:rPr>
                <w:sz w:val="8"/>
                <w:szCs w:val="8"/>
                <w:color w:val="auto"/>
              </w:rPr>
            </w:pPr>
          </w:p>
        </w:tc>
        <w:tc>
          <w:tcPr>
            <w:tcW w:w="800" w:type="dxa"/>
            <w:vAlign w:val="bottom"/>
            <w:shd w:val="clear" w:color="auto" w:fill="DDDDDD"/>
          </w:tcPr>
          <w:p>
            <w:pPr>
              <w:spacing w:after="0"/>
              <w:rPr>
                <w:sz w:val="8"/>
                <w:szCs w:val="8"/>
                <w:color w:val="auto"/>
              </w:rPr>
            </w:pPr>
          </w:p>
        </w:tc>
        <w:tc>
          <w:tcPr>
            <w:tcW w:w="260" w:type="dxa"/>
            <w:vAlign w:val="bottom"/>
            <w:shd w:val="clear" w:color="auto" w:fill="DDDDDD"/>
          </w:tcPr>
          <w:p>
            <w:pPr>
              <w:spacing w:after="0"/>
              <w:rPr>
                <w:sz w:val="8"/>
                <w:szCs w:val="8"/>
                <w:color w:val="auto"/>
              </w:rPr>
            </w:pPr>
          </w:p>
        </w:tc>
        <w:tc>
          <w:tcPr>
            <w:tcW w:w="1420" w:type="dxa"/>
            <w:vAlign w:val="bottom"/>
            <w:shd w:val="clear" w:color="auto" w:fill="DDDDDD"/>
          </w:tcPr>
          <w:p>
            <w:pPr>
              <w:spacing w:after="0"/>
              <w:rPr>
                <w:sz w:val="8"/>
                <w:szCs w:val="8"/>
                <w:color w:val="auto"/>
              </w:rPr>
            </w:pPr>
          </w:p>
        </w:tc>
        <w:tc>
          <w:tcPr>
            <w:tcW w:w="720" w:type="dxa"/>
            <w:vAlign w:val="bottom"/>
            <w:shd w:val="clear" w:color="auto" w:fill="DDDDDD"/>
          </w:tcPr>
          <w:p>
            <w:pPr>
              <w:spacing w:after="0"/>
              <w:rPr>
                <w:sz w:val="8"/>
                <w:szCs w:val="8"/>
                <w:color w:val="auto"/>
              </w:rPr>
            </w:pPr>
          </w:p>
        </w:tc>
        <w:tc>
          <w:tcPr>
            <w:tcW w:w="220" w:type="dxa"/>
            <w:vAlign w:val="bottom"/>
            <w:shd w:val="clear" w:color="auto" w:fill="DDDDDD"/>
          </w:tcPr>
          <w:p>
            <w:pPr>
              <w:spacing w:after="0"/>
              <w:rPr>
                <w:sz w:val="8"/>
                <w:szCs w:val="8"/>
                <w:color w:val="auto"/>
              </w:rPr>
            </w:pPr>
          </w:p>
        </w:tc>
        <w:tc>
          <w:tcPr>
            <w:tcW w:w="1160" w:type="dxa"/>
            <w:vAlign w:val="bottom"/>
            <w:shd w:val="clear" w:color="auto" w:fill="DDDDDD"/>
          </w:tcPr>
          <w:p>
            <w:pPr>
              <w:spacing w:after="0"/>
              <w:rPr>
                <w:sz w:val="8"/>
                <w:szCs w:val="8"/>
                <w:color w:val="auto"/>
              </w:rPr>
            </w:pPr>
          </w:p>
        </w:tc>
        <w:tc>
          <w:tcPr>
            <w:tcW w:w="1060" w:type="dxa"/>
            <w:vAlign w:val="bottom"/>
            <w:shd w:val="clear" w:color="auto" w:fill="DDDDDD"/>
          </w:tcPr>
          <w:p>
            <w:pPr>
              <w:spacing w:after="0"/>
              <w:rPr>
                <w:sz w:val="8"/>
                <w:szCs w:val="8"/>
                <w:color w:val="auto"/>
              </w:rPr>
            </w:pPr>
          </w:p>
        </w:tc>
        <w:tc>
          <w:tcPr>
            <w:tcW w:w="900" w:type="dxa"/>
            <w:vAlign w:val="bottom"/>
            <w:shd w:val="clear" w:color="auto" w:fill="DDDDDD"/>
          </w:tcPr>
          <w:p>
            <w:pPr>
              <w:spacing w:after="0"/>
              <w:rPr>
                <w:sz w:val="8"/>
                <w:szCs w:val="8"/>
                <w:color w:val="auto"/>
              </w:rPr>
            </w:pPr>
          </w:p>
        </w:tc>
        <w:tc>
          <w:tcPr>
            <w:tcW w:w="1080" w:type="dxa"/>
            <w:vAlign w:val="bottom"/>
            <w:shd w:val="clear" w:color="auto" w:fill="DDDDDD"/>
          </w:tcPr>
          <w:p>
            <w:pPr>
              <w:jc w:val="center"/>
              <w:ind w:right="1"/>
              <w:spacing w:after="0" w:line="100" w:lineRule="exact"/>
              <w:rPr>
                <w:sz w:val="20"/>
                <w:szCs w:val="20"/>
                <w:color w:val="auto"/>
              </w:rPr>
            </w:pPr>
            <w:r>
              <w:rPr>
                <w:rFonts w:ascii="Arial" w:cs="Arial" w:eastAsia="Arial" w:hAnsi="Arial"/>
                <w:sz w:val="10"/>
                <w:szCs w:val="10"/>
                <w:b w:val="1"/>
                <w:bCs w:val="1"/>
                <w:color w:val="828282"/>
              </w:rPr>
              <w:t>Shares or</w:t>
            </w:r>
          </w:p>
        </w:tc>
        <w:tc>
          <w:tcPr>
            <w:tcW w:w="1000" w:type="dxa"/>
            <w:vAlign w:val="bottom"/>
            <w:shd w:val="clear" w:color="auto" w:fill="DDDDDD"/>
          </w:tcPr>
          <w:p>
            <w:pPr>
              <w:jc w:val="center"/>
              <w:ind w:right="1"/>
              <w:spacing w:after="0" w:line="100" w:lineRule="exact"/>
              <w:rPr>
                <w:sz w:val="20"/>
                <w:szCs w:val="20"/>
                <w:color w:val="auto"/>
              </w:rPr>
            </w:pPr>
            <w:r>
              <w:rPr>
                <w:rFonts w:ascii="Arial" w:cs="Arial" w:eastAsia="Arial" w:hAnsi="Arial"/>
                <w:sz w:val="10"/>
                <w:szCs w:val="10"/>
                <w:b w:val="1"/>
                <w:bCs w:val="1"/>
                <w:color w:val="828282"/>
              </w:rPr>
              <w:t>of Stock</w:t>
            </w:r>
          </w:p>
        </w:tc>
        <w:tc>
          <w:tcPr>
            <w:tcW w:w="2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960" w:type="dxa"/>
            <w:vAlign w:val="bottom"/>
            <w:shd w:val="clear" w:color="auto" w:fill="DDDDDD"/>
          </w:tcPr>
          <w:p>
            <w:pPr>
              <w:spacing w:after="0"/>
              <w:rPr>
                <w:sz w:val="11"/>
                <w:szCs w:val="11"/>
                <w:color w:val="auto"/>
              </w:rPr>
            </w:pPr>
          </w:p>
        </w:tc>
        <w:tc>
          <w:tcPr>
            <w:tcW w:w="960" w:type="dxa"/>
            <w:vAlign w:val="bottom"/>
            <w:shd w:val="clear" w:color="auto" w:fill="DDDDDD"/>
          </w:tcPr>
          <w:p>
            <w:pPr>
              <w:jc w:val="right"/>
              <w:ind w:right="259"/>
              <w:spacing w:after="0" w:line="135" w:lineRule="exact"/>
              <w:rPr>
                <w:sz w:val="20"/>
                <w:szCs w:val="20"/>
                <w:color w:val="auto"/>
              </w:rPr>
            </w:pPr>
            <w:r>
              <w:rPr>
                <w:rFonts w:ascii="Arial" w:cs="Arial" w:eastAsia="Arial" w:hAnsi="Arial"/>
                <w:sz w:val="13"/>
                <w:szCs w:val="13"/>
                <w:b w:val="1"/>
                <w:bCs w:val="1"/>
                <w:color w:val="828282"/>
              </w:rPr>
              <w:t>Grant</w:t>
            </w:r>
          </w:p>
        </w:tc>
        <w:tc>
          <w:tcPr>
            <w:tcW w:w="800" w:type="dxa"/>
            <w:vAlign w:val="bottom"/>
            <w:shd w:val="clear" w:color="auto" w:fill="DDDDDD"/>
          </w:tcPr>
          <w:p>
            <w:pPr>
              <w:spacing w:after="0"/>
              <w:rPr>
                <w:sz w:val="11"/>
                <w:szCs w:val="11"/>
                <w:color w:val="auto"/>
              </w:rPr>
            </w:pPr>
          </w:p>
        </w:tc>
        <w:tc>
          <w:tcPr>
            <w:tcW w:w="260" w:type="dxa"/>
            <w:vAlign w:val="bottom"/>
            <w:shd w:val="clear" w:color="auto" w:fill="DDDDDD"/>
          </w:tcPr>
          <w:p>
            <w:pPr>
              <w:spacing w:after="0"/>
              <w:rPr>
                <w:sz w:val="11"/>
                <w:szCs w:val="11"/>
                <w:color w:val="auto"/>
              </w:rPr>
            </w:pPr>
          </w:p>
        </w:tc>
        <w:tc>
          <w:tcPr>
            <w:tcW w:w="142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1160" w:type="dxa"/>
            <w:vAlign w:val="bottom"/>
            <w:shd w:val="clear" w:color="auto" w:fill="DDDDDD"/>
          </w:tcPr>
          <w:p>
            <w:pPr>
              <w:spacing w:after="0"/>
              <w:rPr>
                <w:sz w:val="11"/>
                <w:szCs w:val="11"/>
                <w:color w:val="auto"/>
              </w:rPr>
            </w:pPr>
          </w:p>
        </w:tc>
        <w:tc>
          <w:tcPr>
            <w:tcW w:w="1060" w:type="dxa"/>
            <w:vAlign w:val="bottom"/>
            <w:shd w:val="clear" w:color="auto" w:fill="DDDDDD"/>
          </w:tcPr>
          <w:p>
            <w:pPr>
              <w:spacing w:after="0"/>
              <w:rPr>
                <w:sz w:val="11"/>
                <w:szCs w:val="11"/>
                <w:color w:val="auto"/>
              </w:rPr>
            </w:pPr>
          </w:p>
        </w:tc>
        <w:tc>
          <w:tcPr>
            <w:tcW w:w="900" w:type="dxa"/>
            <w:vAlign w:val="bottom"/>
            <w:shd w:val="clear" w:color="auto" w:fill="DDDDDD"/>
          </w:tcPr>
          <w:p>
            <w:pPr>
              <w:spacing w:after="0"/>
              <w:rPr>
                <w:sz w:val="11"/>
                <w:szCs w:val="11"/>
                <w:color w:val="auto"/>
              </w:rPr>
            </w:pPr>
          </w:p>
        </w:tc>
        <w:tc>
          <w:tcPr>
            <w:tcW w:w="1080" w:type="dxa"/>
            <w:vAlign w:val="bottom"/>
            <w:shd w:val="clear" w:color="auto" w:fill="DDDDDD"/>
          </w:tcPr>
          <w:p>
            <w:pPr>
              <w:jc w:val="center"/>
              <w:ind w:right="1"/>
              <w:spacing w:after="0" w:line="135" w:lineRule="exact"/>
              <w:rPr>
                <w:sz w:val="20"/>
                <w:szCs w:val="20"/>
                <w:color w:val="auto"/>
              </w:rPr>
            </w:pPr>
            <w:r>
              <w:rPr>
                <w:rFonts w:ascii="Arial" w:cs="Arial" w:eastAsia="Arial" w:hAnsi="Arial"/>
                <w:sz w:val="13"/>
                <w:szCs w:val="13"/>
                <w:b w:val="1"/>
                <w:bCs w:val="1"/>
                <w:color w:val="828282"/>
                <w:w w:val="95"/>
              </w:rPr>
              <w:t>Stock</w:t>
            </w:r>
          </w:p>
        </w:tc>
        <w:tc>
          <w:tcPr>
            <w:tcW w:w="1000" w:type="dxa"/>
            <w:vAlign w:val="bottom"/>
            <w:shd w:val="clear" w:color="auto" w:fill="DDDDDD"/>
          </w:tcPr>
          <w:p>
            <w:pPr>
              <w:jc w:val="center"/>
              <w:ind w:right="1"/>
              <w:spacing w:after="0" w:line="135" w:lineRule="exact"/>
              <w:rPr>
                <w:sz w:val="20"/>
                <w:szCs w:val="20"/>
                <w:color w:val="auto"/>
              </w:rPr>
            </w:pPr>
            <w:r>
              <w:rPr>
                <w:rFonts w:ascii="Arial" w:cs="Arial" w:eastAsia="Arial" w:hAnsi="Arial"/>
                <w:sz w:val="13"/>
                <w:szCs w:val="13"/>
                <w:b w:val="1"/>
                <w:bCs w:val="1"/>
                <w:color w:val="828282"/>
                <w:w w:val="96"/>
              </w:rPr>
              <w:t>and Option</w:t>
            </w:r>
          </w:p>
        </w:tc>
        <w:tc>
          <w:tcPr>
            <w:tcW w:w="20" w:type="dxa"/>
            <w:vAlign w:val="bottom"/>
          </w:tcPr>
          <w:p>
            <w:pPr>
              <w:spacing w:after="0"/>
              <w:rPr>
                <w:sz w:val="11"/>
                <w:szCs w:val="11"/>
                <w:color w:val="auto"/>
              </w:rPr>
            </w:pPr>
          </w:p>
        </w:tc>
      </w:tr>
      <w:tr>
        <w:trPr>
          <w:trHeight w:val="191"/>
        </w:trPr>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shd w:val="clear" w:color="auto" w:fill="DDDDDD"/>
          </w:tcPr>
          <w:p>
            <w:pPr>
              <w:ind w:left="40"/>
              <w:spacing w:after="0"/>
              <w:rPr>
                <w:sz w:val="20"/>
                <w:szCs w:val="20"/>
                <w:color w:val="auto"/>
              </w:rPr>
            </w:pPr>
            <w:r>
              <w:rPr>
                <w:rFonts w:ascii="Arial" w:cs="Arial" w:eastAsia="Arial" w:hAnsi="Arial"/>
                <w:sz w:val="13"/>
                <w:szCs w:val="13"/>
                <w:b w:val="1"/>
                <w:bCs w:val="1"/>
                <w:color w:val="828282"/>
              </w:rPr>
              <w:t>Name</w:t>
            </w:r>
          </w:p>
        </w:tc>
        <w:tc>
          <w:tcPr>
            <w:tcW w:w="960" w:type="dxa"/>
            <w:vAlign w:val="bottom"/>
            <w:tcBorders>
              <w:bottom w:val="single" w:sz="8" w:color="auto"/>
            </w:tcBorders>
            <w:shd w:val="clear" w:color="auto" w:fill="DDDDDD"/>
          </w:tcPr>
          <w:p>
            <w:pPr>
              <w:jc w:val="right"/>
              <w:ind w:right="299"/>
              <w:spacing w:after="0"/>
              <w:rPr>
                <w:sz w:val="20"/>
                <w:szCs w:val="20"/>
                <w:color w:val="auto"/>
              </w:rPr>
            </w:pPr>
            <w:r>
              <w:rPr>
                <w:rFonts w:ascii="Arial" w:cs="Arial" w:eastAsia="Arial" w:hAnsi="Arial"/>
                <w:sz w:val="13"/>
                <w:szCs w:val="13"/>
                <w:b w:val="1"/>
                <w:bCs w:val="1"/>
                <w:color w:val="828282"/>
              </w:rPr>
              <w:t>Date</w:t>
            </w:r>
          </w:p>
        </w:tc>
        <w:tc>
          <w:tcPr>
            <w:tcW w:w="800" w:type="dxa"/>
            <w:vAlign w:val="bottom"/>
            <w:tcBorders>
              <w:bottom w:val="single" w:sz="8" w:color="auto"/>
            </w:tcBorders>
            <w:shd w:val="clear" w:color="auto" w:fill="DDDDDD"/>
          </w:tcPr>
          <w:p>
            <w:pPr>
              <w:jc w:val="right"/>
              <w:ind w:right="137"/>
              <w:spacing w:after="0"/>
              <w:rPr>
                <w:sz w:val="20"/>
                <w:szCs w:val="20"/>
                <w:color w:val="auto"/>
              </w:rPr>
            </w:pPr>
            <w:r>
              <w:rPr>
                <w:rFonts w:ascii="Arial" w:cs="Arial" w:eastAsia="Arial" w:hAnsi="Arial"/>
                <w:sz w:val="13"/>
                <w:szCs w:val="13"/>
                <w:b w:val="1"/>
                <w:bCs w:val="1"/>
                <w:color w:val="828282"/>
              </w:rPr>
              <w:t>($)</w:t>
            </w:r>
          </w:p>
        </w:tc>
        <w:tc>
          <w:tcPr>
            <w:tcW w:w="260" w:type="dxa"/>
            <w:vAlign w:val="bottom"/>
            <w:tcBorders>
              <w:bottom w:val="single" w:sz="8" w:color="auto"/>
            </w:tcBorders>
            <w:shd w:val="clear" w:color="auto" w:fill="DDDDDD"/>
          </w:tcPr>
          <w:p>
            <w:pPr>
              <w:spacing w:after="0"/>
              <w:rPr>
                <w:sz w:val="16"/>
                <w:szCs w:val="16"/>
                <w:color w:val="auto"/>
              </w:rPr>
            </w:pPr>
          </w:p>
        </w:tc>
        <w:tc>
          <w:tcPr>
            <w:tcW w:w="1420" w:type="dxa"/>
            <w:vAlign w:val="bottom"/>
            <w:tcBorders>
              <w:bottom w:val="single" w:sz="8" w:color="auto"/>
            </w:tcBorders>
            <w:shd w:val="clear" w:color="auto" w:fill="DDDDDD"/>
          </w:tcPr>
          <w:p>
            <w:pPr>
              <w:jc w:val="right"/>
              <w:ind w:right="759"/>
              <w:spacing w:after="0"/>
              <w:rPr>
                <w:sz w:val="20"/>
                <w:szCs w:val="20"/>
                <w:color w:val="auto"/>
              </w:rPr>
            </w:pPr>
            <w:r>
              <w:rPr>
                <w:rFonts w:ascii="Arial" w:cs="Arial" w:eastAsia="Arial" w:hAnsi="Arial"/>
                <w:sz w:val="13"/>
                <w:szCs w:val="13"/>
                <w:b w:val="1"/>
                <w:bCs w:val="1"/>
                <w:color w:val="828282"/>
              </w:rPr>
              <w:t>($)</w:t>
            </w:r>
          </w:p>
        </w:tc>
        <w:tc>
          <w:tcPr>
            <w:tcW w:w="720" w:type="dxa"/>
            <w:vAlign w:val="bottom"/>
            <w:tcBorders>
              <w:bottom w:val="single" w:sz="8" w:color="auto"/>
            </w:tcBorders>
            <w:shd w:val="clear" w:color="auto" w:fill="DDDDDD"/>
          </w:tcPr>
          <w:p>
            <w:pPr>
              <w:ind w:left="100"/>
              <w:spacing w:after="0"/>
              <w:rPr>
                <w:sz w:val="20"/>
                <w:szCs w:val="20"/>
                <w:color w:val="auto"/>
              </w:rPr>
            </w:pPr>
            <w:r>
              <w:rPr>
                <w:rFonts w:ascii="Arial" w:cs="Arial" w:eastAsia="Arial" w:hAnsi="Arial"/>
                <w:sz w:val="13"/>
                <w:szCs w:val="13"/>
                <w:b w:val="1"/>
                <w:bCs w:val="1"/>
                <w:color w:val="828282"/>
              </w:rPr>
              <w:t>($)</w:t>
            </w:r>
          </w:p>
        </w:tc>
        <w:tc>
          <w:tcPr>
            <w:tcW w:w="220" w:type="dxa"/>
            <w:vAlign w:val="bottom"/>
            <w:tcBorders>
              <w:bottom w:val="single" w:sz="8" w:color="auto"/>
            </w:tcBorders>
            <w:shd w:val="clear" w:color="auto" w:fill="DDDDDD"/>
          </w:tcPr>
          <w:p>
            <w:pPr>
              <w:spacing w:after="0"/>
              <w:rPr>
                <w:sz w:val="16"/>
                <w:szCs w:val="16"/>
                <w:color w:val="auto"/>
              </w:rPr>
            </w:pPr>
          </w:p>
        </w:tc>
        <w:tc>
          <w:tcPr>
            <w:tcW w:w="1160" w:type="dxa"/>
            <w:vAlign w:val="bottom"/>
            <w:tcBorders>
              <w:bottom w:val="single" w:sz="8" w:color="auto"/>
            </w:tcBorders>
            <w:shd w:val="clear" w:color="auto" w:fill="DDDDDD"/>
          </w:tcPr>
          <w:p>
            <w:pPr>
              <w:jc w:val="right"/>
              <w:ind w:right="519"/>
              <w:spacing w:after="0"/>
              <w:rPr>
                <w:sz w:val="20"/>
                <w:szCs w:val="20"/>
                <w:color w:val="auto"/>
              </w:rPr>
            </w:pPr>
            <w:r>
              <w:rPr>
                <w:rFonts w:ascii="Arial" w:cs="Arial" w:eastAsia="Arial" w:hAnsi="Arial"/>
                <w:sz w:val="13"/>
                <w:szCs w:val="13"/>
                <w:b w:val="1"/>
                <w:bCs w:val="1"/>
                <w:color w:val="828282"/>
              </w:rPr>
              <w:t>(#)</w:t>
            </w:r>
          </w:p>
        </w:tc>
        <w:tc>
          <w:tcPr>
            <w:tcW w:w="1060" w:type="dxa"/>
            <w:vAlign w:val="bottom"/>
            <w:tcBorders>
              <w:bottom w:val="single" w:sz="8" w:color="auto"/>
            </w:tcBorders>
            <w:shd w:val="clear" w:color="auto" w:fill="DDDDDD"/>
          </w:tcPr>
          <w:p>
            <w:pPr>
              <w:jc w:val="center"/>
              <w:ind w:right="199"/>
              <w:spacing w:after="0"/>
              <w:rPr>
                <w:sz w:val="20"/>
                <w:szCs w:val="20"/>
                <w:color w:val="auto"/>
              </w:rPr>
            </w:pPr>
            <w:r>
              <w:rPr>
                <w:rFonts w:ascii="Arial" w:cs="Arial" w:eastAsia="Arial" w:hAnsi="Arial"/>
                <w:sz w:val="13"/>
                <w:szCs w:val="13"/>
                <w:b w:val="1"/>
                <w:bCs w:val="1"/>
                <w:color w:val="828282"/>
              </w:rPr>
              <w:t>(#)</w:t>
            </w:r>
          </w:p>
        </w:tc>
        <w:tc>
          <w:tcPr>
            <w:tcW w:w="900" w:type="dxa"/>
            <w:vAlign w:val="bottom"/>
            <w:tcBorders>
              <w:bottom w:val="single" w:sz="8" w:color="auto"/>
            </w:tcBorders>
            <w:shd w:val="clear" w:color="auto" w:fill="DDDDDD"/>
          </w:tcPr>
          <w:p>
            <w:pPr>
              <w:jc w:val="right"/>
              <w:ind w:right="379"/>
              <w:spacing w:after="0"/>
              <w:rPr>
                <w:sz w:val="20"/>
                <w:szCs w:val="20"/>
                <w:color w:val="auto"/>
              </w:rPr>
            </w:pPr>
            <w:r>
              <w:rPr>
                <w:rFonts w:ascii="Arial" w:cs="Arial" w:eastAsia="Arial" w:hAnsi="Arial"/>
                <w:sz w:val="13"/>
                <w:szCs w:val="13"/>
                <w:b w:val="1"/>
                <w:bCs w:val="1"/>
                <w:color w:val="828282"/>
              </w:rPr>
              <w:t>(#)</w:t>
            </w:r>
          </w:p>
        </w:tc>
        <w:tc>
          <w:tcPr>
            <w:tcW w:w="108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3"/>
                <w:szCs w:val="13"/>
                <w:b w:val="1"/>
                <w:bCs w:val="1"/>
                <w:color w:val="828282"/>
                <w:w w:val="95"/>
              </w:rPr>
              <w:t xml:space="preserve">Units </w:t>
            </w:r>
            <w:r>
              <w:rPr>
                <w:rFonts w:ascii="Arial" w:cs="Arial" w:eastAsia="Arial" w:hAnsi="Arial"/>
                <w:sz w:val="10"/>
                <w:szCs w:val="10"/>
                <w:b w:val="1"/>
                <w:bCs w:val="1"/>
                <w:color w:val="828282"/>
                <w:w w:val="95"/>
              </w:rPr>
              <w:t>3</w:t>
            </w:r>
          </w:p>
        </w:tc>
        <w:tc>
          <w:tcPr>
            <w:tcW w:w="1000" w:type="dxa"/>
            <w:vAlign w:val="bottom"/>
            <w:tcBorders>
              <w:bottom w:val="single" w:sz="8" w:color="auto"/>
            </w:tcBorders>
            <w:shd w:val="clear" w:color="auto" w:fill="DDDDDD"/>
          </w:tcPr>
          <w:p>
            <w:pPr>
              <w:jc w:val="center"/>
              <w:ind w:right="1"/>
              <w:spacing w:after="0"/>
              <w:rPr>
                <w:sz w:val="20"/>
                <w:szCs w:val="20"/>
                <w:color w:val="auto"/>
              </w:rPr>
            </w:pPr>
            <w:r>
              <w:rPr>
                <w:rFonts w:ascii="Arial" w:cs="Arial" w:eastAsia="Arial" w:hAnsi="Arial"/>
                <w:sz w:val="13"/>
                <w:szCs w:val="13"/>
                <w:b w:val="1"/>
                <w:bCs w:val="1"/>
                <w:color w:val="828282"/>
                <w:w w:val="99"/>
              </w:rPr>
              <w:t>Awards ($)</w:t>
            </w:r>
          </w:p>
        </w:tc>
        <w:tc>
          <w:tcPr>
            <w:tcW w:w="20" w:type="dxa"/>
            <w:vAlign w:val="bottom"/>
            <w:tcBorders>
              <w:bottom w:val="single" w:sz="8" w:color="auto"/>
            </w:tcBorders>
          </w:tcPr>
          <w:p>
            <w:pPr>
              <w:spacing w:after="0"/>
              <w:rPr>
                <w:sz w:val="16"/>
                <w:szCs w:val="16"/>
                <w:color w:val="auto"/>
              </w:rPr>
            </w:pPr>
          </w:p>
        </w:tc>
      </w:tr>
      <w:tr>
        <w:trPr>
          <w:trHeight w:val="146"/>
        </w:trPr>
        <w:tc>
          <w:tcPr>
            <w:tcW w:w="20" w:type="dxa"/>
            <w:vAlign w:val="bottom"/>
          </w:tcPr>
          <w:p>
            <w:pPr>
              <w:spacing w:after="0"/>
              <w:rPr>
                <w:sz w:val="12"/>
                <w:szCs w:val="12"/>
                <w:color w:val="auto"/>
              </w:rPr>
            </w:pPr>
          </w:p>
        </w:tc>
        <w:tc>
          <w:tcPr>
            <w:tcW w:w="960" w:type="dxa"/>
            <w:vAlign w:val="bottom"/>
          </w:tcPr>
          <w:p>
            <w:pPr>
              <w:ind w:left="40"/>
              <w:spacing w:after="0"/>
              <w:rPr>
                <w:sz w:val="20"/>
                <w:szCs w:val="20"/>
                <w:color w:val="auto"/>
              </w:rPr>
            </w:pPr>
            <w:r>
              <w:rPr>
                <w:rFonts w:ascii="Arial" w:cs="Arial" w:eastAsia="Arial" w:hAnsi="Arial"/>
                <w:sz w:val="12"/>
                <w:szCs w:val="12"/>
                <w:b w:val="1"/>
                <w:bCs w:val="1"/>
                <w:color w:val="828282"/>
              </w:rPr>
              <w:t>Horacio D.</w:t>
            </w: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2"/>
                <w:szCs w:val="12"/>
                <w:b w:val="1"/>
                <w:bCs w:val="1"/>
                <w:color w:val="828282"/>
              </w:rPr>
              <w:t>Rozanski</w:t>
            </w: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ind w:left="20"/>
              <w:spacing w:after="0"/>
              <w:rPr>
                <w:sz w:val="20"/>
                <w:szCs w:val="20"/>
                <w:color w:val="auto"/>
              </w:rPr>
            </w:pPr>
            <w:r>
              <w:rPr>
                <w:rFonts w:ascii="Arial" w:cs="Arial" w:eastAsia="Arial" w:hAnsi="Arial"/>
                <w:sz w:val="12"/>
                <w:szCs w:val="12"/>
                <w:color w:val="828282"/>
              </w:rPr>
              <w:t>—</w:t>
            </w:r>
          </w:p>
        </w:tc>
        <w:tc>
          <w:tcPr>
            <w:tcW w:w="1420" w:type="dxa"/>
            <w:vAlign w:val="bottom"/>
          </w:tcPr>
          <w:p>
            <w:pPr>
              <w:jc w:val="right"/>
              <w:ind w:right="399"/>
              <w:spacing w:after="0"/>
              <w:rPr>
                <w:sz w:val="20"/>
                <w:szCs w:val="20"/>
                <w:color w:val="auto"/>
              </w:rPr>
            </w:pPr>
            <w:r>
              <w:rPr>
                <w:rFonts w:ascii="Arial" w:cs="Arial" w:eastAsia="Arial" w:hAnsi="Arial"/>
                <w:sz w:val="12"/>
                <w:szCs w:val="12"/>
                <w:color w:val="828282"/>
              </w:rPr>
              <w:t>1,125,000</w:t>
            </w:r>
          </w:p>
        </w:tc>
        <w:tc>
          <w:tcPr>
            <w:tcW w:w="940" w:type="dxa"/>
            <w:vAlign w:val="bottom"/>
            <w:gridSpan w:val="2"/>
          </w:tcPr>
          <w:p>
            <w:pPr>
              <w:ind w:left="480"/>
              <w:spacing w:after="0"/>
              <w:rPr>
                <w:sz w:val="20"/>
                <w:szCs w:val="20"/>
                <w:color w:val="auto"/>
              </w:rPr>
            </w:pPr>
            <w:r>
              <w:rPr>
                <w:rFonts w:ascii="Arial" w:cs="Arial" w:eastAsia="Arial" w:hAnsi="Arial"/>
                <w:sz w:val="12"/>
                <w:szCs w:val="12"/>
                <w:color w:val="828282"/>
              </w:rPr>
              <w:t>—</w:t>
            </w:r>
          </w:p>
        </w:tc>
        <w:tc>
          <w:tcPr>
            <w:tcW w:w="1160" w:type="dxa"/>
            <w:vAlign w:val="bottom"/>
          </w:tcPr>
          <w:p>
            <w:pPr>
              <w:jc w:val="right"/>
              <w:ind w:right="159"/>
              <w:spacing w:after="0"/>
              <w:rPr>
                <w:sz w:val="20"/>
                <w:szCs w:val="20"/>
                <w:color w:val="auto"/>
              </w:rPr>
            </w:pPr>
            <w:r>
              <w:rPr>
                <w:rFonts w:ascii="Arial" w:cs="Arial" w:eastAsia="Arial" w:hAnsi="Arial"/>
                <w:sz w:val="12"/>
                <w:szCs w:val="12"/>
                <w:color w:val="828282"/>
              </w:rPr>
              <w:t>—</w:t>
            </w:r>
          </w:p>
        </w:tc>
        <w:tc>
          <w:tcPr>
            <w:tcW w:w="1060" w:type="dxa"/>
            <w:vAlign w:val="bottom"/>
          </w:tcPr>
          <w:p>
            <w:pPr>
              <w:jc w:val="right"/>
              <w:ind w:right="179"/>
              <w:spacing w:after="0"/>
              <w:rPr>
                <w:sz w:val="20"/>
                <w:szCs w:val="20"/>
                <w:color w:val="auto"/>
              </w:rPr>
            </w:pPr>
            <w:r>
              <w:rPr>
                <w:rFonts w:ascii="Arial" w:cs="Arial" w:eastAsia="Arial" w:hAnsi="Arial"/>
                <w:sz w:val="12"/>
                <w:szCs w:val="12"/>
                <w:color w:val="828282"/>
              </w:rPr>
              <w:t>—</w:t>
            </w:r>
          </w:p>
        </w:tc>
        <w:tc>
          <w:tcPr>
            <w:tcW w:w="90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1080" w:type="dxa"/>
            <w:vAlign w:val="bottom"/>
          </w:tcPr>
          <w:p>
            <w:pPr>
              <w:jc w:val="right"/>
              <w:ind w:right="81"/>
              <w:spacing w:after="0"/>
              <w:rPr>
                <w:sz w:val="20"/>
                <w:szCs w:val="20"/>
                <w:color w:val="auto"/>
              </w:rPr>
            </w:pPr>
            <w:r>
              <w:rPr>
                <w:rFonts w:ascii="Arial" w:cs="Arial" w:eastAsia="Arial" w:hAnsi="Arial"/>
                <w:sz w:val="12"/>
                <w:szCs w:val="12"/>
                <w:color w:val="828282"/>
              </w:rPr>
              <w:t>—</w:t>
            </w:r>
          </w:p>
        </w:tc>
        <w:tc>
          <w:tcPr>
            <w:tcW w:w="1000" w:type="dxa"/>
            <w:vAlign w:val="bottom"/>
          </w:tcPr>
          <w:p>
            <w:pPr>
              <w:jc w:val="right"/>
              <w:ind w:right="41"/>
              <w:spacing w:after="0"/>
              <w:rPr>
                <w:sz w:val="20"/>
                <w:szCs w:val="20"/>
                <w:color w:val="auto"/>
              </w:rPr>
            </w:pPr>
            <w:r>
              <w:rPr>
                <w:rFonts w:ascii="Arial" w:cs="Arial" w:eastAsia="Arial" w:hAnsi="Arial"/>
                <w:sz w:val="12"/>
                <w:szCs w:val="12"/>
                <w:color w:val="828282"/>
              </w:rPr>
              <w:t>—</w:t>
            </w:r>
          </w:p>
        </w:tc>
        <w:tc>
          <w:tcPr>
            <w:tcW w:w="2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828282"/>
              </w:rPr>
              <w:t>5/22/2019</w:t>
            </w:r>
          </w:p>
        </w:tc>
        <w:tc>
          <w:tcPr>
            <w:tcW w:w="800" w:type="dxa"/>
            <w:vAlign w:val="bottom"/>
          </w:tcPr>
          <w:p>
            <w:pPr>
              <w:spacing w:after="0"/>
              <w:rPr>
                <w:sz w:val="23"/>
                <w:szCs w:val="23"/>
                <w:color w:val="auto"/>
              </w:rPr>
            </w:pPr>
          </w:p>
        </w:tc>
        <w:tc>
          <w:tcPr>
            <w:tcW w:w="260" w:type="dxa"/>
            <w:vAlign w:val="bottom"/>
          </w:tcPr>
          <w:p>
            <w:pPr>
              <w:ind w:left="20"/>
              <w:spacing w:after="0"/>
              <w:rPr>
                <w:sz w:val="20"/>
                <w:szCs w:val="20"/>
                <w:color w:val="auto"/>
              </w:rPr>
            </w:pPr>
            <w:r>
              <w:rPr>
                <w:rFonts w:ascii="Arial" w:cs="Arial" w:eastAsia="Arial" w:hAnsi="Arial"/>
                <w:sz w:val="12"/>
                <w:szCs w:val="12"/>
                <w:color w:val="828282"/>
              </w:rPr>
              <w:t>—</w:t>
            </w:r>
          </w:p>
        </w:tc>
        <w:tc>
          <w:tcPr>
            <w:tcW w:w="1420" w:type="dxa"/>
            <w:vAlign w:val="bottom"/>
          </w:tcPr>
          <w:p>
            <w:pPr>
              <w:jc w:val="right"/>
              <w:ind w:right="399"/>
              <w:spacing w:after="0"/>
              <w:rPr>
                <w:sz w:val="20"/>
                <w:szCs w:val="20"/>
                <w:color w:val="auto"/>
              </w:rPr>
            </w:pPr>
            <w:r>
              <w:rPr>
                <w:rFonts w:ascii="Arial" w:cs="Arial" w:eastAsia="Arial" w:hAnsi="Arial"/>
                <w:sz w:val="12"/>
                <w:szCs w:val="12"/>
                <w:color w:val="828282"/>
              </w:rPr>
              <w:t>—</w:t>
            </w:r>
          </w:p>
        </w:tc>
        <w:tc>
          <w:tcPr>
            <w:tcW w:w="940" w:type="dxa"/>
            <w:vAlign w:val="bottom"/>
            <w:gridSpan w:val="2"/>
          </w:tcPr>
          <w:p>
            <w:pPr>
              <w:ind w:left="480"/>
              <w:spacing w:after="0"/>
              <w:rPr>
                <w:sz w:val="20"/>
                <w:szCs w:val="20"/>
                <w:color w:val="auto"/>
              </w:rPr>
            </w:pPr>
            <w:r>
              <w:rPr>
                <w:rFonts w:ascii="Arial" w:cs="Arial" w:eastAsia="Arial" w:hAnsi="Arial"/>
                <w:sz w:val="12"/>
                <w:szCs w:val="12"/>
                <w:color w:val="828282"/>
              </w:rPr>
              <w:t>—</w:t>
            </w:r>
          </w:p>
        </w:tc>
        <w:tc>
          <w:tcPr>
            <w:tcW w:w="1160" w:type="dxa"/>
            <w:vAlign w:val="bottom"/>
          </w:tcPr>
          <w:p>
            <w:pPr>
              <w:jc w:val="right"/>
              <w:ind w:right="159"/>
              <w:spacing w:after="0"/>
              <w:rPr>
                <w:sz w:val="20"/>
                <w:szCs w:val="20"/>
                <w:color w:val="auto"/>
              </w:rPr>
            </w:pPr>
            <w:r>
              <w:rPr>
                <w:rFonts w:ascii="Arial" w:cs="Arial" w:eastAsia="Arial" w:hAnsi="Arial"/>
                <w:sz w:val="12"/>
                <w:szCs w:val="12"/>
                <w:color w:val="828282"/>
              </w:rPr>
              <w:t>28,976</w:t>
            </w:r>
          </w:p>
        </w:tc>
        <w:tc>
          <w:tcPr>
            <w:tcW w:w="1060" w:type="dxa"/>
            <w:vAlign w:val="bottom"/>
          </w:tcPr>
          <w:p>
            <w:pPr>
              <w:jc w:val="right"/>
              <w:ind w:right="179"/>
              <w:spacing w:after="0"/>
              <w:rPr>
                <w:sz w:val="20"/>
                <w:szCs w:val="20"/>
                <w:color w:val="auto"/>
              </w:rPr>
            </w:pPr>
            <w:r>
              <w:rPr>
                <w:rFonts w:ascii="Arial" w:cs="Arial" w:eastAsia="Arial" w:hAnsi="Arial"/>
                <w:sz w:val="12"/>
                <w:szCs w:val="12"/>
                <w:color w:val="828282"/>
              </w:rPr>
              <w:t>57,952</w:t>
            </w:r>
          </w:p>
        </w:tc>
        <w:tc>
          <w:tcPr>
            <w:tcW w:w="900" w:type="dxa"/>
            <w:vAlign w:val="bottom"/>
          </w:tcPr>
          <w:p>
            <w:pPr>
              <w:jc w:val="right"/>
              <w:ind w:right="39"/>
              <w:spacing w:after="0"/>
              <w:rPr>
                <w:sz w:val="20"/>
                <w:szCs w:val="20"/>
                <w:color w:val="auto"/>
              </w:rPr>
            </w:pPr>
            <w:r>
              <w:rPr>
                <w:rFonts w:ascii="Arial" w:cs="Arial" w:eastAsia="Arial" w:hAnsi="Arial"/>
                <w:sz w:val="12"/>
                <w:szCs w:val="12"/>
                <w:color w:val="828282"/>
              </w:rPr>
              <w:t>115,904</w:t>
            </w:r>
          </w:p>
        </w:tc>
        <w:tc>
          <w:tcPr>
            <w:tcW w:w="1080" w:type="dxa"/>
            <w:vAlign w:val="bottom"/>
          </w:tcPr>
          <w:p>
            <w:pPr>
              <w:jc w:val="right"/>
              <w:ind w:right="81"/>
              <w:spacing w:after="0"/>
              <w:rPr>
                <w:sz w:val="20"/>
                <w:szCs w:val="20"/>
                <w:color w:val="auto"/>
              </w:rPr>
            </w:pPr>
            <w:r>
              <w:rPr>
                <w:rFonts w:ascii="Arial" w:cs="Arial" w:eastAsia="Arial" w:hAnsi="Arial"/>
                <w:sz w:val="12"/>
                <w:szCs w:val="12"/>
                <w:color w:val="828282"/>
              </w:rPr>
              <w:t>—</w:t>
            </w:r>
          </w:p>
        </w:tc>
        <w:tc>
          <w:tcPr>
            <w:tcW w:w="1000" w:type="dxa"/>
            <w:vAlign w:val="bottom"/>
          </w:tcPr>
          <w:p>
            <w:pPr>
              <w:jc w:val="right"/>
              <w:ind w:right="41"/>
              <w:spacing w:after="0"/>
              <w:rPr>
                <w:sz w:val="20"/>
                <w:szCs w:val="20"/>
                <w:color w:val="auto"/>
              </w:rPr>
            </w:pPr>
            <w:r>
              <w:rPr>
                <w:rFonts w:ascii="Arial" w:cs="Arial" w:eastAsia="Arial" w:hAnsi="Arial"/>
                <w:sz w:val="12"/>
                <w:szCs w:val="12"/>
                <w:color w:val="828282"/>
              </w:rPr>
              <w:t>3,599,978</w:t>
            </w:r>
          </w:p>
        </w:tc>
        <w:tc>
          <w:tcPr>
            <w:tcW w:w="20" w:type="dxa"/>
            <w:vAlign w:val="bottom"/>
          </w:tcPr>
          <w:p>
            <w:pPr>
              <w:spacing w:after="0"/>
              <w:rPr>
                <w:sz w:val="23"/>
                <w:szCs w:val="23"/>
                <w:color w:val="auto"/>
              </w:rPr>
            </w:pPr>
          </w:p>
        </w:tc>
      </w:tr>
      <w:tr>
        <w:trPr>
          <w:trHeight w:val="279"/>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828282"/>
              </w:rPr>
              <w:t>5/22/2019</w:t>
            </w:r>
          </w:p>
        </w:tc>
        <w:tc>
          <w:tcPr>
            <w:tcW w:w="8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2"/>
                <w:szCs w:val="12"/>
                <w:color w:val="828282"/>
              </w:rPr>
              <w:t>—</w:t>
            </w:r>
          </w:p>
        </w:tc>
        <w:tc>
          <w:tcPr>
            <w:tcW w:w="1420" w:type="dxa"/>
            <w:vAlign w:val="bottom"/>
          </w:tcPr>
          <w:p>
            <w:pPr>
              <w:jc w:val="right"/>
              <w:ind w:right="399"/>
              <w:spacing w:after="0"/>
              <w:rPr>
                <w:sz w:val="20"/>
                <w:szCs w:val="20"/>
                <w:color w:val="auto"/>
              </w:rPr>
            </w:pPr>
            <w:r>
              <w:rPr>
                <w:rFonts w:ascii="Arial" w:cs="Arial" w:eastAsia="Arial" w:hAnsi="Arial"/>
                <w:sz w:val="12"/>
                <w:szCs w:val="12"/>
                <w:color w:val="828282"/>
              </w:rPr>
              <w:t>—</w:t>
            </w:r>
          </w:p>
        </w:tc>
        <w:tc>
          <w:tcPr>
            <w:tcW w:w="940" w:type="dxa"/>
            <w:vAlign w:val="bottom"/>
            <w:gridSpan w:val="2"/>
          </w:tcPr>
          <w:p>
            <w:pPr>
              <w:ind w:left="480"/>
              <w:spacing w:after="0"/>
              <w:rPr>
                <w:sz w:val="20"/>
                <w:szCs w:val="20"/>
                <w:color w:val="auto"/>
              </w:rPr>
            </w:pPr>
            <w:r>
              <w:rPr>
                <w:rFonts w:ascii="Arial" w:cs="Arial" w:eastAsia="Arial" w:hAnsi="Arial"/>
                <w:sz w:val="12"/>
                <w:szCs w:val="12"/>
                <w:color w:val="828282"/>
              </w:rPr>
              <w:t>—</w:t>
            </w:r>
          </w:p>
        </w:tc>
        <w:tc>
          <w:tcPr>
            <w:tcW w:w="1160" w:type="dxa"/>
            <w:vAlign w:val="bottom"/>
          </w:tcPr>
          <w:p>
            <w:pPr>
              <w:jc w:val="right"/>
              <w:ind w:right="159"/>
              <w:spacing w:after="0"/>
              <w:rPr>
                <w:sz w:val="20"/>
                <w:szCs w:val="20"/>
                <w:color w:val="auto"/>
              </w:rPr>
            </w:pPr>
            <w:r>
              <w:rPr>
                <w:rFonts w:ascii="Arial" w:cs="Arial" w:eastAsia="Arial" w:hAnsi="Arial"/>
                <w:sz w:val="12"/>
                <w:szCs w:val="12"/>
                <w:color w:val="828282"/>
              </w:rPr>
              <w:t>—</w:t>
            </w:r>
          </w:p>
        </w:tc>
        <w:tc>
          <w:tcPr>
            <w:tcW w:w="1060" w:type="dxa"/>
            <w:vAlign w:val="bottom"/>
          </w:tcPr>
          <w:p>
            <w:pPr>
              <w:jc w:val="right"/>
              <w:ind w:right="179"/>
              <w:spacing w:after="0"/>
              <w:rPr>
                <w:sz w:val="20"/>
                <w:szCs w:val="20"/>
                <w:color w:val="auto"/>
              </w:rPr>
            </w:pPr>
            <w:r>
              <w:rPr>
                <w:rFonts w:ascii="Arial" w:cs="Arial" w:eastAsia="Arial" w:hAnsi="Arial"/>
                <w:sz w:val="12"/>
                <w:szCs w:val="12"/>
                <w:color w:val="828282"/>
              </w:rPr>
              <w:t>—</w:t>
            </w:r>
          </w:p>
        </w:tc>
        <w:tc>
          <w:tcPr>
            <w:tcW w:w="90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1080" w:type="dxa"/>
            <w:vAlign w:val="bottom"/>
          </w:tcPr>
          <w:p>
            <w:pPr>
              <w:jc w:val="right"/>
              <w:ind w:right="81"/>
              <w:spacing w:after="0"/>
              <w:rPr>
                <w:sz w:val="20"/>
                <w:szCs w:val="20"/>
                <w:color w:val="auto"/>
              </w:rPr>
            </w:pPr>
            <w:r>
              <w:rPr>
                <w:rFonts w:ascii="Arial" w:cs="Arial" w:eastAsia="Arial" w:hAnsi="Arial"/>
                <w:sz w:val="12"/>
                <w:szCs w:val="12"/>
                <w:color w:val="828282"/>
              </w:rPr>
              <w:t>22,537</w:t>
            </w:r>
          </w:p>
        </w:tc>
        <w:tc>
          <w:tcPr>
            <w:tcW w:w="1000" w:type="dxa"/>
            <w:vAlign w:val="bottom"/>
          </w:tcPr>
          <w:p>
            <w:pPr>
              <w:jc w:val="right"/>
              <w:ind w:right="41"/>
              <w:spacing w:after="0"/>
              <w:rPr>
                <w:sz w:val="20"/>
                <w:szCs w:val="20"/>
                <w:color w:val="auto"/>
              </w:rPr>
            </w:pPr>
            <w:r>
              <w:rPr>
                <w:rFonts w:ascii="Arial" w:cs="Arial" w:eastAsia="Arial" w:hAnsi="Arial"/>
                <w:sz w:val="12"/>
                <w:szCs w:val="12"/>
                <w:color w:val="828282"/>
              </w:rPr>
              <w:t>1,399,998</w:t>
            </w:r>
          </w:p>
        </w:tc>
        <w:tc>
          <w:tcPr>
            <w:tcW w:w="2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960" w:type="dxa"/>
            <w:vAlign w:val="bottom"/>
            <w:shd w:val="clear" w:color="auto" w:fill="DDDDDD"/>
          </w:tcPr>
          <w:p>
            <w:pPr>
              <w:ind w:left="40"/>
              <w:spacing w:after="0"/>
              <w:rPr>
                <w:sz w:val="20"/>
                <w:szCs w:val="20"/>
                <w:color w:val="auto"/>
              </w:rPr>
            </w:pPr>
            <w:r>
              <w:rPr>
                <w:rFonts w:ascii="Arial" w:cs="Arial" w:eastAsia="Arial" w:hAnsi="Arial"/>
                <w:sz w:val="12"/>
                <w:szCs w:val="12"/>
                <w:b w:val="1"/>
                <w:bCs w:val="1"/>
                <w:color w:val="828282"/>
              </w:rPr>
              <w:t>Lloyd W.</w:t>
            </w:r>
          </w:p>
        </w:tc>
        <w:tc>
          <w:tcPr>
            <w:tcW w:w="960" w:type="dxa"/>
            <w:vAlign w:val="bottom"/>
            <w:shd w:val="clear" w:color="auto" w:fill="DDDDDD"/>
          </w:tcPr>
          <w:p>
            <w:pPr>
              <w:spacing w:after="0"/>
              <w:rPr>
                <w:sz w:val="13"/>
                <w:szCs w:val="13"/>
                <w:color w:val="auto"/>
              </w:rPr>
            </w:pPr>
          </w:p>
        </w:tc>
        <w:tc>
          <w:tcPr>
            <w:tcW w:w="80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142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1160" w:type="dxa"/>
            <w:vAlign w:val="bottom"/>
            <w:shd w:val="clear" w:color="auto" w:fill="DDDDDD"/>
          </w:tcPr>
          <w:p>
            <w:pPr>
              <w:spacing w:after="0"/>
              <w:rPr>
                <w:sz w:val="13"/>
                <w:szCs w:val="13"/>
                <w:color w:val="auto"/>
              </w:rPr>
            </w:pPr>
          </w:p>
        </w:tc>
        <w:tc>
          <w:tcPr>
            <w:tcW w:w="1060" w:type="dxa"/>
            <w:vAlign w:val="bottom"/>
            <w:shd w:val="clear" w:color="auto" w:fill="DDDDDD"/>
          </w:tcPr>
          <w:p>
            <w:pPr>
              <w:spacing w:after="0"/>
              <w:rPr>
                <w:sz w:val="13"/>
                <w:szCs w:val="13"/>
                <w:color w:val="auto"/>
              </w:rPr>
            </w:pPr>
          </w:p>
        </w:tc>
        <w:tc>
          <w:tcPr>
            <w:tcW w:w="900" w:type="dxa"/>
            <w:vAlign w:val="bottom"/>
            <w:shd w:val="clear" w:color="auto" w:fill="DDDDDD"/>
          </w:tcPr>
          <w:p>
            <w:pPr>
              <w:spacing w:after="0"/>
              <w:rPr>
                <w:sz w:val="13"/>
                <w:szCs w:val="13"/>
                <w:color w:val="auto"/>
              </w:rPr>
            </w:pPr>
          </w:p>
        </w:tc>
        <w:tc>
          <w:tcPr>
            <w:tcW w:w="1080" w:type="dxa"/>
            <w:vAlign w:val="bottom"/>
            <w:shd w:val="clear" w:color="auto" w:fill="DDDDDD"/>
          </w:tcPr>
          <w:p>
            <w:pPr>
              <w:spacing w:after="0"/>
              <w:rPr>
                <w:sz w:val="13"/>
                <w:szCs w:val="13"/>
                <w:color w:val="auto"/>
              </w:rPr>
            </w:pPr>
          </w:p>
        </w:tc>
        <w:tc>
          <w:tcPr>
            <w:tcW w:w="1000" w:type="dxa"/>
            <w:vAlign w:val="bottom"/>
            <w:shd w:val="clear" w:color="auto" w:fill="DDDDDD"/>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960" w:type="dxa"/>
            <w:vAlign w:val="bottom"/>
            <w:shd w:val="clear" w:color="auto" w:fill="DDDDDD"/>
          </w:tcPr>
          <w:p>
            <w:pPr>
              <w:ind w:left="40"/>
              <w:spacing w:after="0"/>
              <w:rPr>
                <w:sz w:val="20"/>
                <w:szCs w:val="20"/>
                <w:color w:val="auto"/>
              </w:rPr>
            </w:pPr>
            <w:r>
              <w:rPr>
                <w:rFonts w:ascii="Arial" w:cs="Arial" w:eastAsia="Arial" w:hAnsi="Arial"/>
                <w:sz w:val="12"/>
                <w:szCs w:val="12"/>
                <w:b w:val="1"/>
                <w:bCs w:val="1"/>
                <w:color w:val="828282"/>
              </w:rPr>
              <w:t>Howell, Jr.</w:t>
            </w:r>
          </w:p>
        </w:tc>
        <w:tc>
          <w:tcPr>
            <w:tcW w:w="960" w:type="dxa"/>
            <w:vAlign w:val="bottom"/>
            <w:shd w:val="clear" w:color="auto" w:fill="DDDDDD"/>
          </w:tcPr>
          <w:p>
            <w:pPr>
              <w:spacing w:after="0"/>
              <w:rPr>
                <w:sz w:val="13"/>
                <w:szCs w:val="13"/>
                <w:color w:val="auto"/>
              </w:rPr>
            </w:pPr>
          </w:p>
        </w:tc>
        <w:tc>
          <w:tcPr>
            <w:tcW w:w="800" w:type="dxa"/>
            <w:vAlign w:val="bottom"/>
            <w:shd w:val="clear" w:color="auto" w:fill="DDDDDD"/>
          </w:tcPr>
          <w:p>
            <w:pPr>
              <w:spacing w:after="0"/>
              <w:rPr>
                <w:sz w:val="13"/>
                <w:szCs w:val="13"/>
                <w:color w:val="auto"/>
              </w:rPr>
            </w:pPr>
          </w:p>
        </w:tc>
        <w:tc>
          <w:tcPr>
            <w:tcW w:w="260" w:type="dxa"/>
            <w:vAlign w:val="bottom"/>
            <w:shd w:val="clear" w:color="auto" w:fill="DDDDDD"/>
          </w:tcPr>
          <w:p>
            <w:pPr>
              <w:ind w:left="20"/>
              <w:spacing w:after="0"/>
              <w:rPr>
                <w:sz w:val="20"/>
                <w:szCs w:val="20"/>
                <w:color w:val="auto"/>
              </w:rPr>
            </w:pPr>
            <w:r>
              <w:rPr>
                <w:rFonts w:ascii="Arial" w:cs="Arial" w:eastAsia="Arial" w:hAnsi="Arial"/>
                <w:sz w:val="12"/>
                <w:szCs w:val="12"/>
                <w:color w:val="828282"/>
              </w:rPr>
              <w:t>—</w:t>
            </w:r>
          </w:p>
        </w:tc>
        <w:tc>
          <w:tcPr>
            <w:tcW w:w="1420" w:type="dxa"/>
            <w:vAlign w:val="bottom"/>
            <w:shd w:val="clear" w:color="auto" w:fill="DDDDDD"/>
          </w:tcPr>
          <w:p>
            <w:pPr>
              <w:jc w:val="right"/>
              <w:ind w:right="399"/>
              <w:spacing w:after="0"/>
              <w:rPr>
                <w:sz w:val="20"/>
                <w:szCs w:val="20"/>
                <w:color w:val="auto"/>
              </w:rPr>
            </w:pPr>
            <w:r>
              <w:rPr>
                <w:rFonts w:ascii="Arial" w:cs="Arial" w:eastAsia="Arial" w:hAnsi="Arial"/>
                <w:sz w:val="12"/>
                <w:szCs w:val="12"/>
                <w:color w:val="828282"/>
              </w:rPr>
              <w:t>500,000</w:t>
            </w:r>
          </w:p>
        </w:tc>
        <w:tc>
          <w:tcPr>
            <w:tcW w:w="940" w:type="dxa"/>
            <w:vAlign w:val="bottom"/>
            <w:gridSpan w:val="2"/>
            <w:shd w:val="clear" w:color="auto" w:fill="DDDDDD"/>
          </w:tcPr>
          <w:p>
            <w:pPr>
              <w:ind w:left="480"/>
              <w:spacing w:after="0"/>
              <w:rPr>
                <w:sz w:val="20"/>
                <w:szCs w:val="20"/>
                <w:color w:val="auto"/>
              </w:rPr>
            </w:pPr>
            <w:r>
              <w:rPr>
                <w:rFonts w:ascii="Arial" w:cs="Arial" w:eastAsia="Arial" w:hAnsi="Arial"/>
                <w:sz w:val="12"/>
                <w:szCs w:val="12"/>
                <w:color w:val="828282"/>
              </w:rPr>
              <w:t>—</w:t>
            </w:r>
          </w:p>
        </w:tc>
        <w:tc>
          <w:tcPr>
            <w:tcW w:w="1160" w:type="dxa"/>
            <w:vAlign w:val="bottom"/>
            <w:shd w:val="clear" w:color="auto" w:fill="DDDDDD"/>
          </w:tcPr>
          <w:p>
            <w:pPr>
              <w:jc w:val="right"/>
              <w:ind w:right="159"/>
              <w:spacing w:after="0"/>
              <w:rPr>
                <w:sz w:val="20"/>
                <w:szCs w:val="20"/>
                <w:color w:val="auto"/>
              </w:rPr>
            </w:pPr>
            <w:r>
              <w:rPr>
                <w:rFonts w:ascii="Arial" w:cs="Arial" w:eastAsia="Arial" w:hAnsi="Arial"/>
                <w:sz w:val="12"/>
                <w:szCs w:val="12"/>
                <w:color w:val="828282"/>
              </w:rPr>
              <w:t>—</w:t>
            </w:r>
          </w:p>
        </w:tc>
        <w:tc>
          <w:tcPr>
            <w:tcW w:w="1060" w:type="dxa"/>
            <w:vAlign w:val="bottom"/>
            <w:shd w:val="clear" w:color="auto" w:fill="DDDDDD"/>
          </w:tcPr>
          <w:p>
            <w:pPr>
              <w:jc w:val="right"/>
              <w:ind w:right="179"/>
              <w:spacing w:after="0"/>
              <w:rPr>
                <w:sz w:val="20"/>
                <w:szCs w:val="20"/>
                <w:color w:val="auto"/>
              </w:rPr>
            </w:pPr>
            <w:r>
              <w:rPr>
                <w:rFonts w:ascii="Arial" w:cs="Arial" w:eastAsia="Arial" w:hAnsi="Arial"/>
                <w:sz w:val="12"/>
                <w:szCs w:val="12"/>
                <w:color w:val="828282"/>
              </w:rPr>
              <w:t>—</w:t>
            </w:r>
          </w:p>
        </w:tc>
        <w:tc>
          <w:tcPr>
            <w:tcW w:w="90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w:t>
            </w:r>
          </w:p>
        </w:tc>
        <w:tc>
          <w:tcPr>
            <w:tcW w:w="1080" w:type="dxa"/>
            <w:vAlign w:val="bottom"/>
            <w:shd w:val="clear" w:color="auto" w:fill="DDDDDD"/>
          </w:tcPr>
          <w:p>
            <w:pPr>
              <w:jc w:val="right"/>
              <w:ind w:right="81"/>
              <w:spacing w:after="0"/>
              <w:rPr>
                <w:sz w:val="20"/>
                <w:szCs w:val="20"/>
                <w:color w:val="auto"/>
              </w:rPr>
            </w:pPr>
            <w:r>
              <w:rPr>
                <w:rFonts w:ascii="Arial" w:cs="Arial" w:eastAsia="Arial" w:hAnsi="Arial"/>
                <w:sz w:val="12"/>
                <w:szCs w:val="12"/>
                <w:color w:val="828282"/>
              </w:rPr>
              <w:t>—</w:t>
            </w:r>
          </w:p>
        </w:tc>
        <w:tc>
          <w:tcPr>
            <w:tcW w:w="1000" w:type="dxa"/>
            <w:vAlign w:val="bottom"/>
            <w:shd w:val="clear" w:color="auto" w:fill="DDDDDD"/>
          </w:tcPr>
          <w:p>
            <w:pPr>
              <w:jc w:val="right"/>
              <w:ind w:right="41"/>
              <w:spacing w:after="0"/>
              <w:rPr>
                <w:sz w:val="20"/>
                <w:szCs w:val="20"/>
                <w:color w:val="auto"/>
              </w:rPr>
            </w:pPr>
            <w:r>
              <w:rPr>
                <w:rFonts w:ascii="Arial" w:cs="Arial" w:eastAsia="Arial" w:hAnsi="Arial"/>
                <w:sz w:val="12"/>
                <w:szCs w:val="12"/>
                <w:color w:val="828282"/>
              </w:rPr>
              <w:t>—</w:t>
            </w:r>
          </w:p>
        </w:tc>
        <w:tc>
          <w:tcPr>
            <w:tcW w:w="2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960" w:type="dxa"/>
            <w:vAlign w:val="bottom"/>
            <w:shd w:val="clear" w:color="auto" w:fill="DDDDDD"/>
          </w:tcPr>
          <w:p>
            <w:pPr>
              <w:spacing w:after="0"/>
              <w:rPr>
                <w:sz w:val="23"/>
                <w:szCs w:val="23"/>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5/22/2019</w:t>
            </w:r>
          </w:p>
        </w:tc>
        <w:tc>
          <w:tcPr>
            <w:tcW w:w="800" w:type="dxa"/>
            <w:vAlign w:val="bottom"/>
            <w:shd w:val="clear" w:color="auto" w:fill="DDDDDD"/>
          </w:tcPr>
          <w:p>
            <w:pPr>
              <w:spacing w:after="0"/>
              <w:rPr>
                <w:sz w:val="23"/>
                <w:szCs w:val="23"/>
                <w:color w:val="auto"/>
              </w:rPr>
            </w:pPr>
          </w:p>
        </w:tc>
        <w:tc>
          <w:tcPr>
            <w:tcW w:w="260" w:type="dxa"/>
            <w:vAlign w:val="bottom"/>
            <w:shd w:val="clear" w:color="auto" w:fill="DDDDDD"/>
          </w:tcPr>
          <w:p>
            <w:pPr>
              <w:ind w:left="20"/>
              <w:spacing w:after="0"/>
              <w:rPr>
                <w:sz w:val="20"/>
                <w:szCs w:val="20"/>
                <w:color w:val="auto"/>
              </w:rPr>
            </w:pPr>
            <w:r>
              <w:rPr>
                <w:rFonts w:ascii="Arial" w:cs="Arial" w:eastAsia="Arial" w:hAnsi="Arial"/>
                <w:sz w:val="12"/>
                <w:szCs w:val="12"/>
                <w:color w:val="828282"/>
              </w:rPr>
              <w:t>—</w:t>
            </w:r>
          </w:p>
        </w:tc>
        <w:tc>
          <w:tcPr>
            <w:tcW w:w="1420" w:type="dxa"/>
            <w:vAlign w:val="bottom"/>
            <w:shd w:val="clear" w:color="auto" w:fill="DDDDDD"/>
          </w:tcPr>
          <w:p>
            <w:pPr>
              <w:jc w:val="right"/>
              <w:ind w:right="399"/>
              <w:spacing w:after="0"/>
              <w:rPr>
                <w:sz w:val="20"/>
                <w:szCs w:val="20"/>
                <w:color w:val="auto"/>
              </w:rPr>
            </w:pPr>
            <w:r>
              <w:rPr>
                <w:rFonts w:ascii="Arial" w:cs="Arial" w:eastAsia="Arial" w:hAnsi="Arial"/>
                <w:sz w:val="12"/>
                <w:szCs w:val="12"/>
                <w:color w:val="828282"/>
              </w:rPr>
              <w:t>—</w:t>
            </w:r>
          </w:p>
        </w:tc>
        <w:tc>
          <w:tcPr>
            <w:tcW w:w="940" w:type="dxa"/>
            <w:vAlign w:val="bottom"/>
            <w:gridSpan w:val="2"/>
            <w:shd w:val="clear" w:color="auto" w:fill="DDDDDD"/>
          </w:tcPr>
          <w:p>
            <w:pPr>
              <w:ind w:left="480"/>
              <w:spacing w:after="0"/>
              <w:rPr>
                <w:sz w:val="20"/>
                <w:szCs w:val="20"/>
                <w:color w:val="auto"/>
              </w:rPr>
            </w:pPr>
            <w:r>
              <w:rPr>
                <w:rFonts w:ascii="Arial" w:cs="Arial" w:eastAsia="Arial" w:hAnsi="Arial"/>
                <w:sz w:val="12"/>
                <w:szCs w:val="12"/>
                <w:color w:val="828282"/>
              </w:rPr>
              <w:t>—</w:t>
            </w:r>
          </w:p>
        </w:tc>
        <w:tc>
          <w:tcPr>
            <w:tcW w:w="1160" w:type="dxa"/>
            <w:vAlign w:val="bottom"/>
            <w:shd w:val="clear" w:color="auto" w:fill="DDDDDD"/>
          </w:tcPr>
          <w:p>
            <w:pPr>
              <w:jc w:val="right"/>
              <w:ind w:right="159"/>
              <w:spacing w:after="0"/>
              <w:rPr>
                <w:sz w:val="20"/>
                <w:szCs w:val="20"/>
                <w:color w:val="auto"/>
              </w:rPr>
            </w:pPr>
            <w:r>
              <w:rPr>
                <w:rFonts w:ascii="Arial" w:cs="Arial" w:eastAsia="Arial" w:hAnsi="Arial"/>
                <w:sz w:val="12"/>
                <w:szCs w:val="12"/>
                <w:color w:val="828282"/>
              </w:rPr>
              <w:t>9,055</w:t>
            </w:r>
          </w:p>
        </w:tc>
        <w:tc>
          <w:tcPr>
            <w:tcW w:w="1060" w:type="dxa"/>
            <w:vAlign w:val="bottom"/>
            <w:shd w:val="clear" w:color="auto" w:fill="DDDDDD"/>
          </w:tcPr>
          <w:p>
            <w:pPr>
              <w:jc w:val="right"/>
              <w:ind w:right="179"/>
              <w:spacing w:after="0"/>
              <w:rPr>
                <w:sz w:val="20"/>
                <w:szCs w:val="20"/>
                <w:color w:val="auto"/>
              </w:rPr>
            </w:pPr>
            <w:r>
              <w:rPr>
                <w:rFonts w:ascii="Arial" w:cs="Arial" w:eastAsia="Arial" w:hAnsi="Arial"/>
                <w:sz w:val="12"/>
                <w:szCs w:val="12"/>
                <w:color w:val="828282"/>
              </w:rPr>
              <w:t>18,110</w:t>
            </w:r>
          </w:p>
        </w:tc>
        <w:tc>
          <w:tcPr>
            <w:tcW w:w="90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36,220</w:t>
            </w:r>
          </w:p>
        </w:tc>
        <w:tc>
          <w:tcPr>
            <w:tcW w:w="1080" w:type="dxa"/>
            <w:vAlign w:val="bottom"/>
            <w:shd w:val="clear" w:color="auto" w:fill="DDDDDD"/>
          </w:tcPr>
          <w:p>
            <w:pPr>
              <w:jc w:val="right"/>
              <w:ind w:right="81"/>
              <w:spacing w:after="0"/>
              <w:rPr>
                <w:sz w:val="20"/>
                <w:szCs w:val="20"/>
                <w:color w:val="auto"/>
              </w:rPr>
            </w:pPr>
            <w:r>
              <w:rPr>
                <w:rFonts w:ascii="Arial" w:cs="Arial" w:eastAsia="Arial" w:hAnsi="Arial"/>
                <w:sz w:val="12"/>
                <w:szCs w:val="12"/>
                <w:color w:val="828282"/>
              </w:rPr>
              <w:t>—</w:t>
            </w:r>
          </w:p>
        </w:tc>
        <w:tc>
          <w:tcPr>
            <w:tcW w:w="1000" w:type="dxa"/>
            <w:vAlign w:val="bottom"/>
            <w:shd w:val="clear" w:color="auto" w:fill="DDDDDD"/>
          </w:tcPr>
          <w:p>
            <w:pPr>
              <w:jc w:val="right"/>
              <w:ind w:right="41"/>
              <w:spacing w:after="0"/>
              <w:rPr>
                <w:sz w:val="20"/>
                <w:szCs w:val="20"/>
                <w:color w:val="auto"/>
              </w:rPr>
            </w:pPr>
            <w:r>
              <w:rPr>
                <w:rFonts w:ascii="Arial" w:cs="Arial" w:eastAsia="Arial" w:hAnsi="Arial"/>
                <w:sz w:val="12"/>
                <w:szCs w:val="12"/>
                <w:color w:val="828282"/>
              </w:rPr>
              <w:t>1,124,993</w:t>
            </w:r>
          </w:p>
        </w:tc>
        <w:tc>
          <w:tcPr>
            <w:tcW w:w="20" w:type="dxa"/>
            <w:vAlign w:val="bottom"/>
          </w:tcPr>
          <w:p>
            <w:pPr>
              <w:spacing w:after="0"/>
              <w:rPr>
                <w:sz w:val="23"/>
                <w:szCs w:val="23"/>
                <w:color w:val="auto"/>
              </w:rPr>
            </w:pPr>
          </w:p>
        </w:tc>
      </w:tr>
      <w:tr>
        <w:trPr>
          <w:trHeight w:val="288"/>
        </w:trPr>
        <w:tc>
          <w:tcPr>
            <w:tcW w:w="20" w:type="dxa"/>
            <w:vAlign w:val="bottom"/>
          </w:tcPr>
          <w:p>
            <w:pPr>
              <w:spacing w:after="0"/>
              <w:rPr>
                <w:sz w:val="24"/>
                <w:szCs w:val="24"/>
                <w:color w:val="auto"/>
              </w:rPr>
            </w:pPr>
          </w:p>
        </w:tc>
        <w:tc>
          <w:tcPr>
            <w:tcW w:w="96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5/22/2019</w:t>
            </w:r>
          </w:p>
        </w:tc>
        <w:tc>
          <w:tcPr>
            <w:tcW w:w="800" w:type="dxa"/>
            <w:vAlign w:val="bottom"/>
            <w:shd w:val="clear" w:color="auto" w:fill="DDDDDD"/>
          </w:tcPr>
          <w:p>
            <w:pPr>
              <w:spacing w:after="0"/>
              <w:rPr>
                <w:sz w:val="24"/>
                <w:szCs w:val="24"/>
                <w:color w:val="auto"/>
              </w:rPr>
            </w:pPr>
          </w:p>
        </w:tc>
        <w:tc>
          <w:tcPr>
            <w:tcW w:w="260" w:type="dxa"/>
            <w:vAlign w:val="bottom"/>
            <w:shd w:val="clear" w:color="auto" w:fill="DDDDDD"/>
          </w:tcPr>
          <w:p>
            <w:pPr>
              <w:ind w:left="20"/>
              <w:spacing w:after="0"/>
              <w:rPr>
                <w:sz w:val="20"/>
                <w:szCs w:val="20"/>
                <w:color w:val="auto"/>
              </w:rPr>
            </w:pPr>
            <w:r>
              <w:rPr>
                <w:rFonts w:ascii="Arial" w:cs="Arial" w:eastAsia="Arial" w:hAnsi="Arial"/>
                <w:sz w:val="12"/>
                <w:szCs w:val="12"/>
                <w:color w:val="828282"/>
              </w:rPr>
              <w:t>—</w:t>
            </w:r>
          </w:p>
        </w:tc>
        <w:tc>
          <w:tcPr>
            <w:tcW w:w="1420" w:type="dxa"/>
            <w:vAlign w:val="bottom"/>
            <w:shd w:val="clear" w:color="auto" w:fill="DDDDDD"/>
          </w:tcPr>
          <w:p>
            <w:pPr>
              <w:jc w:val="right"/>
              <w:ind w:right="399"/>
              <w:spacing w:after="0"/>
              <w:rPr>
                <w:sz w:val="20"/>
                <w:szCs w:val="20"/>
                <w:color w:val="auto"/>
              </w:rPr>
            </w:pPr>
            <w:r>
              <w:rPr>
                <w:rFonts w:ascii="Arial" w:cs="Arial" w:eastAsia="Arial" w:hAnsi="Arial"/>
                <w:sz w:val="12"/>
                <w:szCs w:val="12"/>
                <w:color w:val="828282"/>
              </w:rPr>
              <w:t>—</w:t>
            </w:r>
          </w:p>
        </w:tc>
        <w:tc>
          <w:tcPr>
            <w:tcW w:w="940" w:type="dxa"/>
            <w:vAlign w:val="bottom"/>
            <w:gridSpan w:val="2"/>
            <w:shd w:val="clear" w:color="auto" w:fill="DDDDDD"/>
          </w:tcPr>
          <w:p>
            <w:pPr>
              <w:ind w:left="480"/>
              <w:spacing w:after="0"/>
              <w:rPr>
                <w:sz w:val="20"/>
                <w:szCs w:val="20"/>
                <w:color w:val="auto"/>
              </w:rPr>
            </w:pPr>
            <w:r>
              <w:rPr>
                <w:rFonts w:ascii="Arial" w:cs="Arial" w:eastAsia="Arial" w:hAnsi="Arial"/>
                <w:sz w:val="12"/>
                <w:szCs w:val="12"/>
                <w:color w:val="828282"/>
              </w:rPr>
              <w:t>—</w:t>
            </w:r>
          </w:p>
        </w:tc>
        <w:tc>
          <w:tcPr>
            <w:tcW w:w="1160" w:type="dxa"/>
            <w:vAlign w:val="bottom"/>
            <w:shd w:val="clear" w:color="auto" w:fill="DDDDDD"/>
          </w:tcPr>
          <w:p>
            <w:pPr>
              <w:jc w:val="right"/>
              <w:ind w:right="159"/>
              <w:spacing w:after="0"/>
              <w:rPr>
                <w:sz w:val="20"/>
                <w:szCs w:val="20"/>
                <w:color w:val="auto"/>
              </w:rPr>
            </w:pPr>
            <w:r>
              <w:rPr>
                <w:rFonts w:ascii="Arial" w:cs="Arial" w:eastAsia="Arial" w:hAnsi="Arial"/>
                <w:sz w:val="12"/>
                <w:szCs w:val="12"/>
                <w:color w:val="828282"/>
              </w:rPr>
              <w:t>—</w:t>
            </w:r>
          </w:p>
        </w:tc>
        <w:tc>
          <w:tcPr>
            <w:tcW w:w="1060" w:type="dxa"/>
            <w:vAlign w:val="bottom"/>
            <w:shd w:val="clear" w:color="auto" w:fill="DDDDDD"/>
          </w:tcPr>
          <w:p>
            <w:pPr>
              <w:jc w:val="right"/>
              <w:ind w:right="179"/>
              <w:spacing w:after="0"/>
              <w:rPr>
                <w:sz w:val="20"/>
                <w:szCs w:val="20"/>
                <w:color w:val="auto"/>
              </w:rPr>
            </w:pPr>
            <w:r>
              <w:rPr>
                <w:rFonts w:ascii="Arial" w:cs="Arial" w:eastAsia="Arial" w:hAnsi="Arial"/>
                <w:sz w:val="12"/>
                <w:szCs w:val="12"/>
                <w:color w:val="828282"/>
              </w:rPr>
              <w:t>—</w:t>
            </w:r>
          </w:p>
        </w:tc>
        <w:tc>
          <w:tcPr>
            <w:tcW w:w="90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w:t>
            </w:r>
          </w:p>
        </w:tc>
        <w:tc>
          <w:tcPr>
            <w:tcW w:w="1080" w:type="dxa"/>
            <w:vAlign w:val="bottom"/>
            <w:shd w:val="clear" w:color="auto" w:fill="DDDDDD"/>
          </w:tcPr>
          <w:p>
            <w:pPr>
              <w:jc w:val="right"/>
              <w:ind w:right="81"/>
              <w:spacing w:after="0"/>
              <w:rPr>
                <w:sz w:val="20"/>
                <w:szCs w:val="20"/>
                <w:color w:val="auto"/>
              </w:rPr>
            </w:pPr>
            <w:r>
              <w:rPr>
                <w:rFonts w:ascii="Arial" w:cs="Arial" w:eastAsia="Arial" w:hAnsi="Arial"/>
                <w:sz w:val="12"/>
                <w:szCs w:val="12"/>
                <w:color w:val="828282"/>
              </w:rPr>
              <w:t>12,073</w:t>
            </w:r>
          </w:p>
        </w:tc>
        <w:tc>
          <w:tcPr>
            <w:tcW w:w="1000" w:type="dxa"/>
            <w:vAlign w:val="bottom"/>
            <w:shd w:val="clear" w:color="auto" w:fill="DDDDDD"/>
          </w:tcPr>
          <w:p>
            <w:pPr>
              <w:jc w:val="right"/>
              <w:ind w:right="41"/>
              <w:spacing w:after="0"/>
              <w:rPr>
                <w:sz w:val="20"/>
                <w:szCs w:val="20"/>
                <w:color w:val="auto"/>
              </w:rPr>
            </w:pPr>
            <w:r>
              <w:rPr>
                <w:rFonts w:ascii="Arial" w:cs="Arial" w:eastAsia="Arial" w:hAnsi="Arial"/>
                <w:sz w:val="12"/>
                <w:szCs w:val="12"/>
                <w:color w:val="828282"/>
              </w:rPr>
              <w:t>749,975</w:t>
            </w:r>
          </w:p>
        </w:tc>
        <w:tc>
          <w:tcPr>
            <w:tcW w:w="2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2"/>
                <w:szCs w:val="12"/>
                <w:b w:val="1"/>
                <w:bCs w:val="1"/>
                <w:color w:val="828282"/>
              </w:rPr>
              <w:t>Karen M. Dahut</w:t>
            </w: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2"/>
                <w:szCs w:val="12"/>
                <w:color w:val="828282"/>
              </w:rPr>
              <w:t>—</w:t>
            </w:r>
          </w:p>
        </w:tc>
        <w:tc>
          <w:tcPr>
            <w:tcW w:w="1420" w:type="dxa"/>
            <w:vAlign w:val="bottom"/>
          </w:tcPr>
          <w:p>
            <w:pPr>
              <w:jc w:val="right"/>
              <w:ind w:right="399"/>
              <w:spacing w:after="0"/>
              <w:rPr>
                <w:sz w:val="20"/>
                <w:szCs w:val="20"/>
                <w:color w:val="auto"/>
              </w:rPr>
            </w:pPr>
            <w:r>
              <w:rPr>
                <w:rFonts w:ascii="Arial" w:cs="Arial" w:eastAsia="Arial" w:hAnsi="Arial"/>
                <w:sz w:val="12"/>
                <w:szCs w:val="12"/>
                <w:color w:val="828282"/>
              </w:rPr>
              <w:t>500,000</w:t>
            </w:r>
          </w:p>
        </w:tc>
        <w:tc>
          <w:tcPr>
            <w:tcW w:w="940" w:type="dxa"/>
            <w:vAlign w:val="bottom"/>
            <w:gridSpan w:val="2"/>
          </w:tcPr>
          <w:p>
            <w:pPr>
              <w:ind w:left="480"/>
              <w:spacing w:after="0"/>
              <w:rPr>
                <w:sz w:val="20"/>
                <w:szCs w:val="20"/>
                <w:color w:val="auto"/>
              </w:rPr>
            </w:pPr>
            <w:r>
              <w:rPr>
                <w:rFonts w:ascii="Arial" w:cs="Arial" w:eastAsia="Arial" w:hAnsi="Arial"/>
                <w:sz w:val="12"/>
                <w:szCs w:val="12"/>
                <w:color w:val="828282"/>
              </w:rPr>
              <w:t>—</w:t>
            </w:r>
          </w:p>
        </w:tc>
        <w:tc>
          <w:tcPr>
            <w:tcW w:w="1160" w:type="dxa"/>
            <w:vAlign w:val="bottom"/>
          </w:tcPr>
          <w:p>
            <w:pPr>
              <w:jc w:val="right"/>
              <w:ind w:right="159"/>
              <w:spacing w:after="0"/>
              <w:rPr>
                <w:sz w:val="20"/>
                <w:szCs w:val="20"/>
                <w:color w:val="auto"/>
              </w:rPr>
            </w:pPr>
            <w:r>
              <w:rPr>
                <w:rFonts w:ascii="Arial" w:cs="Arial" w:eastAsia="Arial" w:hAnsi="Arial"/>
                <w:sz w:val="12"/>
                <w:szCs w:val="12"/>
                <w:color w:val="828282"/>
              </w:rPr>
              <w:t>—</w:t>
            </w:r>
          </w:p>
        </w:tc>
        <w:tc>
          <w:tcPr>
            <w:tcW w:w="1060" w:type="dxa"/>
            <w:vAlign w:val="bottom"/>
          </w:tcPr>
          <w:p>
            <w:pPr>
              <w:jc w:val="right"/>
              <w:ind w:right="179"/>
              <w:spacing w:after="0"/>
              <w:rPr>
                <w:sz w:val="20"/>
                <w:szCs w:val="20"/>
                <w:color w:val="auto"/>
              </w:rPr>
            </w:pPr>
            <w:r>
              <w:rPr>
                <w:rFonts w:ascii="Arial" w:cs="Arial" w:eastAsia="Arial" w:hAnsi="Arial"/>
                <w:sz w:val="12"/>
                <w:szCs w:val="12"/>
                <w:color w:val="828282"/>
              </w:rPr>
              <w:t>—</w:t>
            </w:r>
          </w:p>
        </w:tc>
        <w:tc>
          <w:tcPr>
            <w:tcW w:w="90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1080" w:type="dxa"/>
            <w:vAlign w:val="bottom"/>
          </w:tcPr>
          <w:p>
            <w:pPr>
              <w:jc w:val="right"/>
              <w:ind w:right="81"/>
              <w:spacing w:after="0"/>
              <w:rPr>
                <w:sz w:val="20"/>
                <w:szCs w:val="20"/>
                <w:color w:val="auto"/>
              </w:rPr>
            </w:pPr>
            <w:r>
              <w:rPr>
                <w:rFonts w:ascii="Arial" w:cs="Arial" w:eastAsia="Arial" w:hAnsi="Arial"/>
                <w:sz w:val="12"/>
                <w:szCs w:val="12"/>
                <w:color w:val="828282"/>
              </w:rPr>
              <w:t>—</w:t>
            </w:r>
          </w:p>
        </w:tc>
        <w:tc>
          <w:tcPr>
            <w:tcW w:w="1000" w:type="dxa"/>
            <w:vAlign w:val="bottom"/>
          </w:tcPr>
          <w:p>
            <w:pPr>
              <w:jc w:val="right"/>
              <w:ind w:right="41"/>
              <w:spacing w:after="0"/>
              <w:rPr>
                <w:sz w:val="20"/>
                <w:szCs w:val="20"/>
                <w:color w:val="auto"/>
              </w:rPr>
            </w:pPr>
            <w:r>
              <w:rPr>
                <w:rFonts w:ascii="Arial" w:cs="Arial" w:eastAsia="Arial" w:hAnsi="Arial"/>
                <w:sz w:val="12"/>
                <w:szCs w:val="12"/>
                <w:color w:val="828282"/>
              </w:rPr>
              <w:t>—</w:t>
            </w:r>
          </w:p>
        </w:tc>
        <w:tc>
          <w:tcPr>
            <w:tcW w:w="20" w:type="dxa"/>
            <w:vAlign w:val="bottom"/>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828282"/>
              </w:rPr>
              <w:t>5/22/2019</w:t>
            </w:r>
          </w:p>
        </w:tc>
        <w:tc>
          <w:tcPr>
            <w:tcW w:w="800" w:type="dxa"/>
            <w:vAlign w:val="bottom"/>
          </w:tcPr>
          <w:p>
            <w:pPr>
              <w:spacing w:after="0"/>
              <w:rPr>
                <w:sz w:val="23"/>
                <w:szCs w:val="23"/>
                <w:color w:val="auto"/>
              </w:rPr>
            </w:pPr>
          </w:p>
        </w:tc>
        <w:tc>
          <w:tcPr>
            <w:tcW w:w="260" w:type="dxa"/>
            <w:vAlign w:val="bottom"/>
          </w:tcPr>
          <w:p>
            <w:pPr>
              <w:ind w:left="20"/>
              <w:spacing w:after="0"/>
              <w:rPr>
                <w:sz w:val="20"/>
                <w:szCs w:val="20"/>
                <w:color w:val="auto"/>
              </w:rPr>
            </w:pPr>
            <w:r>
              <w:rPr>
                <w:rFonts w:ascii="Arial" w:cs="Arial" w:eastAsia="Arial" w:hAnsi="Arial"/>
                <w:sz w:val="12"/>
                <w:szCs w:val="12"/>
                <w:color w:val="828282"/>
              </w:rPr>
              <w:t>—</w:t>
            </w:r>
          </w:p>
        </w:tc>
        <w:tc>
          <w:tcPr>
            <w:tcW w:w="1420" w:type="dxa"/>
            <w:vAlign w:val="bottom"/>
          </w:tcPr>
          <w:p>
            <w:pPr>
              <w:jc w:val="right"/>
              <w:ind w:right="399"/>
              <w:spacing w:after="0"/>
              <w:rPr>
                <w:sz w:val="20"/>
                <w:szCs w:val="20"/>
                <w:color w:val="auto"/>
              </w:rPr>
            </w:pPr>
            <w:r>
              <w:rPr>
                <w:rFonts w:ascii="Arial" w:cs="Arial" w:eastAsia="Arial" w:hAnsi="Arial"/>
                <w:sz w:val="12"/>
                <w:szCs w:val="12"/>
                <w:color w:val="828282"/>
              </w:rPr>
              <w:t>—</w:t>
            </w:r>
          </w:p>
        </w:tc>
        <w:tc>
          <w:tcPr>
            <w:tcW w:w="940" w:type="dxa"/>
            <w:vAlign w:val="bottom"/>
            <w:gridSpan w:val="2"/>
          </w:tcPr>
          <w:p>
            <w:pPr>
              <w:ind w:left="480"/>
              <w:spacing w:after="0"/>
              <w:rPr>
                <w:sz w:val="20"/>
                <w:szCs w:val="20"/>
                <w:color w:val="auto"/>
              </w:rPr>
            </w:pPr>
            <w:r>
              <w:rPr>
                <w:rFonts w:ascii="Arial" w:cs="Arial" w:eastAsia="Arial" w:hAnsi="Arial"/>
                <w:sz w:val="12"/>
                <w:szCs w:val="12"/>
                <w:color w:val="828282"/>
              </w:rPr>
              <w:t>—</w:t>
            </w:r>
          </w:p>
        </w:tc>
        <w:tc>
          <w:tcPr>
            <w:tcW w:w="1160" w:type="dxa"/>
            <w:vAlign w:val="bottom"/>
          </w:tcPr>
          <w:p>
            <w:pPr>
              <w:jc w:val="right"/>
              <w:ind w:right="159"/>
              <w:spacing w:after="0"/>
              <w:rPr>
                <w:sz w:val="20"/>
                <w:szCs w:val="20"/>
                <w:color w:val="auto"/>
              </w:rPr>
            </w:pPr>
            <w:r>
              <w:rPr>
                <w:rFonts w:ascii="Arial" w:cs="Arial" w:eastAsia="Arial" w:hAnsi="Arial"/>
                <w:sz w:val="12"/>
                <w:szCs w:val="12"/>
                <w:color w:val="828282"/>
              </w:rPr>
              <w:t>9,055</w:t>
            </w:r>
          </w:p>
        </w:tc>
        <w:tc>
          <w:tcPr>
            <w:tcW w:w="1060" w:type="dxa"/>
            <w:vAlign w:val="bottom"/>
          </w:tcPr>
          <w:p>
            <w:pPr>
              <w:jc w:val="right"/>
              <w:ind w:right="179"/>
              <w:spacing w:after="0"/>
              <w:rPr>
                <w:sz w:val="20"/>
                <w:szCs w:val="20"/>
                <w:color w:val="auto"/>
              </w:rPr>
            </w:pPr>
            <w:r>
              <w:rPr>
                <w:rFonts w:ascii="Arial" w:cs="Arial" w:eastAsia="Arial" w:hAnsi="Arial"/>
                <w:sz w:val="12"/>
                <w:szCs w:val="12"/>
                <w:color w:val="828282"/>
              </w:rPr>
              <w:t>18,110</w:t>
            </w:r>
          </w:p>
        </w:tc>
        <w:tc>
          <w:tcPr>
            <w:tcW w:w="900" w:type="dxa"/>
            <w:vAlign w:val="bottom"/>
          </w:tcPr>
          <w:p>
            <w:pPr>
              <w:jc w:val="right"/>
              <w:ind w:right="39"/>
              <w:spacing w:after="0"/>
              <w:rPr>
                <w:sz w:val="20"/>
                <w:szCs w:val="20"/>
                <w:color w:val="auto"/>
              </w:rPr>
            </w:pPr>
            <w:r>
              <w:rPr>
                <w:rFonts w:ascii="Arial" w:cs="Arial" w:eastAsia="Arial" w:hAnsi="Arial"/>
                <w:sz w:val="12"/>
                <w:szCs w:val="12"/>
                <w:color w:val="828282"/>
              </w:rPr>
              <w:t>36,220</w:t>
            </w:r>
          </w:p>
        </w:tc>
        <w:tc>
          <w:tcPr>
            <w:tcW w:w="1080" w:type="dxa"/>
            <w:vAlign w:val="bottom"/>
          </w:tcPr>
          <w:p>
            <w:pPr>
              <w:jc w:val="right"/>
              <w:ind w:right="81"/>
              <w:spacing w:after="0"/>
              <w:rPr>
                <w:sz w:val="20"/>
                <w:szCs w:val="20"/>
                <w:color w:val="auto"/>
              </w:rPr>
            </w:pPr>
            <w:r>
              <w:rPr>
                <w:rFonts w:ascii="Arial" w:cs="Arial" w:eastAsia="Arial" w:hAnsi="Arial"/>
                <w:sz w:val="12"/>
                <w:szCs w:val="12"/>
                <w:color w:val="828282"/>
              </w:rPr>
              <w:t>—</w:t>
            </w:r>
          </w:p>
        </w:tc>
        <w:tc>
          <w:tcPr>
            <w:tcW w:w="1000" w:type="dxa"/>
            <w:vAlign w:val="bottom"/>
          </w:tcPr>
          <w:p>
            <w:pPr>
              <w:jc w:val="right"/>
              <w:ind w:right="41"/>
              <w:spacing w:after="0"/>
              <w:rPr>
                <w:sz w:val="20"/>
                <w:szCs w:val="20"/>
                <w:color w:val="auto"/>
              </w:rPr>
            </w:pPr>
            <w:r>
              <w:rPr>
                <w:rFonts w:ascii="Arial" w:cs="Arial" w:eastAsia="Arial" w:hAnsi="Arial"/>
                <w:sz w:val="12"/>
                <w:szCs w:val="12"/>
                <w:color w:val="828282"/>
              </w:rPr>
              <w:t>1,124,993</w:t>
            </w:r>
          </w:p>
        </w:tc>
        <w:tc>
          <w:tcPr>
            <w:tcW w:w="20" w:type="dxa"/>
            <w:vAlign w:val="bottom"/>
          </w:tcPr>
          <w:p>
            <w:pPr>
              <w:spacing w:after="0"/>
              <w:rPr>
                <w:sz w:val="23"/>
                <w:szCs w:val="23"/>
                <w:color w:val="auto"/>
              </w:rPr>
            </w:pPr>
          </w:p>
        </w:tc>
      </w:tr>
      <w:tr>
        <w:trPr>
          <w:trHeight w:val="279"/>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828282"/>
              </w:rPr>
              <w:t>5/22/2019</w:t>
            </w:r>
          </w:p>
        </w:tc>
        <w:tc>
          <w:tcPr>
            <w:tcW w:w="8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2"/>
                <w:szCs w:val="12"/>
                <w:color w:val="828282"/>
              </w:rPr>
              <w:t>—</w:t>
            </w:r>
          </w:p>
        </w:tc>
        <w:tc>
          <w:tcPr>
            <w:tcW w:w="1420" w:type="dxa"/>
            <w:vAlign w:val="bottom"/>
          </w:tcPr>
          <w:p>
            <w:pPr>
              <w:jc w:val="right"/>
              <w:ind w:right="399"/>
              <w:spacing w:after="0"/>
              <w:rPr>
                <w:sz w:val="20"/>
                <w:szCs w:val="20"/>
                <w:color w:val="auto"/>
              </w:rPr>
            </w:pPr>
            <w:r>
              <w:rPr>
                <w:rFonts w:ascii="Arial" w:cs="Arial" w:eastAsia="Arial" w:hAnsi="Arial"/>
                <w:sz w:val="12"/>
                <w:szCs w:val="12"/>
                <w:color w:val="828282"/>
              </w:rPr>
              <w:t>—</w:t>
            </w:r>
          </w:p>
        </w:tc>
        <w:tc>
          <w:tcPr>
            <w:tcW w:w="940" w:type="dxa"/>
            <w:vAlign w:val="bottom"/>
            <w:gridSpan w:val="2"/>
          </w:tcPr>
          <w:p>
            <w:pPr>
              <w:ind w:left="480"/>
              <w:spacing w:after="0"/>
              <w:rPr>
                <w:sz w:val="20"/>
                <w:szCs w:val="20"/>
                <w:color w:val="auto"/>
              </w:rPr>
            </w:pPr>
            <w:r>
              <w:rPr>
                <w:rFonts w:ascii="Arial" w:cs="Arial" w:eastAsia="Arial" w:hAnsi="Arial"/>
                <w:sz w:val="12"/>
                <w:szCs w:val="12"/>
                <w:color w:val="828282"/>
              </w:rPr>
              <w:t>—</w:t>
            </w:r>
          </w:p>
        </w:tc>
        <w:tc>
          <w:tcPr>
            <w:tcW w:w="1160" w:type="dxa"/>
            <w:vAlign w:val="bottom"/>
          </w:tcPr>
          <w:p>
            <w:pPr>
              <w:jc w:val="right"/>
              <w:ind w:right="159"/>
              <w:spacing w:after="0"/>
              <w:rPr>
                <w:sz w:val="20"/>
                <w:szCs w:val="20"/>
                <w:color w:val="auto"/>
              </w:rPr>
            </w:pPr>
            <w:r>
              <w:rPr>
                <w:rFonts w:ascii="Arial" w:cs="Arial" w:eastAsia="Arial" w:hAnsi="Arial"/>
                <w:sz w:val="12"/>
                <w:szCs w:val="12"/>
                <w:color w:val="828282"/>
              </w:rPr>
              <w:t>—</w:t>
            </w:r>
          </w:p>
        </w:tc>
        <w:tc>
          <w:tcPr>
            <w:tcW w:w="1060" w:type="dxa"/>
            <w:vAlign w:val="bottom"/>
          </w:tcPr>
          <w:p>
            <w:pPr>
              <w:jc w:val="right"/>
              <w:ind w:right="179"/>
              <w:spacing w:after="0"/>
              <w:rPr>
                <w:sz w:val="20"/>
                <w:szCs w:val="20"/>
                <w:color w:val="auto"/>
              </w:rPr>
            </w:pPr>
            <w:r>
              <w:rPr>
                <w:rFonts w:ascii="Arial" w:cs="Arial" w:eastAsia="Arial" w:hAnsi="Arial"/>
                <w:sz w:val="12"/>
                <w:szCs w:val="12"/>
                <w:color w:val="828282"/>
              </w:rPr>
              <w:t>—</w:t>
            </w:r>
          </w:p>
        </w:tc>
        <w:tc>
          <w:tcPr>
            <w:tcW w:w="90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1080" w:type="dxa"/>
            <w:vAlign w:val="bottom"/>
          </w:tcPr>
          <w:p>
            <w:pPr>
              <w:jc w:val="right"/>
              <w:ind w:right="81"/>
              <w:spacing w:after="0"/>
              <w:rPr>
                <w:sz w:val="20"/>
                <w:szCs w:val="20"/>
                <w:color w:val="auto"/>
              </w:rPr>
            </w:pPr>
            <w:r>
              <w:rPr>
                <w:rFonts w:ascii="Arial" w:cs="Arial" w:eastAsia="Arial" w:hAnsi="Arial"/>
                <w:sz w:val="12"/>
                <w:szCs w:val="12"/>
                <w:color w:val="828282"/>
              </w:rPr>
              <w:t>12,073</w:t>
            </w:r>
          </w:p>
        </w:tc>
        <w:tc>
          <w:tcPr>
            <w:tcW w:w="1000" w:type="dxa"/>
            <w:vAlign w:val="bottom"/>
          </w:tcPr>
          <w:p>
            <w:pPr>
              <w:jc w:val="right"/>
              <w:ind w:right="41"/>
              <w:spacing w:after="0"/>
              <w:rPr>
                <w:sz w:val="20"/>
                <w:szCs w:val="20"/>
                <w:color w:val="auto"/>
              </w:rPr>
            </w:pPr>
            <w:r>
              <w:rPr>
                <w:rFonts w:ascii="Arial" w:cs="Arial" w:eastAsia="Arial" w:hAnsi="Arial"/>
                <w:sz w:val="12"/>
                <w:szCs w:val="12"/>
                <w:color w:val="828282"/>
              </w:rPr>
              <w:t>749,975</w:t>
            </w:r>
          </w:p>
        </w:tc>
        <w:tc>
          <w:tcPr>
            <w:tcW w:w="2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960" w:type="dxa"/>
            <w:vAlign w:val="bottom"/>
            <w:shd w:val="clear" w:color="auto" w:fill="DDDDDD"/>
          </w:tcPr>
          <w:p>
            <w:pPr>
              <w:ind w:left="40"/>
              <w:spacing w:after="0"/>
              <w:rPr>
                <w:sz w:val="20"/>
                <w:szCs w:val="20"/>
                <w:color w:val="auto"/>
              </w:rPr>
            </w:pPr>
            <w:r>
              <w:rPr>
                <w:rFonts w:ascii="Arial" w:cs="Arial" w:eastAsia="Arial" w:hAnsi="Arial"/>
                <w:sz w:val="12"/>
                <w:szCs w:val="12"/>
                <w:b w:val="1"/>
                <w:bCs w:val="1"/>
                <w:color w:val="828282"/>
              </w:rPr>
              <w:t>Nancy J.</w:t>
            </w:r>
          </w:p>
        </w:tc>
        <w:tc>
          <w:tcPr>
            <w:tcW w:w="960" w:type="dxa"/>
            <w:vAlign w:val="bottom"/>
            <w:shd w:val="clear" w:color="auto" w:fill="DDDDDD"/>
          </w:tcPr>
          <w:p>
            <w:pPr>
              <w:spacing w:after="0"/>
              <w:rPr>
                <w:sz w:val="13"/>
                <w:szCs w:val="13"/>
                <w:color w:val="auto"/>
              </w:rPr>
            </w:pPr>
          </w:p>
        </w:tc>
        <w:tc>
          <w:tcPr>
            <w:tcW w:w="80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142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1160" w:type="dxa"/>
            <w:vAlign w:val="bottom"/>
            <w:shd w:val="clear" w:color="auto" w:fill="DDDDDD"/>
          </w:tcPr>
          <w:p>
            <w:pPr>
              <w:spacing w:after="0"/>
              <w:rPr>
                <w:sz w:val="13"/>
                <w:szCs w:val="13"/>
                <w:color w:val="auto"/>
              </w:rPr>
            </w:pPr>
          </w:p>
        </w:tc>
        <w:tc>
          <w:tcPr>
            <w:tcW w:w="1060" w:type="dxa"/>
            <w:vAlign w:val="bottom"/>
            <w:shd w:val="clear" w:color="auto" w:fill="DDDDDD"/>
          </w:tcPr>
          <w:p>
            <w:pPr>
              <w:spacing w:after="0"/>
              <w:rPr>
                <w:sz w:val="13"/>
                <w:szCs w:val="13"/>
                <w:color w:val="auto"/>
              </w:rPr>
            </w:pPr>
          </w:p>
        </w:tc>
        <w:tc>
          <w:tcPr>
            <w:tcW w:w="900" w:type="dxa"/>
            <w:vAlign w:val="bottom"/>
            <w:shd w:val="clear" w:color="auto" w:fill="DDDDDD"/>
          </w:tcPr>
          <w:p>
            <w:pPr>
              <w:spacing w:after="0"/>
              <w:rPr>
                <w:sz w:val="13"/>
                <w:szCs w:val="13"/>
                <w:color w:val="auto"/>
              </w:rPr>
            </w:pPr>
          </w:p>
        </w:tc>
        <w:tc>
          <w:tcPr>
            <w:tcW w:w="1080" w:type="dxa"/>
            <w:vAlign w:val="bottom"/>
            <w:shd w:val="clear" w:color="auto" w:fill="DDDDDD"/>
          </w:tcPr>
          <w:p>
            <w:pPr>
              <w:spacing w:after="0"/>
              <w:rPr>
                <w:sz w:val="13"/>
                <w:szCs w:val="13"/>
                <w:color w:val="auto"/>
              </w:rPr>
            </w:pPr>
          </w:p>
        </w:tc>
        <w:tc>
          <w:tcPr>
            <w:tcW w:w="1000" w:type="dxa"/>
            <w:vAlign w:val="bottom"/>
            <w:shd w:val="clear" w:color="auto" w:fill="DDDDDD"/>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960" w:type="dxa"/>
            <w:vAlign w:val="bottom"/>
            <w:shd w:val="clear" w:color="auto" w:fill="DDDDDD"/>
          </w:tcPr>
          <w:p>
            <w:pPr>
              <w:ind w:left="40"/>
              <w:spacing w:after="0"/>
              <w:rPr>
                <w:sz w:val="20"/>
                <w:szCs w:val="20"/>
                <w:color w:val="auto"/>
              </w:rPr>
            </w:pPr>
            <w:r>
              <w:rPr>
                <w:rFonts w:ascii="Arial" w:cs="Arial" w:eastAsia="Arial" w:hAnsi="Arial"/>
                <w:sz w:val="12"/>
                <w:szCs w:val="12"/>
                <w:b w:val="1"/>
                <w:bCs w:val="1"/>
                <w:color w:val="828282"/>
              </w:rPr>
              <w:t>Laben</w:t>
            </w:r>
          </w:p>
        </w:tc>
        <w:tc>
          <w:tcPr>
            <w:tcW w:w="960" w:type="dxa"/>
            <w:vAlign w:val="bottom"/>
            <w:shd w:val="clear" w:color="auto" w:fill="DDDDDD"/>
          </w:tcPr>
          <w:p>
            <w:pPr>
              <w:spacing w:after="0"/>
              <w:rPr>
                <w:sz w:val="13"/>
                <w:szCs w:val="13"/>
                <w:color w:val="auto"/>
              </w:rPr>
            </w:pPr>
          </w:p>
        </w:tc>
        <w:tc>
          <w:tcPr>
            <w:tcW w:w="800" w:type="dxa"/>
            <w:vAlign w:val="bottom"/>
            <w:shd w:val="clear" w:color="auto" w:fill="DDDDDD"/>
          </w:tcPr>
          <w:p>
            <w:pPr>
              <w:spacing w:after="0"/>
              <w:rPr>
                <w:sz w:val="13"/>
                <w:szCs w:val="13"/>
                <w:color w:val="auto"/>
              </w:rPr>
            </w:pPr>
          </w:p>
        </w:tc>
        <w:tc>
          <w:tcPr>
            <w:tcW w:w="260" w:type="dxa"/>
            <w:vAlign w:val="bottom"/>
            <w:shd w:val="clear" w:color="auto" w:fill="DDDDDD"/>
          </w:tcPr>
          <w:p>
            <w:pPr>
              <w:ind w:left="20"/>
              <w:spacing w:after="0"/>
              <w:rPr>
                <w:sz w:val="20"/>
                <w:szCs w:val="20"/>
                <w:color w:val="auto"/>
              </w:rPr>
            </w:pPr>
            <w:r>
              <w:rPr>
                <w:rFonts w:ascii="Arial" w:cs="Arial" w:eastAsia="Arial" w:hAnsi="Arial"/>
                <w:sz w:val="12"/>
                <w:szCs w:val="12"/>
                <w:color w:val="828282"/>
              </w:rPr>
              <w:t>—</w:t>
            </w:r>
          </w:p>
        </w:tc>
        <w:tc>
          <w:tcPr>
            <w:tcW w:w="1420" w:type="dxa"/>
            <w:vAlign w:val="bottom"/>
            <w:shd w:val="clear" w:color="auto" w:fill="DDDDDD"/>
          </w:tcPr>
          <w:p>
            <w:pPr>
              <w:jc w:val="right"/>
              <w:ind w:right="399"/>
              <w:spacing w:after="0"/>
              <w:rPr>
                <w:sz w:val="20"/>
                <w:szCs w:val="20"/>
                <w:color w:val="auto"/>
              </w:rPr>
            </w:pPr>
            <w:r>
              <w:rPr>
                <w:rFonts w:ascii="Arial" w:cs="Arial" w:eastAsia="Arial" w:hAnsi="Arial"/>
                <w:sz w:val="12"/>
                <w:szCs w:val="12"/>
                <w:color w:val="828282"/>
              </w:rPr>
              <w:t>475,000</w:t>
            </w:r>
          </w:p>
        </w:tc>
        <w:tc>
          <w:tcPr>
            <w:tcW w:w="940" w:type="dxa"/>
            <w:vAlign w:val="bottom"/>
            <w:gridSpan w:val="2"/>
            <w:shd w:val="clear" w:color="auto" w:fill="DDDDDD"/>
          </w:tcPr>
          <w:p>
            <w:pPr>
              <w:ind w:left="480"/>
              <w:spacing w:after="0"/>
              <w:rPr>
                <w:sz w:val="20"/>
                <w:szCs w:val="20"/>
                <w:color w:val="auto"/>
              </w:rPr>
            </w:pPr>
            <w:r>
              <w:rPr>
                <w:rFonts w:ascii="Arial" w:cs="Arial" w:eastAsia="Arial" w:hAnsi="Arial"/>
                <w:sz w:val="12"/>
                <w:szCs w:val="12"/>
                <w:color w:val="828282"/>
              </w:rPr>
              <w:t>—</w:t>
            </w:r>
          </w:p>
        </w:tc>
        <w:tc>
          <w:tcPr>
            <w:tcW w:w="1160" w:type="dxa"/>
            <w:vAlign w:val="bottom"/>
            <w:shd w:val="clear" w:color="auto" w:fill="DDDDDD"/>
          </w:tcPr>
          <w:p>
            <w:pPr>
              <w:jc w:val="right"/>
              <w:ind w:right="159"/>
              <w:spacing w:after="0"/>
              <w:rPr>
                <w:sz w:val="20"/>
                <w:szCs w:val="20"/>
                <w:color w:val="auto"/>
              </w:rPr>
            </w:pPr>
            <w:r>
              <w:rPr>
                <w:rFonts w:ascii="Arial" w:cs="Arial" w:eastAsia="Arial" w:hAnsi="Arial"/>
                <w:sz w:val="12"/>
                <w:szCs w:val="12"/>
                <w:color w:val="828282"/>
              </w:rPr>
              <w:t>—</w:t>
            </w:r>
          </w:p>
        </w:tc>
        <w:tc>
          <w:tcPr>
            <w:tcW w:w="1060" w:type="dxa"/>
            <w:vAlign w:val="bottom"/>
            <w:shd w:val="clear" w:color="auto" w:fill="DDDDDD"/>
          </w:tcPr>
          <w:p>
            <w:pPr>
              <w:jc w:val="right"/>
              <w:ind w:right="179"/>
              <w:spacing w:after="0"/>
              <w:rPr>
                <w:sz w:val="20"/>
                <w:szCs w:val="20"/>
                <w:color w:val="auto"/>
              </w:rPr>
            </w:pPr>
            <w:r>
              <w:rPr>
                <w:rFonts w:ascii="Arial" w:cs="Arial" w:eastAsia="Arial" w:hAnsi="Arial"/>
                <w:sz w:val="12"/>
                <w:szCs w:val="12"/>
                <w:color w:val="828282"/>
              </w:rPr>
              <w:t>—</w:t>
            </w:r>
          </w:p>
        </w:tc>
        <w:tc>
          <w:tcPr>
            <w:tcW w:w="90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w:t>
            </w:r>
          </w:p>
        </w:tc>
        <w:tc>
          <w:tcPr>
            <w:tcW w:w="1080" w:type="dxa"/>
            <w:vAlign w:val="bottom"/>
            <w:shd w:val="clear" w:color="auto" w:fill="DDDDDD"/>
          </w:tcPr>
          <w:p>
            <w:pPr>
              <w:jc w:val="right"/>
              <w:ind w:right="81"/>
              <w:spacing w:after="0"/>
              <w:rPr>
                <w:sz w:val="20"/>
                <w:szCs w:val="20"/>
                <w:color w:val="auto"/>
              </w:rPr>
            </w:pPr>
            <w:r>
              <w:rPr>
                <w:rFonts w:ascii="Arial" w:cs="Arial" w:eastAsia="Arial" w:hAnsi="Arial"/>
                <w:sz w:val="12"/>
                <w:szCs w:val="12"/>
                <w:color w:val="828282"/>
              </w:rPr>
              <w:t>—</w:t>
            </w:r>
          </w:p>
        </w:tc>
        <w:tc>
          <w:tcPr>
            <w:tcW w:w="1000" w:type="dxa"/>
            <w:vAlign w:val="bottom"/>
            <w:shd w:val="clear" w:color="auto" w:fill="DDDDDD"/>
          </w:tcPr>
          <w:p>
            <w:pPr>
              <w:jc w:val="right"/>
              <w:ind w:right="41"/>
              <w:spacing w:after="0"/>
              <w:rPr>
                <w:sz w:val="20"/>
                <w:szCs w:val="20"/>
                <w:color w:val="auto"/>
              </w:rPr>
            </w:pPr>
            <w:r>
              <w:rPr>
                <w:rFonts w:ascii="Arial" w:cs="Arial" w:eastAsia="Arial" w:hAnsi="Arial"/>
                <w:sz w:val="12"/>
                <w:szCs w:val="12"/>
                <w:color w:val="828282"/>
              </w:rPr>
              <w:t>—</w:t>
            </w:r>
          </w:p>
        </w:tc>
        <w:tc>
          <w:tcPr>
            <w:tcW w:w="2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960" w:type="dxa"/>
            <w:vAlign w:val="bottom"/>
            <w:shd w:val="clear" w:color="auto" w:fill="DDDDDD"/>
          </w:tcPr>
          <w:p>
            <w:pPr>
              <w:spacing w:after="0"/>
              <w:rPr>
                <w:sz w:val="23"/>
                <w:szCs w:val="23"/>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5/22/2019</w:t>
            </w:r>
          </w:p>
        </w:tc>
        <w:tc>
          <w:tcPr>
            <w:tcW w:w="800" w:type="dxa"/>
            <w:vAlign w:val="bottom"/>
            <w:shd w:val="clear" w:color="auto" w:fill="DDDDDD"/>
          </w:tcPr>
          <w:p>
            <w:pPr>
              <w:spacing w:after="0"/>
              <w:rPr>
                <w:sz w:val="23"/>
                <w:szCs w:val="23"/>
                <w:color w:val="auto"/>
              </w:rPr>
            </w:pPr>
          </w:p>
        </w:tc>
        <w:tc>
          <w:tcPr>
            <w:tcW w:w="260" w:type="dxa"/>
            <w:vAlign w:val="bottom"/>
            <w:shd w:val="clear" w:color="auto" w:fill="DDDDDD"/>
          </w:tcPr>
          <w:p>
            <w:pPr>
              <w:ind w:left="20"/>
              <w:spacing w:after="0"/>
              <w:rPr>
                <w:sz w:val="20"/>
                <w:szCs w:val="20"/>
                <w:color w:val="auto"/>
              </w:rPr>
            </w:pPr>
            <w:r>
              <w:rPr>
                <w:rFonts w:ascii="Arial" w:cs="Arial" w:eastAsia="Arial" w:hAnsi="Arial"/>
                <w:sz w:val="12"/>
                <w:szCs w:val="12"/>
                <w:color w:val="828282"/>
              </w:rPr>
              <w:t>—</w:t>
            </w:r>
          </w:p>
        </w:tc>
        <w:tc>
          <w:tcPr>
            <w:tcW w:w="1420" w:type="dxa"/>
            <w:vAlign w:val="bottom"/>
            <w:shd w:val="clear" w:color="auto" w:fill="DDDDDD"/>
          </w:tcPr>
          <w:p>
            <w:pPr>
              <w:jc w:val="right"/>
              <w:ind w:right="399"/>
              <w:spacing w:after="0"/>
              <w:rPr>
                <w:sz w:val="20"/>
                <w:szCs w:val="20"/>
                <w:color w:val="auto"/>
              </w:rPr>
            </w:pPr>
            <w:r>
              <w:rPr>
                <w:rFonts w:ascii="Arial" w:cs="Arial" w:eastAsia="Arial" w:hAnsi="Arial"/>
                <w:sz w:val="12"/>
                <w:szCs w:val="12"/>
                <w:color w:val="828282"/>
              </w:rPr>
              <w:t>—</w:t>
            </w:r>
          </w:p>
        </w:tc>
        <w:tc>
          <w:tcPr>
            <w:tcW w:w="940" w:type="dxa"/>
            <w:vAlign w:val="bottom"/>
            <w:gridSpan w:val="2"/>
            <w:shd w:val="clear" w:color="auto" w:fill="DDDDDD"/>
          </w:tcPr>
          <w:p>
            <w:pPr>
              <w:ind w:left="480"/>
              <w:spacing w:after="0"/>
              <w:rPr>
                <w:sz w:val="20"/>
                <w:szCs w:val="20"/>
                <w:color w:val="auto"/>
              </w:rPr>
            </w:pPr>
            <w:r>
              <w:rPr>
                <w:rFonts w:ascii="Arial" w:cs="Arial" w:eastAsia="Arial" w:hAnsi="Arial"/>
                <w:sz w:val="12"/>
                <w:szCs w:val="12"/>
                <w:color w:val="828282"/>
              </w:rPr>
              <w:t>—</w:t>
            </w:r>
          </w:p>
        </w:tc>
        <w:tc>
          <w:tcPr>
            <w:tcW w:w="1160" w:type="dxa"/>
            <w:vAlign w:val="bottom"/>
            <w:shd w:val="clear" w:color="auto" w:fill="DDDDDD"/>
          </w:tcPr>
          <w:p>
            <w:pPr>
              <w:jc w:val="right"/>
              <w:ind w:right="159"/>
              <w:spacing w:after="0"/>
              <w:rPr>
                <w:sz w:val="20"/>
                <w:szCs w:val="20"/>
                <w:color w:val="auto"/>
              </w:rPr>
            </w:pPr>
            <w:r>
              <w:rPr>
                <w:rFonts w:ascii="Arial" w:cs="Arial" w:eastAsia="Arial" w:hAnsi="Arial"/>
                <w:sz w:val="12"/>
                <w:szCs w:val="12"/>
                <w:color w:val="828282"/>
              </w:rPr>
              <w:t>4,708</w:t>
            </w:r>
          </w:p>
        </w:tc>
        <w:tc>
          <w:tcPr>
            <w:tcW w:w="1060" w:type="dxa"/>
            <w:vAlign w:val="bottom"/>
            <w:shd w:val="clear" w:color="auto" w:fill="DDDDDD"/>
          </w:tcPr>
          <w:p>
            <w:pPr>
              <w:jc w:val="right"/>
              <w:ind w:right="179"/>
              <w:spacing w:after="0"/>
              <w:rPr>
                <w:sz w:val="20"/>
                <w:szCs w:val="20"/>
                <w:color w:val="auto"/>
              </w:rPr>
            </w:pPr>
            <w:r>
              <w:rPr>
                <w:rFonts w:ascii="Arial" w:cs="Arial" w:eastAsia="Arial" w:hAnsi="Arial"/>
                <w:sz w:val="12"/>
                <w:szCs w:val="12"/>
                <w:color w:val="828282"/>
              </w:rPr>
              <w:t>9,417</w:t>
            </w:r>
          </w:p>
        </w:tc>
        <w:tc>
          <w:tcPr>
            <w:tcW w:w="90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18,834</w:t>
            </w:r>
          </w:p>
        </w:tc>
        <w:tc>
          <w:tcPr>
            <w:tcW w:w="1080" w:type="dxa"/>
            <w:vAlign w:val="bottom"/>
            <w:shd w:val="clear" w:color="auto" w:fill="DDDDDD"/>
          </w:tcPr>
          <w:p>
            <w:pPr>
              <w:jc w:val="right"/>
              <w:ind w:right="81"/>
              <w:spacing w:after="0"/>
              <w:rPr>
                <w:sz w:val="20"/>
                <w:szCs w:val="20"/>
                <w:color w:val="auto"/>
              </w:rPr>
            </w:pPr>
            <w:r>
              <w:rPr>
                <w:rFonts w:ascii="Arial" w:cs="Arial" w:eastAsia="Arial" w:hAnsi="Arial"/>
                <w:sz w:val="12"/>
                <w:szCs w:val="12"/>
                <w:color w:val="828282"/>
              </w:rPr>
              <w:t>—</w:t>
            </w:r>
          </w:p>
        </w:tc>
        <w:tc>
          <w:tcPr>
            <w:tcW w:w="1000" w:type="dxa"/>
            <w:vAlign w:val="bottom"/>
            <w:shd w:val="clear" w:color="auto" w:fill="DDDDDD"/>
          </w:tcPr>
          <w:p>
            <w:pPr>
              <w:jc w:val="right"/>
              <w:ind w:right="41"/>
              <w:spacing w:after="0"/>
              <w:rPr>
                <w:sz w:val="20"/>
                <w:szCs w:val="20"/>
                <w:color w:val="auto"/>
              </w:rPr>
            </w:pPr>
            <w:r>
              <w:rPr>
                <w:rFonts w:ascii="Arial" w:cs="Arial" w:eastAsia="Arial" w:hAnsi="Arial"/>
                <w:sz w:val="12"/>
                <w:szCs w:val="12"/>
                <w:color w:val="828282"/>
              </w:rPr>
              <w:t>584,984</w:t>
            </w:r>
          </w:p>
        </w:tc>
        <w:tc>
          <w:tcPr>
            <w:tcW w:w="20" w:type="dxa"/>
            <w:vAlign w:val="bottom"/>
          </w:tcPr>
          <w:p>
            <w:pPr>
              <w:spacing w:after="0"/>
              <w:rPr>
                <w:sz w:val="23"/>
                <w:szCs w:val="23"/>
                <w:color w:val="auto"/>
              </w:rPr>
            </w:pPr>
          </w:p>
        </w:tc>
      </w:tr>
      <w:tr>
        <w:trPr>
          <w:trHeight w:val="288"/>
        </w:trPr>
        <w:tc>
          <w:tcPr>
            <w:tcW w:w="20" w:type="dxa"/>
            <w:vAlign w:val="bottom"/>
          </w:tcPr>
          <w:p>
            <w:pPr>
              <w:spacing w:after="0"/>
              <w:rPr>
                <w:sz w:val="24"/>
                <w:szCs w:val="24"/>
                <w:color w:val="auto"/>
              </w:rPr>
            </w:pPr>
          </w:p>
        </w:tc>
        <w:tc>
          <w:tcPr>
            <w:tcW w:w="96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5/22/2019</w:t>
            </w:r>
          </w:p>
        </w:tc>
        <w:tc>
          <w:tcPr>
            <w:tcW w:w="800" w:type="dxa"/>
            <w:vAlign w:val="bottom"/>
            <w:shd w:val="clear" w:color="auto" w:fill="DDDDDD"/>
          </w:tcPr>
          <w:p>
            <w:pPr>
              <w:spacing w:after="0"/>
              <w:rPr>
                <w:sz w:val="24"/>
                <w:szCs w:val="24"/>
                <w:color w:val="auto"/>
              </w:rPr>
            </w:pPr>
          </w:p>
        </w:tc>
        <w:tc>
          <w:tcPr>
            <w:tcW w:w="260" w:type="dxa"/>
            <w:vAlign w:val="bottom"/>
            <w:shd w:val="clear" w:color="auto" w:fill="DDDDDD"/>
          </w:tcPr>
          <w:p>
            <w:pPr>
              <w:ind w:left="20"/>
              <w:spacing w:after="0"/>
              <w:rPr>
                <w:sz w:val="20"/>
                <w:szCs w:val="20"/>
                <w:color w:val="auto"/>
              </w:rPr>
            </w:pPr>
            <w:r>
              <w:rPr>
                <w:rFonts w:ascii="Arial" w:cs="Arial" w:eastAsia="Arial" w:hAnsi="Arial"/>
                <w:sz w:val="12"/>
                <w:szCs w:val="12"/>
                <w:color w:val="828282"/>
              </w:rPr>
              <w:t>—</w:t>
            </w:r>
          </w:p>
        </w:tc>
        <w:tc>
          <w:tcPr>
            <w:tcW w:w="1420" w:type="dxa"/>
            <w:vAlign w:val="bottom"/>
            <w:shd w:val="clear" w:color="auto" w:fill="DDDDDD"/>
          </w:tcPr>
          <w:p>
            <w:pPr>
              <w:jc w:val="right"/>
              <w:ind w:right="399"/>
              <w:spacing w:after="0"/>
              <w:rPr>
                <w:sz w:val="20"/>
                <w:szCs w:val="20"/>
                <w:color w:val="auto"/>
              </w:rPr>
            </w:pPr>
            <w:r>
              <w:rPr>
                <w:rFonts w:ascii="Arial" w:cs="Arial" w:eastAsia="Arial" w:hAnsi="Arial"/>
                <w:sz w:val="12"/>
                <w:szCs w:val="12"/>
                <w:color w:val="828282"/>
              </w:rPr>
              <w:t>—</w:t>
            </w:r>
          </w:p>
        </w:tc>
        <w:tc>
          <w:tcPr>
            <w:tcW w:w="940" w:type="dxa"/>
            <w:vAlign w:val="bottom"/>
            <w:gridSpan w:val="2"/>
            <w:shd w:val="clear" w:color="auto" w:fill="DDDDDD"/>
          </w:tcPr>
          <w:p>
            <w:pPr>
              <w:ind w:left="480"/>
              <w:spacing w:after="0"/>
              <w:rPr>
                <w:sz w:val="20"/>
                <w:szCs w:val="20"/>
                <w:color w:val="auto"/>
              </w:rPr>
            </w:pPr>
            <w:r>
              <w:rPr>
                <w:rFonts w:ascii="Arial" w:cs="Arial" w:eastAsia="Arial" w:hAnsi="Arial"/>
                <w:sz w:val="12"/>
                <w:szCs w:val="12"/>
                <w:color w:val="828282"/>
              </w:rPr>
              <w:t>—</w:t>
            </w:r>
          </w:p>
        </w:tc>
        <w:tc>
          <w:tcPr>
            <w:tcW w:w="1160" w:type="dxa"/>
            <w:vAlign w:val="bottom"/>
            <w:shd w:val="clear" w:color="auto" w:fill="DDDDDD"/>
          </w:tcPr>
          <w:p>
            <w:pPr>
              <w:jc w:val="right"/>
              <w:ind w:right="159"/>
              <w:spacing w:after="0"/>
              <w:rPr>
                <w:sz w:val="20"/>
                <w:szCs w:val="20"/>
                <w:color w:val="auto"/>
              </w:rPr>
            </w:pPr>
            <w:r>
              <w:rPr>
                <w:rFonts w:ascii="Arial" w:cs="Arial" w:eastAsia="Arial" w:hAnsi="Arial"/>
                <w:sz w:val="12"/>
                <w:szCs w:val="12"/>
                <w:color w:val="828282"/>
              </w:rPr>
              <w:t>—</w:t>
            </w:r>
          </w:p>
        </w:tc>
        <w:tc>
          <w:tcPr>
            <w:tcW w:w="1060" w:type="dxa"/>
            <w:vAlign w:val="bottom"/>
            <w:shd w:val="clear" w:color="auto" w:fill="DDDDDD"/>
          </w:tcPr>
          <w:p>
            <w:pPr>
              <w:jc w:val="right"/>
              <w:ind w:right="179"/>
              <w:spacing w:after="0"/>
              <w:rPr>
                <w:sz w:val="20"/>
                <w:szCs w:val="20"/>
                <w:color w:val="auto"/>
              </w:rPr>
            </w:pPr>
            <w:r>
              <w:rPr>
                <w:rFonts w:ascii="Arial" w:cs="Arial" w:eastAsia="Arial" w:hAnsi="Arial"/>
                <w:sz w:val="12"/>
                <w:szCs w:val="12"/>
                <w:color w:val="828282"/>
              </w:rPr>
              <w:t>—</w:t>
            </w:r>
          </w:p>
        </w:tc>
        <w:tc>
          <w:tcPr>
            <w:tcW w:w="90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w:t>
            </w:r>
          </w:p>
        </w:tc>
        <w:tc>
          <w:tcPr>
            <w:tcW w:w="1080" w:type="dxa"/>
            <w:vAlign w:val="bottom"/>
            <w:shd w:val="clear" w:color="auto" w:fill="DDDDDD"/>
          </w:tcPr>
          <w:p>
            <w:pPr>
              <w:jc w:val="right"/>
              <w:ind w:right="81"/>
              <w:spacing w:after="0"/>
              <w:rPr>
                <w:sz w:val="20"/>
                <w:szCs w:val="20"/>
                <w:color w:val="auto"/>
              </w:rPr>
            </w:pPr>
            <w:r>
              <w:rPr>
                <w:rFonts w:ascii="Arial" w:cs="Arial" w:eastAsia="Arial" w:hAnsi="Arial"/>
                <w:sz w:val="12"/>
                <w:szCs w:val="12"/>
                <w:color w:val="828282"/>
              </w:rPr>
              <w:t>6,278</w:t>
            </w:r>
          </w:p>
        </w:tc>
        <w:tc>
          <w:tcPr>
            <w:tcW w:w="1000" w:type="dxa"/>
            <w:vAlign w:val="bottom"/>
            <w:shd w:val="clear" w:color="auto" w:fill="DDDDDD"/>
          </w:tcPr>
          <w:p>
            <w:pPr>
              <w:jc w:val="right"/>
              <w:ind w:right="41"/>
              <w:spacing w:after="0"/>
              <w:rPr>
                <w:sz w:val="20"/>
                <w:szCs w:val="20"/>
                <w:color w:val="auto"/>
              </w:rPr>
            </w:pPr>
            <w:r>
              <w:rPr>
                <w:rFonts w:ascii="Arial" w:cs="Arial" w:eastAsia="Arial" w:hAnsi="Arial"/>
                <w:sz w:val="12"/>
                <w:szCs w:val="12"/>
                <w:color w:val="828282"/>
              </w:rPr>
              <w:t>389,989</w:t>
            </w:r>
          </w:p>
        </w:tc>
        <w:tc>
          <w:tcPr>
            <w:tcW w:w="20" w:type="dxa"/>
            <w:vAlign w:val="bottom"/>
          </w:tcPr>
          <w:p>
            <w:pPr>
              <w:spacing w:after="0"/>
              <w:rPr>
                <w:sz w:val="24"/>
                <w:szCs w:val="24"/>
                <w:color w:val="auto"/>
              </w:rPr>
            </w:pPr>
          </w:p>
        </w:tc>
      </w:tr>
      <w:tr>
        <w:trPr>
          <w:trHeight w:val="146"/>
        </w:trPr>
        <w:tc>
          <w:tcPr>
            <w:tcW w:w="20" w:type="dxa"/>
            <w:vAlign w:val="bottom"/>
          </w:tcPr>
          <w:p>
            <w:pPr>
              <w:spacing w:after="0"/>
              <w:rPr>
                <w:sz w:val="12"/>
                <w:szCs w:val="12"/>
                <w:color w:val="auto"/>
              </w:rPr>
            </w:pPr>
          </w:p>
        </w:tc>
        <w:tc>
          <w:tcPr>
            <w:tcW w:w="960" w:type="dxa"/>
            <w:vAlign w:val="bottom"/>
          </w:tcPr>
          <w:p>
            <w:pPr>
              <w:ind w:left="40"/>
              <w:spacing w:after="0"/>
              <w:rPr>
                <w:sz w:val="20"/>
                <w:szCs w:val="20"/>
                <w:color w:val="auto"/>
              </w:rPr>
            </w:pPr>
            <w:r>
              <w:rPr>
                <w:rFonts w:ascii="Arial" w:cs="Arial" w:eastAsia="Arial" w:hAnsi="Arial"/>
                <w:sz w:val="12"/>
                <w:szCs w:val="12"/>
                <w:b w:val="1"/>
                <w:bCs w:val="1"/>
                <w:color w:val="828282"/>
              </w:rPr>
              <w:t>Susan L.</w:t>
            </w: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2"/>
                <w:szCs w:val="12"/>
                <w:b w:val="1"/>
                <w:bCs w:val="1"/>
                <w:color w:val="828282"/>
              </w:rPr>
              <w:t>Penfield</w:t>
            </w: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ind w:left="20"/>
              <w:spacing w:after="0"/>
              <w:rPr>
                <w:sz w:val="20"/>
                <w:szCs w:val="20"/>
                <w:color w:val="auto"/>
              </w:rPr>
            </w:pPr>
            <w:r>
              <w:rPr>
                <w:rFonts w:ascii="Arial" w:cs="Arial" w:eastAsia="Arial" w:hAnsi="Arial"/>
                <w:sz w:val="12"/>
                <w:szCs w:val="12"/>
                <w:color w:val="828282"/>
              </w:rPr>
              <w:t>—</w:t>
            </w:r>
          </w:p>
        </w:tc>
        <w:tc>
          <w:tcPr>
            <w:tcW w:w="1420" w:type="dxa"/>
            <w:vAlign w:val="bottom"/>
          </w:tcPr>
          <w:p>
            <w:pPr>
              <w:jc w:val="right"/>
              <w:ind w:right="399"/>
              <w:spacing w:after="0"/>
              <w:rPr>
                <w:sz w:val="20"/>
                <w:szCs w:val="20"/>
                <w:color w:val="auto"/>
              </w:rPr>
            </w:pPr>
            <w:r>
              <w:rPr>
                <w:rFonts w:ascii="Arial" w:cs="Arial" w:eastAsia="Arial" w:hAnsi="Arial"/>
                <w:sz w:val="12"/>
                <w:szCs w:val="12"/>
                <w:color w:val="828282"/>
              </w:rPr>
              <w:t>425,000</w:t>
            </w:r>
          </w:p>
        </w:tc>
        <w:tc>
          <w:tcPr>
            <w:tcW w:w="940" w:type="dxa"/>
            <w:vAlign w:val="bottom"/>
            <w:gridSpan w:val="2"/>
          </w:tcPr>
          <w:p>
            <w:pPr>
              <w:ind w:left="480"/>
              <w:spacing w:after="0"/>
              <w:rPr>
                <w:sz w:val="20"/>
                <w:szCs w:val="20"/>
                <w:color w:val="auto"/>
              </w:rPr>
            </w:pPr>
            <w:r>
              <w:rPr>
                <w:rFonts w:ascii="Arial" w:cs="Arial" w:eastAsia="Arial" w:hAnsi="Arial"/>
                <w:sz w:val="12"/>
                <w:szCs w:val="12"/>
                <w:color w:val="828282"/>
              </w:rPr>
              <w:t>—</w:t>
            </w:r>
          </w:p>
        </w:tc>
        <w:tc>
          <w:tcPr>
            <w:tcW w:w="1160" w:type="dxa"/>
            <w:vAlign w:val="bottom"/>
          </w:tcPr>
          <w:p>
            <w:pPr>
              <w:jc w:val="right"/>
              <w:ind w:right="159"/>
              <w:spacing w:after="0"/>
              <w:rPr>
                <w:sz w:val="20"/>
                <w:szCs w:val="20"/>
                <w:color w:val="auto"/>
              </w:rPr>
            </w:pPr>
            <w:r>
              <w:rPr>
                <w:rFonts w:ascii="Arial" w:cs="Arial" w:eastAsia="Arial" w:hAnsi="Arial"/>
                <w:sz w:val="12"/>
                <w:szCs w:val="12"/>
                <w:color w:val="828282"/>
              </w:rPr>
              <w:t>—</w:t>
            </w:r>
          </w:p>
        </w:tc>
        <w:tc>
          <w:tcPr>
            <w:tcW w:w="1060" w:type="dxa"/>
            <w:vAlign w:val="bottom"/>
          </w:tcPr>
          <w:p>
            <w:pPr>
              <w:jc w:val="right"/>
              <w:ind w:right="179"/>
              <w:spacing w:after="0"/>
              <w:rPr>
                <w:sz w:val="20"/>
                <w:szCs w:val="20"/>
                <w:color w:val="auto"/>
              </w:rPr>
            </w:pPr>
            <w:r>
              <w:rPr>
                <w:rFonts w:ascii="Arial" w:cs="Arial" w:eastAsia="Arial" w:hAnsi="Arial"/>
                <w:sz w:val="12"/>
                <w:szCs w:val="12"/>
                <w:color w:val="828282"/>
              </w:rPr>
              <w:t>—</w:t>
            </w:r>
          </w:p>
        </w:tc>
        <w:tc>
          <w:tcPr>
            <w:tcW w:w="90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1080" w:type="dxa"/>
            <w:vAlign w:val="bottom"/>
          </w:tcPr>
          <w:p>
            <w:pPr>
              <w:jc w:val="right"/>
              <w:ind w:right="81"/>
              <w:spacing w:after="0"/>
              <w:rPr>
                <w:sz w:val="20"/>
                <w:szCs w:val="20"/>
                <w:color w:val="auto"/>
              </w:rPr>
            </w:pPr>
            <w:r>
              <w:rPr>
                <w:rFonts w:ascii="Arial" w:cs="Arial" w:eastAsia="Arial" w:hAnsi="Arial"/>
                <w:sz w:val="12"/>
                <w:szCs w:val="12"/>
                <w:color w:val="828282"/>
              </w:rPr>
              <w:t>—</w:t>
            </w:r>
          </w:p>
        </w:tc>
        <w:tc>
          <w:tcPr>
            <w:tcW w:w="1000" w:type="dxa"/>
            <w:vAlign w:val="bottom"/>
          </w:tcPr>
          <w:p>
            <w:pPr>
              <w:jc w:val="right"/>
              <w:ind w:right="41"/>
              <w:spacing w:after="0"/>
              <w:rPr>
                <w:sz w:val="20"/>
                <w:szCs w:val="20"/>
                <w:color w:val="auto"/>
              </w:rPr>
            </w:pPr>
            <w:r>
              <w:rPr>
                <w:rFonts w:ascii="Arial" w:cs="Arial" w:eastAsia="Arial" w:hAnsi="Arial"/>
                <w:sz w:val="12"/>
                <w:szCs w:val="12"/>
                <w:color w:val="828282"/>
              </w:rPr>
              <w:t>—</w:t>
            </w:r>
          </w:p>
        </w:tc>
        <w:tc>
          <w:tcPr>
            <w:tcW w:w="2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828282"/>
              </w:rPr>
              <w:t>5/22/2019</w:t>
            </w:r>
          </w:p>
        </w:tc>
        <w:tc>
          <w:tcPr>
            <w:tcW w:w="800" w:type="dxa"/>
            <w:vAlign w:val="bottom"/>
          </w:tcPr>
          <w:p>
            <w:pPr>
              <w:spacing w:after="0"/>
              <w:rPr>
                <w:sz w:val="23"/>
                <w:szCs w:val="23"/>
                <w:color w:val="auto"/>
              </w:rPr>
            </w:pPr>
          </w:p>
        </w:tc>
        <w:tc>
          <w:tcPr>
            <w:tcW w:w="260" w:type="dxa"/>
            <w:vAlign w:val="bottom"/>
          </w:tcPr>
          <w:p>
            <w:pPr>
              <w:ind w:left="20"/>
              <w:spacing w:after="0"/>
              <w:rPr>
                <w:sz w:val="20"/>
                <w:szCs w:val="20"/>
                <w:color w:val="auto"/>
              </w:rPr>
            </w:pPr>
            <w:r>
              <w:rPr>
                <w:rFonts w:ascii="Arial" w:cs="Arial" w:eastAsia="Arial" w:hAnsi="Arial"/>
                <w:sz w:val="12"/>
                <w:szCs w:val="12"/>
                <w:color w:val="828282"/>
              </w:rPr>
              <w:t>—</w:t>
            </w:r>
          </w:p>
        </w:tc>
        <w:tc>
          <w:tcPr>
            <w:tcW w:w="1420" w:type="dxa"/>
            <w:vAlign w:val="bottom"/>
          </w:tcPr>
          <w:p>
            <w:pPr>
              <w:jc w:val="right"/>
              <w:ind w:right="399"/>
              <w:spacing w:after="0"/>
              <w:rPr>
                <w:sz w:val="20"/>
                <w:szCs w:val="20"/>
                <w:color w:val="auto"/>
              </w:rPr>
            </w:pPr>
            <w:r>
              <w:rPr>
                <w:rFonts w:ascii="Arial" w:cs="Arial" w:eastAsia="Arial" w:hAnsi="Arial"/>
                <w:sz w:val="12"/>
                <w:szCs w:val="12"/>
                <w:color w:val="828282"/>
              </w:rPr>
              <w:t>—</w:t>
            </w:r>
          </w:p>
        </w:tc>
        <w:tc>
          <w:tcPr>
            <w:tcW w:w="940" w:type="dxa"/>
            <w:vAlign w:val="bottom"/>
            <w:gridSpan w:val="2"/>
          </w:tcPr>
          <w:p>
            <w:pPr>
              <w:ind w:left="480"/>
              <w:spacing w:after="0"/>
              <w:rPr>
                <w:sz w:val="20"/>
                <w:szCs w:val="20"/>
                <w:color w:val="auto"/>
              </w:rPr>
            </w:pPr>
            <w:r>
              <w:rPr>
                <w:rFonts w:ascii="Arial" w:cs="Arial" w:eastAsia="Arial" w:hAnsi="Arial"/>
                <w:sz w:val="12"/>
                <w:szCs w:val="12"/>
                <w:color w:val="828282"/>
              </w:rPr>
              <w:t>—</w:t>
            </w:r>
          </w:p>
        </w:tc>
        <w:tc>
          <w:tcPr>
            <w:tcW w:w="1160" w:type="dxa"/>
            <w:vAlign w:val="bottom"/>
          </w:tcPr>
          <w:p>
            <w:pPr>
              <w:jc w:val="right"/>
              <w:ind w:right="159"/>
              <w:spacing w:after="0"/>
              <w:rPr>
                <w:sz w:val="20"/>
                <w:szCs w:val="20"/>
                <w:color w:val="auto"/>
              </w:rPr>
            </w:pPr>
            <w:r>
              <w:rPr>
                <w:rFonts w:ascii="Arial" w:cs="Arial" w:eastAsia="Arial" w:hAnsi="Arial"/>
                <w:sz w:val="12"/>
                <w:szCs w:val="12"/>
                <w:color w:val="828282"/>
              </w:rPr>
              <w:t>4,225</w:t>
            </w:r>
          </w:p>
        </w:tc>
        <w:tc>
          <w:tcPr>
            <w:tcW w:w="1060" w:type="dxa"/>
            <w:vAlign w:val="bottom"/>
          </w:tcPr>
          <w:p>
            <w:pPr>
              <w:jc w:val="right"/>
              <w:ind w:right="179"/>
              <w:spacing w:after="0"/>
              <w:rPr>
                <w:sz w:val="20"/>
                <w:szCs w:val="20"/>
                <w:color w:val="auto"/>
              </w:rPr>
            </w:pPr>
            <w:r>
              <w:rPr>
                <w:rFonts w:ascii="Arial" w:cs="Arial" w:eastAsia="Arial" w:hAnsi="Arial"/>
                <w:sz w:val="12"/>
                <w:szCs w:val="12"/>
                <w:color w:val="828282"/>
              </w:rPr>
              <w:t>8,451</w:t>
            </w:r>
          </w:p>
        </w:tc>
        <w:tc>
          <w:tcPr>
            <w:tcW w:w="900" w:type="dxa"/>
            <w:vAlign w:val="bottom"/>
          </w:tcPr>
          <w:p>
            <w:pPr>
              <w:jc w:val="right"/>
              <w:ind w:right="39"/>
              <w:spacing w:after="0"/>
              <w:rPr>
                <w:sz w:val="20"/>
                <w:szCs w:val="20"/>
                <w:color w:val="auto"/>
              </w:rPr>
            </w:pPr>
            <w:r>
              <w:rPr>
                <w:rFonts w:ascii="Arial" w:cs="Arial" w:eastAsia="Arial" w:hAnsi="Arial"/>
                <w:sz w:val="12"/>
                <w:szCs w:val="12"/>
                <w:color w:val="828282"/>
              </w:rPr>
              <w:t>16,902</w:t>
            </w:r>
          </w:p>
        </w:tc>
        <w:tc>
          <w:tcPr>
            <w:tcW w:w="1080" w:type="dxa"/>
            <w:vAlign w:val="bottom"/>
          </w:tcPr>
          <w:p>
            <w:pPr>
              <w:jc w:val="right"/>
              <w:ind w:right="81"/>
              <w:spacing w:after="0"/>
              <w:rPr>
                <w:sz w:val="20"/>
                <w:szCs w:val="20"/>
                <w:color w:val="auto"/>
              </w:rPr>
            </w:pPr>
            <w:r>
              <w:rPr>
                <w:rFonts w:ascii="Arial" w:cs="Arial" w:eastAsia="Arial" w:hAnsi="Arial"/>
                <w:sz w:val="12"/>
                <w:szCs w:val="12"/>
                <w:color w:val="828282"/>
              </w:rPr>
              <w:t>—</w:t>
            </w:r>
          </w:p>
        </w:tc>
        <w:tc>
          <w:tcPr>
            <w:tcW w:w="1000" w:type="dxa"/>
            <w:vAlign w:val="bottom"/>
          </w:tcPr>
          <w:p>
            <w:pPr>
              <w:jc w:val="right"/>
              <w:ind w:right="41"/>
              <w:spacing w:after="0"/>
              <w:rPr>
                <w:sz w:val="20"/>
                <w:szCs w:val="20"/>
                <w:color w:val="auto"/>
              </w:rPr>
            </w:pPr>
            <w:r>
              <w:rPr>
                <w:rFonts w:ascii="Arial" w:cs="Arial" w:eastAsia="Arial" w:hAnsi="Arial"/>
                <w:sz w:val="12"/>
                <w:szCs w:val="12"/>
                <w:color w:val="828282"/>
              </w:rPr>
              <w:t>524,976</w:t>
            </w:r>
          </w:p>
        </w:tc>
        <w:tc>
          <w:tcPr>
            <w:tcW w:w="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828282"/>
              </w:rPr>
              <w:t>5/22/2019</w:t>
            </w:r>
          </w:p>
        </w:tc>
        <w:tc>
          <w:tcPr>
            <w:tcW w:w="800" w:type="dxa"/>
            <w:vAlign w:val="bottom"/>
          </w:tcPr>
          <w:p>
            <w:pPr>
              <w:spacing w:after="0"/>
              <w:rPr>
                <w:sz w:val="23"/>
                <w:szCs w:val="23"/>
                <w:color w:val="auto"/>
              </w:rPr>
            </w:pPr>
          </w:p>
        </w:tc>
        <w:tc>
          <w:tcPr>
            <w:tcW w:w="260" w:type="dxa"/>
            <w:vAlign w:val="bottom"/>
          </w:tcPr>
          <w:p>
            <w:pPr>
              <w:ind w:left="20"/>
              <w:spacing w:after="0"/>
              <w:rPr>
                <w:sz w:val="20"/>
                <w:szCs w:val="20"/>
                <w:color w:val="auto"/>
              </w:rPr>
            </w:pPr>
            <w:r>
              <w:rPr>
                <w:rFonts w:ascii="Arial" w:cs="Arial" w:eastAsia="Arial" w:hAnsi="Arial"/>
                <w:sz w:val="12"/>
                <w:szCs w:val="12"/>
                <w:color w:val="828282"/>
              </w:rPr>
              <w:t>—</w:t>
            </w:r>
          </w:p>
        </w:tc>
        <w:tc>
          <w:tcPr>
            <w:tcW w:w="1420" w:type="dxa"/>
            <w:vAlign w:val="bottom"/>
          </w:tcPr>
          <w:p>
            <w:pPr>
              <w:jc w:val="right"/>
              <w:ind w:right="399"/>
              <w:spacing w:after="0"/>
              <w:rPr>
                <w:sz w:val="20"/>
                <w:szCs w:val="20"/>
                <w:color w:val="auto"/>
              </w:rPr>
            </w:pPr>
            <w:r>
              <w:rPr>
                <w:rFonts w:ascii="Arial" w:cs="Arial" w:eastAsia="Arial" w:hAnsi="Arial"/>
                <w:sz w:val="12"/>
                <w:szCs w:val="12"/>
                <w:color w:val="828282"/>
              </w:rPr>
              <w:t>—</w:t>
            </w:r>
          </w:p>
        </w:tc>
        <w:tc>
          <w:tcPr>
            <w:tcW w:w="940" w:type="dxa"/>
            <w:vAlign w:val="bottom"/>
            <w:gridSpan w:val="2"/>
          </w:tcPr>
          <w:p>
            <w:pPr>
              <w:ind w:left="480"/>
              <w:spacing w:after="0"/>
              <w:rPr>
                <w:sz w:val="20"/>
                <w:szCs w:val="20"/>
                <w:color w:val="auto"/>
              </w:rPr>
            </w:pPr>
            <w:r>
              <w:rPr>
                <w:rFonts w:ascii="Arial" w:cs="Arial" w:eastAsia="Arial" w:hAnsi="Arial"/>
                <w:sz w:val="12"/>
                <w:szCs w:val="12"/>
                <w:color w:val="828282"/>
              </w:rPr>
              <w:t>—</w:t>
            </w:r>
          </w:p>
        </w:tc>
        <w:tc>
          <w:tcPr>
            <w:tcW w:w="1160" w:type="dxa"/>
            <w:vAlign w:val="bottom"/>
          </w:tcPr>
          <w:p>
            <w:pPr>
              <w:jc w:val="right"/>
              <w:ind w:right="159"/>
              <w:spacing w:after="0"/>
              <w:rPr>
                <w:sz w:val="20"/>
                <w:szCs w:val="20"/>
                <w:color w:val="auto"/>
              </w:rPr>
            </w:pPr>
            <w:r>
              <w:rPr>
                <w:rFonts w:ascii="Arial" w:cs="Arial" w:eastAsia="Arial" w:hAnsi="Arial"/>
                <w:sz w:val="12"/>
                <w:szCs w:val="12"/>
                <w:color w:val="828282"/>
              </w:rPr>
              <w:t>—</w:t>
            </w:r>
          </w:p>
        </w:tc>
        <w:tc>
          <w:tcPr>
            <w:tcW w:w="1060" w:type="dxa"/>
            <w:vAlign w:val="bottom"/>
          </w:tcPr>
          <w:p>
            <w:pPr>
              <w:jc w:val="right"/>
              <w:ind w:right="179"/>
              <w:spacing w:after="0"/>
              <w:rPr>
                <w:sz w:val="20"/>
                <w:szCs w:val="20"/>
                <w:color w:val="auto"/>
              </w:rPr>
            </w:pPr>
            <w:r>
              <w:rPr>
                <w:rFonts w:ascii="Arial" w:cs="Arial" w:eastAsia="Arial" w:hAnsi="Arial"/>
                <w:sz w:val="12"/>
                <w:szCs w:val="12"/>
                <w:color w:val="828282"/>
              </w:rPr>
              <w:t>—</w:t>
            </w:r>
          </w:p>
        </w:tc>
        <w:tc>
          <w:tcPr>
            <w:tcW w:w="90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1080" w:type="dxa"/>
            <w:vAlign w:val="bottom"/>
          </w:tcPr>
          <w:p>
            <w:pPr>
              <w:jc w:val="right"/>
              <w:ind w:right="81"/>
              <w:spacing w:after="0"/>
              <w:rPr>
                <w:sz w:val="20"/>
                <w:szCs w:val="20"/>
                <w:color w:val="auto"/>
              </w:rPr>
            </w:pPr>
            <w:r>
              <w:rPr>
                <w:rFonts w:ascii="Arial" w:cs="Arial" w:eastAsia="Arial" w:hAnsi="Arial"/>
                <w:sz w:val="12"/>
                <w:szCs w:val="12"/>
                <w:color w:val="828282"/>
              </w:rPr>
              <w:t>5,634</w:t>
            </w:r>
          </w:p>
        </w:tc>
        <w:tc>
          <w:tcPr>
            <w:tcW w:w="1000" w:type="dxa"/>
            <w:vAlign w:val="bottom"/>
          </w:tcPr>
          <w:p>
            <w:pPr>
              <w:jc w:val="right"/>
              <w:ind w:right="41"/>
              <w:spacing w:after="0"/>
              <w:rPr>
                <w:sz w:val="20"/>
                <w:szCs w:val="20"/>
                <w:color w:val="auto"/>
              </w:rPr>
            </w:pPr>
            <w:r>
              <w:rPr>
                <w:rFonts w:ascii="Arial" w:cs="Arial" w:eastAsia="Arial" w:hAnsi="Arial"/>
                <w:sz w:val="12"/>
                <w:szCs w:val="12"/>
                <w:color w:val="828282"/>
              </w:rPr>
              <w:t>349,984</w:t>
            </w:r>
          </w:p>
        </w:tc>
        <w:tc>
          <w:tcPr>
            <w:tcW w:w="20" w:type="dxa"/>
            <w:vAlign w:val="bottom"/>
          </w:tcPr>
          <w:p>
            <w:pPr>
              <w:spacing w:after="0"/>
              <w:rPr>
                <w:sz w:val="23"/>
                <w:szCs w:val="23"/>
                <w:color w:val="auto"/>
              </w:rPr>
            </w:pPr>
          </w:p>
        </w:tc>
      </w:tr>
    </w:tbl>
    <w:p>
      <w:pPr>
        <w:spacing w:after="0" w:line="239" w:lineRule="exact"/>
        <w:rPr>
          <w:sz w:val="20"/>
          <w:szCs w:val="20"/>
          <w:color w:val="auto"/>
        </w:rPr>
      </w:pPr>
    </w:p>
    <w:p>
      <w:pPr>
        <w:jc w:val="both"/>
        <w:ind w:left="340" w:hanging="331"/>
        <w:spacing w:after="0" w:line="241" w:lineRule="auto"/>
        <w:tabs>
          <w:tab w:leader="none" w:pos="340" w:val="left"/>
        </w:tabs>
        <w:numPr>
          <w:ilvl w:val="0"/>
          <w:numId w:val="45"/>
        </w:numPr>
        <w:rPr>
          <w:rFonts w:ascii="Arial" w:cs="Arial" w:eastAsia="Arial" w:hAnsi="Arial"/>
          <w:sz w:val="14"/>
          <w:szCs w:val="14"/>
          <w:color w:val="666666"/>
        </w:rPr>
      </w:pPr>
      <w:r>
        <w:rPr>
          <w:rFonts w:ascii="Arial" w:cs="Arial" w:eastAsia="Arial" w:hAnsi="Arial"/>
          <w:sz w:val="14"/>
          <w:szCs w:val="14"/>
          <w:color w:val="666666"/>
        </w:rPr>
        <w:t>Reflects the target bonus for fiscal year 2020 under our annual performance bonus plan, which provides awards based on the achievement of corporate performance objectives, payable in cash. The annual performance bonus plan is described more fully under “Compensation Discussion and Analysis - Compensation Elements - Annual Cash Incentive.” Non-equity incentive plan awards have no minimum threshold or maximum payouts, although our plan does limit the annual amount of bonus an individual can earn to $5,000,000. The actual cash bonuses paid for fiscal year 2020 are reflected in the Summary Compensation Table.</w:t>
      </w:r>
    </w:p>
    <w:p>
      <w:pPr>
        <w:spacing w:after="0" w:line="1" w:lineRule="exact"/>
        <w:rPr>
          <w:rFonts w:ascii="Arial" w:cs="Arial" w:eastAsia="Arial" w:hAnsi="Arial"/>
          <w:sz w:val="14"/>
          <w:szCs w:val="14"/>
          <w:color w:val="666666"/>
        </w:rPr>
      </w:pPr>
    </w:p>
    <w:p>
      <w:pPr>
        <w:jc w:val="both"/>
        <w:ind w:left="340" w:hanging="331"/>
        <w:spacing w:after="0" w:line="241" w:lineRule="auto"/>
        <w:tabs>
          <w:tab w:leader="none" w:pos="340" w:val="left"/>
        </w:tabs>
        <w:numPr>
          <w:ilvl w:val="0"/>
          <w:numId w:val="45"/>
        </w:numPr>
        <w:rPr>
          <w:rFonts w:ascii="Arial" w:cs="Arial" w:eastAsia="Arial" w:hAnsi="Arial"/>
          <w:sz w:val="14"/>
          <w:szCs w:val="14"/>
          <w:color w:val="666666"/>
        </w:rPr>
      </w:pPr>
      <w:r>
        <w:rPr>
          <w:rFonts w:ascii="Arial" w:cs="Arial" w:eastAsia="Arial" w:hAnsi="Arial"/>
          <w:sz w:val="14"/>
          <w:szCs w:val="14"/>
          <w:color w:val="666666"/>
        </w:rPr>
        <w:t>Reflects the target number of performance-based restricted stock units granted on May 22, 2019. The maximum payout for the performance-based restricted stock units is equal to 200% of target, and threshold payout is 50% of target. The performance-based restricted stock units are based on the Company's performance against ADEPS (75% weighting) and VAR (25% weighting) based on cumulative performance over a three-year period. See “Compensation Discussion and Analysis -- Compensation Elements - Long-Term Equity Incentives" for details regarding these grants.</w:t>
      </w:r>
    </w:p>
    <w:p>
      <w:pPr>
        <w:spacing w:after="0" w:line="1" w:lineRule="exact"/>
        <w:rPr>
          <w:rFonts w:ascii="Arial" w:cs="Arial" w:eastAsia="Arial" w:hAnsi="Arial"/>
          <w:sz w:val="14"/>
          <w:szCs w:val="14"/>
          <w:color w:val="666666"/>
        </w:rPr>
      </w:pPr>
    </w:p>
    <w:p>
      <w:pPr>
        <w:ind w:left="340" w:hanging="331"/>
        <w:spacing w:after="0" w:line="258" w:lineRule="auto"/>
        <w:tabs>
          <w:tab w:leader="none" w:pos="340" w:val="left"/>
        </w:tabs>
        <w:numPr>
          <w:ilvl w:val="0"/>
          <w:numId w:val="45"/>
        </w:numPr>
        <w:rPr>
          <w:rFonts w:ascii="Arial" w:cs="Arial" w:eastAsia="Arial" w:hAnsi="Arial"/>
          <w:sz w:val="14"/>
          <w:szCs w:val="14"/>
          <w:color w:val="666666"/>
        </w:rPr>
      </w:pPr>
      <w:r>
        <w:rPr>
          <w:rFonts w:ascii="Arial" w:cs="Arial" w:eastAsia="Arial" w:hAnsi="Arial"/>
          <w:sz w:val="14"/>
          <w:szCs w:val="14"/>
          <w:color w:val="666666"/>
        </w:rPr>
        <w:t>Reflects the time-based restricted stock units granted on May 22, 2019. See "Compensation Discussion and Analysis -- Compensation Elements - Long-Term Equity Incentives" for details regarding these grants.</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666666"/>
        </w:rPr>
        <w:t>40</w:t>
      </w:r>
    </w:p>
    <w:p>
      <w:pPr>
        <w:sectPr>
          <w:pgSz w:w="11900" w:h="16838" w:orient="portrait"/>
          <w:cols w:equalWidth="0" w:num="1">
            <w:col w:w="11120"/>
          </w:cols>
          <w:pgMar w:left="440" w:top="517" w:right="339" w:bottom="1440" w:gutter="0" w:footer="0" w:header="0"/>
        </w:sectPr>
      </w:pPr>
    </w:p>
    <w:bookmarkStart w:id="49" w:name="page50"/>
    <w:bookmarkEnd w:id="49"/>
    <w:p>
      <w:pPr>
        <w:jc w:val="center"/>
        <w:ind w:right="12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276860</wp:posOffset>
            </wp:positionH>
            <wp:positionV relativeFrom="page">
              <wp:posOffset>311785</wp:posOffset>
            </wp:positionV>
            <wp:extent cx="6995160" cy="5357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5357495"/>
                    </a:xfrm>
                    <a:prstGeom prst="rect">
                      <a:avLst/>
                    </a:prstGeom>
                    <a:noFill/>
                  </pic:spPr>
                </pic:pic>
              </a:graphicData>
            </a:graphic>
          </wp:anchor>
        </w:drawing>
        <w:t>OUTSTANDING EQUITY AWARDS AT FISCAL YEAR-END TABLE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440" w:type="dxa"/>
            <w:vAlign w:val="bottom"/>
            <w:tcBorders>
              <w:bottom w:val="single" w:sz="8" w:color="DDDDDD"/>
            </w:tcBorders>
            <w:shd w:val="clear" w:color="auto" w:fill="DDDDDD"/>
          </w:tcPr>
          <w:p>
            <w:pPr>
              <w:spacing w:after="0"/>
              <w:rPr>
                <w:sz w:val="24"/>
                <w:szCs w:val="24"/>
                <w:color w:val="auto"/>
              </w:rPr>
            </w:pPr>
          </w:p>
        </w:tc>
        <w:tc>
          <w:tcPr>
            <w:tcW w:w="900" w:type="dxa"/>
            <w:vAlign w:val="bottom"/>
            <w:tcBorders>
              <w:bottom w:val="single" w:sz="8" w:color="666666"/>
            </w:tcBorders>
            <w:shd w:val="clear" w:color="auto" w:fill="DDDDDD"/>
          </w:tcPr>
          <w:p>
            <w:pPr>
              <w:spacing w:after="0"/>
              <w:rPr>
                <w:sz w:val="24"/>
                <w:szCs w:val="24"/>
                <w:color w:val="auto"/>
              </w:rPr>
            </w:pPr>
          </w:p>
        </w:tc>
        <w:tc>
          <w:tcPr>
            <w:tcW w:w="880" w:type="dxa"/>
            <w:vAlign w:val="bottom"/>
            <w:tcBorders>
              <w:bottom w:val="single" w:sz="8" w:color="666666"/>
            </w:tcBorders>
            <w:shd w:val="clear" w:color="auto" w:fill="DDDDDD"/>
          </w:tcPr>
          <w:p>
            <w:pPr>
              <w:spacing w:after="0"/>
              <w:rPr>
                <w:sz w:val="24"/>
                <w:szCs w:val="24"/>
                <w:color w:val="auto"/>
              </w:rPr>
            </w:pPr>
          </w:p>
        </w:tc>
        <w:tc>
          <w:tcPr>
            <w:tcW w:w="2000" w:type="dxa"/>
            <w:vAlign w:val="bottom"/>
            <w:tcBorders>
              <w:bottom w:val="single" w:sz="8" w:color="666666"/>
            </w:tcBorders>
            <w:gridSpan w:val="2"/>
            <w:shd w:val="clear" w:color="auto" w:fill="DDDDDD"/>
          </w:tcPr>
          <w:p>
            <w:pPr>
              <w:ind w:left="840"/>
              <w:spacing w:after="0"/>
              <w:rPr>
                <w:sz w:val="20"/>
                <w:szCs w:val="20"/>
                <w:color w:val="auto"/>
              </w:rPr>
            </w:pPr>
            <w:r>
              <w:rPr>
                <w:rFonts w:ascii="Arial" w:cs="Arial" w:eastAsia="Arial" w:hAnsi="Arial"/>
                <w:sz w:val="13"/>
                <w:szCs w:val="13"/>
                <w:b w:val="1"/>
                <w:bCs w:val="1"/>
                <w:color w:val="666666"/>
              </w:rPr>
              <w:t>Option Awards</w:t>
            </w:r>
          </w:p>
        </w:tc>
        <w:tc>
          <w:tcPr>
            <w:tcW w:w="660" w:type="dxa"/>
            <w:vAlign w:val="bottom"/>
            <w:tcBorders>
              <w:bottom w:val="single" w:sz="8" w:color="666666"/>
            </w:tcBorders>
            <w:shd w:val="clear" w:color="auto" w:fill="DDDDDD"/>
          </w:tcPr>
          <w:p>
            <w:pPr>
              <w:spacing w:after="0"/>
              <w:rPr>
                <w:sz w:val="24"/>
                <w:szCs w:val="24"/>
                <w:color w:val="auto"/>
              </w:rPr>
            </w:pPr>
          </w:p>
        </w:tc>
        <w:tc>
          <w:tcPr>
            <w:tcW w:w="780" w:type="dxa"/>
            <w:vAlign w:val="bottom"/>
            <w:tcBorders>
              <w:bottom w:val="single" w:sz="8" w:color="666666"/>
            </w:tcBorders>
            <w:shd w:val="clear" w:color="auto" w:fill="DDDDDD"/>
          </w:tcPr>
          <w:p>
            <w:pPr>
              <w:spacing w:after="0"/>
              <w:rPr>
                <w:sz w:val="24"/>
                <w:szCs w:val="24"/>
                <w:color w:val="auto"/>
              </w:rPr>
            </w:pPr>
          </w:p>
        </w:tc>
        <w:tc>
          <w:tcPr>
            <w:tcW w:w="840" w:type="dxa"/>
            <w:vAlign w:val="bottom"/>
            <w:tcBorders>
              <w:bottom w:val="single" w:sz="8" w:color="666666"/>
            </w:tcBorders>
            <w:shd w:val="clear" w:color="auto" w:fill="DDDDDD"/>
          </w:tcPr>
          <w:p>
            <w:pPr>
              <w:spacing w:after="0"/>
              <w:rPr>
                <w:sz w:val="24"/>
                <w:szCs w:val="24"/>
                <w:color w:val="auto"/>
              </w:rPr>
            </w:pPr>
          </w:p>
        </w:tc>
        <w:tc>
          <w:tcPr>
            <w:tcW w:w="2300" w:type="dxa"/>
            <w:vAlign w:val="bottom"/>
            <w:tcBorders>
              <w:bottom w:val="single" w:sz="8" w:color="666666"/>
            </w:tcBorders>
            <w:gridSpan w:val="2"/>
            <w:shd w:val="clear" w:color="auto" w:fill="DDDDDD"/>
          </w:tcPr>
          <w:p>
            <w:pPr>
              <w:jc w:val="right"/>
              <w:ind w:right="499"/>
              <w:spacing w:after="0"/>
              <w:rPr>
                <w:sz w:val="20"/>
                <w:szCs w:val="20"/>
                <w:color w:val="auto"/>
              </w:rPr>
            </w:pPr>
            <w:r>
              <w:rPr>
                <w:rFonts w:ascii="Arial" w:cs="Arial" w:eastAsia="Arial" w:hAnsi="Arial"/>
                <w:sz w:val="13"/>
                <w:szCs w:val="13"/>
                <w:b w:val="1"/>
                <w:bCs w:val="1"/>
                <w:color w:val="666666"/>
              </w:rPr>
              <w:t>Stock Awards</w:t>
            </w:r>
          </w:p>
        </w:tc>
        <w:tc>
          <w:tcPr>
            <w:tcW w:w="1200" w:type="dxa"/>
            <w:vAlign w:val="bottom"/>
            <w:tcBorders>
              <w:bottom w:val="single" w:sz="8" w:color="666666"/>
              <w:right w:val="single" w:sz="8" w:color="DDDDDD"/>
            </w:tcBorders>
            <w:shd w:val="clear" w:color="auto" w:fill="DDDDDD"/>
          </w:tcPr>
          <w:p>
            <w:pPr>
              <w:spacing w:after="0"/>
              <w:rPr>
                <w:sz w:val="24"/>
                <w:szCs w:val="24"/>
                <w:color w:val="auto"/>
              </w:rPr>
            </w:pPr>
          </w:p>
        </w:tc>
        <w:tc>
          <w:tcPr>
            <w:tcW w:w="20" w:type="dxa"/>
            <w:vAlign w:val="bottom"/>
          </w:tcPr>
          <w:p>
            <w:pPr>
              <w:spacing w:after="0"/>
              <w:rPr>
                <w:sz w:val="24"/>
                <w:szCs w:val="24"/>
                <w:color w:val="auto"/>
              </w:rPr>
            </w:pPr>
          </w:p>
        </w:tc>
      </w:tr>
      <w:tr>
        <w:trPr>
          <w:trHeight w:val="140"/>
        </w:trPr>
        <w:tc>
          <w:tcPr>
            <w:tcW w:w="1440" w:type="dxa"/>
            <w:vAlign w:val="bottom"/>
            <w:shd w:val="clear" w:color="auto" w:fill="DDDDDD"/>
          </w:tcPr>
          <w:p>
            <w:pPr>
              <w:spacing w:after="0"/>
              <w:rPr>
                <w:sz w:val="12"/>
                <w:szCs w:val="12"/>
                <w:color w:val="auto"/>
              </w:rPr>
            </w:pPr>
          </w:p>
        </w:tc>
        <w:tc>
          <w:tcPr>
            <w:tcW w:w="900" w:type="dxa"/>
            <w:vAlign w:val="bottom"/>
            <w:shd w:val="clear" w:color="auto" w:fill="DDDDDD"/>
          </w:tcPr>
          <w:p>
            <w:pPr>
              <w:spacing w:after="0"/>
              <w:rPr>
                <w:sz w:val="12"/>
                <w:szCs w:val="12"/>
                <w:color w:val="auto"/>
              </w:rPr>
            </w:pPr>
          </w:p>
        </w:tc>
        <w:tc>
          <w:tcPr>
            <w:tcW w:w="880" w:type="dxa"/>
            <w:vAlign w:val="bottom"/>
            <w:shd w:val="clear" w:color="auto" w:fill="DDDDDD"/>
          </w:tcPr>
          <w:p>
            <w:pPr>
              <w:spacing w:after="0"/>
              <w:rPr>
                <w:sz w:val="12"/>
                <w:szCs w:val="12"/>
                <w:color w:val="auto"/>
              </w:rPr>
            </w:pPr>
          </w:p>
        </w:tc>
        <w:tc>
          <w:tcPr>
            <w:tcW w:w="1020" w:type="dxa"/>
            <w:vAlign w:val="bottom"/>
            <w:shd w:val="clear" w:color="auto" w:fill="DDDDDD"/>
          </w:tcPr>
          <w:p>
            <w:pPr>
              <w:spacing w:after="0"/>
              <w:rPr>
                <w:sz w:val="12"/>
                <w:szCs w:val="12"/>
                <w:color w:val="auto"/>
              </w:rPr>
            </w:pPr>
          </w:p>
        </w:tc>
        <w:tc>
          <w:tcPr>
            <w:tcW w:w="980" w:type="dxa"/>
            <w:vAlign w:val="bottom"/>
            <w:shd w:val="clear" w:color="auto" w:fill="DDDDDD"/>
          </w:tcPr>
          <w:p>
            <w:pPr>
              <w:jc w:val="center"/>
              <w:spacing w:after="0" w:line="140" w:lineRule="exact"/>
              <w:rPr>
                <w:sz w:val="20"/>
                <w:szCs w:val="20"/>
                <w:color w:val="auto"/>
              </w:rPr>
            </w:pPr>
            <w:r>
              <w:rPr>
                <w:rFonts w:ascii="Arial" w:cs="Arial" w:eastAsia="Arial" w:hAnsi="Arial"/>
                <w:sz w:val="13"/>
                <w:szCs w:val="13"/>
                <w:b w:val="1"/>
                <w:bCs w:val="1"/>
                <w:color w:val="828282"/>
                <w:w w:val="95"/>
              </w:rPr>
              <w:t>Equity</w:t>
            </w:r>
          </w:p>
        </w:tc>
        <w:tc>
          <w:tcPr>
            <w:tcW w:w="660" w:type="dxa"/>
            <w:vAlign w:val="bottom"/>
            <w:shd w:val="clear" w:color="auto" w:fill="DDDDDD"/>
          </w:tcPr>
          <w:p>
            <w:pPr>
              <w:spacing w:after="0"/>
              <w:rPr>
                <w:sz w:val="12"/>
                <w:szCs w:val="12"/>
                <w:color w:val="auto"/>
              </w:rPr>
            </w:pPr>
          </w:p>
        </w:tc>
        <w:tc>
          <w:tcPr>
            <w:tcW w:w="780" w:type="dxa"/>
            <w:vAlign w:val="bottom"/>
            <w:shd w:val="clear" w:color="auto" w:fill="DDDDDD"/>
          </w:tcPr>
          <w:p>
            <w:pPr>
              <w:spacing w:after="0"/>
              <w:rPr>
                <w:sz w:val="12"/>
                <w:szCs w:val="12"/>
                <w:color w:val="auto"/>
              </w:rPr>
            </w:pPr>
          </w:p>
        </w:tc>
        <w:tc>
          <w:tcPr>
            <w:tcW w:w="840" w:type="dxa"/>
            <w:vAlign w:val="bottom"/>
            <w:shd w:val="clear" w:color="auto" w:fill="DDDDDD"/>
          </w:tcPr>
          <w:p>
            <w:pPr>
              <w:spacing w:after="0"/>
              <w:rPr>
                <w:sz w:val="12"/>
                <w:szCs w:val="12"/>
                <w:color w:val="auto"/>
              </w:rPr>
            </w:pPr>
          </w:p>
        </w:tc>
        <w:tc>
          <w:tcPr>
            <w:tcW w:w="1160" w:type="dxa"/>
            <w:vAlign w:val="bottom"/>
            <w:shd w:val="clear" w:color="auto" w:fill="DDDDDD"/>
          </w:tcPr>
          <w:p>
            <w:pPr>
              <w:spacing w:after="0"/>
              <w:rPr>
                <w:sz w:val="12"/>
                <w:szCs w:val="12"/>
                <w:color w:val="auto"/>
              </w:rPr>
            </w:pPr>
          </w:p>
        </w:tc>
        <w:tc>
          <w:tcPr>
            <w:tcW w:w="1140" w:type="dxa"/>
            <w:vAlign w:val="bottom"/>
            <w:shd w:val="clear" w:color="auto" w:fill="DDDDDD"/>
          </w:tcPr>
          <w:p>
            <w:pPr>
              <w:spacing w:after="0"/>
              <w:rPr>
                <w:sz w:val="12"/>
                <w:szCs w:val="12"/>
                <w:color w:val="auto"/>
              </w:rPr>
            </w:pPr>
          </w:p>
        </w:tc>
        <w:tc>
          <w:tcPr>
            <w:tcW w:w="1200" w:type="dxa"/>
            <w:vAlign w:val="bottom"/>
            <w:tcBorders>
              <w:right w:val="single" w:sz="8" w:color="DDDDDD"/>
            </w:tcBorders>
            <w:shd w:val="clear" w:color="auto" w:fill="DDDDDD"/>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1440" w:type="dxa"/>
            <w:vAlign w:val="bottom"/>
            <w:shd w:val="clear" w:color="auto" w:fill="DDDDDD"/>
          </w:tcPr>
          <w:p>
            <w:pPr>
              <w:spacing w:after="0"/>
              <w:rPr>
                <w:sz w:val="11"/>
                <w:szCs w:val="11"/>
                <w:color w:val="auto"/>
              </w:rPr>
            </w:pPr>
          </w:p>
        </w:tc>
        <w:tc>
          <w:tcPr>
            <w:tcW w:w="900" w:type="dxa"/>
            <w:vAlign w:val="bottom"/>
            <w:shd w:val="clear" w:color="auto" w:fill="DDDDDD"/>
          </w:tcPr>
          <w:p>
            <w:pPr>
              <w:spacing w:after="0"/>
              <w:rPr>
                <w:sz w:val="11"/>
                <w:szCs w:val="11"/>
                <w:color w:val="auto"/>
              </w:rPr>
            </w:pPr>
          </w:p>
        </w:tc>
        <w:tc>
          <w:tcPr>
            <w:tcW w:w="880" w:type="dxa"/>
            <w:vAlign w:val="bottom"/>
            <w:shd w:val="clear" w:color="auto" w:fill="DDDDDD"/>
          </w:tcPr>
          <w:p>
            <w:pPr>
              <w:spacing w:after="0"/>
              <w:rPr>
                <w:sz w:val="11"/>
                <w:szCs w:val="11"/>
                <w:color w:val="auto"/>
              </w:rPr>
            </w:pPr>
          </w:p>
        </w:tc>
        <w:tc>
          <w:tcPr>
            <w:tcW w:w="1020" w:type="dxa"/>
            <w:vAlign w:val="bottom"/>
            <w:shd w:val="clear" w:color="auto" w:fill="DDDDDD"/>
          </w:tcPr>
          <w:p>
            <w:pPr>
              <w:spacing w:after="0"/>
              <w:rPr>
                <w:sz w:val="11"/>
                <w:szCs w:val="11"/>
                <w:color w:val="auto"/>
              </w:rPr>
            </w:pPr>
          </w:p>
        </w:tc>
        <w:tc>
          <w:tcPr>
            <w:tcW w:w="98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6"/>
              </w:rPr>
              <w:t>Incentive Plan</w:t>
            </w:r>
          </w:p>
        </w:tc>
        <w:tc>
          <w:tcPr>
            <w:tcW w:w="660" w:type="dxa"/>
            <w:vAlign w:val="bottom"/>
            <w:shd w:val="clear" w:color="auto" w:fill="DDDDDD"/>
          </w:tcPr>
          <w:p>
            <w:pPr>
              <w:spacing w:after="0"/>
              <w:rPr>
                <w:sz w:val="11"/>
                <w:szCs w:val="11"/>
                <w:color w:val="auto"/>
              </w:rPr>
            </w:pPr>
          </w:p>
        </w:tc>
        <w:tc>
          <w:tcPr>
            <w:tcW w:w="78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1160" w:type="dxa"/>
            <w:vAlign w:val="bottom"/>
            <w:shd w:val="clear" w:color="auto" w:fill="DDDDDD"/>
          </w:tcPr>
          <w:p>
            <w:pPr>
              <w:spacing w:after="0"/>
              <w:rPr>
                <w:sz w:val="11"/>
                <w:szCs w:val="11"/>
                <w:color w:val="auto"/>
              </w:rPr>
            </w:pPr>
          </w:p>
        </w:tc>
        <w:tc>
          <w:tcPr>
            <w:tcW w:w="1140" w:type="dxa"/>
            <w:vAlign w:val="bottom"/>
            <w:shd w:val="clear" w:color="auto" w:fill="DDDDDD"/>
          </w:tcPr>
          <w:p>
            <w:pPr>
              <w:spacing w:after="0"/>
              <w:rPr>
                <w:sz w:val="11"/>
                <w:szCs w:val="11"/>
                <w:color w:val="auto"/>
              </w:rPr>
            </w:pPr>
          </w:p>
        </w:tc>
        <w:tc>
          <w:tcPr>
            <w:tcW w:w="1200" w:type="dxa"/>
            <w:vAlign w:val="bottom"/>
            <w:tcBorders>
              <w:right w:val="single" w:sz="8" w:color="DDDDDD"/>
            </w:tcBorders>
            <w:shd w:val="clear" w:color="auto" w:fill="DDDDDD"/>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440" w:type="dxa"/>
            <w:vAlign w:val="bottom"/>
            <w:shd w:val="clear" w:color="auto" w:fill="DDDDDD"/>
          </w:tcPr>
          <w:p>
            <w:pPr>
              <w:spacing w:after="0"/>
              <w:rPr>
                <w:sz w:val="11"/>
                <w:szCs w:val="11"/>
                <w:color w:val="auto"/>
              </w:rPr>
            </w:pPr>
          </w:p>
        </w:tc>
        <w:tc>
          <w:tcPr>
            <w:tcW w:w="900" w:type="dxa"/>
            <w:vAlign w:val="bottom"/>
            <w:shd w:val="clear" w:color="auto" w:fill="DDDDDD"/>
          </w:tcPr>
          <w:p>
            <w:pPr>
              <w:spacing w:after="0"/>
              <w:rPr>
                <w:sz w:val="11"/>
                <w:szCs w:val="11"/>
                <w:color w:val="auto"/>
              </w:rPr>
            </w:pPr>
          </w:p>
        </w:tc>
        <w:tc>
          <w:tcPr>
            <w:tcW w:w="880" w:type="dxa"/>
            <w:vAlign w:val="bottom"/>
            <w:shd w:val="clear" w:color="auto" w:fill="DDDDDD"/>
          </w:tcPr>
          <w:p>
            <w:pPr>
              <w:spacing w:after="0"/>
              <w:rPr>
                <w:sz w:val="11"/>
                <w:szCs w:val="11"/>
                <w:color w:val="auto"/>
              </w:rPr>
            </w:pPr>
          </w:p>
        </w:tc>
        <w:tc>
          <w:tcPr>
            <w:tcW w:w="1020" w:type="dxa"/>
            <w:vAlign w:val="bottom"/>
            <w:shd w:val="clear" w:color="auto" w:fill="DDDDDD"/>
          </w:tcPr>
          <w:p>
            <w:pPr>
              <w:spacing w:after="0"/>
              <w:rPr>
                <w:sz w:val="11"/>
                <w:szCs w:val="11"/>
                <w:color w:val="auto"/>
              </w:rPr>
            </w:pPr>
          </w:p>
        </w:tc>
        <w:tc>
          <w:tcPr>
            <w:tcW w:w="98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7"/>
              </w:rPr>
              <w:t>Awards:</w:t>
            </w:r>
          </w:p>
        </w:tc>
        <w:tc>
          <w:tcPr>
            <w:tcW w:w="660" w:type="dxa"/>
            <w:vAlign w:val="bottom"/>
            <w:shd w:val="clear" w:color="auto" w:fill="DDDDDD"/>
          </w:tcPr>
          <w:p>
            <w:pPr>
              <w:spacing w:after="0"/>
              <w:rPr>
                <w:sz w:val="11"/>
                <w:szCs w:val="11"/>
                <w:color w:val="auto"/>
              </w:rPr>
            </w:pPr>
          </w:p>
        </w:tc>
        <w:tc>
          <w:tcPr>
            <w:tcW w:w="780" w:type="dxa"/>
            <w:vAlign w:val="bottom"/>
            <w:shd w:val="clear" w:color="auto" w:fill="DDDDDD"/>
          </w:tcPr>
          <w:p>
            <w:pPr>
              <w:spacing w:after="0"/>
              <w:rPr>
                <w:sz w:val="11"/>
                <w:szCs w:val="11"/>
                <w:color w:val="auto"/>
              </w:rPr>
            </w:pPr>
          </w:p>
        </w:tc>
        <w:tc>
          <w:tcPr>
            <w:tcW w:w="84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5"/>
              </w:rPr>
              <w:t>Number of</w:t>
            </w:r>
          </w:p>
        </w:tc>
        <w:tc>
          <w:tcPr>
            <w:tcW w:w="1160" w:type="dxa"/>
            <w:vAlign w:val="bottom"/>
            <w:shd w:val="clear" w:color="auto" w:fill="DDDDDD"/>
          </w:tcPr>
          <w:p>
            <w:pPr>
              <w:spacing w:after="0"/>
              <w:rPr>
                <w:sz w:val="11"/>
                <w:szCs w:val="11"/>
                <w:color w:val="auto"/>
              </w:rPr>
            </w:pPr>
          </w:p>
        </w:tc>
        <w:tc>
          <w:tcPr>
            <w:tcW w:w="114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8"/>
              </w:rPr>
              <w:t>Equity Incentive</w:t>
            </w:r>
          </w:p>
        </w:tc>
        <w:tc>
          <w:tcPr>
            <w:tcW w:w="1200" w:type="dxa"/>
            <w:vAlign w:val="bottom"/>
            <w:tcBorders>
              <w:right w:val="single" w:sz="8" w:color="DDDDDD"/>
            </w:tcBorders>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8"/>
              </w:rPr>
              <w:t>Equity Incentive</w:t>
            </w:r>
          </w:p>
        </w:tc>
        <w:tc>
          <w:tcPr>
            <w:tcW w:w="20" w:type="dxa"/>
            <w:vAlign w:val="bottom"/>
          </w:tcPr>
          <w:p>
            <w:pPr>
              <w:spacing w:after="0"/>
              <w:rPr>
                <w:sz w:val="11"/>
                <w:szCs w:val="11"/>
                <w:color w:val="auto"/>
              </w:rPr>
            </w:pPr>
          </w:p>
        </w:tc>
      </w:tr>
      <w:tr>
        <w:trPr>
          <w:trHeight w:val="135"/>
        </w:trPr>
        <w:tc>
          <w:tcPr>
            <w:tcW w:w="1440" w:type="dxa"/>
            <w:vAlign w:val="bottom"/>
            <w:shd w:val="clear" w:color="auto" w:fill="DDDDDD"/>
          </w:tcPr>
          <w:p>
            <w:pPr>
              <w:spacing w:after="0"/>
              <w:rPr>
                <w:sz w:val="11"/>
                <w:szCs w:val="11"/>
                <w:color w:val="auto"/>
              </w:rPr>
            </w:pPr>
          </w:p>
        </w:tc>
        <w:tc>
          <w:tcPr>
            <w:tcW w:w="900" w:type="dxa"/>
            <w:vAlign w:val="bottom"/>
            <w:shd w:val="clear" w:color="auto" w:fill="DDDDDD"/>
          </w:tcPr>
          <w:p>
            <w:pPr>
              <w:spacing w:after="0"/>
              <w:rPr>
                <w:sz w:val="11"/>
                <w:szCs w:val="11"/>
                <w:color w:val="auto"/>
              </w:rPr>
            </w:pPr>
          </w:p>
        </w:tc>
        <w:tc>
          <w:tcPr>
            <w:tcW w:w="88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8"/>
              </w:rPr>
              <w:t>Number of</w:t>
            </w:r>
          </w:p>
        </w:tc>
        <w:tc>
          <w:tcPr>
            <w:tcW w:w="102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5"/>
              </w:rPr>
              <w:t>Number of</w:t>
            </w:r>
          </w:p>
        </w:tc>
        <w:tc>
          <w:tcPr>
            <w:tcW w:w="98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5"/>
              </w:rPr>
              <w:t>Number of</w:t>
            </w:r>
          </w:p>
        </w:tc>
        <w:tc>
          <w:tcPr>
            <w:tcW w:w="660" w:type="dxa"/>
            <w:vAlign w:val="bottom"/>
            <w:shd w:val="clear" w:color="auto" w:fill="DDDDDD"/>
          </w:tcPr>
          <w:p>
            <w:pPr>
              <w:spacing w:after="0"/>
              <w:rPr>
                <w:sz w:val="11"/>
                <w:szCs w:val="11"/>
                <w:color w:val="auto"/>
              </w:rPr>
            </w:pPr>
          </w:p>
        </w:tc>
        <w:tc>
          <w:tcPr>
            <w:tcW w:w="780" w:type="dxa"/>
            <w:vAlign w:val="bottom"/>
            <w:shd w:val="clear" w:color="auto" w:fill="DDDDDD"/>
          </w:tcPr>
          <w:p>
            <w:pPr>
              <w:spacing w:after="0"/>
              <w:rPr>
                <w:sz w:val="11"/>
                <w:szCs w:val="11"/>
                <w:color w:val="auto"/>
              </w:rPr>
            </w:pPr>
          </w:p>
        </w:tc>
        <w:tc>
          <w:tcPr>
            <w:tcW w:w="84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6"/>
              </w:rPr>
              <w:t>Shares or</w:t>
            </w:r>
          </w:p>
        </w:tc>
        <w:tc>
          <w:tcPr>
            <w:tcW w:w="1160" w:type="dxa"/>
            <w:vAlign w:val="bottom"/>
            <w:shd w:val="clear" w:color="auto" w:fill="DDDDDD"/>
          </w:tcPr>
          <w:p>
            <w:pPr>
              <w:spacing w:after="0"/>
              <w:rPr>
                <w:sz w:val="11"/>
                <w:szCs w:val="11"/>
                <w:color w:val="auto"/>
              </w:rPr>
            </w:pPr>
          </w:p>
        </w:tc>
        <w:tc>
          <w:tcPr>
            <w:tcW w:w="114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4"/>
              </w:rPr>
              <w:t>Plan Awards:</w:t>
            </w:r>
          </w:p>
        </w:tc>
        <w:tc>
          <w:tcPr>
            <w:tcW w:w="1200" w:type="dxa"/>
            <w:vAlign w:val="bottom"/>
            <w:tcBorders>
              <w:right w:val="single" w:sz="8" w:color="DDDDDD"/>
            </w:tcBorders>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4"/>
              </w:rPr>
              <w:t>Plan Awards:</w:t>
            </w:r>
          </w:p>
        </w:tc>
        <w:tc>
          <w:tcPr>
            <w:tcW w:w="20" w:type="dxa"/>
            <w:vAlign w:val="bottom"/>
          </w:tcPr>
          <w:p>
            <w:pPr>
              <w:spacing w:after="0"/>
              <w:rPr>
                <w:sz w:val="11"/>
                <w:szCs w:val="11"/>
                <w:color w:val="auto"/>
              </w:rPr>
            </w:pPr>
          </w:p>
        </w:tc>
      </w:tr>
      <w:tr>
        <w:trPr>
          <w:trHeight w:val="135"/>
        </w:trPr>
        <w:tc>
          <w:tcPr>
            <w:tcW w:w="1440" w:type="dxa"/>
            <w:vAlign w:val="bottom"/>
            <w:shd w:val="clear" w:color="auto" w:fill="DDDDDD"/>
          </w:tcPr>
          <w:p>
            <w:pPr>
              <w:spacing w:after="0"/>
              <w:rPr>
                <w:sz w:val="11"/>
                <w:szCs w:val="11"/>
                <w:color w:val="auto"/>
              </w:rPr>
            </w:pPr>
          </w:p>
        </w:tc>
        <w:tc>
          <w:tcPr>
            <w:tcW w:w="900" w:type="dxa"/>
            <w:vAlign w:val="bottom"/>
            <w:shd w:val="clear" w:color="auto" w:fill="DDDDDD"/>
          </w:tcPr>
          <w:p>
            <w:pPr>
              <w:spacing w:after="0"/>
              <w:rPr>
                <w:sz w:val="11"/>
                <w:szCs w:val="11"/>
                <w:color w:val="auto"/>
              </w:rPr>
            </w:pPr>
          </w:p>
        </w:tc>
        <w:tc>
          <w:tcPr>
            <w:tcW w:w="88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6"/>
              </w:rPr>
              <w:t>Securities</w:t>
            </w:r>
          </w:p>
        </w:tc>
        <w:tc>
          <w:tcPr>
            <w:tcW w:w="102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6"/>
              </w:rPr>
              <w:t>Securities</w:t>
            </w:r>
          </w:p>
        </w:tc>
        <w:tc>
          <w:tcPr>
            <w:tcW w:w="98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6"/>
              </w:rPr>
              <w:t>Securities</w:t>
            </w:r>
          </w:p>
        </w:tc>
        <w:tc>
          <w:tcPr>
            <w:tcW w:w="660" w:type="dxa"/>
            <w:vAlign w:val="bottom"/>
            <w:shd w:val="clear" w:color="auto" w:fill="DDDDDD"/>
          </w:tcPr>
          <w:p>
            <w:pPr>
              <w:spacing w:after="0"/>
              <w:rPr>
                <w:sz w:val="11"/>
                <w:szCs w:val="11"/>
                <w:color w:val="auto"/>
              </w:rPr>
            </w:pPr>
          </w:p>
        </w:tc>
        <w:tc>
          <w:tcPr>
            <w:tcW w:w="780" w:type="dxa"/>
            <w:vAlign w:val="bottom"/>
            <w:shd w:val="clear" w:color="auto" w:fill="DDDDDD"/>
          </w:tcPr>
          <w:p>
            <w:pPr>
              <w:spacing w:after="0"/>
              <w:rPr>
                <w:sz w:val="11"/>
                <w:szCs w:val="11"/>
                <w:color w:val="auto"/>
              </w:rPr>
            </w:pPr>
          </w:p>
        </w:tc>
        <w:tc>
          <w:tcPr>
            <w:tcW w:w="84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4"/>
              </w:rPr>
              <w:t>Units of</w:t>
            </w:r>
          </w:p>
        </w:tc>
        <w:tc>
          <w:tcPr>
            <w:tcW w:w="1160" w:type="dxa"/>
            <w:vAlign w:val="bottom"/>
            <w:shd w:val="clear" w:color="auto" w:fill="DDDDDD"/>
          </w:tcPr>
          <w:p>
            <w:pPr>
              <w:spacing w:after="0"/>
              <w:rPr>
                <w:sz w:val="11"/>
                <w:szCs w:val="11"/>
                <w:color w:val="auto"/>
              </w:rPr>
            </w:pPr>
          </w:p>
        </w:tc>
        <w:tc>
          <w:tcPr>
            <w:tcW w:w="114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5"/>
              </w:rPr>
              <w:t>Number of</w:t>
            </w:r>
          </w:p>
        </w:tc>
        <w:tc>
          <w:tcPr>
            <w:tcW w:w="1200" w:type="dxa"/>
            <w:vAlign w:val="bottom"/>
            <w:tcBorders>
              <w:right w:val="single" w:sz="8" w:color="DDDDDD"/>
            </w:tcBorders>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6"/>
              </w:rPr>
              <w:t>Market or Payout</w:t>
            </w:r>
          </w:p>
        </w:tc>
        <w:tc>
          <w:tcPr>
            <w:tcW w:w="20" w:type="dxa"/>
            <w:vAlign w:val="bottom"/>
          </w:tcPr>
          <w:p>
            <w:pPr>
              <w:spacing w:after="0"/>
              <w:rPr>
                <w:sz w:val="11"/>
                <w:szCs w:val="11"/>
                <w:color w:val="auto"/>
              </w:rPr>
            </w:pPr>
          </w:p>
        </w:tc>
      </w:tr>
      <w:tr>
        <w:trPr>
          <w:trHeight w:val="135"/>
        </w:trPr>
        <w:tc>
          <w:tcPr>
            <w:tcW w:w="1440" w:type="dxa"/>
            <w:vAlign w:val="bottom"/>
            <w:shd w:val="clear" w:color="auto" w:fill="DDDDDD"/>
          </w:tcPr>
          <w:p>
            <w:pPr>
              <w:spacing w:after="0"/>
              <w:rPr>
                <w:sz w:val="11"/>
                <w:szCs w:val="11"/>
                <w:color w:val="auto"/>
              </w:rPr>
            </w:pPr>
          </w:p>
        </w:tc>
        <w:tc>
          <w:tcPr>
            <w:tcW w:w="900" w:type="dxa"/>
            <w:vAlign w:val="bottom"/>
            <w:shd w:val="clear" w:color="auto" w:fill="DDDDDD"/>
          </w:tcPr>
          <w:p>
            <w:pPr>
              <w:spacing w:after="0"/>
              <w:rPr>
                <w:sz w:val="11"/>
                <w:szCs w:val="11"/>
                <w:color w:val="auto"/>
              </w:rPr>
            </w:pPr>
          </w:p>
        </w:tc>
        <w:tc>
          <w:tcPr>
            <w:tcW w:w="88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7"/>
              </w:rPr>
              <w:t>Underlying</w:t>
            </w:r>
          </w:p>
        </w:tc>
        <w:tc>
          <w:tcPr>
            <w:tcW w:w="102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7"/>
              </w:rPr>
              <w:t>Underlying</w:t>
            </w:r>
          </w:p>
        </w:tc>
        <w:tc>
          <w:tcPr>
            <w:tcW w:w="98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7"/>
              </w:rPr>
              <w:t>Underlying</w:t>
            </w:r>
          </w:p>
        </w:tc>
        <w:tc>
          <w:tcPr>
            <w:tcW w:w="660" w:type="dxa"/>
            <w:vAlign w:val="bottom"/>
            <w:shd w:val="clear" w:color="auto" w:fill="DDDDDD"/>
          </w:tcPr>
          <w:p>
            <w:pPr>
              <w:spacing w:after="0"/>
              <w:rPr>
                <w:sz w:val="11"/>
                <w:szCs w:val="11"/>
                <w:color w:val="auto"/>
              </w:rPr>
            </w:pPr>
          </w:p>
        </w:tc>
        <w:tc>
          <w:tcPr>
            <w:tcW w:w="780" w:type="dxa"/>
            <w:vAlign w:val="bottom"/>
            <w:shd w:val="clear" w:color="auto" w:fill="DDDDDD"/>
          </w:tcPr>
          <w:p>
            <w:pPr>
              <w:spacing w:after="0"/>
              <w:rPr>
                <w:sz w:val="11"/>
                <w:szCs w:val="11"/>
                <w:color w:val="auto"/>
              </w:rPr>
            </w:pPr>
          </w:p>
        </w:tc>
        <w:tc>
          <w:tcPr>
            <w:tcW w:w="84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5"/>
              </w:rPr>
              <w:t>Stock</w:t>
            </w:r>
          </w:p>
        </w:tc>
        <w:tc>
          <w:tcPr>
            <w:tcW w:w="116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5"/>
              </w:rPr>
              <w:t>Market Value of</w:t>
            </w:r>
          </w:p>
        </w:tc>
        <w:tc>
          <w:tcPr>
            <w:tcW w:w="114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6"/>
              </w:rPr>
              <w:t>Unearned</w:t>
            </w:r>
          </w:p>
        </w:tc>
        <w:tc>
          <w:tcPr>
            <w:tcW w:w="1200" w:type="dxa"/>
            <w:vAlign w:val="bottom"/>
            <w:tcBorders>
              <w:right w:val="single" w:sz="8" w:color="DDDDDD"/>
            </w:tcBorders>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6"/>
              </w:rPr>
              <w:t>Value of Unearned</w:t>
            </w:r>
          </w:p>
        </w:tc>
        <w:tc>
          <w:tcPr>
            <w:tcW w:w="20" w:type="dxa"/>
            <w:vAlign w:val="bottom"/>
          </w:tcPr>
          <w:p>
            <w:pPr>
              <w:spacing w:after="0"/>
              <w:rPr>
                <w:sz w:val="11"/>
                <w:szCs w:val="11"/>
                <w:color w:val="auto"/>
              </w:rPr>
            </w:pPr>
          </w:p>
        </w:tc>
      </w:tr>
      <w:tr>
        <w:trPr>
          <w:trHeight w:val="135"/>
        </w:trPr>
        <w:tc>
          <w:tcPr>
            <w:tcW w:w="1440" w:type="dxa"/>
            <w:vAlign w:val="bottom"/>
            <w:shd w:val="clear" w:color="auto" w:fill="DDDDDD"/>
          </w:tcPr>
          <w:p>
            <w:pPr>
              <w:spacing w:after="0"/>
              <w:rPr>
                <w:sz w:val="11"/>
                <w:szCs w:val="11"/>
                <w:color w:val="auto"/>
              </w:rPr>
            </w:pPr>
          </w:p>
        </w:tc>
        <w:tc>
          <w:tcPr>
            <w:tcW w:w="900" w:type="dxa"/>
            <w:vAlign w:val="bottom"/>
            <w:shd w:val="clear" w:color="auto" w:fill="DDDDDD"/>
          </w:tcPr>
          <w:p>
            <w:pPr>
              <w:spacing w:after="0"/>
              <w:rPr>
                <w:sz w:val="11"/>
                <w:szCs w:val="11"/>
                <w:color w:val="auto"/>
              </w:rPr>
            </w:pPr>
          </w:p>
        </w:tc>
        <w:tc>
          <w:tcPr>
            <w:tcW w:w="88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8"/>
              </w:rPr>
              <w:t>Unexercised</w:t>
            </w:r>
          </w:p>
        </w:tc>
        <w:tc>
          <w:tcPr>
            <w:tcW w:w="102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5"/>
              </w:rPr>
              <w:t>Unexercised</w:t>
            </w:r>
          </w:p>
        </w:tc>
        <w:tc>
          <w:tcPr>
            <w:tcW w:w="98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5"/>
              </w:rPr>
              <w:t>Unexercised</w:t>
            </w:r>
          </w:p>
        </w:tc>
        <w:tc>
          <w:tcPr>
            <w:tcW w:w="66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5"/>
              </w:rPr>
              <w:t>Option</w:t>
            </w:r>
          </w:p>
        </w:tc>
        <w:tc>
          <w:tcPr>
            <w:tcW w:w="780" w:type="dxa"/>
            <w:vAlign w:val="bottom"/>
            <w:shd w:val="clear" w:color="auto" w:fill="DDDDDD"/>
          </w:tcPr>
          <w:p>
            <w:pPr>
              <w:spacing w:after="0"/>
              <w:rPr>
                <w:sz w:val="11"/>
                <w:szCs w:val="11"/>
                <w:color w:val="auto"/>
              </w:rPr>
            </w:pPr>
          </w:p>
        </w:tc>
        <w:tc>
          <w:tcPr>
            <w:tcW w:w="84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9"/>
              </w:rPr>
              <w:t>That Have</w:t>
            </w:r>
          </w:p>
        </w:tc>
        <w:tc>
          <w:tcPr>
            <w:tcW w:w="116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5"/>
              </w:rPr>
              <w:t>Shares or Units</w:t>
            </w:r>
          </w:p>
        </w:tc>
        <w:tc>
          <w:tcPr>
            <w:tcW w:w="114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8"/>
              </w:rPr>
              <w:t>Shares, Units or</w:t>
            </w:r>
          </w:p>
        </w:tc>
        <w:tc>
          <w:tcPr>
            <w:tcW w:w="1200" w:type="dxa"/>
            <w:vAlign w:val="bottom"/>
            <w:tcBorders>
              <w:right w:val="single" w:sz="8" w:color="DDDDDD"/>
            </w:tcBorders>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8"/>
              </w:rPr>
              <w:t>Shares, Units or</w:t>
            </w:r>
          </w:p>
        </w:tc>
        <w:tc>
          <w:tcPr>
            <w:tcW w:w="20" w:type="dxa"/>
            <w:vAlign w:val="bottom"/>
          </w:tcPr>
          <w:p>
            <w:pPr>
              <w:spacing w:after="0"/>
              <w:rPr>
                <w:sz w:val="11"/>
                <w:szCs w:val="11"/>
                <w:color w:val="auto"/>
              </w:rPr>
            </w:pPr>
          </w:p>
        </w:tc>
      </w:tr>
      <w:tr>
        <w:trPr>
          <w:trHeight w:val="135"/>
        </w:trPr>
        <w:tc>
          <w:tcPr>
            <w:tcW w:w="1440" w:type="dxa"/>
            <w:vAlign w:val="bottom"/>
            <w:shd w:val="clear" w:color="auto" w:fill="DDDDDD"/>
          </w:tcPr>
          <w:p>
            <w:pPr>
              <w:spacing w:after="0"/>
              <w:rPr>
                <w:sz w:val="11"/>
                <w:szCs w:val="11"/>
                <w:color w:val="auto"/>
              </w:rPr>
            </w:pPr>
          </w:p>
        </w:tc>
        <w:tc>
          <w:tcPr>
            <w:tcW w:w="900" w:type="dxa"/>
            <w:vAlign w:val="bottom"/>
            <w:shd w:val="clear" w:color="auto" w:fill="DDDDDD"/>
          </w:tcPr>
          <w:p>
            <w:pPr>
              <w:spacing w:after="0"/>
              <w:rPr>
                <w:sz w:val="11"/>
                <w:szCs w:val="11"/>
                <w:color w:val="auto"/>
              </w:rPr>
            </w:pPr>
          </w:p>
        </w:tc>
        <w:tc>
          <w:tcPr>
            <w:tcW w:w="88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7"/>
              </w:rPr>
              <w:t>Options</w:t>
            </w:r>
          </w:p>
        </w:tc>
        <w:tc>
          <w:tcPr>
            <w:tcW w:w="102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3"/>
              </w:rPr>
              <w:t>Options</w:t>
            </w:r>
          </w:p>
        </w:tc>
        <w:tc>
          <w:tcPr>
            <w:tcW w:w="98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6"/>
              </w:rPr>
              <w:t>Unearned</w:t>
            </w:r>
          </w:p>
        </w:tc>
        <w:tc>
          <w:tcPr>
            <w:tcW w:w="66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7"/>
              </w:rPr>
              <w:t>Exercise</w:t>
            </w:r>
          </w:p>
        </w:tc>
        <w:tc>
          <w:tcPr>
            <w:tcW w:w="78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5"/>
              </w:rPr>
              <w:t>Option</w:t>
            </w:r>
          </w:p>
        </w:tc>
        <w:tc>
          <w:tcPr>
            <w:tcW w:w="84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rPr>
              <w:t>Not</w:t>
            </w:r>
          </w:p>
        </w:tc>
        <w:tc>
          <w:tcPr>
            <w:tcW w:w="116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7"/>
              </w:rPr>
              <w:t>of Stock That</w:t>
            </w:r>
          </w:p>
        </w:tc>
        <w:tc>
          <w:tcPr>
            <w:tcW w:w="114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6"/>
              </w:rPr>
              <w:t>Other Rights that</w:t>
            </w:r>
          </w:p>
        </w:tc>
        <w:tc>
          <w:tcPr>
            <w:tcW w:w="1200" w:type="dxa"/>
            <w:vAlign w:val="bottom"/>
            <w:tcBorders>
              <w:right w:val="single" w:sz="8" w:color="DDDDDD"/>
            </w:tcBorders>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6"/>
              </w:rPr>
              <w:t>Other Rights that</w:t>
            </w:r>
          </w:p>
        </w:tc>
        <w:tc>
          <w:tcPr>
            <w:tcW w:w="20" w:type="dxa"/>
            <w:vAlign w:val="bottom"/>
          </w:tcPr>
          <w:p>
            <w:pPr>
              <w:spacing w:after="0"/>
              <w:rPr>
                <w:sz w:val="11"/>
                <w:szCs w:val="11"/>
                <w:color w:val="auto"/>
              </w:rPr>
            </w:pPr>
          </w:p>
        </w:tc>
      </w:tr>
      <w:tr>
        <w:trPr>
          <w:trHeight w:val="135"/>
        </w:trPr>
        <w:tc>
          <w:tcPr>
            <w:tcW w:w="1440" w:type="dxa"/>
            <w:vAlign w:val="bottom"/>
            <w:shd w:val="clear" w:color="auto" w:fill="DDDDDD"/>
          </w:tcPr>
          <w:p>
            <w:pPr>
              <w:spacing w:after="0"/>
              <w:rPr>
                <w:sz w:val="11"/>
                <w:szCs w:val="11"/>
                <w:color w:val="auto"/>
              </w:rPr>
            </w:pPr>
          </w:p>
        </w:tc>
        <w:tc>
          <w:tcPr>
            <w:tcW w:w="900" w:type="dxa"/>
            <w:vAlign w:val="bottom"/>
            <w:shd w:val="clear" w:color="auto" w:fill="DDDDDD"/>
          </w:tcPr>
          <w:p>
            <w:pPr>
              <w:spacing w:after="0"/>
              <w:rPr>
                <w:sz w:val="11"/>
                <w:szCs w:val="11"/>
                <w:color w:val="auto"/>
              </w:rPr>
            </w:pPr>
          </w:p>
        </w:tc>
        <w:tc>
          <w:tcPr>
            <w:tcW w:w="88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6"/>
              </w:rPr>
              <w:t>Exercisable</w:t>
            </w:r>
          </w:p>
        </w:tc>
        <w:tc>
          <w:tcPr>
            <w:tcW w:w="102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7"/>
              </w:rPr>
              <w:t>Unexercisable</w:t>
            </w:r>
          </w:p>
        </w:tc>
        <w:tc>
          <w:tcPr>
            <w:tcW w:w="98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7"/>
              </w:rPr>
              <w:t>Options</w:t>
            </w:r>
          </w:p>
        </w:tc>
        <w:tc>
          <w:tcPr>
            <w:tcW w:w="66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rPr>
              <w:t>Price</w:t>
            </w:r>
          </w:p>
        </w:tc>
        <w:tc>
          <w:tcPr>
            <w:tcW w:w="78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4"/>
              </w:rPr>
              <w:t>Expiration</w:t>
            </w:r>
          </w:p>
        </w:tc>
        <w:tc>
          <w:tcPr>
            <w:tcW w:w="84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8"/>
              </w:rPr>
              <w:t>Vested</w:t>
            </w:r>
          </w:p>
        </w:tc>
        <w:tc>
          <w:tcPr>
            <w:tcW w:w="116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7"/>
              </w:rPr>
              <w:t>Have Not Vested</w:t>
            </w:r>
          </w:p>
        </w:tc>
        <w:tc>
          <w:tcPr>
            <w:tcW w:w="1140" w:type="dxa"/>
            <w:vAlign w:val="bottom"/>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5"/>
              </w:rPr>
              <w:t>Have Not Vested</w:t>
            </w:r>
          </w:p>
        </w:tc>
        <w:tc>
          <w:tcPr>
            <w:tcW w:w="1200" w:type="dxa"/>
            <w:vAlign w:val="bottom"/>
            <w:tcBorders>
              <w:right w:val="single" w:sz="8" w:color="DDDDDD"/>
            </w:tcBorders>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828282"/>
                <w:w w:val="95"/>
              </w:rPr>
              <w:t>Have Not Vested</w:t>
            </w:r>
          </w:p>
        </w:tc>
        <w:tc>
          <w:tcPr>
            <w:tcW w:w="20" w:type="dxa"/>
            <w:vAlign w:val="bottom"/>
          </w:tcPr>
          <w:p>
            <w:pPr>
              <w:spacing w:after="0"/>
              <w:rPr>
                <w:sz w:val="11"/>
                <w:szCs w:val="11"/>
                <w:color w:val="auto"/>
              </w:rPr>
            </w:pPr>
          </w:p>
        </w:tc>
      </w:tr>
      <w:tr>
        <w:trPr>
          <w:trHeight w:val="191"/>
        </w:trPr>
        <w:tc>
          <w:tcPr>
            <w:tcW w:w="1440" w:type="dxa"/>
            <w:vAlign w:val="bottom"/>
            <w:tcBorders>
              <w:bottom w:val="single" w:sz="8" w:color="auto"/>
            </w:tcBorders>
            <w:shd w:val="clear" w:color="auto" w:fill="DDDDDD"/>
          </w:tcPr>
          <w:p>
            <w:pPr>
              <w:ind w:left="60"/>
              <w:spacing w:after="0"/>
              <w:rPr>
                <w:sz w:val="20"/>
                <w:szCs w:val="20"/>
                <w:color w:val="auto"/>
              </w:rPr>
            </w:pPr>
            <w:r>
              <w:rPr>
                <w:rFonts w:ascii="Arial" w:cs="Arial" w:eastAsia="Arial" w:hAnsi="Arial"/>
                <w:sz w:val="13"/>
                <w:szCs w:val="13"/>
                <w:b w:val="1"/>
                <w:bCs w:val="1"/>
                <w:color w:val="828282"/>
              </w:rPr>
              <w:t>Name</w:t>
            </w:r>
          </w:p>
        </w:tc>
        <w:tc>
          <w:tcPr>
            <w:tcW w:w="900" w:type="dxa"/>
            <w:vAlign w:val="bottom"/>
            <w:tcBorders>
              <w:bottom w:val="single" w:sz="8" w:color="auto"/>
            </w:tcBorders>
            <w:shd w:val="clear" w:color="auto" w:fill="DDDDDD"/>
          </w:tcPr>
          <w:p>
            <w:pPr>
              <w:jc w:val="right"/>
              <w:ind w:right="79"/>
              <w:spacing w:after="0"/>
              <w:rPr>
                <w:sz w:val="20"/>
                <w:szCs w:val="20"/>
                <w:color w:val="auto"/>
              </w:rPr>
            </w:pPr>
            <w:r>
              <w:rPr>
                <w:rFonts w:ascii="Arial" w:cs="Arial" w:eastAsia="Arial" w:hAnsi="Arial"/>
                <w:sz w:val="13"/>
                <w:szCs w:val="13"/>
                <w:b w:val="1"/>
                <w:bCs w:val="1"/>
                <w:color w:val="828282"/>
              </w:rPr>
              <w:t>Grant Date</w:t>
            </w:r>
          </w:p>
        </w:tc>
        <w:tc>
          <w:tcPr>
            <w:tcW w:w="88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3"/>
                <w:szCs w:val="13"/>
                <w:b w:val="1"/>
                <w:bCs w:val="1"/>
                <w:color w:val="828282"/>
              </w:rPr>
              <w:t>(#)</w:t>
            </w:r>
          </w:p>
        </w:tc>
        <w:tc>
          <w:tcPr>
            <w:tcW w:w="102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3"/>
                <w:szCs w:val="13"/>
                <w:b w:val="1"/>
                <w:bCs w:val="1"/>
                <w:color w:val="828282"/>
              </w:rPr>
              <w:t>(#)</w:t>
            </w:r>
            <w:r>
              <w:rPr>
                <w:rFonts w:ascii="Arial" w:cs="Arial" w:eastAsia="Arial" w:hAnsi="Arial"/>
                <w:sz w:val="10"/>
                <w:szCs w:val="10"/>
                <w:b w:val="1"/>
                <w:bCs w:val="1"/>
                <w:color w:val="828282"/>
              </w:rPr>
              <w:t>1</w:t>
            </w:r>
          </w:p>
        </w:tc>
        <w:tc>
          <w:tcPr>
            <w:tcW w:w="98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3"/>
                <w:szCs w:val="13"/>
                <w:b w:val="1"/>
                <w:bCs w:val="1"/>
                <w:color w:val="828282"/>
              </w:rPr>
              <w:t>(#)</w:t>
            </w:r>
          </w:p>
        </w:tc>
        <w:tc>
          <w:tcPr>
            <w:tcW w:w="66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3"/>
                <w:szCs w:val="13"/>
                <w:b w:val="1"/>
                <w:bCs w:val="1"/>
                <w:color w:val="828282"/>
                <w:w w:val="93"/>
              </w:rPr>
              <w:t>($)</w:t>
            </w:r>
            <w:r>
              <w:rPr>
                <w:rFonts w:ascii="Arial" w:cs="Arial" w:eastAsia="Arial" w:hAnsi="Arial"/>
                <w:sz w:val="10"/>
                <w:szCs w:val="10"/>
                <w:b w:val="1"/>
                <w:bCs w:val="1"/>
                <w:color w:val="828282"/>
                <w:w w:val="93"/>
              </w:rPr>
              <w:t>2</w:t>
            </w:r>
          </w:p>
        </w:tc>
        <w:tc>
          <w:tcPr>
            <w:tcW w:w="78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3"/>
                <w:szCs w:val="13"/>
                <w:b w:val="1"/>
                <w:bCs w:val="1"/>
                <w:color w:val="828282"/>
                <w:w w:val="99"/>
              </w:rPr>
              <w:t>Date</w:t>
            </w:r>
          </w:p>
        </w:tc>
        <w:tc>
          <w:tcPr>
            <w:tcW w:w="84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3"/>
                <w:szCs w:val="13"/>
                <w:b w:val="1"/>
                <w:bCs w:val="1"/>
                <w:color w:val="828282"/>
              </w:rPr>
              <w:t xml:space="preserve">(#) </w:t>
            </w:r>
            <w:r>
              <w:rPr>
                <w:rFonts w:ascii="Arial" w:cs="Arial" w:eastAsia="Arial" w:hAnsi="Arial"/>
                <w:sz w:val="10"/>
                <w:szCs w:val="10"/>
                <w:b w:val="1"/>
                <w:bCs w:val="1"/>
                <w:color w:val="828282"/>
              </w:rPr>
              <w:t>3</w:t>
            </w:r>
          </w:p>
        </w:tc>
        <w:tc>
          <w:tcPr>
            <w:tcW w:w="116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3"/>
                <w:szCs w:val="13"/>
                <w:b w:val="1"/>
                <w:bCs w:val="1"/>
                <w:color w:val="828282"/>
                <w:w w:val="95"/>
              </w:rPr>
              <w:t xml:space="preserve">($) </w:t>
            </w:r>
            <w:r>
              <w:rPr>
                <w:rFonts w:ascii="Arial" w:cs="Arial" w:eastAsia="Arial" w:hAnsi="Arial"/>
                <w:sz w:val="10"/>
                <w:szCs w:val="10"/>
                <w:b w:val="1"/>
                <w:bCs w:val="1"/>
                <w:color w:val="828282"/>
                <w:w w:val="95"/>
              </w:rPr>
              <w:t>4</w:t>
            </w:r>
          </w:p>
        </w:tc>
        <w:tc>
          <w:tcPr>
            <w:tcW w:w="114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3"/>
                <w:szCs w:val="13"/>
                <w:b w:val="1"/>
                <w:bCs w:val="1"/>
                <w:color w:val="828282"/>
              </w:rPr>
              <w:t xml:space="preserve">(#) </w:t>
            </w:r>
            <w:r>
              <w:rPr>
                <w:rFonts w:ascii="Arial" w:cs="Arial" w:eastAsia="Arial" w:hAnsi="Arial"/>
                <w:sz w:val="10"/>
                <w:szCs w:val="10"/>
                <w:b w:val="1"/>
                <w:bCs w:val="1"/>
                <w:color w:val="828282"/>
              </w:rPr>
              <w:t>5</w:t>
            </w:r>
          </w:p>
        </w:tc>
        <w:tc>
          <w:tcPr>
            <w:tcW w:w="1200" w:type="dxa"/>
            <w:vAlign w:val="bottom"/>
            <w:tcBorders>
              <w:bottom w:val="single" w:sz="8" w:color="auto"/>
              <w:right w:val="single" w:sz="8" w:color="DDDDDD"/>
            </w:tcBorders>
            <w:shd w:val="clear" w:color="auto" w:fill="DDDDDD"/>
          </w:tcPr>
          <w:p>
            <w:pPr>
              <w:jc w:val="center"/>
              <w:spacing w:after="0"/>
              <w:rPr>
                <w:sz w:val="20"/>
                <w:szCs w:val="20"/>
                <w:color w:val="auto"/>
              </w:rPr>
            </w:pPr>
            <w:r>
              <w:rPr>
                <w:rFonts w:ascii="Arial" w:cs="Arial" w:eastAsia="Arial" w:hAnsi="Arial"/>
                <w:sz w:val="13"/>
                <w:szCs w:val="13"/>
                <w:b w:val="1"/>
                <w:bCs w:val="1"/>
                <w:color w:val="828282"/>
              </w:rPr>
              <w:t xml:space="preserve">($) </w:t>
            </w:r>
            <w:r>
              <w:rPr>
                <w:rFonts w:ascii="Arial" w:cs="Arial" w:eastAsia="Arial" w:hAnsi="Arial"/>
                <w:sz w:val="10"/>
                <w:szCs w:val="10"/>
                <w:b w:val="1"/>
                <w:bCs w:val="1"/>
                <w:color w:val="828282"/>
              </w:rPr>
              <w:t>6</w:t>
            </w:r>
          </w:p>
        </w:tc>
        <w:tc>
          <w:tcPr>
            <w:tcW w:w="20" w:type="dxa"/>
            <w:vAlign w:val="bottom"/>
            <w:tcBorders>
              <w:bottom w:val="single" w:sz="8" w:color="auto"/>
            </w:tcBorders>
          </w:tcPr>
          <w:p>
            <w:pPr>
              <w:spacing w:after="0"/>
              <w:rPr>
                <w:sz w:val="16"/>
                <w:szCs w:val="16"/>
                <w:color w:val="auto"/>
              </w:rPr>
            </w:pPr>
          </w:p>
        </w:tc>
      </w:tr>
      <w:tr>
        <w:trPr>
          <w:trHeight w:val="198"/>
        </w:trPr>
        <w:tc>
          <w:tcPr>
            <w:tcW w:w="1440" w:type="dxa"/>
            <w:vAlign w:val="bottom"/>
          </w:tcPr>
          <w:p>
            <w:pPr>
              <w:ind w:left="60"/>
              <w:spacing w:after="0"/>
              <w:rPr>
                <w:sz w:val="20"/>
                <w:szCs w:val="20"/>
                <w:color w:val="auto"/>
              </w:rPr>
            </w:pPr>
            <w:r>
              <w:rPr>
                <w:rFonts w:ascii="Arial" w:cs="Arial" w:eastAsia="Arial" w:hAnsi="Arial"/>
                <w:sz w:val="12"/>
                <w:szCs w:val="12"/>
                <w:b w:val="1"/>
                <w:bCs w:val="1"/>
                <w:color w:val="828282"/>
              </w:rPr>
              <w:t>Horacio D. Rozanski</w:t>
            </w:r>
          </w:p>
        </w:tc>
        <w:tc>
          <w:tcPr>
            <w:tcW w:w="900" w:type="dxa"/>
            <w:vAlign w:val="bottom"/>
          </w:tcPr>
          <w:p>
            <w:pPr>
              <w:jc w:val="right"/>
              <w:spacing w:after="0"/>
              <w:rPr>
                <w:sz w:val="20"/>
                <w:szCs w:val="20"/>
                <w:color w:val="auto"/>
              </w:rPr>
            </w:pPr>
            <w:r>
              <w:rPr>
                <w:rFonts w:ascii="Arial" w:cs="Arial" w:eastAsia="Arial" w:hAnsi="Arial"/>
                <w:sz w:val="12"/>
                <w:szCs w:val="12"/>
                <w:color w:val="828282"/>
              </w:rPr>
              <w:t>05/22/19</w:t>
            </w:r>
          </w:p>
        </w:tc>
        <w:tc>
          <w:tcPr>
            <w:tcW w:w="88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102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980" w:type="dxa"/>
            <w:vAlign w:val="bottom"/>
          </w:tcPr>
          <w:p>
            <w:pPr>
              <w:ind w:left="760"/>
              <w:spacing w:after="0"/>
              <w:rPr>
                <w:sz w:val="20"/>
                <w:szCs w:val="20"/>
                <w:color w:val="auto"/>
              </w:rPr>
            </w:pPr>
            <w:r>
              <w:rPr>
                <w:rFonts w:ascii="Arial" w:cs="Arial" w:eastAsia="Arial" w:hAnsi="Arial"/>
                <w:sz w:val="12"/>
                <w:szCs w:val="12"/>
                <w:color w:val="828282"/>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78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840" w:type="dxa"/>
            <w:vAlign w:val="bottom"/>
          </w:tcPr>
          <w:p>
            <w:pPr>
              <w:jc w:val="right"/>
              <w:ind w:right="39"/>
              <w:spacing w:after="0"/>
              <w:rPr>
                <w:sz w:val="20"/>
                <w:szCs w:val="20"/>
                <w:color w:val="auto"/>
              </w:rPr>
            </w:pPr>
            <w:r>
              <w:rPr>
                <w:rFonts w:ascii="Arial" w:cs="Arial" w:eastAsia="Arial" w:hAnsi="Arial"/>
                <w:sz w:val="12"/>
                <w:szCs w:val="12"/>
                <w:color w:val="828282"/>
              </w:rPr>
              <w:t>15,025</w:t>
            </w:r>
          </w:p>
        </w:tc>
        <w:tc>
          <w:tcPr>
            <w:tcW w:w="1160" w:type="dxa"/>
            <w:vAlign w:val="bottom"/>
          </w:tcPr>
          <w:p>
            <w:pPr>
              <w:jc w:val="right"/>
              <w:spacing w:after="0"/>
              <w:rPr>
                <w:sz w:val="20"/>
                <w:szCs w:val="20"/>
                <w:color w:val="auto"/>
              </w:rPr>
            </w:pPr>
            <w:r>
              <w:rPr>
                <w:rFonts w:ascii="Arial" w:cs="Arial" w:eastAsia="Arial" w:hAnsi="Arial"/>
                <w:sz w:val="12"/>
                <w:szCs w:val="12"/>
                <w:color w:val="828282"/>
              </w:rPr>
              <w:t>1,031,316</w:t>
            </w:r>
          </w:p>
        </w:tc>
        <w:tc>
          <w:tcPr>
            <w:tcW w:w="1140" w:type="dxa"/>
            <w:vAlign w:val="bottom"/>
          </w:tcPr>
          <w:p>
            <w:pPr>
              <w:jc w:val="right"/>
              <w:ind w:right="59"/>
              <w:spacing w:after="0"/>
              <w:rPr>
                <w:sz w:val="20"/>
                <w:szCs w:val="20"/>
                <w:color w:val="auto"/>
              </w:rPr>
            </w:pPr>
            <w:r>
              <w:rPr>
                <w:rFonts w:ascii="Arial" w:cs="Arial" w:eastAsia="Arial" w:hAnsi="Arial"/>
                <w:sz w:val="12"/>
                <w:szCs w:val="12"/>
                <w:color w:val="828282"/>
              </w:rPr>
              <w:t>115,904</w:t>
            </w:r>
          </w:p>
        </w:tc>
        <w:tc>
          <w:tcPr>
            <w:tcW w:w="1200" w:type="dxa"/>
            <w:vAlign w:val="bottom"/>
          </w:tcPr>
          <w:p>
            <w:pPr>
              <w:jc w:val="right"/>
              <w:ind w:right="39"/>
              <w:spacing w:after="0"/>
              <w:rPr>
                <w:sz w:val="20"/>
                <w:szCs w:val="20"/>
                <w:color w:val="auto"/>
              </w:rPr>
            </w:pPr>
            <w:r>
              <w:rPr>
                <w:rFonts w:ascii="Arial" w:cs="Arial" w:eastAsia="Arial" w:hAnsi="Arial"/>
                <w:sz w:val="12"/>
                <w:szCs w:val="12"/>
                <w:color w:val="828282"/>
              </w:rPr>
              <w:t>7,955,651</w:t>
            </w:r>
          </w:p>
        </w:tc>
        <w:tc>
          <w:tcPr>
            <w:tcW w:w="2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828282"/>
              </w:rPr>
              <w:t>05/24/18</w:t>
            </w:r>
          </w:p>
        </w:tc>
        <w:tc>
          <w:tcPr>
            <w:tcW w:w="88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102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980" w:type="dxa"/>
            <w:vAlign w:val="bottom"/>
          </w:tcPr>
          <w:p>
            <w:pPr>
              <w:ind w:left="760"/>
              <w:spacing w:after="0"/>
              <w:rPr>
                <w:sz w:val="20"/>
                <w:szCs w:val="20"/>
                <w:color w:val="auto"/>
              </w:rPr>
            </w:pPr>
            <w:r>
              <w:rPr>
                <w:rFonts w:ascii="Arial" w:cs="Arial" w:eastAsia="Arial" w:hAnsi="Arial"/>
                <w:sz w:val="12"/>
                <w:szCs w:val="12"/>
                <w:color w:val="828282"/>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78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84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1160" w:type="dxa"/>
            <w:vAlign w:val="bottom"/>
          </w:tcPr>
          <w:p>
            <w:pPr>
              <w:jc w:val="right"/>
              <w:spacing w:after="0"/>
              <w:rPr>
                <w:sz w:val="20"/>
                <w:szCs w:val="20"/>
                <w:color w:val="auto"/>
              </w:rPr>
            </w:pPr>
            <w:r>
              <w:rPr>
                <w:rFonts w:ascii="Arial" w:cs="Arial" w:eastAsia="Arial" w:hAnsi="Arial"/>
                <w:sz w:val="12"/>
                <w:szCs w:val="12"/>
                <w:color w:val="828282"/>
              </w:rPr>
              <w:t>—</w:t>
            </w:r>
          </w:p>
        </w:tc>
        <w:tc>
          <w:tcPr>
            <w:tcW w:w="1140" w:type="dxa"/>
            <w:vAlign w:val="bottom"/>
          </w:tcPr>
          <w:p>
            <w:pPr>
              <w:jc w:val="right"/>
              <w:ind w:right="59"/>
              <w:spacing w:after="0"/>
              <w:rPr>
                <w:sz w:val="20"/>
                <w:szCs w:val="20"/>
                <w:color w:val="auto"/>
              </w:rPr>
            </w:pPr>
            <w:r>
              <w:rPr>
                <w:rFonts w:ascii="Arial" w:cs="Arial" w:eastAsia="Arial" w:hAnsi="Arial"/>
                <w:sz w:val="12"/>
                <w:szCs w:val="12"/>
                <w:color w:val="828282"/>
              </w:rPr>
              <w:t>124,848</w:t>
            </w:r>
          </w:p>
        </w:tc>
        <w:tc>
          <w:tcPr>
            <w:tcW w:w="1200" w:type="dxa"/>
            <w:vAlign w:val="bottom"/>
          </w:tcPr>
          <w:p>
            <w:pPr>
              <w:jc w:val="right"/>
              <w:ind w:right="39"/>
              <w:spacing w:after="0"/>
              <w:rPr>
                <w:sz w:val="20"/>
                <w:szCs w:val="20"/>
                <w:color w:val="auto"/>
              </w:rPr>
            </w:pPr>
            <w:r>
              <w:rPr>
                <w:rFonts w:ascii="Arial" w:cs="Arial" w:eastAsia="Arial" w:hAnsi="Arial"/>
                <w:sz w:val="12"/>
                <w:szCs w:val="12"/>
                <w:color w:val="828282"/>
              </w:rPr>
              <w:t>8,569,567</w:t>
            </w:r>
          </w:p>
        </w:tc>
        <w:tc>
          <w:tcPr>
            <w:tcW w:w="20" w:type="dxa"/>
            <w:vAlign w:val="bottom"/>
          </w:tcPr>
          <w:p>
            <w:pPr>
              <w:spacing w:after="0"/>
              <w:rPr>
                <w:sz w:val="18"/>
                <w:szCs w:val="18"/>
                <w:color w:val="auto"/>
              </w:rPr>
            </w:pPr>
          </w:p>
        </w:tc>
      </w:tr>
      <w:tr>
        <w:trPr>
          <w:trHeight w:val="270"/>
        </w:trPr>
        <w:tc>
          <w:tcPr>
            <w:tcW w:w="1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828282"/>
              </w:rPr>
              <w:t>05/23/18</w:t>
            </w:r>
          </w:p>
        </w:tc>
        <w:tc>
          <w:tcPr>
            <w:tcW w:w="88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102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980" w:type="dxa"/>
            <w:vAlign w:val="bottom"/>
          </w:tcPr>
          <w:p>
            <w:pPr>
              <w:ind w:left="760"/>
              <w:spacing w:after="0"/>
              <w:rPr>
                <w:sz w:val="20"/>
                <w:szCs w:val="20"/>
                <w:color w:val="auto"/>
              </w:rPr>
            </w:pPr>
            <w:r>
              <w:rPr>
                <w:rFonts w:ascii="Arial" w:cs="Arial" w:eastAsia="Arial" w:hAnsi="Arial"/>
                <w:sz w:val="12"/>
                <w:szCs w:val="12"/>
                <w:color w:val="828282"/>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78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840" w:type="dxa"/>
            <w:vAlign w:val="bottom"/>
          </w:tcPr>
          <w:p>
            <w:pPr>
              <w:jc w:val="right"/>
              <w:ind w:right="39"/>
              <w:spacing w:after="0"/>
              <w:rPr>
                <w:sz w:val="20"/>
                <w:szCs w:val="20"/>
                <w:color w:val="auto"/>
              </w:rPr>
            </w:pPr>
            <w:r>
              <w:rPr>
                <w:rFonts w:ascii="Arial" w:cs="Arial" w:eastAsia="Arial" w:hAnsi="Arial"/>
                <w:sz w:val="12"/>
                <w:szCs w:val="12"/>
                <w:color w:val="828282"/>
              </w:rPr>
              <w:t>11,306</w:t>
            </w:r>
          </w:p>
        </w:tc>
        <w:tc>
          <w:tcPr>
            <w:tcW w:w="1160" w:type="dxa"/>
            <w:vAlign w:val="bottom"/>
          </w:tcPr>
          <w:p>
            <w:pPr>
              <w:jc w:val="right"/>
              <w:spacing w:after="0"/>
              <w:rPr>
                <w:sz w:val="20"/>
                <w:szCs w:val="20"/>
                <w:color w:val="auto"/>
              </w:rPr>
            </w:pPr>
            <w:r>
              <w:rPr>
                <w:rFonts w:ascii="Arial" w:cs="Arial" w:eastAsia="Arial" w:hAnsi="Arial"/>
                <w:sz w:val="12"/>
                <w:szCs w:val="12"/>
                <w:color w:val="828282"/>
              </w:rPr>
              <w:t>776,044</w:t>
            </w:r>
          </w:p>
        </w:tc>
        <w:tc>
          <w:tcPr>
            <w:tcW w:w="114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120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20" w:type="dxa"/>
            <w:vAlign w:val="bottom"/>
          </w:tcPr>
          <w:p>
            <w:pPr>
              <w:spacing w:after="0"/>
              <w:rPr>
                <w:sz w:val="23"/>
                <w:szCs w:val="23"/>
                <w:color w:val="auto"/>
              </w:rPr>
            </w:pPr>
          </w:p>
        </w:tc>
      </w:tr>
      <w:tr>
        <w:trPr>
          <w:trHeight w:val="279"/>
        </w:trPr>
        <w:tc>
          <w:tcPr>
            <w:tcW w:w="1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828282"/>
              </w:rPr>
              <w:t>04/01/15</w:t>
            </w:r>
          </w:p>
        </w:tc>
        <w:tc>
          <w:tcPr>
            <w:tcW w:w="880" w:type="dxa"/>
            <w:vAlign w:val="bottom"/>
          </w:tcPr>
          <w:p>
            <w:pPr>
              <w:jc w:val="right"/>
              <w:ind w:right="59"/>
              <w:spacing w:after="0"/>
              <w:rPr>
                <w:sz w:val="20"/>
                <w:szCs w:val="20"/>
                <w:color w:val="auto"/>
              </w:rPr>
            </w:pPr>
            <w:r>
              <w:rPr>
                <w:rFonts w:ascii="Arial" w:cs="Arial" w:eastAsia="Arial" w:hAnsi="Arial"/>
                <w:sz w:val="12"/>
                <w:szCs w:val="12"/>
                <w:color w:val="828282"/>
              </w:rPr>
              <w:t>89,380</w:t>
            </w:r>
          </w:p>
        </w:tc>
        <w:tc>
          <w:tcPr>
            <w:tcW w:w="102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980" w:type="dxa"/>
            <w:vAlign w:val="bottom"/>
          </w:tcPr>
          <w:p>
            <w:pPr>
              <w:ind w:left="760"/>
              <w:spacing w:after="0"/>
              <w:rPr>
                <w:sz w:val="20"/>
                <w:szCs w:val="20"/>
                <w:color w:val="auto"/>
              </w:rPr>
            </w:pPr>
            <w:r>
              <w:rPr>
                <w:rFonts w:ascii="Arial" w:cs="Arial" w:eastAsia="Arial" w:hAnsi="Arial"/>
                <w:sz w:val="12"/>
                <w:szCs w:val="12"/>
                <w:color w:val="828282"/>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828282"/>
              </w:rPr>
              <w:t>29.08</w:t>
            </w:r>
          </w:p>
        </w:tc>
        <w:tc>
          <w:tcPr>
            <w:tcW w:w="780" w:type="dxa"/>
            <w:vAlign w:val="bottom"/>
          </w:tcPr>
          <w:p>
            <w:pPr>
              <w:jc w:val="right"/>
              <w:ind w:right="59"/>
              <w:spacing w:after="0"/>
              <w:rPr>
                <w:sz w:val="20"/>
                <w:szCs w:val="20"/>
                <w:color w:val="auto"/>
              </w:rPr>
            </w:pPr>
            <w:r>
              <w:rPr>
                <w:rFonts w:ascii="Arial" w:cs="Arial" w:eastAsia="Arial" w:hAnsi="Arial"/>
                <w:sz w:val="12"/>
                <w:szCs w:val="12"/>
                <w:color w:val="828282"/>
              </w:rPr>
              <w:t>04/01/25</w:t>
            </w:r>
          </w:p>
        </w:tc>
        <w:tc>
          <w:tcPr>
            <w:tcW w:w="84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1160" w:type="dxa"/>
            <w:vAlign w:val="bottom"/>
          </w:tcPr>
          <w:p>
            <w:pPr>
              <w:jc w:val="right"/>
              <w:spacing w:after="0"/>
              <w:rPr>
                <w:sz w:val="20"/>
                <w:szCs w:val="20"/>
                <w:color w:val="auto"/>
              </w:rPr>
            </w:pPr>
            <w:r>
              <w:rPr>
                <w:rFonts w:ascii="Arial" w:cs="Arial" w:eastAsia="Arial" w:hAnsi="Arial"/>
                <w:sz w:val="12"/>
                <w:szCs w:val="12"/>
                <w:color w:val="828282"/>
              </w:rPr>
              <w:t>—</w:t>
            </w:r>
          </w:p>
        </w:tc>
        <w:tc>
          <w:tcPr>
            <w:tcW w:w="114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120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20" w:type="dxa"/>
            <w:vAlign w:val="bottom"/>
          </w:tcPr>
          <w:p>
            <w:pPr>
              <w:spacing w:after="0"/>
              <w:rPr>
                <w:sz w:val="24"/>
                <w:szCs w:val="24"/>
                <w:color w:val="auto"/>
              </w:rPr>
            </w:pPr>
          </w:p>
        </w:tc>
      </w:tr>
      <w:tr>
        <w:trPr>
          <w:trHeight w:val="207"/>
        </w:trPr>
        <w:tc>
          <w:tcPr>
            <w:tcW w:w="1440" w:type="dxa"/>
            <w:vAlign w:val="bottom"/>
            <w:shd w:val="clear" w:color="auto" w:fill="DDDDDD"/>
          </w:tcPr>
          <w:p>
            <w:pPr>
              <w:ind w:left="60"/>
              <w:spacing w:after="0"/>
              <w:rPr>
                <w:sz w:val="20"/>
                <w:szCs w:val="20"/>
                <w:color w:val="auto"/>
              </w:rPr>
            </w:pPr>
            <w:r>
              <w:rPr>
                <w:rFonts w:ascii="Arial" w:cs="Arial" w:eastAsia="Arial" w:hAnsi="Arial"/>
                <w:sz w:val="12"/>
                <w:szCs w:val="12"/>
                <w:b w:val="1"/>
                <w:bCs w:val="1"/>
                <w:color w:val="828282"/>
              </w:rPr>
              <w:t>Lloyd W. Howell, Jr.</w:t>
            </w:r>
          </w:p>
        </w:tc>
        <w:tc>
          <w:tcPr>
            <w:tcW w:w="90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05/22/19</w:t>
            </w:r>
          </w:p>
        </w:tc>
        <w:tc>
          <w:tcPr>
            <w:tcW w:w="88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102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980" w:type="dxa"/>
            <w:vAlign w:val="bottom"/>
            <w:shd w:val="clear" w:color="auto" w:fill="DDDDDD"/>
          </w:tcPr>
          <w:p>
            <w:pPr>
              <w:ind w:left="760"/>
              <w:spacing w:after="0"/>
              <w:rPr>
                <w:sz w:val="20"/>
                <w:szCs w:val="20"/>
                <w:color w:val="auto"/>
              </w:rPr>
            </w:pPr>
            <w:r>
              <w:rPr>
                <w:rFonts w:ascii="Arial" w:cs="Arial" w:eastAsia="Arial" w:hAnsi="Arial"/>
                <w:sz w:val="12"/>
                <w:szCs w:val="12"/>
                <w:color w:val="828282"/>
              </w:rPr>
              <w:t>—</w:t>
            </w:r>
          </w:p>
        </w:tc>
        <w:tc>
          <w:tcPr>
            <w:tcW w:w="66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w:t>
            </w:r>
          </w:p>
        </w:tc>
        <w:tc>
          <w:tcPr>
            <w:tcW w:w="78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84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8,049</w:t>
            </w:r>
          </w:p>
        </w:tc>
        <w:tc>
          <w:tcPr>
            <w:tcW w:w="116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552,483</w:t>
            </w:r>
          </w:p>
        </w:tc>
        <w:tc>
          <w:tcPr>
            <w:tcW w:w="114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36,220</w:t>
            </w:r>
          </w:p>
        </w:tc>
        <w:tc>
          <w:tcPr>
            <w:tcW w:w="1200" w:type="dxa"/>
            <w:vAlign w:val="bottom"/>
            <w:tcBorders>
              <w:right w:val="single" w:sz="8" w:color="DDDDDD"/>
            </w:tcBorders>
            <w:shd w:val="clear" w:color="auto" w:fill="DDDDDD"/>
          </w:tcPr>
          <w:p>
            <w:pPr>
              <w:jc w:val="right"/>
              <w:ind w:right="39"/>
              <w:spacing w:after="0"/>
              <w:rPr>
                <w:sz w:val="20"/>
                <w:szCs w:val="20"/>
                <w:color w:val="auto"/>
              </w:rPr>
            </w:pPr>
            <w:r>
              <w:rPr>
                <w:rFonts w:ascii="Arial" w:cs="Arial" w:eastAsia="Arial" w:hAnsi="Arial"/>
                <w:sz w:val="12"/>
                <w:szCs w:val="12"/>
                <w:color w:val="828282"/>
              </w:rPr>
              <w:t>2,486,141</w:t>
            </w:r>
          </w:p>
        </w:tc>
        <w:tc>
          <w:tcPr>
            <w:tcW w:w="20" w:type="dxa"/>
            <w:vAlign w:val="bottom"/>
          </w:tcPr>
          <w:p>
            <w:pPr>
              <w:spacing w:after="0"/>
              <w:rPr>
                <w:sz w:val="18"/>
                <w:szCs w:val="18"/>
                <w:color w:val="auto"/>
              </w:rPr>
            </w:pPr>
          </w:p>
        </w:tc>
      </w:tr>
      <w:tr>
        <w:trPr>
          <w:trHeight w:val="270"/>
        </w:trPr>
        <w:tc>
          <w:tcPr>
            <w:tcW w:w="144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05/24/18</w:t>
            </w:r>
          </w:p>
        </w:tc>
        <w:tc>
          <w:tcPr>
            <w:tcW w:w="88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102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980" w:type="dxa"/>
            <w:vAlign w:val="bottom"/>
            <w:shd w:val="clear" w:color="auto" w:fill="DDDDDD"/>
          </w:tcPr>
          <w:p>
            <w:pPr>
              <w:ind w:left="760"/>
              <w:spacing w:after="0"/>
              <w:rPr>
                <w:sz w:val="20"/>
                <w:szCs w:val="20"/>
                <w:color w:val="auto"/>
              </w:rPr>
            </w:pPr>
            <w:r>
              <w:rPr>
                <w:rFonts w:ascii="Arial" w:cs="Arial" w:eastAsia="Arial" w:hAnsi="Arial"/>
                <w:sz w:val="12"/>
                <w:szCs w:val="12"/>
                <w:color w:val="828282"/>
              </w:rPr>
              <w:t>—</w:t>
            </w:r>
          </w:p>
        </w:tc>
        <w:tc>
          <w:tcPr>
            <w:tcW w:w="66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w:t>
            </w:r>
          </w:p>
        </w:tc>
        <w:tc>
          <w:tcPr>
            <w:tcW w:w="78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84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w:t>
            </w:r>
          </w:p>
        </w:tc>
        <w:tc>
          <w:tcPr>
            <w:tcW w:w="114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54,020</w:t>
            </w:r>
          </w:p>
        </w:tc>
        <w:tc>
          <w:tcPr>
            <w:tcW w:w="1200" w:type="dxa"/>
            <w:vAlign w:val="bottom"/>
            <w:tcBorders>
              <w:right w:val="single" w:sz="8" w:color="DDDDDD"/>
            </w:tcBorders>
            <w:shd w:val="clear" w:color="auto" w:fill="DDDDDD"/>
          </w:tcPr>
          <w:p>
            <w:pPr>
              <w:jc w:val="right"/>
              <w:ind w:right="39"/>
              <w:spacing w:after="0"/>
              <w:rPr>
                <w:sz w:val="20"/>
                <w:szCs w:val="20"/>
                <w:color w:val="auto"/>
              </w:rPr>
            </w:pPr>
            <w:r>
              <w:rPr>
                <w:rFonts w:ascii="Arial" w:cs="Arial" w:eastAsia="Arial" w:hAnsi="Arial"/>
                <w:sz w:val="12"/>
                <w:szCs w:val="12"/>
                <w:color w:val="828282"/>
              </w:rPr>
              <w:t>3,707,933</w:t>
            </w:r>
          </w:p>
        </w:tc>
        <w:tc>
          <w:tcPr>
            <w:tcW w:w="20" w:type="dxa"/>
            <w:vAlign w:val="bottom"/>
          </w:tcPr>
          <w:p>
            <w:pPr>
              <w:spacing w:after="0"/>
              <w:rPr>
                <w:sz w:val="23"/>
                <w:szCs w:val="23"/>
                <w:color w:val="auto"/>
              </w:rPr>
            </w:pPr>
          </w:p>
        </w:tc>
      </w:tr>
      <w:tr>
        <w:trPr>
          <w:trHeight w:val="270"/>
        </w:trPr>
        <w:tc>
          <w:tcPr>
            <w:tcW w:w="144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05/23/18</w:t>
            </w:r>
          </w:p>
        </w:tc>
        <w:tc>
          <w:tcPr>
            <w:tcW w:w="88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102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980" w:type="dxa"/>
            <w:vAlign w:val="bottom"/>
            <w:shd w:val="clear" w:color="auto" w:fill="DDDDDD"/>
          </w:tcPr>
          <w:p>
            <w:pPr>
              <w:ind w:left="760"/>
              <w:spacing w:after="0"/>
              <w:rPr>
                <w:sz w:val="20"/>
                <w:szCs w:val="20"/>
                <w:color w:val="auto"/>
              </w:rPr>
            </w:pPr>
            <w:r>
              <w:rPr>
                <w:rFonts w:ascii="Arial" w:cs="Arial" w:eastAsia="Arial" w:hAnsi="Arial"/>
                <w:sz w:val="12"/>
                <w:szCs w:val="12"/>
                <w:color w:val="828282"/>
              </w:rPr>
              <w:t>—</w:t>
            </w:r>
          </w:p>
        </w:tc>
        <w:tc>
          <w:tcPr>
            <w:tcW w:w="66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w:t>
            </w:r>
          </w:p>
        </w:tc>
        <w:tc>
          <w:tcPr>
            <w:tcW w:w="78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84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6,056</w:t>
            </w:r>
          </w:p>
        </w:tc>
        <w:tc>
          <w:tcPr>
            <w:tcW w:w="116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415,684</w:t>
            </w:r>
          </w:p>
        </w:tc>
        <w:tc>
          <w:tcPr>
            <w:tcW w:w="114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1200" w:type="dxa"/>
            <w:vAlign w:val="bottom"/>
            <w:tcBorders>
              <w:right w:val="single" w:sz="8" w:color="DDDDDD"/>
            </w:tcBorders>
            <w:shd w:val="clear" w:color="auto" w:fill="DDDDDD"/>
          </w:tcPr>
          <w:p>
            <w:pPr>
              <w:jc w:val="right"/>
              <w:ind w:right="39"/>
              <w:spacing w:after="0"/>
              <w:rPr>
                <w:sz w:val="20"/>
                <w:szCs w:val="20"/>
                <w:color w:val="auto"/>
              </w:rPr>
            </w:pPr>
            <w:r>
              <w:rPr>
                <w:rFonts w:ascii="Arial" w:cs="Arial" w:eastAsia="Arial" w:hAnsi="Arial"/>
                <w:sz w:val="12"/>
                <w:szCs w:val="12"/>
                <w:color w:val="828282"/>
              </w:rPr>
              <w:t>—</w:t>
            </w:r>
          </w:p>
        </w:tc>
        <w:tc>
          <w:tcPr>
            <w:tcW w:w="20" w:type="dxa"/>
            <w:vAlign w:val="bottom"/>
          </w:tcPr>
          <w:p>
            <w:pPr>
              <w:spacing w:after="0"/>
              <w:rPr>
                <w:sz w:val="23"/>
                <w:szCs w:val="23"/>
                <w:color w:val="auto"/>
              </w:rPr>
            </w:pPr>
          </w:p>
        </w:tc>
      </w:tr>
      <w:tr>
        <w:trPr>
          <w:trHeight w:val="234"/>
        </w:trPr>
        <w:tc>
          <w:tcPr>
            <w:tcW w:w="1440" w:type="dxa"/>
            <w:vAlign w:val="bottom"/>
            <w:shd w:val="clear" w:color="auto" w:fill="DDDDDD"/>
          </w:tcPr>
          <w:p>
            <w:pPr>
              <w:spacing w:after="0"/>
              <w:rPr>
                <w:sz w:val="20"/>
                <w:szCs w:val="20"/>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05/19/17</w:t>
            </w:r>
          </w:p>
        </w:tc>
        <w:tc>
          <w:tcPr>
            <w:tcW w:w="88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31,656</w:t>
            </w:r>
          </w:p>
        </w:tc>
        <w:tc>
          <w:tcPr>
            <w:tcW w:w="102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21,105</w:t>
            </w:r>
          </w:p>
        </w:tc>
        <w:tc>
          <w:tcPr>
            <w:tcW w:w="980" w:type="dxa"/>
            <w:vAlign w:val="bottom"/>
            <w:shd w:val="clear" w:color="auto" w:fill="DDDDDD"/>
          </w:tcPr>
          <w:p>
            <w:pPr>
              <w:ind w:left="760"/>
              <w:spacing w:after="0"/>
              <w:rPr>
                <w:sz w:val="20"/>
                <w:szCs w:val="20"/>
                <w:color w:val="auto"/>
              </w:rPr>
            </w:pPr>
            <w:r>
              <w:rPr>
                <w:rFonts w:ascii="Arial" w:cs="Arial" w:eastAsia="Arial" w:hAnsi="Arial"/>
                <w:sz w:val="12"/>
                <w:szCs w:val="12"/>
                <w:color w:val="828282"/>
              </w:rPr>
              <w:t>—</w:t>
            </w:r>
          </w:p>
        </w:tc>
        <w:tc>
          <w:tcPr>
            <w:tcW w:w="66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35.95</w:t>
            </w:r>
          </w:p>
        </w:tc>
        <w:tc>
          <w:tcPr>
            <w:tcW w:w="78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05/19/27</w:t>
            </w:r>
          </w:p>
        </w:tc>
        <w:tc>
          <w:tcPr>
            <w:tcW w:w="84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w:t>
            </w:r>
          </w:p>
        </w:tc>
        <w:tc>
          <w:tcPr>
            <w:tcW w:w="114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1200" w:type="dxa"/>
            <w:vAlign w:val="bottom"/>
            <w:tcBorders>
              <w:right w:val="single" w:sz="8" w:color="DDDDDD"/>
            </w:tcBorders>
            <w:shd w:val="clear" w:color="auto" w:fill="DDDDDD"/>
          </w:tcPr>
          <w:p>
            <w:pPr>
              <w:jc w:val="right"/>
              <w:ind w:right="39"/>
              <w:spacing w:after="0"/>
              <w:rPr>
                <w:sz w:val="20"/>
                <w:szCs w:val="20"/>
                <w:color w:val="auto"/>
              </w:rPr>
            </w:pPr>
            <w:r>
              <w:rPr>
                <w:rFonts w:ascii="Arial" w:cs="Arial" w:eastAsia="Arial" w:hAnsi="Arial"/>
                <w:sz w:val="12"/>
                <w:szCs w:val="12"/>
                <w:color w:val="828282"/>
              </w:rPr>
              <w:t>—</w:t>
            </w:r>
          </w:p>
        </w:tc>
        <w:tc>
          <w:tcPr>
            <w:tcW w:w="20" w:type="dxa"/>
            <w:vAlign w:val="bottom"/>
          </w:tcPr>
          <w:p>
            <w:pPr>
              <w:spacing w:after="0"/>
              <w:rPr>
                <w:sz w:val="20"/>
                <w:szCs w:val="20"/>
                <w:color w:val="auto"/>
              </w:rPr>
            </w:pPr>
          </w:p>
        </w:tc>
      </w:tr>
      <w:tr>
        <w:trPr>
          <w:trHeight w:val="198"/>
        </w:trPr>
        <w:tc>
          <w:tcPr>
            <w:tcW w:w="1440" w:type="dxa"/>
            <w:vAlign w:val="bottom"/>
          </w:tcPr>
          <w:p>
            <w:pPr>
              <w:ind w:left="60"/>
              <w:spacing w:after="0"/>
              <w:rPr>
                <w:sz w:val="20"/>
                <w:szCs w:val="20"/>
                <w:color w:val="auto"/>
              </w:rPr>
            </w:pPr>
            <w:r>
              <w:rPr>
                <w:rFonts w:ascii="Arial" w:cs="Arial" w:eastAsia="Arial" w:hAnsi="Arial"/>
                <w:sz w:val="12"/>
                <w:szCs w:val="12"/>
                <w:b w:val="1"/>
                <w:bCs w:val="1"/>
                <w:color w:val="828282"/>
              </w:rPr>
              <w:t>Karen M. Dahut</w:t>
            </w:r>
          </w:p>
        </w:tc>
        <w:tc>
          <w:tcPr>
            <w:tcW w:w="900" w:type="dxa"/>
            <w:vAlign w:val="bottom"/>
          </w:tcPr>
          <w:p>
            <w:pPr>
              <w:jc w:val="right"/>
              <w:spacing w:after="0"/>
              <w:rPr>
                <w:sz w:val="20"/>
                <w:szCs w:val="20"/>
                <w:color w:val="auto"/>
              </w:rPr>
            </w:pPr>
            <w:r>
              <w:rPr>
                <w:rFonts w:ascii="Arial" w:cs="Arial" w:eastAsia="Arial" w:hAnsi="Arial"/>
                <w:sz w:val="12"/>
                <w:szCs w:val="12"/>
                <w:color w:val="828282"/>
              </w:rPr>
              <w:t>05/22/19</w:t>
            </w:r>
          </w:p>
        </w:tc>
        <w:tc>
          <w:tcPr>
            <w:tcW w:w="88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102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980" w:type="dxa"/>
            <w:vAlign w:val="bottom"/>
          </w:tcPr>
          <w:p>
            <w:pPr>
              <w:ind w:left="760"/>
              <w:spacing w:after="0"/>
              <w:rPr>
                <w:sz w:val="20"/>
                <w:szCs w:val="20"/>
                <w:color w:val="auto"/>
              </w:rPr>
            </w:pPr>
            <w:r>
              <w:rPr>
                <w:rFonts w:ascii="Arial" w:cs="Arial" w:eastAsia="Arial" w:hAnsi="Arial"/>
                <w:sz w:val="12"/>
                <w:szCs w:val="12"/>
                <w:color w:val="828282"/>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78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840" w:type="dxa"/>
            <w:vAlign w:val="bottom"/>
          </w:tcPr>
          <w:p>
            <w:pPr>
              <w:jc w:val="right"/>
              <w:ind w:right="39"/>
              <w:spacing w:after="0"/>
              <w:rPr>
                <w:sz w:val="20"/>
                <w:szCs w:val="20"/>
                <w:color w:val="auto"/>
              </w:rPr>
            </w:pPr>
            <w:r>
              <w:rPr>
                <w:rFonts w:ascii="Arial" w:cs="Arial" w:eastAsia="Arial" w:hAnsi="Arial"/>
                <w:sz w:val="12"/>
                <w:szCs w:val="12"/>
                <w:color w:val="828282"/>
              </w:rPr>
              <w:t>8,049</w:t>
            </w:r>
          </w:p>
        </w:tc>
        <w:tc>
          <w:tcPr>
            <w:tcW w:w="1160" w:type="dxa"/>
            <w:vAlign w:val="bottom"/>
          </w:tcPr>
          <w:p>
            <w:pPr>
              <w:jc w:val="right"/>
              <w:spacing w:after="0"/>
              <w:rPr>
                <w:sz w:val="20"/>
                <w:szCs w:val="20"/>
                <w:color w:val="auto"/>
              </w:rPr>
            </w:pPr>
            <w:r>
              <w:rPr>
                <w:rFonts w:ascii="Arial" w:cs="Arial" w:eastAsia="Arial" w:hAnsi="Arial"/>
                <w:sz w:val="12"/>
                <w:szCs w:val="12"/>
                <w:color w:val="828282"/>
              </w:rPr>
              <w:t>552,483</w:t>
            </w:r>
          </w:p>
        </w:tc>
        <w:tc>
          <w:tcPr>
            <w:tcW w:w="1140" w:type="dxa"/>
            <w:vAlign w:val="bottom"/>
          </w:tcPr>
          <w:p>
            <w:pPr>
              <w:jc w:val="right"/>
              <w:ind w:right="59"/>
              <w:spacing w:after="0"/>
              <w:rPr>
                <w:sz w:val="20"/>
                <w:szCs w:val="20"/>
                <w:color w:val="auto"/>
              </w:rPr>
            </w:pPr>
            <w:r>
              <w:rPr>
                <w:rFonts w:ascii="Arial" w:cs="Arial" w:eastAsia="Arial" w:hAnsi="Arial"/>
                <w:sz w:val="12"/>
                <w:szCs w:val="12"/>
                <w:color w:val="828282"/>
              </w:rPr>
              <w:t>36,220</w:t>
            </w:r>
          </w:p>
        </w:tc>
        <w:tc>
          <w:tcPr>
            <w:tcW w:w="1200" w:type="dxa"/>
            <w:vAlign w:val="bottom"/>
          </w:tcPr>
          <w:p>
            <w:pPr>
              <w:jc w:val="right"/>
              <w:ind w:right="39"/>
              <w:spacing w:after="0"/>
              <w:rPr>
                <w:sz w:val="20"/>
                <w:szCs w:val="20"/>
                <w:color w:val="auto"/>
              </w:rPr>
            </w:pPr>
            <w:r>
              <w:rPr>
                <w:rFonts w:ascii="Arial" w:cs="Arial" w:eastAsia="Arial" w:hAnsi="Arial"/>
                <w:sz w:val="12"/>
                <w:szCs w:val="12"/>
                <w:color w:val="828282"/>
              </w:rPr>
              <w:t>2,486,141</w:t>
            </w:r>
          </w:p>
        </w:tc>
        <w:tc>
          <w:tcPr>
            <w:tcW w:w="2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828282"/>
              </w:rPr>
              <w:t>05/24/18</w:t>
            </w:r>
          </w:p>
        </w:tc>
        <w:tc>
          <w:tcPr>
            <w:tcW w:w="88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102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980" w:type="dxa"/>
            <w:vAlign w:val="bottom"/>
          </w:tcPr>
          <w:p>
            <w:pPr>
              <w:ind w:left="760"/>
              <w:spacing w:after="0"/>
              <w:rPr>
                <w:sz w:val="20"/>
                <w:szCs w:val="20"/>
                <w:color w:val="auto"/>
              </w:rPr>
            </w:pPr>
            <w:r>
              <w:rPr>
                <w:rFonts w:ascii="Arial" w:cs="Arial" w:eastAsia="Arial" w:hAnsi="Arial"/>
                <w:sz w:val="12"/>
                <w:szCs w:val="12"/>
                <w:color w:val="828282"/>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78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84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1160" w:type="dxa"/>
            <w:vAlign w:val="bottom"/>
          </w:tcPr>
          <w:p>
            <w:pPr>
              <w:jc w:val="right"/>
              <w:spacing w:after="0"/>
              <w:rPr>
                <w:sz w:val="20"/>
                <w:szCs w:val="20"/>
                <w:color w:val="auto"/>
              </w:rPr>
            </w:pPr>
            <w:r>
              <w:rPr>
                <w:rFonts w:ascii="Arial" w:cs="Arial" w:eastAsia="Arial" w:hAnsi="Arial"/>
                <w:sz w:val="12"/>
                <w:szCs w:val="12"/>
                <w:color w:val="828282"/>
              </w:rPr>
              <w:t>—</w:t>
            </w:r>
          </w:p>
        </w:tc>
        <w:tc>
          <w:tcPr>
            <w:tcW w:w="1140" w:type="dxa"/>
            <w:vAlign w:val="bottom"/>
          </w:tcPr>
          <w:p>
            <w:pPr>
              <w:jc w:val="right"/>
              <w:ind w:right="59"/>
              <w:spacing w:after="0"/>
              <w:rPr>
                <w:sz w:val="20"/>
                <w:szCs w:val="20"/>
                <w:color w:val="auto"/>
              </w:rPr>
            </w:pPr>
            <w:r>
              <w:rPr>
                <w:rFonts w:ascii="Arial" w:cs="Arial" w:eastAsia="Arial" w:hAnsi="Arial"/>
                <w:sz w:val="12"/>
                <w:szCs w:val="12"/>
                <w:color w:val="828282"/>
              </w:rPr>
              <w:t>54,020</w:t>
            </w:r>
          </w:p>
        </w:tc>
        <w:tc>
          <w:tcPr>
            <w:tcW w:w="1200" w:type="dxa"/>
            <w:vAlign w:val="bottom"/>
          </w:tcPr>
          <w:p>
            <w:pPr>
              <w:jc w:val="right"/>
              <w:ind w:right="39"/>
              <w:spacing w:after="0"/>
              <w:rPr>
                <w:sz w:val="20"/>
                <w:szCs w:val="20"/>
                <w:color w:val="auto"/>
              </w:rPr>
            </w:pPr>
            <w:r>
              <w:rPr>
                <w:rFonts w:ascii="Arial" w:cs="Arial" w:eastAsia="Arial" w:hAnsi="Arial"/>
                <w:sz w:val="12"/>
                <w:szCs w:val="12"/>
                <w:color w:val="828282"/>
              </w:rPr>
              <w:t>3,707,933</w:t>
            </w:r>
          </w:p>
        </w:tc>
        <w:tc>
          <w:tcPr>
            <w:tcW w:w="20" w:type="dxa"/>
            <w:vAlign w:val="bottom"/>
          </w:tcPr>
          <w:p>
            <w:pPr>
              <w:spacing w:after="0"/>
              <w:rPr>
                <w:sz w:val="18"/>
                <w:szCs w:val="18"/>
                <w:color w:val="auto"/>
              </w:rPr>
            </w:pPr>
          </w:p>
        </w:tc>
      </w:tr>
      <w:tr>
        <w:trPr>
          <w:trHeight w:val="270"/>
        </w:trPr>
        <w:tc>
          <w:tcPr>
            <w:tcW w:w="1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828282"/>
              </w:rPr>
              <w:t>05/23/18</w:t>
            </w:r>
          </w:p>
        </w:tc>
        <w:tc>
          <w:tcPr>
            <w:tcW w:w="88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102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980" w:type="dxa"/>
            <w:vAlign w:val="bottom"/>
          </w:tcPr>
          <w:p>
            <w:pPr>
              <w:ind w:left="760"/>
              <w:spacing w:after="0"/>
              <w:rPr>
                <w:sz w:val="20"/>
                <w:szCs w:val="20"/>
                <w:color w:val="auto"/>
              </w:rPr>
            </w:pPr>
            <w:r>
              <w:rPr>
                <w:rFonts w:ascii="Arial" w:cs="Arial" w:eastAsia="Arial" w:hAnsi="Arial"/>
                <w:sz w:val="12"/>
                <w:szCs w:val="12"/>
                <w:color w:val="828282"/>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78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840" w:type="dxa"/>
            <w:vAlign w:val="bottom"/>
          </w:tcPr>
          <w:p>
            <w:pPr>
              <w:jc w:val="right"/>
              <w:ind w:right="39"/>
              <w:spacing w:after="0"/>
              <w:rPr>
                <w:sz w:val="20"/>
                <w:szCs w:val="20"/>
                <w:color w:val="auto"/>
              </w:rPr>
            </w:pPr>
            <w:r>
              <w:rPr>
                <w:rFonts w:ascii="Arial" w:cs="Arial" w:eastAsia="Arial" w:hAnsi="Arial"/>
                <w:sz w:val="12"/>
                <w:szCs w:val="12"/>
                <w:color w:val="828282"/>
              </w:rPr>
              <w:t>6,056</w:t>
            </w:r>
          </w:p>
        </w:tc>
        <w:tc>
          <w:tcPr>
            <w:tcW w:w="1160" w:type="dxa"/>
            <w:vAlign w:val="bottom"/>
          </w:tcPr>
          <w:p>
            <w:pPr>
              <w:jc w:val="right"/>
              <w:spacing w:after="0"/>
              <w:rPr>
                <w:sz w:val="20"/>
                <w:szCs w:val="20"/>
                <w:color w:val="auto"/>
              </w:rPr>
            </w:pPr>
            <w:r>
              <w:rPr>
                <w:rFonts w:ascii="Arial" w:cs="Arial" w:eastAsia="Arial" w:hAnsi="Arial"/>
                <w:sz w:val="12"/>
                <w:szCs w:val="12"/>
                <w:color w:val="828282"/>
              </w:rPr>
              <w:t>415,684</w:t>
            </w:r>
          </w:p>
        </w:tc>
        <w:tc>
          <w:tcPr>
            <w:tcW w:w="114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120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20" w:type="dxa"/>
            <w:vAlign w:val="bottom"/>
          </w:tcPr>
          <w:p>
            <w:pPr>
              <w:spacing w:after="0"/>
              <w:rPr>
                <w:sz w:val="23"/>
                <w:szCs w:val="23"/>
                <w:color w:val="auto"/>
              </w:rPr>
            </w:pPr>
          </w:p>
        </w:tc>
      </w:tr>
      <w:tr>
        <w:trPr>
          <w:trHeight w:val="270"/>
        </w:trPr>
        <w:tc>
          <w:tcPr>
            <w:tcW w:w="1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828282"/>
              </w:rPr>
              <w:t>05/19/17</w:t>
            </w:r>
          </w:p>
        </w:tc>
        <w:tc>
          <w:tcPr>
            <w:tcW w:w="880" w:type="dxa"/>
            <w:vAlign w:val="bottom"/>
          </w:tcPr>
          <w:p>
            <w:pPr>
              <w:jc w:val="right"/>
              <w:ind w:right="59"/>
              <w:spacing w:after="0"/>
              <w:rPr>
                <w:sz w:val="20"/>
                <w:szCs w:val="20"/>
                <w:color w:val="auto"/>
              </w:rPr>
            </w:pPr>
            <w:r>
              <w:rPr>
                <w:rFonts w:ascii="Arial" w:cs="Arial" w:eastAsia="Arial" w:hAnsi="Arial"/>
                <w:sz w:val="12"/>
                <w:szCs w:val="12"/>
                <w:color w:val="828282"/>
              </w:rPr>
              <w:t>31,656</w:t>
            </w:r>
          </w:p>
        </w:tc>
        <w:tc>
          <w:tcPr>
            <w:tcW w:w="1020" w:type="dxa"/>
            <w:vAlign w:val="bottom"/>
          </w:tcPr>
          <w:p>
            <w:pPr>
              <w:jc w:val="right"/>
              <w:ind w:right="59"/>
              <w:spacing w:after="0"/>
              <w:rPr>
                <w:sz w:val="20"/>
                <w:szCs w:val="20"/>
                <w:color w:val="auto"/>
              </w:rPr>
            </w:pPr>
            <w:r>
              <w:rPr>
                <w:rFonts w:ascii="Arial" w:cs="Arial" w:eastAsia="Arial" w:hAnsi="Arial"/>
                <w:sz w:val="12"/>
                <w:szCs w:val="12"/>
                <w:color w:val="828282"/>
              </w:rPr>
              <w:t>21,105</w:t>
            </w:r>
          </w:p>
        </w:tc>
        <w:tc>
          <w:tcPr>
            <w:tcW w:w="980" w:type="dxa"/>
            <w:vAlign w:val="bottom"/>
          </w:tcPr>
          <w:p>
            <w:pPr>
              <w:ind w:left="760"/>
              <w:spacing w:after="0"/>
              <w:rPr>
                <w:sz w:val="20"/>
                <w:szCs w:val="20"/>
                <w:color w:val="auto"/>
              </w:rPr>
            </w:pPr>
            <w:r>
              <w:rPr>
                <w:rFonts w:ascii="Arial" w:cs="Arial" w:eastAsia="Arial" w:hAnsi="Arial"/>
                <w:sz w:val="12"/>
                <w:szCs w:val="12"/>
                <w:color w:val="828282"/>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828282"/>
              </w:rPr>
              <w:t>35.95</w:t>
            </w:r>
          </w:p>
        </w:tc>
        <w:tc>
          <w:tcPr>
            <w:tcW w:w="780" w:type="dxa"/>
            <w:vAlign w:val="bottom"/>
          </w:tcPr>
          <w:p>
            <w:pPr>
              <w:jc w:val="right"/>
              <w:ind w:right="59"/>
              <w:spacing w:after="0"/>
              <w:rPr>
                <w:sz w:val="20"/>
                <w:szCs w:val="20"/>
                <w:color w:val="auto"/>
              </w:rPr>
            </w:pPr>
            <w:r>
              <w:rPr>
                <w:rFonts w:ascii="Arial" w:cs="Arial" w:eastAsia="Arial" w:hAnsi="Arial"/>
                <w:sz w:val="12"/>
                <w:szCs w:val="12"/>
                <w:color w:val="828282"/>
              </w:rPr>
              <w:t>05/19/27</w:t>
            </w:r>
          </w:p>
        </w:tc>
        <w:tc>
          <w:tcPr>
            <w:tcW w:w="84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1160" w:type="dxa"/>
            <w:vAlign w:val="bottom"/>
          </w:tcPr>
          <w:p>
            <w:pPr>
              <w:jc w:val="right"/>
              <w:spacing w:after="0"/>
              <w:rPr>
                <w:sz w:val="20"/>
                <w:szCs w:val="20"/>
                <w:color w:val="auto"/>
              </w:rPr>
            </w:pPr>
            <w:r>
              <w:rPr>
                <w:rFonts w:ascii="Arial" w:cs="Arial" w:eastAsia="Arial" w:hAnsi="Arial"/>
                <w:sz w:val="12"/>
                <w:szCs w:val="12"/>
                <w:color w:val="828282"/>
              </w:rPr>
              <w:t>—</w:t>
            </w:r>
          </w:p>
        </w:tc>
        <w:tc>
          <w:tcPr>
            <w:tcW w:w="114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120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20" w:type="dxa"/>
            <w:vAlign w:val="bottom"/>
          </w:tcPr>
          <w:p>
            <w:pPr>
              <w:spacing w:after="0"/>
              <w:rPr>
                <w:sz w:val="23"/>
                <w:szCs w:val="23"/>
                <w:color w:val="auto"/>
              </w:rPr>
            </w:pPr>
          </w:p>
        </w:tc>
      </w:tr>
      <w:tr>
        <w:trPr>
          <w:trHeight w:val="216"/>
        </w:trPr>
        <w:tc>
          <w:tcPr>
            <w:tcW w:w="1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828282"/>
              </w:rPr>
              <w:t>05/23/13</w:t>
            </w:r>
          </w:p>
        </w:tc>
        <w:tc>
          <w:tcPr>
            <w:tcW w:w="880" w:type="dxa"/>
            <w:vAlign w:val="bottom"/>
          </w:tcPr>
          <w:p>
            <w:pPr>
              <w:jc w:val="right"/>
              <w:ind w:right="59"/>
              <w:spacing w:after="0"/>
              <w:rPr>
                <w:sz w:val="20"/>
                <w:szCs w:val="20"/>
                <w:color w:val="auto"/>
              </w:rPr>
            </w:pPr>
            <w:r>
              <w:rPr>
                <w:rFonts w:ascii="Arial" w:cs="Arial" w:eastAsia="Arial" w:hAnsi="Arial"/>
                <w:sz w:val="12"/>
                <w:szCs w:val="12"/>
                <w:color w:val="828282"/>
              </w:rPr>
              <w:t>45,000</w:t>
            </w:r>
          </w:p>
        </w:tc>
        <w:tc>
          <w:tcPr>
            <w:tcW w:w="102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980" w:type="dxa"/>
            <w:vAlign w:val="bottom"/>
          </w:tcPr>
          <w:p>
            <w:pPr>
              <w:ind w:left="760"/>
              <w:spacing w:after="0"/>
              <w:rPr>
                <w:sz w:val="20"/>
                <w:szCs w:val="20"/>
                <w:color w:val="auto"/>
              </w:rPr>
            </w:pPr>
            <w:r>
              <w:rPr>
                <w:rFonts w:ascii="Arial" w:cs="Arial" w:eastAsia="Arial" w:hAnsi="Arial"/>
                <w:sz w:val="12"/>
                <w:szCs w:val="12"/>
                <w:color w:val="828282"/>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828282"/>
              </w:rPr>
              <w:t>18.35</w:t>
            </w:r>
          </w:p>
        </w:tc>
        <w:tc>
          <w:tcPr>
            <w:tcW w:w="780" w:type="dxa"/>
            <w:vAlign w:val="bottom"/>
          </w:tcPr>
          <w:p>
            <w:pPr>
              <w:jc w:val="right"/>
              <w:ind w:right="59"/>
              <w:spacing w:after="0"/>
              <w:rPr>
                <w:sz w:val="20"/>
                <w:szCs w:val="20"/>
                <w:color w:val="auto"/>
              </w:rPr>
            </w:pPr>
            <w:r>
              <w:rPr>
                <w:rFonts w:ascii="Arial" w:cs="Arial" w:eastAsia="Arial" w:hAnsi="Arial"/>
                <w:sz w:val="12"/>
                <w:szCs w:val="12"/>
                <w:color w:val="828282"/>
              </w:rPr>
              <w:t>05/23/23</w:t>
            </w:r>
          </w:p>
        </w:tc>
        <w:tc>
          <w:tcPr>
            <w:tcW w:w="84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1160" w:type="dxa"/>
            <w:vAlign w:val="bottom"/>
          </w:tcPr>
          <w:p>
            <w:pPr>
              <w:jc w:val="right"/>
              <w:spacing w:after="0"/>
              <w:rPr>
                <w:sz w:val="20"/>
                <w:szCs w:val="20"/>
                <w:color w:val="auto"/>
              </w:rPr>
            </w:pPr>
            <w:r>
              <w:rPr>
                <w:rFonts w:ascii="Arial" w:cs="Arial" w:eastAsia="Arial" w:hAnsi="Arial"/>
                <w:sz w:val="12"/>
                <w:szCs w:val="12"/>
                <w:color w:val="828282"/>
              </w:rPr>
              <w:t>—</w:t>
            </w:r>
          </w:p>
        </w:tc>
        <w:tc>
          <w:tcPr>
            <w:tcW w:w="114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120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20" w:type="dxa"/>
            <w:vAlign w:val="bottom"/>
          </w:tcPr>
          <w:p>
            <w:pPr>
              <w:spacing w:after="0"/>
              <w:rPr>
                <w:sz w:val="18"/>
                <w:szCs w:val="18"/>
                <w:color w:val="auto"/>
              </w:rPr>
            </w:pPr>
          </w:p>
        </w:tc>
      </w:tr>
      <w:tr>
        <w:trPr>
          <w:trHeight w:val="225"/>
        </w:trPr>
        <w:tc>
          <w:tcPr>
            <w:tcW w:w="1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828282"/>
              </w:rPr>
              <w:t>04/01/12</w:t>
            </w:r>
          </w:p>
        </w:tc>
        <w:tc>
          <w:tcPr>
            <w:tcW w:w="880" w:type="dxa"/>
            <w:vAlign w:val="bottom"/>
          </w:tcPr>
          <w:p>
            <w:pPr>
              <w:jc w:val="right"/>
              <w:ind w:right="59"/>
              <w:spacing w:after="0"/>
              <w:rPr>
                <w:sz w:val="20"/>
                <w:szCs w:val="20"/>
                <w:color w:val="auto"/>
              </w:rPr>
            </w:pPr>
            <w:r>
              <w:rPr>
                <w:rFonts w:ascii="Arial" w:cs="Arial" w:eastAsia="Arial" w:hAnsi="Arial"/>
                <w:sz w:val="12"/>
                <w:szCs w:val="12"/>
                <w:color w:val="828282"/>
              </w:rPr>
              <w:t>45,000</w:t>
            </w:r>
          </w:p>
        </w:tc>
        <w:tc>
          <w:tcPr>
            <w:tcW w:w="102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980" w:type="dxa"/>
            <w:vAlign w:val="bottom"/>
          </w:tcPr>
          <w:p>
            <w:pPr>
              <w:ind w:left="760"/>
              <w:spacing w:after="0"/>
              <w:rPr>
                <w:sz w:val="20"/>
                <w:szCs w:val="20"/>
                <w:color w:val="auto"/>
              </w:rPr>
            </w:pPr>
            <w:r>
              <w:rPr>
                <w:rFonts w:ascii="Arial" w:cs="Arial" w:eastAsia="Arial" w:hAnsi="Arial"/>
                <w:sz w:val="12"/>
                <w:szCs w:val="12"/>
                <w:color w:val="828282"/>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828282"/>
              </w:rPr>
              <w:t>10.67</w:t>
            </w:r>
          </w:p>
        </w:tc>
        <w:tc>
          <w:tcPr>
            <w:tcW w:w="780" w:type="dxa"/>
            <w:vAlign w:val="bottom"/>
          </w:tcPr>
          <w:p>
            <w:pPr>
              <w:jc w:val="right"/>
              <w:ind w:right="59"/>
              <w:spacing w:after="0"/>
              <w:rPr>
                <w:sz w:val="20"/>
                <w:szCs w:val="20"/>
                <w:color w:val="auto"/>
              </w:rPr>
            </w:pPr>
            <w:r>
              <w:rPr>
                <w:rFonts w:ascii="Arial" w:cs="Arial" w:eastAsia="Arial" w:hAnsi="Arial"/>
                <w:sz w:val="12"/>
                <w:szCs w:val="12"/>
                <w:color w:val="828282"/>
              </w:rPr>
              <w:t>04/01/22</w:t>
            </w:r>
          </w:p>
        </w:tc>
        <w:tc>
          <w:tcPr>
            <w:tcW w:w="84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1160" w:type="dxa"/>
            <w:vAlign w:val="bottom"/>
          </w:tcPr>
          <w:p>
            <w:pPr>
              <w:jc w:val="right"/>
              <w:spacing w:after="0"/>
              <w:rPr>
                <w:sz w:val="20"/>
                <w:szCs w:val="20"/>
                <w:color w:val="auto"/>
              </w:rPr>
            </w:pPr>
            <w:r>
              <w:rPr>
                <w:rFonts w:ascii="Arial" w:cs="Arial" w:eastAsia="Arial" w:hAnsi="Arial"/>
                <w:sz w:val="12"/>
                <w:szCs w:val="12"/>
                <w:color w:val="828282"/>
              </w:rPr>
              <w:t>—</w:t>
            </w:r>
          </w:p>
        </w:tc>
        <w:tc>
          <w:tcPr>
            <w:tcW w:w="114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120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20" w:type="dxa"/>
            <w:vAlign w:val="bottom"/>
          </w:tcPr>
          <w:p>
            <w:pPr>
              <w:spacing w:after="0"/>
              <w:rPr>
                <w:sz w:val="19"/>
                <w:szCs w:val="19"/>
                <w:color w:val="auto"/>
              </w:rPr>
            </w:pPr>
          </w:p>
        </w:tc>
      </w:tr>
      <w:tr>
        <w:trPr>
          <w:trHeight w:val="207"/>
        </w:trPr>
        <w:tc>
          <w:tcPr>
            <w:tcW w:w="1440" w:type="dxa"/>
            <w:vAlign w:val="bottom"/>
            <w:shd w:val="clear" w:color="auto" w:fill="DDDDDD"/>
          </w:tcPr>
          <w:p>
            <w:pPr>
              <w:ind w:left="60"/>
              <w:spacing w:after="0"/>
              <w:rPr>
                <w:sz w:val="20"/>
                <w:szCs w:val="20"/>
                <w:color w:val="auto"/>
              </w:rPr>
            </w:pPr>
            <w:r>
              <w:rPr>
                <w:rFonts w:ascii="Arial" w:cs="Arial" w:eastAsia="Arial" w:hAnsi="Arial"/>
                <w:sz w:val="12"/>
                <w:szCs w:val="12"/>
                <w:b w:val="1"/>
                <w:bCs w:val="1"/>
                <w:color w:val="828282"/>
              </w:rPr>
              <w:t>Nancy J. Laben</w:t>
            </w:r>
          </w:p>
        </w:tc>
        <w:tc>
          <w:tcPr>
            <w:tcW w:w="90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05/22/19</w:t>
            </w:r>
          </w:p>
        </w:tc>
        <w:tc>
          <w:tcPr>
            <w:tcW w:w="88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102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980" w:type="dxa"/>
            <w:vAlign w:val="bottom"/>
            <w:shd w:val="clear" w:color="auto" w:fill="DDDDDD"/>
          </w:tcPr>
          <w:p>
            <w:pPr>
              <w:ind w:left="760"/>
              <w:spacing w:after="0"/>
              <w:rPr>
                <w:sz w:val="20"/>
                <w:szCs w:val="20"/>
                <w:color w:val="auto"/>
              </w:rPr>
            </w:pPr>
            <w:r>
              <w:rPr>
                <w:rFonts w:ascii="Arial" w:cs="Arial" w:eastAsia="Arial" w:hAnsi="Arial"/>
                <w:sz w:val="12"/>
                <w:szCs w:val="12"/>
                <w:color w:val="828282"/>
              </w:rPr>
              <w:t>—</w:t>
            </w:r>
          </w:p>
        </w:tc>
        <w:tc>
          <w:tcPr>
            <w:tcW w:w="66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w:t>
            </w:r>
          </w:p>
        </w:tc>
        <w:tc>
          <w:tcPr>
            <w:tcW w:w="78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84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4,186</w:t>
            </w:r>
          </w:p>
        </w:tc>
        <w:tc>
          <w:tcPr>
            <w:tcW w:w="116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287,327</w:t>
            </w:r>
          </w:p>
        </w:tc>
        <w:tc>
          <w:tcPr>
            <w:tcW w:w="114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18,834</w:t>
            </w:r>
          </w:p>
        </w:tc>
        <w:tc>
          <w:tcPr>
            <w:tcW w:w="1200" w:type="dxa"/>
            <w:vAlign w:val="bottom"/>
            <w:tcBorders>
              <w:right w:val="single" w:sz="8" w:color="DDDDDD"/>
            </w:tcBorders>
            <w:shd w:val="clear" w:color="auto" w:fill="DDDDDD"/>
          </w:tcPr>
          <w:p>
            <w:pPr>
              <w:jc w:val="right"/>
              <w:ind w:right="39"/>
              <w:spacing w:after="0"/>
              <w:rPr>
                <w:sz w:val="20"/>
                <w:szCs w:val="20"/>
                <w:color w:val="auto"/>
              </w:rPr>
            </w:pPr>
            <w:r>
              <w:rPr>
                <w:rFonts w:ascii="Arial" w:cs="Arial" w:eastAsia="Arial" w:hAnsi="Arial"/>
                <w:sz w:val="12"/>
                <w:szCs w:val="12"/>
                <w:color w:val="828282"/>
              </w:rPr>
              <w:t>2,585,532</w:t>
            </w:r>
          </w:p>
        </w:tc>
        <w:tc>
          <w:tcPr>
            <w:tcW w:w="20" w:type="dxa"/>
            <w:vAlign w:val="bottom"/>
          </w:tcPr>
          <w:p>
            <w:pPr>
              <w:spacing w:after="0"/>
              <w:rPr>
                <w:sz w:val="18"/>
                <w:szCs w:val="18"/>
                <w:color w:val="auto"/>
              </w:rPr>
            </w:pPr>
          </w:p>
        </w:tc>
      </w:tr>
      <w:tr>
        <w:trPr>
          <w:trHeight w:val="216"/>
        </w:trPr>
        <w:tc>
          <w:tcPr>
            <w:tcW w:w="144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11/14/18</w:t>
            </w:r>
          </w:p>
        </w:tc>
        <w:tc>
          <w:tcPr>
            <w:tcW w:w="88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9,276</w:t>
            </w:r>
          </w:p>
        </w:tc>
        <w:tc>
          <w:tcPr>
            <w:tcW w:w="102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13,917</w:t>
            </w:r>
          </w:p>
        </w:tc>
        <w:tc>
          <w:tcPr>
            <w:tcW w:w="980" w:type="dxa"/>
            <w:vAlign w:val="bottom"/>
            <w:shd w:val="clear" w:color="auto" w:fill="DDDDDD"/>
          </w:tcPr>
          <w:p>
            <w:pPr>
              <w:ind w:left="760"/>
              <w:spacing w:after="0"/>
              <w:rPr>
                <w:sz w:val="20"/>
                <w:szCs w:val="20"/>
                <w:color w:val="auto"/>
              </w:rPr>
            </w:pPr>
            <w:r>
              <w:rPr>
                <w:rFonts w:ascii="Arial" w:cs="Arial" w:eastAsia="Arial" w:hAnsi="Arial"/>
                <w:sz w:val="12"/>
                <w:szCs w:val="12"/>
                <w:color w:val="828282"/>
              </w:rPr>
              <w:t>—</w:t>
            </w:r>
          </w:p>
        </w:tc>
        <w:tc>
          <w:tcPr>
            <w:tcW w:w="66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51.22</w:t>
            </w:r>
          </w:p>
        </w:tc>
        <w:tc>
          <w:tcPr>
            <w:tcW w:w="78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11/14/28</w:t>
            </w:r>
          </w:p>
        </w:tc>
        <w:tc>
          <w:tcPr>
            <w:tcW w:w="84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555</w:t>
            </w:r>
          </w:p>
        </w:tc>
        <w:tc>
          <w:tcPr>
            <w:tcW w:w="116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38,095</w:t>
            </w:r>
          </w:p>
        </w:tc>
        <w:tc>
          <w:tcPr>
            <w:tcW w:w="114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8,566</w:t>
            </w:r>
          </w:p>
        </w:tc>
        <w:tc>
          <w:tcPr>
            <w:tcW w:w="1200" w:type="dxa"/>
            <w:vAlign w:val="bottom"/>
            <w:tcBorders>
              <w:right w:val="single" w:sz="8" w:color="DDDDDD"/>
            </w:tcBorders>
            <w:shd w:val="clear" w:color="auto" w:fill="DDDDDD"/>
          </w:tcPr>
          <w:p>
            <w:pPr>
              <w:jc w:val="right"/>
              <w:ind w:right="39"/>
              <w:spacing w:after="0"/>
              <w:rPr>
                <w:sz w:val="20"/>
                <w:szCs w:val="20"/>
                <w:color w:val="auto"/>
              </w:rPr>
            </w:pPr>
            <w:r>
              <w:rPr>
                <w:rFonts w:ascii="Arial" w:cs="Arial" w:eastAsia="Arial" w:hAnsi="Arial"/>
                <w:sz w:val="12"/>
                <w:szCs w:val="12"/>
                <w:color w:val="828282"/>
              </w:rPr>
              <w:t>1,175,940</w:t>
            </w:r>
          </w:p>
        </w:tc>
        <w:tc>
          <w:tcPr>
            <w:tcW w:w="20" w:type="dxa"/>
            <w:vAlign w:val="bottom"/>
          </w:tcPr>
          <w:p>
            <w:pPr>
              <w:spacing w:after="0"/>
              <w:rPr>
                <w:sz w:val="18"/>
                <w:szCs w:val="18"/>
                <w:color w:val="auto"/>
              </w:rPr>
            </w:pPr>
          </w:p>
        </w:tc>
      </w:tr>
      <w:tr>
        <w:trPr>
          <w:trHeight w:val="270"/>
        </w:trPr>
        <w:tc>
          <w:tcPr>
            <w:tcW w:w="144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05/24/18</w:t>
            </w:r>
          </w:p>
        </w:tc>
        <w:tc>
          <w:tcPr>
            <w:tcW w:w="88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102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980" w:type="dxa"/>
            <w:vAlign w:val="bottom"/>
            <w:shd w:val="clear" w:color="auto" w:fill="DDDDDD"/>
          </w:tcPr>
          <w:p>
            <w:pPr>
              <w:ind w:left="760"/>
              <w:spacing w:after="0"/>
              <w:rPr>
                <w:sz w:val="20"/>
                <w:szCs w:val="20"/>
                <w:color w:val="auto"/>
              </w:rPr>
            </w:pPr>
            <w:r>
              <w:rPr>
                <w:rFonts w:ascii="Arial" w:cs="Arial" w:eastAsia="Arial" w:hAnsi="Arial"/>
                <w:sz w:val="12"/>
                <w:szCs w:val="12"/>
                <w:color w:val="828282"/>
              </w:rPr>
              <w:t>—</w:t>
            </w:r>
          </w:p>
        </w:tc>
        <w:tc>
          <w:tcPr>
            <w:tcW w:w="66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w:t>
            </w:r>
          </w:p>
        </w:tc>
        <w:tc>
          <w:tcPr>
            <w:tcW w:w="78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84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w:t>
            </w:r>
          </w:p>
        </w:tc>
        <w:tc>
          <w:tcPr>
            <w:tcW w:w="114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7,020</w:t>
            </w:r>
          </w:p>
        </w:tc>
        <w:tc>
          <w:tcPr>
            <w:tcW w:w="1200" w:type="dxa"/>
            <w:vAlign w:val="bottom"/>
            <w:tcBorders>
              <w:right w:val="single" w:sz="8" w:color="DDDDDD"/>
            </w:tcBorders>
            <w:shd w:val="clear" w:color="auto" w:fill="DDDDDD"/>
          </w:tcPr>
          <w:p>
            <w:pPr>
              <w:jc w:val="right"/>
              <w:ind w:right="39"/>
              <w:spacing w:after="0"/>
              <w:rPr>
                <w:sz w:val="20"/>
                <w:szCs w:val="20"/>
                <w:color w:val="auto"/>
              </w:rPr>
            </w:pPr>
            <w:r>
              <w:rPr>
                <w:rFonts w:ascii="Arial" w:cs="Arial" w:eastAsia="Arial" w:hAnsi="Arial"/>
                <w:sz w:val="12"/>
                <w:szCs w:val="12"/>
                <w:color w:val="828282"/>
              </w:rPr>
              <w:t>963,706</w:t>
            </w:r>
          </w:p>
        </w:tc>
        <w:tc>
          <w:tcPr>
            <w:tcW w:w="20" w:type="dxa"/>
            <w:vAlign w:val="bottom"/>
          </w:tcPr>
          <w:p>
            <w:pPr>
              <w:spacing w:after="0"/>
              <w:rPr>
                <w:sz w:val="23"/>
                <w:szCs w:val="23"/>
                <w:color w:val="auto"/>
              </w:rPr>
            </w:pPr>
          </w:p>
        </w:tc>
      </w:tr>
      <w:tr>
        <w:trPr>
          <w:trHeight w:val="270"/>
        </w:trPr>
        <w:tc>
          <w:tcPr>
            <w:tcW w:w="144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05/23/18</w:t>
            </w:r>
          </w:p>
        </w:tc>
        <w:tc>
          <w:tcPr>
            <w:tcW w:w="88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102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980" w:type="dxa"/>
            <w:vAlign w:val="bottom"/>
            <w:shd w:val="clear" w:color="auto" w:fill="DDDDDD"/>
          </w:tcPr>
          <w:p>
            <w:pPr>
              <w:ind w:left="760"/>
              <w:spacing w:after="0"/>
              <w:rPr>
                <w:sz w:val="20"/>
                <w:szCs w:val="20"/>
                <w:color w:val="auto"/>
              </w:rPr>
            </w:pPr>
            <w:r>
              <w:rPr>
                <w:rFonts w:ascii="Arial" w:cs="Arial" w:eastAsia="Arial" w:hAnsi="Arial"/>
                <w:sz w:val="12"/>
                <w:szCs w:val="12"/>
                <w:color w:val="828282"/>
              </w:rPr>
              <w:t>—</w:t>
            </w:r>
          </w:p>
        </w:tc>
        <w:tc>
          <w:tcPr>
            <w:tcW w:w="66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w:t>
            </w:r>
          </w:p>
        </w:tc>
        <w:tc>
          <w:tcPr>
            <w:tcW w:w="78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84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1,771</w:t>
            </w:r>
          </w:p>
        </w:tc>
        <w:tc>
          <w:tcPr>
            <w:tcW w:w="116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121,561</w:t>
            </w:r>
          </w:p>
        </w:tc>
        <w:tc>
          <w:tcPr>
            <w:tcW w:w="114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1200" w:type="dxa"/>
            <w:vAlign w:val="bottom"/>
            <w:tcBorders>
              <w:right w:val="single" w:sz="8" w:color="DDDDDD"/>
            </w:tcBorders>
            <w:shd w:val="clear" w:color="auto" w:fill="DDDDDD"/>
          </w:tcPr>
          <w:p>
            <w:pPr>
              <w:jc w:val="right"/>
              <w:ind w:right="39"/>
              <w:spacing w:after="0"/>
              <w:rPr>
                <w:sz w:val="20"/>
                <w:szCs w:val="20"/>
                <w:color w:val="auto"/>
              </w:rPr>
            </w:pPr>
            <w:r>
              <w:rPr>
                <w:rFonts w:ascii="Arial" w:cs="Arial" w:eastAsia="Arial" w:hAnsi="Arial"/>
                <w:sz w:val="12"/>
                <w:szCs w:val="12"/>
                <w:color w:val="828282"/>
              </w:rPr>
              <w:t>—</w:t>
            </w:r>
          </w:p>
        </w:tc>
        <w:tc>
          <w:tcPr>
            <w:tcW w:w="20" w:type="dxa"/>
            <w:vAlign w:val="bottom"/>
          </w:tcPr>
          <w:p>
            <w:pPr>
              <w:spacing w:after="0"/>
              <w:rPr>
                <w:sz w:val="23"/>
                <w:szCs w:val="23"/>
                <w:color w:val="auto"/>
              </w:rPr>
            </w:pPr>
          </w:p>
        </w:tc>
      </w:tr>
      <w:tr>
        <w:trPr>
          <w:trHeight w:val="216"/>
        </w:trPr>
        <w:tc>
          <w:tcPr>
            <w:tcW w:w="144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05/17/17</w:t>
            </w:r>
          </w:p>
        </w:tc>
        <w:tc>
          <w:tcPr>
            <w:tcW w:w="88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5,362</w:t>
            </w:r>
          </w:p>
        </w:tc>
        <w:tc>
          <w:tcPr>
            <w:tcW w:w="102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10,728</w:t>
            </w:r>
          </w:p>
        </w:tc>
        <w:tc>
          <w:tcPr>
            <w:tcW w:w="980" w:type="dxa"/>
            <w:vAlign w:val="bottom"/>
            <w:shd w:val="clear" w:color="auto" w:fill="DDDDDD"/>
          </w:tcPr>
          <w:p>
            <w:pPr>
              <w:ind w:left="760"/>
              <w:spacing w:after="0"/>
              <w:rPr>
                <w:sz w:val="20"/>
                <w:szCs w:val="20"/>
                <w:color w:val="auto"/>
              </w:rPr>
            </w:pPr>
            <w:r>
              <w:rPr>
                <w:rFonts w:ascii="Arial" w:cs="Arial" w:eastAsia="Arial" w:hAnsi="Arial"/>
                <w:sz w:val="12"/>
                <w:szCs w:val="12"/>
                <w:color w:val="828282"/>
              </w:rPr>
              <w:t>—</w:t>
            </w:r>
          </w:p>
        </w:tc>
        <w:tc>
          <w:tcPr>
            <w:tcW w:w="66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35.63</w:t>
            </w:r>
          </w:p>
        </w:tc>
        <w:tc>
          <w:tcPr>
            <w:tcW w:w="78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05/17/27</w:t>
            </w:r>
          </w:p>
        </w:tc>
        <w:tc>
          <w:tcPr>
            <w:tcW w:w="84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w:t>
            </w:r>
          </w:p>
        </w:tc>
        <w:tc>
          <w:tcPr>
            <w:tcW w:w="114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1200" w:type="dxa"/>
            <w:vAlign w:val="bottom"/>
            <w:tcBorders>
              <w:right w:val="single" w:sz="8" w:color="DDDDDD"/>
            </w:tcBorders>
            <w:shd w:val="clear" w:color="auto" w:fill="DDDDDD"/>
          </w:tcPr>
          <w:p>
            <w:pPr>
              <w:jc w:val="right"/>
              <w:ind w:right="39"/>
              <w:spacing w:after="0"/>
              <w:rPr>
                <w:sz w:val="20"/>
                <w:szCs w:val="20"/>
                <w:color w:val="auto"/>
              </w:rPr>
            </w:pPr>
            <w:r>
              <w:rPr>
                <w:rFonts w:ascii="Arial" w:cs="Arial" w:eastAsia="Arial" w:hAnsi="Arial"/>
                <w:sz w:val="12"/>
                <w:szCs w:val="12"/>
                <w:color w:val="828282"/>
              </w:rPr>
              <w:t>—</w:t>
            </w:r>
          </w:p>
        </w:tc>
        <w:tc>
          <w:tcPr>
            <w:tcW w:w="20" w:type="dxa"/>
            <w:vAlign w:val="bottom"/>
          </w:tcPr>
          <w:p>
            <w:pPr>
              <w:spacing w:after="0"/>
              <w:rPr>
                <w:sz w:val="18"/>
                <w:szCs w:val="18"/>
                <w:color w:val="auto"/>
              </w:rPr>
            </w:pPr>
          </w:p>
        </w:tc>
      </w:tr>
      <w:tr>
        <w:trPr>
          <w:trHeight w:val="288"/>
        </w:trPr>
        <w:tc>
          <w:tcPr>
            <w:tcW w:w="144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02/08/16</w:t>
            </w:r>
          </w:p>
        </w:tc>
        <w:tc>
          <w:tcPr>
            <w:tcW w:w="88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8,102</w:t>
            </w:r>
          </w:p>
        </w:tc>
        <w:tc>
          <w:tcPr>
            <w:tcW w:w="102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8,103</w:t>
            </w:r>
          </w:p>
        </w:tc>
        <w:tc>
          <w:tcPr>
            <w:tcW w:w="980" w:type="dxa"/>
            <w:vAlign w:val="bottom"/>
            <w:shd w:val="clear" w:color="auto" w:fill="DDDDDD"/>
          </w:tcPr>
          <w:p>
            <w:pPr>
              <w:ind w:left="760"/>
              <w:spacing w:after="0"/>
              <w:rPr>
                <w:sz w:val="20"/>
                <w:szCs w:val="20"/>
                <w:color w:val="auto"/>
              </w:rPr>
            </w:pPr>
            <w:r>
              <w:rPr>
                <w:rFonts w:ascii="Arial" w:cs="Arial" w:eastAsia="Arial" w:hAnsi="Arial"/>
                <w:sz w:val="12"/>
                <w:szCs w:val="12"/>
                <w:color w:val="828282"/>
              </w:rPr>
              <w:t>—</w:t>
            </w:r>
          </w:p>
        </w:tc>
        <w:tc>
          <w:tcPr>
            <w:tcW w:w="66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26.41</w:t>
            </w:r>
          </w:p>
        </w:tc>
        <w:tc>
          <w:tcPr>
            <w:tcW w:w="78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02/08/26</w:t>
            </w:r>
          </w:p>
        </w:tc>
        <w:tc>
          <w:tcPr>
            <w:tcW w:w="84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828282"/>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2"/>
                <w:szCs w:val="12"/>
                <w:color w:val="828282"/>
              </w:rPr>
              <w:t>—</w:t>
            </w:r>
          </w:p>
        </w:tc>
        <w:tc>
          <w:tcPr>
            <w:tcW w:w="1140" w:type="dxa"/>
            <w:vAlign w:val="bottom"/>
            <w:shd w:val="clear" w:color="auto" w:fill="DDDDDD"/>
          </w:tcPr>
          <w:p>
            <w:pPr>
              <w:jc w:val="right"/>
              <w:ind w:right="59"/>
              <w:spacing w:after="0"/>
              <w:rPr>
                <w:sz w:val="20"/>
                <w:szCs w:val="20"/>
                <w:color w:val="auto"/>
              </w:rPr>
            </w:pPr>
            <w:r>
              <w:rPr>
                <w:rFonts w:ascii="Arial" w:cs="Arial" w:eastAsia="Arial" w:hAnsi="Arial"/>
                <w:sz w:val="12"/>
                <w:szCs w:val="12"/>
                <w:color w:val="828282"/>
              </w:rPr>
              <w:t>—</w:t>
            </w:r>
          </w:p>
        </w:tc>
        <w:tc>
          <w:tcPr>
            <w:tcW w:w="1200" w:type="dxa"/>
            <w:vAlign w:val="bottom"/>
            <w:tcBorders>
              <w:right w:val="single" w:sz="8" w:color="DDDDDD"/>
            </w:tcBorders>
            <w:shd w:val="clear" w:color="auto" w:fill="DDDDDD"/>
          </w:tcPr>
          <w:p>
            <w:pPr>
              <w:jc w:val="right"/>
              <w:ind w:right="39"/>
              <w:spacing w:after="0"/>
              <w:rPr>
                <w:sz w:val="20"/>
                <w:szCs w:val="20"/>
                <w:color w:val="auto"/>
              </w:rPr>
            </w:pPr>
            <w:r>
              <w:rPr>
                <w:rFonts w:ascii="Arial" w:cs="Arial" w:eastAsia="Arial" w:hAnsi="Arial"/>
                <w:sz w:val="12"/>
                <w:szCs w:val="12"/>
                <w:color w:val="828282"/>
              </w:rPr>
              <w:t>—</w:t>
            </w:r>
          </w:p>
        </w:tc>
        <w:tc>
          <w:tcPr>
            <w:tcW w:w="20" w:type="dxa"/>
            <w:vAlign w:val="bottom"/>
          </w:tcPr>
          <w:p>
            <w:pPr>
              <w:spacing w:after="0"/>
              <w:rPr>
                <w:sz w:val="24"/>
                <w:szCs w:val="24"/>
                <w:color w:val="auto"/>
              </w:rPr>
            </w:pPr>
          </w:p>
        </w:tc>
      </w:tr>
      <w:tr>
        <w:trPr>
          <w:trHeight w:val="198"/>
        </w:trPr>
        <w:tc>
          <w:tcPr>
            <w:tcW w:w="1440" w:type="dxa"/>
            <w:vAlign w:val="bottom"/>
          </w:tcPr>
          <w:p>
            <w:pPr>
              <w:ind w:left="60"/>
              <w:spacing w:after="0"/>
              <w:rPr>
                <w:sz w:val="20"/>
                <w:szCs w:val="20"/>
                <w:color w:val="auto"/>
              </w:rPr>
            </w:pPr>
            <w:r>
              <w:rPr>
                <w:rFonts w:ascii="Arial" w:cs="Arial" w:eastAsia="Arial" w:hAnsi="Arial"/>
                <w:sz w:val="12"/>
                <w:szCs w:val="12"/>
                <w:b w:val="1"/>
                <w:bCs w:val="1"/>
                <w:color w:val="828282"/>
              </w:rPr>
              <w:t>Susan L. Penfield</w:t>
            </w:r>
          </w:p>
        </w:tc>
        <w:tc>
          <w:tcPr>
            <w:tcW w:w="900" w:type="dxa"/>
            <w:vAlign w:val="bottom"/>
          </w:tcPr>
          <w:p>
            <w:pPr>
              <w:jc w:val="right"/>
              <w:spacing w:after="0"/>
              <w:rPr>
                <w:sz w:val="20"/>
                <w:szCs w:val="20"/>
                <w:color w:val="auto"/>
              </w:rPr>
            </w:pPr>
            <w:r>
              <w:rPr>
                <w:rFonts w:ascii="Arial" w:cs="Arial" w:eastAsia="Arial" w:hAnsi="Arial"/>
                <w:sz w:val="12"/>
                <w:szCs w:val="12"/>
                <w:color w:val="828282"/>
              </w:rPr>
              <w:t>05/22/19</w:t>
            </w:r>
          </w:p>
        </w:tc>
        <w:tc>
          <w:tcPr>
            <w:tcW w:w="88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102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980" w:type="dxa"/>
            <w:vAlign w:val="bottom"/>
          </w:tcPr>
          <w:p>
            <w:pPr>
              <w:ind w:left="760"/>
              <w:spacing w:after="0"/>
              <w:rPr>
                <w:sz w:val="20"/>
                <w:szCs w:val="20"/>
                <w:color w:val="auto"/>
              </w:rPr>
            </w:pPr>
            <w:r>
              <w:rPr>
                <w:rFonts w:ascii="Arial" w:cs="Arial" w:eastAsia="Arial" w:hAnsi="Arial"/>
                <w:sz w:val="12"/>
                <w:szCs w:val="12"/>
                <w:color w:val="828282"/>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78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840" w:type="dxa"/>
            <w:vAlign w:val="bottom"/>
          </w:tcPr>
          <w:p>
            <w:pPr>
              <w:jc w:val="right"/>
              <w:ind w:right="39"/>
              <w:spacing w:after="0"/>
              <w:rPr>
                <w:sz w:val="20"/>
                <w:szCs w:val="20"/>
                <w:color w:val="auto"/>
              </w:rPr>
            </w:pPr>
            <w:r>
              <w:rPr>
                <w:rFonts w:ascii="Arial" w:cs="Arial" w:eastAsia="Arial" w:hAnsi="Arial"/>
                <w:sz w:val="12"/>
                <w:szCs w:val="12"/>
                <w:color w:val="828282"/>
              </w:rPr>
              <w:t>3,756</w:t>
            </w:r>
          </w:p>
        </w:tc>
        <w:tc>
          <w:tcPr>
            <w:tcW w:w="1160" w:type="dxa"/>
            <w:vAlign w:val="bottom"/>
          </w:tcPr>
          <w:p>
            <w:pPr>
              <w:jc w:val="right"/>
              <w:spacing w:after="0"/>
              <w:rPr>
                <w:sz w:val="20"/>
                <w:szCs w:val="20"/>
                <w:color w:val="auto"/>
              </w:rPr>
            </w:pPr>
            <w:r>
              <w:rPr>
                <w:rFonts w:ascii="Arial" w:cs="Arial" w:eastAsia="Arial" w:hAnsi="Arial"/>
                <w:sz w:val="12"/>
                <w:szCs w:val="12"/>
                <w:color w:val="828282"/>
              </w:rPr>
              <w:t>257,812</w:t>
            </w:r>
          </w:p>
        </w:tc>
        <w:tc>
          <w:tcPr>
            <w:tcW w:w="1140" w:type="dxa"/>
            <w:vAlign w:val="bottom"/>
          </w:tcPr>
          <w:p>
            <w:pPr>
              <w:jc w:val="right"/>
              <w:ind w:right="59"/>
              <w:spacing w:after="0"/>
              <w:rPr>
                <w:sz w:val="20"/>
                <w:szCs w:val="20"/>
                <w:color w:val="auto"/>
              </w:rPr>
            </w:pPr>
            <w:r>
              <w:rPr>
                <w:rFonts w:ascii="Arial" w:cs="Arial" w:eastAsia="Arial" w:hAnsi="Arial"/>
                <w:sz w:val="12"/>
                <w:szCs w:val="12"/>
                <w:color w:val="828282"/>
              </w:rPr>
              <w:t>16,902</w:t>
            </w:r>
          </w:p>
        </w:tc>
        <w:tc>
          <w:tcPr>
            <w:tcW w:w="1200" w:type="dxa"/>
            <w:vAlign w:val="bottom"/>
          </w:tcPr>
          <w:p>
            <w:pPr>
              <w:jc w:val="right"/>
              <w:ind w:right="39"/>
              <w:spacing w:after="0"/>
              <w:rPr>
                <w:sz w:val="20"/>
                <w:szCs w:val="20"/>
                <w:color w:val="auto"/>
              </w:rPr>
            </w:pPr>
            <w:r>
              <w:rPr>
                <w:rFonts w:ascii="Arial" w:cs="Arial" w:eastAsia="Arial" w:hAnsi="Arial"/>
                <w:sz w:val="12"/>
                <w:szCs w:val="12"/>
                <w:color w:val="828282"/>
              </w:rPr>
              <w:t>1,160,153</w:t>
            </w:r>
          </w:p>
        </w:tc>
        <w:tc>
          <w:tcPr>
            <w:tcW w:w="20" w:type="dxa"/>
            <w:vAlign w:val="bottom"/>
          </w:tcPr>
          <w:p>
            <w:pPr>
              <w:spacing w:after="0"/>
              <w:rPr>
                <w:sz w:val="17"/>
                <w:szCs w:val="17"/>
                <w:color w:val="auto"/>
              </w:rPr>
            </w:pPr>
          </w:p>
        </w:tc>
      </w:tr>
      <w:tr>
        <w:trPr>
          <w:trHeight w:val="270"/>
        </w:trPr>
        <w:tc>
          <w:tcPr>
            <w:tcW w:w="1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828282"/>
              </w:rPr>
              <w:t>05/24/18</w:t>
            </w:r>
          </w:p>
        </w:tc>
        <w:tc>
          <w:tcPr>
            <w:tcW w:w="88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102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980" w:type="dxa"/>
            <w:vAlign w:val="bottom"/>
          </w:tcPr>
          <w:p>
            <w:pPr>
              <w:ind w:left="760"/>
              <w:spacing w:after="0"/>
              <w:rPr>
                <w:sz w:val="20"/>
                <w:szCs w:val="20"/>
                <w:color w:val="auto"/>
              </w:rPr>
            </w:pPr>
            <w:r>
              <w:rPr>
                <w:rFonts w:ascii="Arial" w:cs="Arial" w:eastAsia="Arial" w:hAnsi="Arial"/>
                <w:sz w:val="12"/>
                <w:szCs w:val="12"/>
                <w:color w:val="828282"/>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78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84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1160" w:type="dxa"/>
            <w:vAlign w:val="bottom"/>
          </w:tcPr>
          <w:p>
            <w:pPr>
              <w:jc w:val="right"/>
              <w:spacing w:after="0"/>
              <w:rPr>
                <w:sz w:val="20"/>
                <w:szCs w:val="20"/>
                <w:color w:val="auto"/>
              </w:rPr>
            </w:pPr>
            <w:r>
              <w:rPr>
                <w:rFonts w:ascii="Arial" w:cs="Arial" w:eastAsia="Arial" w:hAnsi="Arial"/>
                <w:sz w:val="12"/>
                <w:szCs w:val="12"/>
                <w:color w:val="828282"/>
              </w:rPr>
              <w:t>—</w:t>
            </w:r>
          </w:p>
        </w:tc>
        <w:tc>
          <w:tcPr>
            <w:tcW w:w="1140" w:type="dxa"/>
            <w:vAlign w:val="bottom"/>
          </w:tcPr>
          <w:p>
            <w:pPr>
              <w:jc w:val="right"/>
              <w:ind w:right="59"/>
              <w:spacing w:after="0"/>
              <w:rPr>
                <w:sz w:val="20"/>
                <w:szCs w:val="20"/>
                <w:color w:val="auto"/>
              </w:rPr>
            </w:pPr>
            <w:r>
              <w:rPr>
                <w:rFonts w:ascii="Arial" w:cs="Arial" w:eastAsia="Arial" w:hAnsi="Arial"/>
                <w:sz w:val="12"/>
                <w:szCs w:val="12"/>
                <w:color w:val="828282"/>
              </w:rPr>
              <w:t>18,606</w:t>
            </w:r>
          </w:p>
        </w:tc>
        <w:tc>
          <w:tcPr>
            <w:tcW w:w="1200" w:type="dxa"/>
            <w:vAlign w:val="bottom"/>
          </w:tcPr>
          <w:p>
            <w:pPr>
              <w:jc w:val="right"/>
              <w:ind w:right="39"/>
              <w:spacing w:after="0"/>
              <w:rPr>
                <w:sz w:val="20"/>
                <w:szCs w:val="20"/>
                <w:color w:val="auto"/>
              </w:rPr>
            </w:pPr>
            <w:r>
              <w:rPr>
                <w:rFonts w:ascii="Arial" w:cs="Arial" w:eastAsia="Arial" w:hAnsi="Arial"/>
                <w:sz w:val="12"/>
                <w:szCs w:val="12"/>
                <w:color w:val="828282"/>
              </w:rPr>
              <w:t>1,277,116</w:t>
            </w:r>
          </w:p>
        </w:tc>
        <w:tc>
          <w:tcPr>
            <w:tcW w:w="20" w:type="dxa"/>
            <w:vAlign w:val="bottom"/>
          </w:tcPr>
          <w:p>
            <w:pPr>
              <w:spacing w:after="0"/>
              <w:rPr>
                <w:sz w:val="23"/>
                <w:szCs w:val="23"/>
                <w:color w:val="auto"/>
              </w:rPr>
            </w:pPr>
          </w:p>
        </w:tc>
      </w:tr>
      <w:tr>
        <w:trPr>
          <w:trHeight w:val="270"/>
        </w:trPr>
        <w:tc>
          <w:tcPr>
            <w:tcW w:w="1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828282"/>
              </w:rPr>
              <w:t>05/23/18</w:t>
            </w:r>
          </w:p>
        </w:tc>
        <w:tc>
          <w:tcPr>
            <w:tcW w:w="88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102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980" w:type="dxa"/>
            <w:vAlign w:val="bottom"/>
          </w:tcPr>
          <w:p>
            <w:pPr>
              <w:ind w:left="760"/>
              <w:spacing w:after="0"/>
              <w:rPr>
                <w:sz w:val="20"/>
                <w:szCs w:val="20"/>
                <w:color w:val="auto"/>
              </w:rPr>
            </w:pPr>
            <w:r>
              <w:rPr>
                <w:rFonts w:ascii="Arial" w:cs="Arial" w:eastAsia="Arial" w:hAnsi="Arial"/>
                <w:sz w:val="12"/>
                <w:szCs w:val="12"/>
                <w:color w:val="828282"/>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78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840" w:type="dxa"/>
            <w:vAlign w:val="bottom"/>
          </w:tcPr>
          <w:p>
            <w:pPr>
              <w:jc w:val="right"/>
              <w:ind w:right="39"/>
              <w:spacing w:after="0"/>
              <w:rPr>
                <w:sz w:val="20"/>
                <w:szCs w:val="20"/>
                <w:color w:val="auto"/>
              </w:rPr>
            </w:pPr>
            <w:r>
              <w:rPr>
                <w:rFonts w:ascii="Arial" w:cs="Arial" w:eastAsia="Arial" w:hAnsi="Arial"/>
                <w:sz w:val="12"/>
                <w:szCs w:val="12"/>
                <w:color w:val="828282"/>
              </w:rPr>
              <w:t>3,129</w:t>
            </w:r>
          </w:p>
        </w:tc>
        <w:tc>
          <w:tcPr>
            <w:tcW w:w="1160" w:type="dxa"/>
            <w:vAlign w:val="bottom"/>
          </w:tcPr>
          <w:p>
            <w:pPr>
              <w:jc w:val="right"/>
              <w:spacing w:after="0"/>
              <w:rPr>
                <w:sz w:val="20"/>
                <w:szCs w:val="20"/>
                <w:color w:val="auto"/>
              </w:rPr>
            </w:pPr>
            <w:r>
              <w:rPr>
                <w:rFonts w:ascii="Arial" w:cs="Arial" w:eastAsia="Arial" w:hAnsi="Arial"/>
                <w:sz w:val="12"/>
                <w:szCs w:val="12"/>
                <w:color w:val="828282"/>
              </w:rPr>
              <w:t>214,775</w:t>
            </w:r>
          </w:p>
        </w:tc>
        <w:tc>
          <w:tcPr>
            <w:tcW w:w="114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120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20" w:type="dxa"/>
            <w:vAlign w:val="bottom"/>
          </w:tcPr>
          <w:p>
            <w:pPr>
              <w:spacing w:after="0"/>
              <w:rPr>
                <w:sz w:val="23"/>
                <w:szCs w:val="23"/>
                <w:color w:val="auto"/>
              </w:rPr>
            </w:pPr>
          </w:p>
        </w:tc>
      </w:tr>
      <w:tr>
        <w:trPr>
          <w:trHeight w:val="270"/>
        </w:trPr>
        <w:tc>
          <w:tcPr>
            <w:tcW w:w="1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828282"/>
              </w:rPr>
              <w:t>05/19/17</w:t>
            </w:r>
          </w:p>
        </w:tc>
        <w:tc>
          <w:tcPr>
            <w:tcW w:w="880" w:type="dxa"/>
            <w:vAlign w:val="bottom"/>
          </w:tcPr>
          <w:p>
            <w:pPr>
              <w:jc w:val="right"/>
              <w:ind w:right="59"/>
              <w:spacing w:after="0"/>
              <w:rPr>
                <w:sz w:val="20"/>
                <w:szCs w:val="20"/>
                <w:color w:val="auto"/>
              </w:rPr>
            </w:pPr>
            <w:r>
              <w:rPr>
                <w:rFonts w:ascii="Arial" w:cs="Arial" w:eastAsia="Arial" w:hAnsi="Arial"/>
                <w:sz w:val="12"/>
                <w:szCs w:val="12"/>
                <w:color w:val="828282"/>
              </w:rPr>
              <w:t>31,656</w:t>
            </w:r>
          </w:p>
        </w:tc>
        <w:tc>
          <w:tcPr>
            <w:tcW w:w="1020" w:type="dxa"/>
            <w:vAlign w:val="bottom"/>
          </w:tcPr>
          <w:p>
            <w:pPr>
              <w:jc w:val="right"/>
              <w:ind w:right="59"/>
              <w:spacing w:after="0"/>
              <w:rPr>
                <w:sz w:val="20"/>
                <w:szCs w:val="20"/>
                <w:color w:val="auto"/>
              </w:rPr>
            </w:pPr>
            <w:r>
              <w:rPr>
                <w:rFonts w:ascii="Arial" w:cs="Arial" w:eastAsia="Arial" w:hAnsi="Arial"/>
                <w:sz w:val="12"/>
                <w:szCs w:val="12"/>
                <w:color w:val="828282"/>
              </w:rPr>
              <w:t>21,105</w:t>
            </w:r>
          </w:p>
        </w:tc>
        <w:tc>
          <w:tcPr>
            <w:tcW w:w="980" w:type="dxa"/>
            <w:vAlign w:val="bottom"/>
          </w:tcPr>
          <w:p>
            <w:pPr>
              <w:ind w:left="760"/>
              <w:spacing w:after="0"/>
              <w:rPr>
                <w:sz w:val="20"/>
                <w:szCs w:val="20"/>
                <w:color w:val="auto"/>
              </w:rPr>
            </w:pPr>
            <w:r>
              <w:rPr>
                <w:rFonts w:ascii="Arial" w:cs="Arial" w:eastAsia="Arial" w:hAnsi="Arial"/>
                <w:sz w:val="12"/>
                <w:szCs w:val="12"/>
                <w:color w:val="828282"/>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828282"/>
              </w:rPr>
              <w:t>35.95</w:t>
            </w:r>
          </w:p>
        </w:tc>
        <w:tc>
          <w:tcPr>
            <w:tcW w:w="780" w:type="dxa"/>
            <w:vAlign w:val="bottom"/>
          </w:tcPr>
          <w:p>
            <w:pPr>
              <w:jc w:val="right"/>
              <w:ind w:right="59"/>
              <w:spacing w:after="0"/>
              <w:rPr>
                <w:sz w:val="20"/>
                <w:szCs w:val="20"/>
                <w:color w:val="auto"/>
              </w:rPr>
            </w:pPr>
            <w:r>
              <w:rPr>
                <w:rFonts w:ascii="Arial" w:cs="Arial" w:eastAsia="Arial" w:hAnsi="Arial"/>
                <w:sz w:val="12"/>
                <w:szCs w:val="12"/>
                <w:color w:val="828282"/>
              </w:rPr>
              <w:t>05/19/27</w:t>
            </w:r>
          </w:p>
        </w:tc>
        <w:tc>
          <w:tcPr>
            <w:tcW w:w="84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1160" w:type="dxa"/>
            <w:vAlign w:val="bottom"/>
          </w:tcPr>
          <w:p>
            <w:pPr>
              <w:jc w:val="right"/>
              <w:spacing w:after="0"/>
              <w:rPr>
                <w:sz w:val="20"/>
                <w:szCs w:val="20"/>
                <w:color w:val="auto"/>
              </w:rPr>
            </w:pPr>
            <w:r>
              <w:rPr>
                <w:rFonts w:ascii="Arial" w:cs="Arial" w:eastAsia="Arial" w:hAnsi="Arial"/>
                <w:sz w:val="12"/>
                <w:szCs w:val="12"/>
                <w:color w:val="828282"/>
              </w:rPr>
              <w:t>—</w:t>
            </w:r>
          </w:p>
        </w:tc>
        <w:tc>
          <w:tcPr>
            <w:tcW w:w="114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120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20" w:type="dxa"/>
            <w:vAlign w:val="bottom"/>
          </w:tcPr>
          <w:p>
            <w:pPr>
              <w:spacing w:after="0"/>
              <w:rPr>
                <w:sz w:val="23"/>
                <w:szCs w:val="23"/>
                <w:color w:val="auto"/>
              </w:rPr>
            </w:pPr>
          </w:p>
        </w:tc>
      </w:tr>
      <w:tr>
        <w:trPr>
          <w:trHeight w:val="270"/>
        </w:trPr>
        <w:tc>
          <w:tcPr>
            <w:tcW w:w="1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828282"/>
              </w:rPr>
              <w:t>04/01/15</w:t>
            </w:r>
          </w:p>
        </w:tc>
        <w:tc>
          <w:tcPr>
            <w:tcW w:w="880" w:type="dxa"/>
            <w:vAlign w:val="bottom"/>
          </w:tcPr>
          <w:p>
            <w:pPr>
              <w:jc w:val="right"/>
              <w:ind w:right="59"/>
              <w:spacing w:after="0"/>
              <w:rPr>
                <w:sz w:val="20"/>
                <w:szCs w:val="20"/>
                <w:color w:val="auto"/>
              </w:rPr>
            </w:pPr>
            <w:r>
              <w:rPr>
                <w:rFonts w:ascii="Arial" w:cs="Arial" w:eastAsia="Arial" w:hAnsi="Arial"/>
                <w:sz w:val="12"/>
                <w:szCs w:val="12"/>
                <w:color w:val="828282"/>
              </w:rPr>
              <w:t>19,365</w:t>
            </w:r>
          </w:p>
        </w:tc>
        <w:tc>
          <w:tcPr>
            <w:tcW w:w="102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980" w:type="dxa"/>
            <w:vAlign w:val="bottom"/>
          </w:tcPr>
          <w:p>
            <w:pPr>
              <w:ind w:left="760"/>
              <w:spacing w:after="0"/>
              <w:rPr>
                <w:sz w:val="20"/>
                <w:szCs w:val="20"/>
                <w:color w:val="auto"/>
              </w:rPr>
            </w:pPr>
            <w:r>
              <w:rPr>
                <w:rFonts w:ascii="Arial" w:cs="Arial" w:eastAsia="Arial" w:hAnsi="Arial"/>
                <w:sz w:val="12"/>
                <w:szCs w:val="12"/>
                <w:color w:val="828282"/>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828282"/>
              </w:rPr>
              <w:t>29.08</w:t>
            </w:r>
          </w:p>
        </w:tc>
        <w:tc>
          <w:tcPr>
            <w:tcW w:w="780" w:type="dxa"/>
            <w:vAlign w:val="bottom"/>
          </w:tcPr>
          <w:p>
            <w:pPr>
              <w:jc w:val="right"/>
              <w:ind w:right="59"/>
              <w:spacing w:after="0"/>
              <w:rPr>
                <w:sz w:val="20"/>
                <w:szCs w:val="20"/>
                <w:color w:val="auto"/>
              </w:rPr>
            </w:pPr>
            <w:r>
              <w:rPr>
                <w:rFonts w:ascii="Arial" w:cs="Arial" w:eastAsia="Arial" w:hAnsi="Arial"/>
                <w:sz w:val="12"/>
                <w:szCs w:val="12"/>
                <w:color w:val="828282"/>
              </w:rPr>
              <w:t>04/01/25</w:t>
            </w:r>
          </w:p>
        </w:tc>
        <w:tc>
          <w:tcPr>
            <w:tcW w:w="84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1160" w:type="dxa"/>
            <w:vAlign w:val="bottom"/>
          </w:tcPr>
          <w:p>
            <w:pPr>
              <w:jc w:val="right"/>
              <w:spacing w:after="0"/>
              <w:rPr>
                <w:sz w:val="20"/>
                <w:szCs w:val="20"/>
                <w:color w:val="auto"/>
              </w:rPr>
            </w:pPr>
            <w:r>
              <w:rPr>
                <w:rFonts w:ascii="Arial" w:cs="Arial" w:eastAsia="Arial" w:hAnsi="Arial"/>
                <w:sz w:val="12"/>
                <w:szCs w:val="12"/>
                <w:color w:val="828282"/>
              </w:rPr>
              <w:t>—</w:t>
            </w:r>
          </w:p>
        </w:tc>
        <w:tc>
          <w:tcPr>
            <w:tcW w:w="114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120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20" w:type="dxa"/>
            <w:vAlign w:val="bottom"/>
          </w:tcPr>
          <w:p>
            <w:pPr>
              <w:spacing w:after="0"/>
              <w:rPr>
                <w:sz w:val="23"/>
                <w:szCs w:val="23"/>
                <w:color w:val="auto"/>
              </w:rPr>
            </w:pPr>
          </w:p>
        </w:tc>
      </w:tr>
      <w:tr>
        <w:trPr>
          <w:trHeight w:val="270"/>
        </w:trPr>
        <w:tc>
          <w:tcPr>
            <w:tcW w:w="1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828282"/>
              </w:rPr>
              <w:t>04/01/12</w:t>
            </w:r>
          </w:p>
        </w:tc>
        <w:tc>
          <w:tcPr>
            <w:tcW w:w="880" w:type="dxa"/>
            <w:vAlign w:val="bottom"/>
          </w:tcPr>
          <w:p>
            <w:pPr>
              <w:jc w:val="right"/>
              <w:ind w:right="59"/>
              <w:spacing w:after="0"/>
              <w:rPr>
                <w:sz w:val="20"/>
                <w:szCs w:val="20"/>
                <w:color w:val="auto"/>
              </w:rPr>
            </w:pPr>
            <w:r>
              <w:rPr>
                <w:rFonts w:ascii="Arial" w:cs="Arial" w:eastAsia="Arial" w:hAnsi="Arial"/>
                <w:sz w:val="12"/>
                <w:szCs w:val="12"/>
                <w:color w:val="828282"/>
              </w:rPr>
              <w:t>17,259</w:t>
            </w:r>
          </w:p>
        </w:tc>
        <w:tc>
          <w:tcPr>
            <w:tcW w:w="102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980" w:type="dxa"/>
            <w:vAlign w:val="bottom"/>
          </w:tcPr>
          <w:p>
            <w:pPr>
              <w:ind w:left="760"/>
              <w:spacing w:after="0"/>
              <w:rPr>
                <w:sz w:val="20"/>
                <w:szCs w:val="20"/>
                <w:color w:val="auto"/>
              </w:rPr>
            </w:pPr>
            <w:r>
              <w:rPr>
                <w:rFonts w:ascii="Arial" w:cs="Arial" w:eastAsia="Arial" w:hAnsi="Arial"/>
                <w:sz w:val="12"/>
                <w:szCs w:val="12"/>
                <w:color w:val="828282"/>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828282"/>
              </w:rPr>
              <w:t>10.67</w:t>
            </w:r>
          </w:p>
        </w:tc>
        <w:tc>
          <w:tcPr>
            <w:tcW w:w="780" w:type="dxa"/>
            <w:vAlign w:val="bottom"/>
          </w:tcPr>
          <w:p>
            <w:pPr>
              <w:jc w:val="right"/>
              <w:ind w:right="59"/>
              <w:spacing w:after="0"/>
              <w:rPr>
                <w:sz w:val="20"/>
                <w:szCs w:val="20"/>
                <w:color w:val="auto"/>
              </w:rPr>
            </w:pPr>
            <w:r>
              <w:rPr>
                <w:rFonts w:ascii="Arial" w:cs="Arial" w:eastAsia="Arial" w:hAnsi="Arial"/>
                <w:sz w:val="12"/>
                <w:szCs w:val="12"/>
                <w:color w:val="828282"/>
              </w:rPr>
              <w:t>04/01/22</w:t>
            </w:r>
          </w:p>
        </w:tc>
        <w:tc>
          <w:tcPr>
            <w:tcW w:w="84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1160" w:type="dxa"/>
            <w:vAlign w:val="bottom"/>
          </w:tcPr>
          <w:p>
            <w:pPr>
              <w:jc w:val="right"/>
              <w:spacing w:after="0"/>
              <w:rPr>
                <w:sz w:val="20"/>
                <w:szCs w:val="20"/>
                <w:color w:val="auto"/>
              </w:rPr>
            </w:pPr>
            <w:r>
              <w:rPr>
                <w:rFonts w:ascii="Arial" w:cs="Arial" w:eastAsia="Arial" w:hAnsi="Arial"/>
                <w:sz w:val="12"/>
                <w:szCs w:val="12"/>
                <w:color w:val="828282"/>
              </w:rPr>
              <w:t>—</w:t>
            </w:r>
          </w:p>
        </w:tc>
        <w:tc>
          <w:tcPr>
            <w:tcW w:w="1140" w:type="dxa"/>
            <w:vAlign w:val="bottom"/>
          </w:tcPr>
          <w:p>
            <w:pPr>
              <w:jc w:val="right"/>
              <w:ind w:right="59"/>
              <w:spacing w:after="0"/>
              <w:rPr>
                <w:sz w:val="20"/>
                <w:szCs w:val="20"/>
                <w:color w:val="auto"/>
              </w:rPr>
            </w:pPr>
            <w:r>
              <w:rPr>
                <w:rFonts w:ascii="Arial" w:cs="Arial" w:eastAsia="Arial" w:hAnsi="Arial"/>
                <w:sz w:val="12"/>
                <w:szCs w:val="12"/>
                <w:color w:val="828282"/>
              </w:rPr>
              <w:t>—</w:t>
            </w:r>
          </w:p>
        </w:tc>
        <w:tc>
          <w:tcPr>
            <w:tcW w:w="1200" w:type="dxa"/>
            <w:vAlign w:val="bottom"/>
          </w:tcPr>
          <w:p>
            <w:pPr>
              <w:jc w:val="right"/>
              <w:ind w:right="39"/>
              <w:spacing w:after="0"/>
              <w:rPr>
                <w:sz w:val="20"/>
                <w:szCs w:val="20"/>
                <w:color w:val="auto"/>
              </w:rPr>
            </w:pPr>
            <w:r>
              <w:rPr>
                <w:rFonts w:ascii="Arial" w:cs="Arial" w:eastAsia="Arial" w:hAnsi="Arial"/>
                <w:sz w:val="12"/>
                <w:szCs w:val="12"/>
                <w:color w:val="828282"/>
              </w:rPr>
              <w:t>—</w:t>
            </w:r>
          </w:p>
        </w:tc>
        <w:tc>
          <w:tcPr>
            <w:tcW w:w="20" w:type="dxa"/>
            <w:vAlign w:val="bottom"/>
          </w:tcPr>
          <w:p>
            <w:pPr>
              <w:spacing w:after="0"/>
              <w:rPr>
                <w:sz w:val="23"/>
                <w:szCs w:val="23"/>
                <w:color w:val="auto"/>
              </w:rPr>
            </w:pPr>
          </w:p>
        </w:tc>
      </w:tr>
    </w:tbl>
    <w:p>
      <w:pPr>
        <w:spacing w:after="0" w:line="239" w:lineRule="exact"/>
        <w:rPr>
          <w:sz w:val="20"/>
          <w:szCs w:val="20"/>
          <w:color w:val="auto"/>
        </w:rPr>
      </w:pPr>
    </w:p>
    <w:p>
      <w:pPr>
        <w:ind w:left="420" w:hanging="316"/>
        <w:spacing w:after="0" w:line="258" w:lineRule="auto"/>
        <w:tabs>
          <w:tab w:leader="none" w:pos="420" w:val="left"/>
        </w:tabs>
        <w:numPr>
          <w:ilvl w:val="0"/>
          <w:numId w:val="46"/>
        </w:numPr>
        <w:rPr>
          <w:rFonts w:ascii="Arial" w:cs="Arial" w:eastAsia="Arial" w:hAnsi="Arial"/>
          <w:sz w:val="14"/>
          <w:szCs w:val="14"/>
          <w:color w:val="666666"/>
        </w:rPr>
      </w:pPr>
      <w:r>
        <w:rPr>
          <w:rFonts w:ascii="Arial" w:cs="Arial" w:eastAsia="Arial" w:hAnsi="Arial"/>
          <w:sz w:val="14"/>
          <w:szCs w:val="14"/>
          <w:color w:val="666666"/>
        </w:rPr>
        <w:t>The options were granted pursuant to the Equity Incentive Plan and will vest and become exercisable, subject to the continued employment of the named executive officer, on the date set forth in the table below.</w:t>
      </w:r>
    </w:p>
    <w:p>
      <w:pPr>
        <w:spacing w:after="0" w:line="88" w:lineRule="exact"/>
        <w:rPr>
          <w:sz w:val="20"/>
          <w:szCs w:val="20"/>
          <w:color w:val="auto"/>
        </w:rPr>
      </w:pPr>
    </w:p>
    <w:tbl>
      <w:tblPr>
        <w:tblLayout w:type="fixed"/>
        <w:tblInd w:w="1730" w:type="dxa"/>
        <w:tblCellMar>
          <w:top w:w="0" w:type="dxa"/>
          <w:left w:w="0" w:type="dxa"/>
          <w:bottom w:w="0" w:type="dxa"/>
          <w:right w:w="0" w:type="dxa"/>
        </w:tblCellMar>
      </w:tblPr>
      <w:tr>
        <w:trPr>
          <w:trHeight w:val="189"/>
        </w:trPr>
        <w:tc>
          <w:tcPr>
            <w:tcW w:w="1540" w:type="dxa"/>
            <w:vAlign w:val="bottom"/>
            <w:tcBorders>
              <w:top w:val="single" w:sz="8" w:color="auto"/>
              <w:left w:val="single" w:sz="8" w:color="auto"/>
            </w:tcBorders>
            <w:shd w:val="clear" w:color="auto" w:fill="DDDDDD"/>
          </w:tcPr>
          <w:p>
            <w:pPr>
              <w:spacing w:after="0"/>
              <w:rPr>
                <w:sz w:val="16"/>
                <w:szCs w:val="16"/>
                <w:color w:val="auto"/>
              </w:rPr>
            </w:pPr>
          </w:p>
        </w:tc>
        <w:tc>
          <w:tcPr>
            <w:tcW w:w="1200" w:type="dxa"/>
            <w:vAlign w:val="bottom"/>
            <w:tcBorders>
              <w:top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Option Exercise</w:t>
            </w:r>
          </w:p>
        </w:tc>
        <w:tc>
          <w:tcPr>
            <w:tcW w:w="840" w:type="dxa"/>
            <w:vAlign w:val="bottom"/>
            <w:tcBorders>
              <w:top w:val="single" w:sz="8" w:color="auto"/>
            </w:tcBorders>
            <w:shd w:val="clear" w:color="auto" w:fill="DDDDDD"/>
          </w:tcPr>
          <w:p>
            <w:pPr>
              <w:ind w:left="100"/>
              <w:spacing w:after="0"/>
              <w:rPr>
                <w:sz w:val="20"/>
                <w:szCs w:val="20"/>
                <w:color w:val="auto"/>
              </w:rPr>
            </w:pPr>
            <w:r>
              <w:rPr>
                <w:rFonts w:ascii="Arial" w:cs="Arial" w:eastAsia="Arial" w:hAnsi="Arial"/>
                <w:sz w:val="14"/>
                <w:szCs w:val="14"/>
                <w:b w:val="1"/>
                <w:bCs w:val="1"/>
                <w:color w:val="666666"/>
              </w:rPr>
              <w:t>March 31,</w:t>
            </w:r>
          </w:p>
        </w:tc>
        <w:tc>
          <w:tcPr>
            <w:tcW w:w="840" w:type="dxa"/>
            <w:vAlign w:val="bottom"/>
            <w:tcBorders>
              <w:top w:val="single" w:sz="8" w:color="auto"/>
            </w:tcBorders>
            <w:shd w:val="clear" w:color="auto" w:fill="DDDDDD"/>
          </w:tcPr>
          <w:p>
            <w:pPr>
              <w:ind w:left="80"/>
              <w:spacing w:after="0"/>
              <w:rPr>
                <w:sz w:val="20"/>
                <w:szCs w:val="20"/>
                <w:color w:val="auto"/>
              </w:rPr>
            </w:pPr>
            <w:r>
              <w:rPr>
                <w:rFonts w:ascii="Arial" w:cs="Arial" w:eastAsia="Arial" w:hAnsi="Arial"/>
                <w:sz w:val="14"/>
                <w:szCs w:val="14"/>
                <w:b w:val="1"/>
                <w:bCs w:val="1"/>
                <w:color w:val="666666"/>
              </w:rPr>
              <w:t>March 31,</w:t>
            </w:r>
          </w:p>
        </w:tc>
        <w:tc>
          <w:tcPr>
            <w:tcW w:w="880" w:type="dxa"/>
            <w:vAlign w:val="bottom"/>
            <w:tcBorders>
              <w:top w:val="single" w:sz="8" w:color="auto"/>
            </w:tcBorders>
            <w:shd w:val="clear" w:color="auto" w:fill="DDDDDD"/>
          </w:tcPr>
          <w:p>
            <w:pPr>
              <w:ind w:left="100"/>
              <w:spacing w:after="0"/>
              <w:rPr>
                <w:sz w:val="20"/>
                <w:szCs w:val="20"/>
                <w:color w:val="auto"/>
              </w:rPr>
            </w:pPr>
            <w:r>
              <w:rPr>
                <w:rFonts w:ascii="Arial" w:cs="Arial" w:eastAsia="Arial" w:hAnsi="Arial"/>
                <w:sz w:val="14"/>
                <w:szCs w:val="14"/>
                <w:b w:val="1"/>
                <w:bCs w:val="1"/>
                <w:color w:val="666666"/>
              </w:rPr>
              <w:t>March 31,</w:t>
            </w:r>
          </w:p>
        </w:tc>
        <w:tc>
          <w:tcPr>
            <w:tcW w:w="780" w:type="dxa"/>
            <w:vAlign w:val="bottom"/>
            <w:tcBorders>
              <w:top w:val="single" w:sz="8" w:color="auto"/>
              <w:right w:val="single" w:sz="8" w:color="auto"/>
            </w:tcBorders>
            <w:shd w:val="clear" w:color="auto" w:fill="DDDDDD"/>
          </w:tcPr>
          <w:p>
            <w:pPr>
              <w:spacing w:after="0"/>
              <w:rPr>
                <w:sz w:val="16"/>
                <w:szCs w:val="16"/>
                <w:color w:val="auto"/>
              </w:rPr>
            </w:pPr>
          </w:p>
        </w:tc>
      </w:tr>
      <w:tr>
        <w:trPr>
          <w:trHeight w:val="196"/>
        </w:trPr>
        <w:tc>
          <w:tcPr>
            <w:tcW w:w="1540" w:type="dxa"/>
            <w:vAlign w:val="bottom"/>
            <w:tcBorders>
              <w:left w:val="single" w:sz="8" w:color="auto"/>
              <w:bottom w:val="single" w:sz="8" w:color="auto"/>
            </w:tcBorders>
            <w:shd w:val="clear" w:color="auto" w:fill="DDDDDD"/>
          </w:tcPr>
          <w:p>
            <w:pPr>
              <w:ind w:left="40"/>
              <w:spacing w:after="0"/>
              <w:rPr>
                <w:sz w:val="20"/>
                <w:szCs w:val="20"/>
                <w:color w:val="auto"/>
              </w:rPr>
            </w:pPr>
            <w:r>
              <w:rPr>
                <w:rFonts w:ascii="Arial" w:cs="Arial" w:eastAsia="Arial" w:hAnsi="Arial"/>
                <w:sz w:val="14"/>
                <w:szCs w:val="14"/>
                <w:b w:val="1"/>
                <w:bCs w:val="1"/>
                <w:color w:val="666666"/>
              </w:rPr>
              <w:t>Name</w:t>
            </w:r>
          </w:p>
        </w:tc>
        <w:tc>
          <w:tcPr>
            <w:tcW w:w="120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Price</w:t>
            </w:r>
          </w:p>
        </w:tc>
        <w:tc>
          <w:tcPr>
            <w:tcW w:w="84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2021</w:t>
            </w:r>
          </w:p>
        </w:tc>
        <w:tc>
          <w:tcPr>
            <w:tcW w:w="84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2022</w:t>
            </w:r>
          </w:p>
        </w:tc>
        <w:tc>
          <w:tcPr>
            <w:tcW w:w="88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2023</w:t>
            </w:r>
          </w:p>
        </w:tc>
        <w:tc>
          <w:tcPr>
            <w:tcW w:w="780" w:type="dxa"/>
            <w:vAlign w:val="bottom"/>
            <w:tcBorders>
              <w:bottom w:val="single" w:sz="8" w:color="auto"/>
              <w:right w:val="single" w:sz="8" w:color="auto"/>
            </w:tcBorders>
            <w:shd w:val="clear" w:color="auto" w:fill="DDDDDD"/>
          </w:tcPr>
          <w:p>
            <w:pPr>
              <w:ind w:left="200"/>
              <w:spacing w:after="0"/>
              <w:rPr>
                <w:sz w:val="20"/>
                <w:szCs w:val="20"/>
                <w:color w:val="auto"/>
              </w:rPr>
            </w:pPr>
            <w:r>
              <w:rPr>
                <w:rFonts w:ascii="Arial" w:cs="Arial" w:eastAsia="Arial" w:hAnsi="Arial"/>
                <w:sz w:val="14"/>
                <w:szCs w:val="14"/>
                <w:b w:val="1"/>
                <w:bCs w:val="1"/>
                <w:color w:val="666666"/>
              </w:rPr>
              <w:t>Total</w:t>
            </w:r>
          </w:p>
        </w:tc>
      </w:tr>
      <w:tr>
        <w:trPr>
          <w:trHeight w:val="215"/>
        </w:trPr>
        <w:tc>
          <w:tcPr>
            <w:tcW w:w="1540" w:type="dxa"/>
            <w:vAlign w:val="bottom"/>
            <w:tcBorders>
              <w:left w:val="single" w:sz="8" w:color="auto"/>
            </w:tcBorders>
            <w:shd w:val="clear" w:color="auto" w:fill="DDDDDD"/>
          </w:tcPr>
          <w:p>
            <w:pPr>
              <w:ind w:left="40"/>
              <w:spacing w:after="0"/>
              <w:rPr>
                <w:sz w:val="20"/>
                <w:szCs w:val="20"/>
                <w:color w:val="auto"/>
              </w:rPr>
            </w:pPr>
            <w:r>
              <w:rPr>
                <w:rFonts w:ascii="Arial" w:cs="Arial" w:eastAsia="Arial" w:hAnsi="Arial"/>
                <w:sz w:val="14"/>
                <w:szCs w:val="14"/>
                <w:color w:val="666666"/>
              </w:rPr>
              <w:t>Lloyd W. Howell, Jr.</w:t>
            </w:r>
          </w:p>
        </w:tc>
        <w:tc>
          <w:tcPr>
            <w:tcW w:w="120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$35.95</w:t>
            </w:r>
          </w:p>
        </w:tc>
        <w:tc>
          <w:tcPr>
            <w:tcW w:w="84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10,552</w:t>
            </w:r>
          </w:p>
        </w:tc>
        <w:tc>
          <w:tcPr>
            <w:tcW w:w="84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10,553</w:t>
            </w:r>
          </w:p>
        </w:tc>
        <w:tc>
          <w:tcPr>
            <w:tcW w:w="88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78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4"/>
                <w:szCs w:val="14"/>
                <w:color w:val="666666"/>
              </w:rPr>
              <w:t>21,105</w:t>
            </w:r>
          </w:p>
        </w:tc>
      </w:tr>
      <w:tr>
        <w:trPr>
          <w:trHeight w:val="210"/>
        </w:trPr>
        <w:tc>
          <w:tcPr>
            <w:tcW w:w="15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666666"/>
              </w:rPr>
              <w:t>Karen M. Dahut</w:t>
            </w:r>
          </w:p>
        </w:tc>
        <w:tc>
          <w:tcPr>
            <w:tcW w:w="1200" w:type="dxa"/>
            <w:vAlign w:val="bottom"/>
          </w:tcPr>
          <w:p>
            <w:pPr>
              <w:jc w:val="center"/>
              <w:spacing w:after="0"/>
              <w:rPr>
                <w:sz w:val="20"/>
                <w:szCs w:val="20"/>
                <w:color w:val="auto"/>
              </w:rPr>
            </w:pPr>
            <w:r>
              <w:rPr>
                <w:rFonts w:ascii="Arial" w:cs="Arial" w:eastAsia="Arial" w:hAnsi="Arial"/>
                <w:sz w:val="14"/>
                <w:szCs w:val="14"/>
                <w:color w:val="666666"/>
              </w:rPr>
              <w:t>$35.95</w:t>
            </w:r>
          </w:p>
        </w:tc>
        <w:tc>
          <w:tcPr>
            <w:tcW w:w="840" w:type="dxa"/>
            <w:vAlign w:val="bottom"/>
          </w:tcPr>
          <w:p>
            <w:pPr>
              <w:jc w:val="center"/>
              <w:spacing w:after="0"/>
              <w:rPr>
                <w:sz w:val="20"/>
                <w:szCs w:val="20"/>
                <w:color w:val="auto"/>
              </w:rPr>
            </w:pPr>
            <w:r>
              <w:rPr>
                <w:rFonts w:ascii="Arial" w:cs="Arial" w:eastAsia="Arial" w:hAnsi="Arial"/>
                <w:sz w:val="14"/>
                <w:szCs w:val="14"/>
                <w:color w:val="666666"/>
              </w:rPr>
              <w:t>10,552</w:t>
            </w:r>
          </w:p>
        </w:tc>
        <w:tc>
          <w:tcPr>
            <w:tcW w:w="840" w:type="dxa"/>
            <w:vAlign w:val="bottom"/>
          </w:tcPr>
          <w:p>
            <w:pPr>
              <w:jc w:val="center"/>
              <w:spacing w:after="0"/>
              <w:rPr>
                <w:sz w:val="20"/>
                <w:szCs w:val="20"/>
                <w:color w:val="auto"/>
              </w:rPr>
            </w:pPr>
            <w:r>
              <w:rPr>
                <w:rFonts w:ascii="Arial" w:cs="Arial" w:eastAsia="Arial" w:hAnsi="Arial"/>
                <w:sz w:val="14"/>
                <w:szCs w:val="14"/>
                <w:color w:val="666666"/>
              </w:rPr>
              <w:t>10,553</w:t>
            </w:r>
          </w:p>
        </w:tc>
        <w:tc>
          <w:tcPr>
            <w:tcW w:w="88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666666"/>
              </w:rPr>
              <w:t>21,105</w:t>
            </w:r>
          </w:p>
        </w:tc>
      </w:tr>
      <w:tr>
        <w:trPr>
          <w:trHeight w:val="210"/>
        </w:trPr>
        <w:tc>
          <w:tcPr>
            <w:tcW w:w="1540" w:type="dxa"/>
            <w:vAlign w:val="bottom"/>
            <w:tcBorders>
              <w:left w:val="single" w:sz="8" w:color="auto"/>
            </w:tcBorders>
            <w:shd w:val="clear" w:color="auto" w:fill="DDDDDD"/>
          </w:tcPr>
          <w:p>
            <w:pPr>
              <w:ind w:left="40"/>
              <w:spacing w:after="0"/>
              <w:rPr>
                <w:sz w:val="20"/>
                <w:szCs w:val="20"/>
                <w:color w:val="auto"/>
              </w:rPr>
            </w:pPr>
            <w:r>
              <w:rPr>
                <w:rFonts w:ascii="Arial" w:cs="Arial" w:eastAsia="Arial" w:hAnsi="Arial"/>
                <w:sz w:val="14"/>
                <w:szCs w:val="14"/>
                <w:color w:val="666666"/>
              </w:rPr>
              <w:t>Nancy J. Laben</w:t>
            </w:r>
          </w:p>
        </w:tc>
        <w:tc>
          <w:tcPr>
            <w:tcW w:w="120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$51.22</w:t>
            </w:r>
          </w:p>
        </w:tc>
        <w:tc>
          <w:tcPr>
            <w:tcW w:w="84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4,638</w:t>
            </w:r>
          </w:p>
        </w:tc>
        <w:tc>
          <w:tcPr>
            <w:tcW w:w="84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4,638</w:t>
            </w:r>
          </w:p>
        </w:tc>
        <w:tc>
          <w:tcPr>
            <w:tcW w:w="88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4,641</w:t>
            </w:r>
          </w:p>
        </w:tc>
        <w:tc>
          <w:tcPr>
            <w:tcW w:w="78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4"/>
                <w:szCs w:val="14"/>
                <w:color w:val="666666"/>
              </w:rPr>
              <w:t>13,917</w:t>
            </w:r>
          </w:p>
        </w:tc>
      </w:tr>
      <w:tr>
        <w:trPr>
          <w:trHeight w:val="270"/>
        </w:trPr>
        <w:tc>
          <w:tcPr>
            <w:tcW w:w="1540" w:type="dxa"/>
            <w:vAlign w:val="bottom"/>
            <w:tcBorders>
              <w:left w:val="single" w:sz="8" w:color="auto"/>
            </w:tcBorders>
            <w:shd w:val="clear" w:color="auto" w:fill="DDDDDD"/>
          </w:tcPr>
          <w:p>
            <w:pPr>
              <w:spacing w:after="0"/>
              <w:rPr>
                <w:sz w:val="23"/>
                <w:szCs w:val="23"/>
                <w:color w:val="auto"/>
              </w:rPr>
            </w:pPr>
          </w:p>
        </w:tc>
        <w:tc>
          <w:tcPr>
            <w:tcW w:w="120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$35.63</w:t>
            </w:r>
          </w:p>
        </w:tc>
        <w:tc>
          <w:tcPr>
            <w:tcW w:w="84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5,362</w:t>
            </w:r>
          </w:p>
        </w:tc>
        <w:tc>
          <w:tcPr>
            <w:tcW w:w="84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5,366</w:t>
            </w:r>
          </w:p>
        </w:tc>
        <w:tc>
          <w:tcPr>
            <w:tcW w:w="88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78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4"/>
                <w:szCs w:val="14"/>
                <w:color w:val="666666"/>
              </w:rPr>
              <w:t>10,728</w:t>
            </w:r>
          </w:p>
        </w:tc>
      </w:tr>
      <w:tr>
        <w:trPr>
          <w:trHeight w:val="282"/>
        </w:trPr>
        <w:tc>
          <w:tcPr>
            <w:tcW w:w="1540" w:type="dxa"/>
            <w:vAlign w:val="bottom"/>
            <w:tcBorders>
              <w:left w:val="single" w:sz="8" w:color="auto"/>
            </w:tcBorders>
            <w:shd w:val="clear" w:color="auto" w:fill="DDDDDD"/>
          </w:tcPr>
          <w:p>
            <w:pPr>
              <w:spacing w:after="0"/>
              <w:rPr>
                <w:sz w:val="24"/>
                <w:szCs w:val="24"/>
                <w:color w:val="auto"/>
              </w:rPr>
            </w:pPr>
          </w:p>
        </w:tc>
        <w:tc>
          <w:tcPr>
            <w:tcW w:w="120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$26.41</w:t>
            </w:r>
          </w:p>
        </w:tc>
        <w:tc>
          <w:tcPr>
            <w:tcW w:w="84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8,103</w:t>
            </w:r>
          </w:p>
        </w:tc>
        <w:tc>
          <w:tcPr>
            <w:tcW w:w="84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w:t>
            </w:r>
          </w:p>
        </w:tc>
        <w:tc>
          <w:tcPr>
            <w:tcW w:w="88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78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4"/>
                <w:szCs w:val="14"/>
                <w:color w:val="666666"/>
              </w:rPr>
              <w:t>8,103</w:t>
            </w:r>
          </w:p>
        </w:tc>
      </w:tr>
      <w:tr>
        <w:trPr>
          <w:trHeight w:val="210"/>
        </w:trPr>
        <w:tc>
          <w:tcPr>
            <w:tcW w:w="1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666666"/>
              </w:rPr>
              <w:t>Susan L. Penfield</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666666"/>
              </w:rPr>
              <w:t>$35.95</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666666"/>
              </w:rPr>
              <w:t>10,552</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666666"/>
              </w:rPr>
              <w:t>10,553</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666666"/>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666666"/>
              </w:rPr>
              <w:t>21,105</w:t>
            </w:r>
          </w:p>
        </w:tc>
      </w:tr>
    </w:tbl>
    <w:p>
      <w:pPr>
        <w:spacing w:after="0" w:line="5" w:lineRule="exact"/>
        <w:rPr>
          <w:sz w:val="20"/>
          <w:szCs w:val="20"/>
          <w:color w:val="auto"/>
        </w:rPr>
      </w:pPr>
    </w:p>
    <w:p>
      <w:pPr>
        <w:ind w:left="420"/>
        <w:spacing w:after="0"/>
        <w:rPr>
          <w:sz w:val="20"/>
          <w:szCs w:val="20"/>
          <w:color w:val="auto"/>
        </w:rPr>
      </w:pPr>
      <w:r>
        <w:rPr>
          <w:rFonts w:ascii="Arial" w:cs="Arial" w:eastAsia="Arial" w:hAnsi="Arial"/>
          <w:sz w:val="14"/>
          <w:szCs w:val="14"/>
          <w:color w:val="666666"/>
        </w:rPr>
        <w:t>These options fully vest and become exercisable immediately prior to the effective date of certain change in control events.</w:t>
      </w:r>
    </w:p>
    <w:p>
      <w:pPr>
        <w:spacing w:after="0" w:line="1" w:lineRule="exact"/>
        <w:rPr>
          <w:sz w:val="20"/>
          <w:szCs w:val="20"/>
          <w:color w:val="auto"/>
        </w:rPr>
      </w:pPr>
    </w:p>
    <w:p>
      <w:pPr>
        <w:ind w:left="420" w:hanging="316"/>
        <w:spacing w:after="0"/>
        <w:tabs>
          <w:tab w:leader="none" w:pos="420" w:val="left"/>
        </w:tabs>
        <w:numPr>
          <w:ilvl w:val="0"/>
          <w:numId w:val="47"/>
        </w:numPr>
        <w:rPr>
          <w:rFonts w:ascii="Arial" w:cs="Arial" w:eastAsia="Arial" w:hAnsi="Arial"/>
          <w:sz w:val="14"/>
          <w:szCs w:val="14"/>
          <w:color w:val="666666"/>
        </w:rPr>
      </w:pPr>
      <w:r>
        <w:rPr>
          <w:rFonts w:ascii="Arial" w:cs="Arial" w:eastAsia="Arial" w:hAnsi="Arial"/>
          <w:sz w:val="14"/>
          <w:szCs w:val="14"/>
          <w:color w:val="666666"/>
        </w:rPr>
        <w:t>Exercise price of options granted on April 1, 2012 reflects adjustment in connection with a $6.50 special dividend paid in August 2012.</w:t>
      </w:r>
    </w:p>
    <w:p>
      <w:pPr>
        <w:spacing w:after="0" w:line="1" w:lineRule="exact"/>
        <w:rPr>
          <w:rFonts w:ascii="Arial" w:cs="Arial" w:eastAsia="Arial" w:hAnsi="Arial"/>
          <w:sz w:val="14"/>
          <w:szCs w:val="14"/>
          <w:color w:val="666666"/>
        </w:rPr>
      </w:pPr>
    </w:p>
    <w:p>
      <w:pPr>
        <w:ind w:left="420" w:hanging="316"/>
        <w:spacing w:after="0"/>
        <w:tabs>
          <w:tab w:leader="none" w:pos="420" w:val="left"/>
        </w:tabs>
        <w:numPr>
          <w:ilvl w:val="0"/>
          <w:numId w:val="47"/>
        </w:numPr>
        <w:rPr>
          <w:rFonts w:ascii="Arial" w:cs="Arial" w:eastAsia="Arial" w:hAnsi="Arial"/>
          <w:sz w:val="14"/>
          <w:szCs w:val="14"/>
          <w:color w:val="666666"/>
        </w:rPr>
      </w:pPr>
      <w:r>
        <w:rPr>
          <w:rFonts w:ascii="Arial" w:cs="Arial" w:eastAsia="Arial" w:hAnsi="Arial"/>
          <w:sz w:val="14"/>
          <w:szCs w:val="14"/>
          <w:color w:val="666666"/>
        </w:rPr>
        <w:t>The named executive officers’ restricted stock units will vest on the dates set forth in the table below.</w:t>
      </w: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666666"/>
        </w:rPr>
        <w:t>41</w:t>
      </w:r>
    </w:p>
    <w:p>
      <w:pPr>
        <w:sectPr>
          <w:pgSz w:w="11900" w:h="16838" w:orient="portrait"/>
          <w:cols w:equalWidth="0" w:num="1">
            <w:col w:w="11120"/>
          </w:cols>
          <w:pgMar w:left="440" w:top="517" w:right="339" w:bottom="1440" w:gutter="0" w:footer="0" w:header="0"/>
        </w:sectPr>
      </w:pPr>
    </w:p>
    <w:bookmarkStart w:id="50" w:name="page51"/>
    <w:bookmarkEnd w:id="50"/>
    <w:tbl>
      <w:tblPr>
        <w:tblLayout w:type="fixed"/>
        <w:tblInd w:w="3290" w:type="dxa"/>
        <w:tblCellMar>
          <w:top w:w="0" w:type="dxa"/>
          <w:left w:w="0" w:type="dxa"/>
          <w:bottom w:w="0" w:type="dxa"/>
          <w:right w:w="0" w:type="dxa"/>
        </w:tblCellMar>
      </w:tblPr>
      <w:tr>
        <w:trPr>
          <w:trHeight w:val="223"/>
        </w:trPr>
        <w:tc>
          <w:tcPr>
            <w:tcW w:w="1440" w:type="dxa"/>
            <w:vAlign w:val="bottom"/>
            <w:tcBorders>
              <w:top w:val="single" w:sz="8" w:color="auto"/>
              <w:left w:val="single" w:sz="8" w:color="auto"/>
              <w:bottom w:val="single" w:sz="8" w:color="auto"/>
            </w:tcBorders>
            <w:shd w:val="clear" w:color="auto" w:fill="DDDDDD"/>
          </w:tcPr>
          <w:p>
            <w:pPr>
              <w:ind w:left="40"/>
              <w:spacing w:after="0"/>
              <w:rPr>
                <w:sz w:val="20"/>
                <w:szCs w:val="20"/>
                <w:color w:val="auto"/>
              </w:rPr>
            </w:pPr>
            <w:r>
              <w:rPr>
                <w:rFonts w:ascii="Arial" w:cs="Arial" w:eastAsia="Arial" w:hAnsi="Arial"/>
                <w:sz w:val="14"/>
                <w:szCs w:val="14"/>
                <w:b w:val="1"/>
                <w:bCs w:val="1"/>
                <w:color w:val="666666"/>
              </w:rPr>
              <w:t>Name</w:t>
            </w:r>
          </w:p>
        </w:tc>
        <w:tc>
          <w:tcPr>
            <w:tcW w:w="2380" w:type="dxa"/>
            <w:vAlign w:val="bottom"/>
            <w:tcBorders>
              <w:top w:val="single" w:sz="8" w:color="auto"/>
              <w:bottom w:val="single" w:sz="8" w:color="auto"/>
            </w:tcBorders>
            <w:gridSpan w:val="2"/>
            <w:shd w:val="clear" w:color="auto" w:fill="DDDDDD"/>
          </w:tcPr>
          <w:p>
            <w:pPr>
              <w:jc w:val="right"/>
              <w:ind w:right="108"/>
              <w:spacing w:after="0"/>
              <w:rPr>
                <w:sz w:val="20"/>
                <w:szCs w:val="20"/>
                <w:color w:val="auto"/>
              </w:rPr>
            </w:pPr>
            <w:r>
              <w:rPr>
                <w:rFonts w:ascii="Arial" w:cs="Arial" w:eastAsia="Arial" w:hAnsi="Arial"/>
                <w:sz w:val="14"/>
                <w:szCs w:val="14"/>
                <w:b w:val="1"/>
                <w:bCs w:val="1"/>
                <w:color w:val="666666"/>
              </w:rPr>
              <w:t>March 31, 2021 March 31, 2022</w:t>
            </w:r>
          </w:p>
        </w:tc>
        <w:tc>
          <w:tcPr>
            <w:tcW w:w="940" w:type="dxa"/>
            <w:vAlign w:val="bottom"/>
            <w:tcBorders>
              <w:top w:val="single" w:sz="8" w:color="auto"/>
              <w:bottom w:val="single" w:sz="8" w:color="auto"/>
              <w:right w:val="single" w:sz="8" w:color="auto"/>
            </w:tcBorders>
            <w:shd w:val="clear" w:color="auto" w:fill="DDDDDD"/>
          </w:tcPr>
          <w:p>
            <w:pPr>
              <w:ind w:left="220"/>
              <w:spacing w:after="0"/>
              <w:rPr>
                <w:sz w:val="20"/>
                <w:szCs w:val="20"/>
                <w:color w:val="auto"/>
              </w:rPr>
            </w:pPr>
            <w:r>
              <w:rPr>
                <w:rFonts w:ascii="Arial" w:cs="Arial" w:eastAsia="Arial" w:hAnsi="Arial"/>
                <w:sz w:val="14"/>
                <w:szCs w:val="14"/>
                <w:b w:val="1"/>
                <w:bCs w:val="1"/>
                <w:color w:val="666666"/>
              </w:rPr>
              <w:t>Total</w:t>
            </w:r>
          </w:p>
        </w:tc>
      </w:tr>
      <w:tr>
        <w:trPr>
          <w:trHeight w:val="210"/>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666666"/>
              </w:rPr>
              <w:t>Horacio D. Rozanski</w:t>
            </w:r>
          </w:p>
        </w:tc>
        <w:tc>
          <w:tcPr>
            <w:tcW w:w="1160" w:type="dxa"/>
            <w:vAlign w:val="bottom"/>
          </w:tcPr>
          <w:p>
            <w:pPr>
              <w:jc w:val="center"/>
              <w:spacing w:after="0"/>
              <w:rPr>
                <w:sz w:val="20"/>
                <w:szCs w:val="20"/>
                <w:color w:val="auto"/>
              </w:rPr>
            </w:pPr>
            <w:r>
              <w:rPr>
                <w:rFonts w:ascii="Arial" w:cs="Arial" w:eastAsia="Arial" w:hAnsi="Arial"/>
                <w:sz w:val="14"/>
                <w:szCs w:val="14"/>
                <w:color w:val="666666"/>
              </w:rPr>
              <w:t>18,818</w:t>
            </w:r>
          </w:p>
        </w:tc>
        <w:tc>
          <w:tcPr>
            <w:tcW w:w="1220" w:type="dxa"/>
            <w:vAlign w:val="bottom"/>
          </w:tcPr>
          <w:p>
            <w:pPr>
              <w:jc w:val="right"/>
              <w:ind w:right="448"/>
              <w:spacing w:after="0"/>
              <w:rPr>
                <w:sz w:val="20"/>
                <w:szCs w:val="20"/>
                <w:color w:val="auto"/>
              </w:rPr>
            </w:pPr>
            <w:r>
              <w:rPr>
                <w:rFonts w:ascii="Arial" w:cs="Arial" w:eastAsia="Arial" w:hAnsi="Arial"/>
                <w:sz w:val="14"/>
                <w:szCs w:val="14"/>
                <w:color w:val="666666"/>
              </w:rPr>
              <w:t>7,513</w:t>
            </w:r>
          </w:p>
        </w:tc>
        <w:tc>
          <w:tcPr>
            <w:tcW w:w="940" w:type="dxa"/>
            <w:vAlign w:val="bottom"/>
            <w:tcBorders>
              <w:right w:val="single" w:sz="8" w:color="auto"/>
            </w:tcBorders>
          </w:tcPr>
          <w:p>
            <w:pPr>
              <w:jc w:val="center"/>
              <w:ind w:right="108"/>
              <w:spacing w:after="0"/>
              <w:rPr>
                <w:sz w:val="20"/>
                <w:szCs w:val="20"/>
                <w:color w:val="auto"/>
              </w:rPr>
            </w:pPr>
            <w:r>
              <w:rPr>
                <w:rFonts w:ascii="Arial" w:cs="Arial" w:eastAsia="Arial" w:hAnsi="Arial"/>
                <w:sz w:val="14"/>
                <w:szCs w:val="14"/>
                <w:color w:val="666666"/>
              </w:rPr>
              <w:t>26,331</w:t>
            </w:r>
          </w:p>
        </w:tc>
      </w:tr>
      <w:tr>
        <w:trPr>
          <w:trHeight w:val="222"/>
        </w:trPr>
        <w:tc>
          <w:tcPr>
            <w:tcW w:w="1440" w:type="dxa"/>
            <w:vAlign w:val="bottom"/>
            <w:tcBorders>
              <w:left w:val="single" w:sz="8" w:color="auto"/>
            </w:tcBorders>
            <w:shd w:val="clear" w:color="auto" w:fill="DDDDDD"/>
          </w:tcPr>
          <w:p>
            <w:pPr>
              <w:ind w:left="40"/>
              <w:spacing w:after="0"/>
              <w:rPr>
                <w:sz w:val="20"/>
                <w:szCs w:val="20"/>
                <w:color w:val="auto"/>
              </w:rPr>
            </w:pPr>
            <w:r>
              <w:rPr>
                <w:rFonts w:ascii="Arial" w:cs="Arial" w:eastAsia="Arial" w:hAnsi="Arial"/>
                <w:sz w:val="14"/>
                <w:szCs w:val="14"/>
                <w:color w:val="666666"/>
              </w:rPr>
              <w:t>Lloyd W. Howell, Jr.</w:t>
            </w:r>
          </w:p>
        </w:tc>
        <w:tc>
          <w:tcPr>
            <w:tcW w:w="116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10,080</w:t>
            </w:r>
          </w:p>
        </w:tc>
        <w:tc>
          <w:tcPr>
            <w:tcW w:w="1220" w:type="dxa"/>
            <w:vAlign w:val="bottom"/>
            <w:shd w:val="clear" w:color="auto" w:fill="DDDDDD"/>
          </w:tcPr>
          <w:p>
            <w:pPr>
              <w:jc w:val="right"/>
              <w:ind w:right="448"/>
              <w:spacing w:after="0"/>
              <w:rPr>
                <w:sz w:val="20"/>
                <w:szCs w:val="20"/>
                <w:color w:val="auto"/>
              </w:rPr>
            </w:pPr>
            <w:r>
              <w:rPr>
                <w:rFonts w:ascii="Arial" w:cs="Arial" w:eastAsia="Arial" w:hAnsi="Arial"/>
                <w:sz w:val="14"/>
                <w:szCs w:val="14"/>
                <w:color w:val="666666"/>
              </w:rPr>
              <w:t>4,025</w:t>
            </w:r>
          </w:p>
        </w:tc>
        <w:tc>
          <w:tcPr>
            <w:tcW w:w="940" w:type="dxa"/>
            <w:vAlign w:val="bottom"/>
            <w:tcBorders>
              <w:right w:val="single" w:sz="8" w:color="auto"/>
            </w:tcBorders>
            <w:shd w:val="clear" w:color="auto" w:fill="DDDDDD"/>
          </w:tcPr>
          <w:p>
            <w:pPr>
              <w:jc w:val="center"/>
              <w:ind w:right="108"/>
              <w:spacing w:after="0"/>
              <w:rPr>
                <w:sz w:val="20"/>
                <w:szCs w:val="20"/>
                <w:color w:val="auto"/>
              </w:rPr>
            </w:pPr>
            <w:r>
              <w:rPr>
                <w:rFonts w:ascii="Arial" w:cs="Arial" w:eastAsia="Arial" w:hAnsi="Arial"/>
                <w:sz w:val="14"/>
                <w:szCs w:val="14"/>
                <w:color w:val="666666"/>
              </w:rPr>
              <w:t>14,105</w:t>
            </w:r>
          </w:p>
        </w:tc>
      </w:tr>
      <w:tr>
        <w:trPr>
          <w:trHeight w:val="210"/>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666666"/>
              </w:rPr>
              <w:t>Karen M. Dahut</w:t>
            </w:r>
          </w:p>
        </w:tc>
        <w:tc>
          <w:tcPr>
            <w:tcW w:w="1160" w:type="dxa"/>
            <w:vAlign w:val="bottom"/>
          </w:tcPr>
          <w:p>
            <w:pPr>
              <w:jc w:val="center"/>
              <w:spacing w:after="0"/>
              <w:rPr>
                <w:sz w:val="20"/>
                <w:szCs w:val="20"/>
                <w:color w:val="auto"/>
              </w:rPr>
            </w:pPr>
            <w:r>
              <w:rPr>
                <w:rFonts w:ascii="Arial" w:cs="Arial" w:eastAsia="Arial" w:hAnsi="Arial"/>
                <w:sz w:val="14"/>
                <w:szCs w:val="14"/>
                <w:color w:val="666666"/>
              </w:rPr>
              <w:t>10,080</w:t>
            </w:r>
          </w:p>
        </w:tc>
        <w:tc>
          <w:tcPr>
            <w:tcW w:w="1220" w:type="dxa"/>
            <w:vAlign w:val="bottom"/>
          </w:tcPr>
          <w:p>
            <w:pPr>
              <w:jc w:val="right"/>
              <w:ind w:right="448"/>
              <w:spacing w:after="0"/>
              <w:rPr>
                <w:sz w:val="20"/>
                <w:szCs w:val="20"/>
                <w:color w:val="auto"/>
              </w:rPr>
            </w:pPr>
            <w:r>
              <w:rPr>
                <w:rFonts w:ascii="Arial" w:cs="Arial" w:eastAsia="Arial" w:hAnsi="Arial"/>
                <w:sz w:val="14"/>
                <w:szCs w:val="14"/>
                <w:color w:val="666666"/>
              </w:rPr>
              <w:t>4,025</w:t>
            </w:r>
          </w:p>
        </w:tc>
        <w:tc>
          <w:tcPr>
            <w:tcW w:w="940" w:type="dxa"/>
            <w:vAlign w:val="bottom"/>
            <w:tcBorders>
              <w:right w:val="single" w:sz="8" w:color="auto"/>
            </w:tcBorders>
          </w:tcPr>
          <w:p>
            <w:pPr>
              <w:jc w:val="center"/>
              <w:ind w:right="108"/>
              <w:spacing w:after="0"/>
              <w:rPr>
                <w:sz w:val="20"/>
                <w:szCs w:val="20"/>
                <w:color w:val="auto"/>
              </w:rPr>
            </w:pPr>
            <w:r>
              <w:rPr>
                <w:rFonts w:ascii="Arial" w:cs="Arial" w:eastAsia="Arial" w:hAnsi="Arial"/>
                <w:sz w:val="14"/>
                <w:szCs w:val="14"/>
                <w:color w:val="666666"/>
              </w:rPr>
              <w:t>14,105</w:t>
            </w:r>
          </w:p>
        </w:tc>
      </w:tr>
      <w:tr>
        <w:trPr>
          <w:trHeight w:val="222"/>
        </w:trPr>
        <w:tc>
          <w:tcPr>
            <w:tcW w:w="1440" w:type="dxa"/>
            <w:vAlign w:val="bottom"/>
            <w:tcBorders>
              <w:left w:val="single" w:sz="8" w:color="auto"/>
            </w:tcBorders>
            <w:shd w:val="clear" w:color="auto" w:fill="DDDDDD"/>
          </w:tcPr>
          <w:p>
            <w:pPr>
              <w:ind w:left="40"/>
              <w:spacing w:after="0"/>
              <w:rPr>
                <w:sz w:val="20"/>
                <w:szCs w:val="20"/>
                <w:color w:val="auto"/>
              </w:rPr>
            </w:pPr>
            <w:r>
              <w:rPr>
                <w:rFonts w:ascii="Arial" w:cs="Arial" w:eastAsia="Arial" w:hAnsi="Arial"/>
                <w:sz w:val="14"/>
                <w:szCs w:val="14"/>
                <w:color w:val="666666"/>
              </w:rPr>
              <w:t>Nancy J. Laben</w:t>
            </w:r>
          </w:p>
        </w:tc>
        <w:tc>
          <w:tcPr>
            <w:tcW w:w="116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4,418</w:t>
            </w:r>
          </w:p>
        </w:tc>
        <w:tc>
          <w:tcPr>
            <w:tcW w:w="1220" w:type="dxa"/>
            <w:vAlign w:val="bottom"/>
            <w:shd w:val="clear" w:color="auto" w:fill="DDDDDD"/>
          </w:tcPr>
          <w:p>
            <w:pPr>
              <w:jc w:val="right"/>
              <w:ind w:right="448"/>
              <w:spacing w:after="0"/>
              <w:rPr>
                <w:sz w:val="20"/>
                <w:szCs w:val="20"/>
                <w:color w:val="auto"/>
              </w:rPr>
            </w:pPr>
            <w:r>
              <w:rPr>
                <w:rFonts w:ascii="Arial" w:cs="Arial" w:eastAsia="Arial" w:hAnsi="Arial"/>
                <w:sz w:val="14"/>
                <w:szCs w:val="14"/>
                <w:color w:val="666666"/>
              </w:rPr>
              <w:t>2,094</w:t>
            </w:r>
          </w:p>
        </w:tc>
        <w:tc>
          <w:tcPr>
            <w:tcW w:w="940" w:type="dxa"/>
            <w:vAlign w:val="bottom"/>
            <w:tcBorders>
              <w:right w:val="single" w:sz="8" w:color="auto"/>
            </w:tcBorders>
            <w:shd w:val="clear" w:color="auto" w:fill="DDDDDD"/>
          </w:tcPr>
          <w:p>
            <w:pPr>
              <w:jc w:val="center"/>
              <w:ind w:right="108"/>
              <w:spacing w:after="0"/>
              <w:rPr>
                <w:sz w:val="20"/>
                <w:szCs w:val="20"/>
                <w:color w:val="auto"/>
              </w:rPr>
            </w:pPr>
            <w:r>
              <w:rPr>
                <w:rFonts w:ascii="Arial" w:cs="Arial" w:eastAsia="Arial" w:hAnsi="Arial"/>
                <w:sz w:val="14"/>
                <w:szCs w:val="14"/>
                <w:color w:val="666666"/>
              </w:rPr>
              <w:t>6,512</w:t>
            </w:r>
          </w:p>
        </w:tc>
      </w:tr>
      <w:tr>
        <w:trPr>
          <w:trHeight w:val="210"/>
        </w:trPr>
        <w:tc>
          <w:tcPr>
            <w:tcW w:w="1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666666"/>
              </w:rPr>
              <w:t>Susan L. Penfield</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666666"/>
              </w:rPr>
              <w:t>5,007</w:t>
            </w: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666666"/>
              </w:rPr>
              <w:t>1,878</w:t>
            </w:r>
          </w:p>
        </w:tc>
        <w:tc>
          <w:tcPr>
            <w:tcW w:w="940" w:type="dxa"/>
            <w:vAlign w:val="bottom"/>
            <w:tcBorders>
              <w:bottom w:val="single" w:sz="8" w:color="auto"/>
              <w:right w:val="single" w:sz="8" w:color="auto"/>
            </w:tcBorders>
          </w:tcPr>
          <w:p>
            <w:pPr>
              <w:jc w:val="center"/>
              <w:ind w:right="108"/>
              <w:spacing w:after="0"/>
              <w:rPr>
                <w:sz w:val="20"/>
                <w:szCs w:val="20"/>
                <w:color w:val="auto"/>
              </w:rPr>
            </w:pPr>
            <w:r>
              <w:rPr>
                <w:rFonts w:ascii="Arial" w:cs="Arial" w:eastAsia="Arial" w:hAnsi="Arial"/>
                <w:sz w:val="14"/>
                <w:szCs w:val="14"/>
                <w:color w:val="666666"/>
              </w:rPr>
              <w:t>6,885</w:t>
            </w:r>
          </w:p>
        </w:tc>
      </w:tr>
    </w:tbl>
    <w:p>
      <w:pPr>
        <w:spacing w:after="0" w:line="5" w:lineRule="exact"/>
        <w:rPr>
          <w:sz w:val="20"/>
          <w:szCs w:val="20"/>
          <w:color w:val="auto"/>
        </w:rPr>
      </w:pPr>
    </w:p>
    <w:p>
      <w:pPr>
        <w:ind w:left="540"/>
        <w:spacing w:after="0"/>
        <w:rPr>
          <w:sz w:val="20"/>
          <w:szCs w:val="20"/>
          <w:color w:val="auto"/>
        </w:rPr>
      </w:pPr>
      <w:r>
        <w:rPr>
          <w:rFonts w:ascii="Arial" w:cs="Arial" w:eastAsia="Arial" w:hAnsi="Arial"/>
          <w:sz w:val="14"/>
          <w:szCs w:val="14"/>
          <w:color w:val="666666"/>
        </w:rPr>
        <w:t>The restricted stock units become fully vested upon certain change in control events, unless otherwise determined by our Compensation Committee.</w:t>
      </w:r>
    </w:p>
    <w:p>
      <w:pPr>
        <w:spacing w:after="0" w:line="1" w:lineRule="exact"/>
        <w:rPr>
          <w:sz w:val="20"/>
          <w:szCs w:val="20"/>
          <w:color w:val="auto"/>
        </w:rPr>
      </w:pPr>
    </w:p>
    <w:p>
      <w:pPr>
        <w:ind w:left="540" w:hanging="316"/>
        <w:spacing w:after="0"/>
        <w:tabs>
          <w:tab w:leader="none" w:pos="540" w:val="left"/>
        </w:tabs>
        <w:numPr>
          <w:ilvl w:val="0"/>
          <w:numId w:val="48"/>
        </w:numPr>
        <w:rPr>
          <w:rFonts w:ascii="Arial" w:cs="Arial" w:eastAsia="Arial" w:hAnsi="Arial"/>
          <w:sz w:val="14"/>
          <w:szCs w:val="14"/>
          <w:color w:val="666666"/>
        </w:rPr>
      </w:pPr>
      <w:r>
        <w:rPr>
          <w:rFonts w:ascii="Arial" w:cs="Arial" w:eastAsia="Arial" w:hAnsi="Arial"/>
          <w:sz w:val="14"/>
          <w:szCs w:val="14"/>
          <w:color w:val="666666"/>
        </w:rPr>
        <w:t>Market value has been determined based on the fair market value of our common stock on March 31, 2020 of $68.64.</w:t>
      </w:r>
    </w:p>
    <w:p>
      <w:pPr>
        <w:spacing w:after="0" w:line="1" w:lineRule="exact"/>
        <w:rPr>
          <w:rFonts w:ascii="Arial" w:cs="Arial" w:eastAsia="Arial" w:hAnsi="Arial"/>
          <w:sz w:val="14"/>
          <w:szCs w:val="14"/>
          <w:color w:val="666666"/>
        </w:rPr>
      </w:pPr>
    </w:p>
    <w:p>
      <w:pPr>
        <w:jc w:val="both"/>
        <w:ind w:left="540" w:hanging="316"/>
        <w:spacing w:after="0" w:line="249" w:lineRule="auto"/>
        <w:tabs>
          <w:tab w:leader="none" w:pos="540" w:val="left"/>
        </w:tabs>
        <w:numPr>
          <w:ilvl w:val="0"/>
          <w:numId w:val="48"/>
        </w:numPr>
        <w:rPr>
          <w:rFonts w:ascii="Arial" w:cs="Arial" w:eastAsia="Arial" w:hAnsi="Arial"/>
          <w:sz w:val="14"/>
          <w:szCs w:val="14"/>
          <w:color w:val="666666"/>
        </w:rPr>
      </w:pPr>
      <w:r>
        <w:rPr>
          <w:rFonts w:ascii="Arial" w:cs="Arial" w:eastAsia="Arial" w:hAnsi="Arial"/>
          <w:sz w:val="14"/>
          <w:szCs w:val="14"/>
          <w:color w:val="666666"/>
        </w:rPr>
        <w:t>Column reflects the number of performance units based on maximum performance which is 200% of the target grant amount for the fiscal year 2019 and fiscal year 2020 performance-based restricted stock units, rounded down to the nearest whole share. The table below reflects the vesting opportunity for the fiscal year 2019 and fiscal year 2020 performance-based restricted stock unit grants assuming achievement of target performance for the named executive officers.</w:t>
      </w:r>
    </w:p>
    <w:p>
      <w:pPr>
        <w:spacing w:after="0" w:line="95" w:lineRule="exact"/>
        <w:rPr>
          <w:sz w:val="20"/>
          <w:szCs w:val="20"/>
          <w:color w:val="auto"/>
        </w:rPr>
      </w:pPr>
    </w:p>
    <w:tbl>
      <w:tblPr>
        <w:tblLayout w:type="fixed"/>
        <w:tblInd w:w="3290" w:type="dxa"/>
        <w:tblCellMar>
          <w:top w:w="0" w:type="dxa"/>
          <w:left w:w="0" w:type="dxa"/>
          <w:bottom w:w="0" w:type="dxa"/>
          <w:right w:w="0" w:type="dxa"/>
        </w:tblCellMar>
      </w:tblPr>
      <w:tr>
        <w:trPr>
          <w:trHeight w:val="224"/>
        </w:trPr>
        <w:tc>
          <w:tcPr>
            <w:tcW w:w="1440" w:type="dxa"/>
            <w:vAlign w:val="bottom"/>
            <w:tcBorders>
              <w:top w:val="single" w:sz="8" w:color="auto"/>
              <w:left w:val="single" w:sz="8" w:color="auto"/>
              <w:bottom w:val="single" w:sz="8" w:color="auto"/>
            </w:tcBorders>
            <w:shd w:val="clear" w:color="auto" w:fill="DDDDDD"/>
          </w:tcPr>
          <w:p>
            <w:pPr>
              <w:ind w:left="40"/>
              <w:spacing w:after="0"/>
              <w:rPr>
                <w:sz w:val="20"/>
                <w:szCs w:val="20"/>
                <w:color w:val="auto"/>
              </w:rPr>
            </w:pPr>
            <w:r>
              <w:rPr>
                <w:rFonts w:ascii="Arial" w:cs="Arial" w:eastAsia="Arial" w:hAnsi="Arial"/>
                <w:sz w:val="14"/>
                <w:szCs w:val="14"/>
                <w:b w:val="1"/>
                <w:bCs w:val="1"/>
                <w:color w:val="666666"/>
              </w:rPr>
              <w:t>Name</w:t>
            </w:r>
          </w:p>
        </w:tc>
        <w:tc>
          <w:tcPr>
            <w:tcW w:w="2360" w:type="dxa"/>
            <w:vAlign w:val="bottom"/>
            <w:tcBorders>
              <w:top w:val="single" w:sz="8" w:color="auto"/>
              <w:bottom w:val="single" w:sz="8" w:color="auto"/>
            </w:tcBorders>
            <w:gridSpan w:val="2"/>
            <w:shd w:val="clear" w:color="auto" w:fill="DDDDDD"/>
          </w:tcPr>
          <w:p>
            <w:pPr>
              <w:ind w:left="100"/>
              <w:spacing w:after="0"/>
              <w:rPr>
                <w:sz w:val="20"/>
                <w:szCs w:val="20"/>
                <w:color w:val="auto"/>
              </w:rPr>
            </w:pPr>
            <w:r>
              <w:rPr>
                <w:rFonts w:ascii="Arial" w:cs="Arial" w:eastAsia="Arial" w:hAnsi="Arial"/>
                <w:sz w:val="14"/>
                <w:szCs w:val="14"/>
                <w:b w:val="1"/>
                <w:bCs w:val="1"/>
                <w:color w:val="666666"/>
              </w:rPr>
              <w:t>March 31, 2021 March 31, 2022</w:t>
            </w:r>
          </w:p>
        </w:tc>
        <w:tc>
          <w:tcPr>
            <w:tcW w:w="960" w:type="dxa"/>
            <w:vAlign w:val="bottom"/>
            <w:tcBorders>
              <w:top w:val="single" w:sz="8" w:color="auto"/>
              <w:bottom w:val="single" w:sz="8" w:color="auto"/>
              <w:right w:val="single" w:sz="8" w:color="auto"/>
            </w:tcBorders>
            <w:shd w:val="clear" w:color="auto" w:fill="DDDDDD"/>
          </w:tcPr>
          <w:p>
            <w:pPr>
              <w:ind w:left="240"/>
              <w:spacing w:after="0"/>
              <w:rPr>
                <w:sz w:val="20"/>
                <w:szCs w:val="20"/>
                <w:color w:val="auto"/>
              </w:rPr>
            </w:pPr>
            <w:r>
              <w:rPr>
                <w:rFonts w:ascii="Arial" w:cs="Arial" w:eastAsia="Arial" w:hAnsi="Arial"/>
                <w:sz w:val="14"/>
                <w:szCs w:val="14"/>
                <w:b w:val="1"/>
                <w:bCs w:val="1"/>
                <w:color w:val="666666"/>
              </w:rPr>
              <w:t>Total</w:t>
            </w:r>
          </w:p>
        </w:tc>
      </w:tr>
      <w:tr>
        <w:trPr>
          <w:trHeight w:val="209"/>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666666"/>
              </w:rPr>
              <w:t>Horacio D. Rozanski</w:t>
            </w:r>
          </w:p>
        </w:tc>
        <w:tc>
          <w:tcPr>
            <w:tcW w:w="1140" w:type="dxa"/>
            <w:vAlign w:val="bottom"/>
          </w:tcPr>
          <w:p>
            <w:pPr>
              <w:jc w:val="center"/>
              <w:spacing w:after="0"/>
              <w:rPr>
                <w:sz w:val="20"/>
                <w:szCs w:val="20"/>
                <w:color w:val="auto"/>
              </w:rPr>
            </w:pPr>
            <w:r>
              <w:rPr>
                <w:rFonts w:ascii="Arial" w:cs="Arial" w:eastAsia="Arial" w:hAnsi="Arial"/>
                <w:sz w:val="14"/>
                <w:szCs w:val="14"/>
                <w:color w:val="666666"/>
              </w:rPr>
              <w:t>62,424</w:t>
            </w:r>
          </w:p>
        </w:tc>
        <w:tc>
          <w:tcPr>
            <w:tcW w:w="1220" w:type="dxa"/>
            <w:vAlign w:val="bottom"/>
          </w:tcPr>
          <w:p>
            <w:pPr>
              <w:jc w:val="center"/>
              <w:ind w:right="68"/>
              <w:spacing w:after="0"/>
              <w:rPr>
                <w:sz w:val="20"/>
                <w:szCs w:val="20"/>
                <w:color w:val="auto"/>
              </w:rPr>
            </w:pPr>
            <w:r>
              <w:rPr>
                <w:rFonts w:ascii="Arial" w:cs="Arial" w:eastAsia="Arial" w:hAnsi="Arial"/>
                <w:sz w:val="14"/>
                <w:szCs w:val="14"/>
                <w:color w:val="666666"/>
              </w:rPr>
              <w:t>57,952</w:t>
            </w:r>
          </w:p>
        </w:tc>
        <w:tc>
          <w:tcPr>
            <w:tcW w:w="96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color w:val="666666"/>
              </w:rPr>
              <w:t>120,376</w:t>
            </w:r>
          </w:p>
        </w:tc>
      </w:tr>
      <w:tr>
        <w:trPr>
          <w:trHeight w:val="222"/>
        </w:trPr>
        <w:tc>
          <w:tcPr>
            <w:tcW w:w="1440" w:type="dxa"/>
            <w:vAlign w:val="bottom"/>
            <w:tcBorders>
              <w:left w:val="single" w:sz="8" w:color="auto"/>
            </w:tcBorders>
            <w:shd w:val="clear" w:color="auto" w:fill="DDDDDD"/>
          </w:tcPr>
          <w:p>
            <w:pPr>
              <w:ind w:left="40"/>
              <w:spacing w:after="0"/>
              <w:rPr>
                <w:sz w:val="20"/>
                <w:szCs w:val="20"/>
                <w:color w:val="auto"/>
              </w:rPr>
            </w:pPr>
            <w:r>
              <w:rPr>
                <w:rFonts w:ascii="Arial" w:cs="Arial" w:eastAsia="Arial" w:hAnsi="Arial"/>
                <w:sz w:val="14"/>
                <w:szCs w:val="14"/>
                <w:color w:val="666666"/>
              </w:rPr>
              <w:t>Lloyd W. Howell, Jr.</w:t>
            </w:r>
          </w:p>
        </w:tc>
        <w:tc>
          <w:tcPr>
            <w:tcW w:w="114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27,010</w:t>
            </w:r>
          </w:p>
        </w:tc>
        <w:tc>
          <w:tcPr>
            <w:tcW w:w="1220" w:type="dxa"/>
            <w:vAlign w:val="bottom"/>
            <w:shd w:val="clear" w:color="auto" w:fill="DDDDDD"/>
          </w:tcPr>
          <w:p>
            <w:pPr>
              <w:jc w:val="center"/>
              <w:ind w:right="68"/>
              <w:spacing w:after="0"/>
              <w:rPr>
                <w:sz w:val="20"/>
                <w:szCs w:val="20"/>
                <w:color w:val="auto"/>
              </w:rPr>
            </w:pPr>
            <w:r>
              <w:rPr>
                <w:rFonts w:ascii="Arial" w:cs="Arial" w:eastAsia="Arial" w:hAnsi="Arial"/>
                <w:sz w:val="14"/>
                <w:szCs w:val="14"/>
                <w:color w:val="666666"/>
              </w:rPr>
              <w:t>18,110</w:t>
            </w:r>
          </w:p>
        </w:tc>
        <w:tc>
          <w:tcPr>
            <w:tcW w:w="960" w:type="dxa"/>
            <w:vAlign w:val="bottom"/>
            <w:tcBorders>
              <w:right w:val="single" w:sz="8" w:color="auto"/>
            </w:tcBorders>
            <w:shd w:val="clear" w:color="auto" w:fill="DDDDDD"/>
          </w:tcPr>
          <w:p>
            <w:pPr>
              <w:jc w:val="center"/>
              <w:ind w:right="88"/>
              <w:spacing w:after="0"/>
              <w:rPr>
                <w:sz w:val="20"/>
                <w:szCs w:val="20"/>
                <w:color w:val="auto"/>
              </w:rPr>
            </w:pPr>
            <w:r>
              <w:rPr>
                <w:rFonts w:ascii="Arial" w:cs="Arial" w:eastAsia="Arial" w:hAnsi="Arial"/>
                <w:sz w:val="14"/>
                <w:szCs w:val="14"/>
                <w:color w:val="666666"/>
              </w:rPr>
              <w:t>45,120</w:t>
            </w:r>
          </w:p>
        </w:tc>
      </w:tr>
      <w:tr>
        <w:trPr>
          <w:trHeight w:val="210"/>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666666"/>
              </w:rPr>
              <w:t>Karen M. Dahut</w:t>
            </w:r>
          </w:p>
        </w:tc>
        <w:tc>
          <w:tcPr>
            <w:tcW w:w="1140" w:type="dxa"/>
            <w:vAlign w:val="bottom"/>
          </w:tcPr>
          <w:p>
            <w:pPr>
              <w:jc w:val="center"/>
              <w:spacing w:after="0"/>
              <w:rPr>
                <w:sz w:val="20"/>
                <w:szCs w:val="20"/>
                <w:color w:val="auto"/>
              </w:rPr>
            </w:pPr>
            <w:r>
              <w:rPr>
                <w:rFonts w:ascii="Arial" w:cs="Arial" w:eastAsia="Arial" w:hAnsi="Arial"/>
                <w:sz w:val="14"/>
                <w:szCs w:val="14"/>
                <w:color w:val="666666"/>
              </w:rPr>
              <w:t>27,010</w:t>
            </w:r>
          </w:p>
        </w:tc>
        <w:tc>
          <w:tcPr>
            <w:tcW w:w="1220" w:type="dxa"/>
            <w:vAlign w:val="bottom"/>
          </w:tcPr>
          <w:p>
            <w:pPr>
              <w:jc w:val="center"/>
              <w:ind w:right="68"/>
              <w:spacing w:after="0"/>
              <w:rPr>
                <w:sz w:val="20"/>
                <w:szCs w:val="20"/>
                <w:color w:val="auto"/>
              </w:rPr>
            </w:pPr>
            <w:r>
              <w:rPr>
                <w:rFonts w:ascii="Arial" w:cs="Arial" w:eastAsia="Arial" w:hAnsi="Arial"/>
                <w:sz w:val="14"/>
                <w:szCs w:val="14"/>
                <w:color w:val="666666"/>
              </w:rPr>
              <w:t>18,110</w:t>
            </w:r>
          </w:p>
        </w:tc>
        <w:tc>
          <w:tcPr>
            <w:tcW w:w="96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color w:val="666666"/>
              </w:rPr>
              <w:t>45,120</w:t>
            </w:r>
          </w:p>
        </w:tc>
      </w:tr>
      <w:tr>
        <w:trPr>
          <w:trHeight w:val="222"/>
        </w:trPr>
        <w:tc>
          <w:tcPr>
            <w:tcW w:w="1440" w:type="dxa"/>
            <w:vAlign w:val="bottom"/>
            <w:tcBorders>
              <w:left w:val="single" w:sz="8" w:color="auto"/>
            </w:tcBorders>
            <w:shd w:val="clear" w:color="auto" w:fill="DDDDDD"/>
          </w:tcPr>
          <w:p>
            <w:pPr>
              <w:ind w:left="40"/>
              <w:spacing w:after="0"/>
              <w:rPr>
                <w:sz w:val="20"/>
                <w:szCs w:val="20"/>
                <w:color w:val="auto"/>
              </w:rPr>
            </w:pPr>
            <w:r>
              <w:rPr>
                <w:rFonts w:ascii="Arial" w:cs="Arial" w:eastAsia="Arial" w:hAnsi="Arial"/>
                <w:sz w:val="14"/>
                <w:szCs w:val="14"/>
                <w:color w:val="666666"/>
              </w:rPr>
              <w:t>Nancy J. Laben</w:t>
            </w:r>
          </w:p>
        </w:tc>
        <w:tc>
          <w:tcPr>
            <w:tcW w:w="114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7,793</w:t>
            </w:r>
          </w:p>
        </w:tc>
        <w:tc>
          <w:tcPr>
            <w:tcW w:w="1220" w:type="dxa"/>
            <w:vAlign w:val="bottom"/>
            <w:shd w:val="clear" w:color="auto" w:fill="DDDDDD"/>
          </w:tcPr>
          <w:p>
            <w:pPr>
              <w:jc w:val="center"/>
              <w:ind w:right="68"/>
              <w:spacing w:after="0"/>
              <w:rPr>
                <w:sz w:val="20"/>
                <w:szCs w:val="20"/>
                <w:color w:val="auto"/>
              </w:rPr>
            </w:pPr>
            <w:r>
              <w:rPr>
                <w:rFonts w:ascii="Arial" w:cs="Arial" w:eastAsia="Arial" w:hAnsi="Arial"/>
                <w:sz w:val="14"/>
                <w:szCs w:val="14"/>
                <w:color w:val="666666"/>
              </w:rPr>
              <w:t>9,417</w:t>
            </w:r>
          </w:p>
        </w:tc>
        <w:tc>
          <w:tcPr>
            <w:tcW w:w="960" w:type="dxa"/>
            <w:vAlign w:val="bottom"/>
            <w:tcBorders>
              <w:right w:val="single" w:sz="8" w:color="auto"/>
            </w:tcBorders>
            <w:shd w:val="clear" w:color="auto" w:fill="DDDDDD"/>
          </w:tcPr>
          <w:p>
            <w:pPr>
              <w:jc w:val="center"/>
              <w:ind w:right="88"/>
              <w:spacing w:after="0"/>
              <w:rPr>
                <w:sz w:val="20"/>
                <w:szCs w:val="20"/>
                <w:color w:val="auto"/>
              </w:rPr>
            </w:pPr>
            <w:r>
              <w:rPr>
                <w:rFonts w:ascii="Arial" w:cs="Arial" w:eastAsia="Arial" w:hAnsi="Arial"/>
                <w:sz w:val="14"/>
                <w:szCs w:val="14"/>
                <w:color w:val="666666"/>
              </w:rPr>
              <w:t>17,210</w:t>
            </w:r>
          </w:p>
        </w:tc>
      </w:tr>
      <w:tr>
        <w:trPr>
          <w:trHeight w:val="210"/>
        </w:trPr>
        <w:tc>
          <w:tcPr>
            <w:tcW w:w="1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666666"/>
              </w:rPr>
              <w:t>Susan L. Penfield</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666666"/>
              </w:rPr>
              <w:t>9,303</w:t>
            </w:r>
          </w:p>
        </w:tc>
        <w:tc>
          <w:tcPr>
            <w:tcW w:w="12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666666"/>
              </w:rPr>
              <w:t>8,451</w:t>
            </w:r>
          </w:p>
        </w:tc>
        <w:tc>
          <w:tcPr>
            <w:tcW w:w="960" w:type="dxa"/>
            <w:vAlign w:val="bottom"/>
            <w:tcBorders>
              <w:bottom w:val="single" w:sz="8" w:color="auto"/>
              <w:right w:val="single" w:sz="8" w:color="auto"/>
            </w:tcBorders>
          </w:tcPr>
          <w:p>
            <w:pPr>
              <w:jc w:val="center"/>
              <w:ind w:right="88"/>
              <w:spacing w:after="0"/>
              <w:rPr>
                <w:sz w:val="20"/>
                <w:szCs w:val="20"/>
                <w:color w:val="auto"/>
              </w:rPr>
            </w:pPr>
            <w:r>
              <w:rPr>
                <w:rFonts w:ascii="Arial" w:cs="Arial" w:eastAsia="Arial" w:hAnsi="Arial"/>
                <w:sz w:val="14"/>
                <w:szCs w:val="14"/>
                <w:color w:val="666666"/>
              </w:rPr>
              <w:t>17,754</w:t>
            </w:r>
          </w:p>
        </w:tc>
      </w:tr>
    </w:tbl>
    <w:p>
      <w:pPr>
        <w:spacing w:after="0" w:line="5" w:lineRule="exact"/>
        <w:rPr>
          <w:sz w:val="20"/>
          <w:szCs w:val="20"/>
          <w:color w:val="auto"/>
        </w:rPr>
      </w:pPr>
    </w:p>
    <w:p>
      <w:pPr>
        <w:jc w:val="both"/>
        <w:ind w:left="540" w:firstLine="648"/>
        <w:spacing w:after="0" w:line="241" w:lineRule="auto"/>
        <w:rPr>
          <w:sz w:val="20"/>
          <w:szCs w:val="20"/>
          <w:color w:val="auto"/>
        </w:rPr>
      </w:pPr>
      <w:r>
        <w:rPr>
          <w:rFonts w:ascii="Arial" w:cs="Arial" w:eastAsia="Arial" w:hAnsi="Arial"/>
          <w:sz w:val="14"/>
          <w:szCs w:val="14"/>
          <w:color w:val="666666"/>
        </w:rPr>
        <w:t>Vesting opportunity ranges from 0-200% based on actual performance during the three-year performance period compared to the three year cumulative ADEPS and VAR performance goals. Upon a change in control, the performance-based restricted stock units will remain outstanding and will vest on the vesting date at target performance levels, subject to the continued employment or service of the Participant by the Company or any Subsidiary thereof through such date, but without regard to achievement of any Performance Goals; provided, that, if the Participant’s employment or service is terminated by the Company without cause or for good reason within two years following the effective date of the Change in Control, such outstanding restricted stock units will vest as of the date of termination.</w:t>
      </w:r>
    </w:p>
    <w:p>
      <w:pPr>
        <w:spacing w:after="0" w:line="2" w:lineRule="exact"/>
        <w:rPr>
          <w:sz w:val="20"/>
          <w:szCs w:val="20"/>
          <w:color w:val="auto"/>
        </w:rPr>
      </w:pPr>
    </w:p>
    <w:p>
      <w:pPr>
        <w:ind w:left="540" w:hanging="316"/>
        <w:spacing w:after="0" w:line="258" w:lineRule="auto"/>
        <w:tabs>
          <w:tab w:leader="none" w:pos="540" w:val="left"/>
        </w:tabs>
        <w:numPr>
          <w:ilvl w:val="0"/>
          <w:numId w:val="49"/>
        </w:numPr>
        <w:rPr>
          <w:rFonts w:ascii="Arial" w:cs="Arial" w:eastAsia="Arial" w:hAnsi="Arial"/>
          <w:sz w:val="14"/>
          <w:szCs w:val="14"/>
          <w:color w:val="666666"/>
        </w:rPr>
      </w:pPr>
      <w:r>
        <w:rPr>
          <w:rFonts w:ascii="Arial" w:cs="Arial" w:eastAsia="Arial" w:hAnsi="Arial"/>
          <w:sz w:val="14"/>
          <w:szCs w:val="14"/>
          <w:color w:val="666666"/>
        </w:rPr>
        <w:t>Market value has been determined based on maximum performance which is 200% of the target grant amount for the fiscal year 2019 and fiscal year 2020 performance-based restricted stock units, rounded down to the nearest whole share, using the fair market value of our common stock on March 31, 2020 of $68.64.</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547BCC"/>
        </w:rPr>
        <w:t>Option Exercises and Stock Vested Table</w:t>
      </w:r>
    </w:p>
    <w:p>
      <w:pPr>
        <w:spacing w:after="0" w:line="186" w:lineRule="exact"/>
        <w:rPr>
          <w:sz w:val="20"/>
          <w:szCs w:val="20"/>
          <w:color w:val="auto"/>
        </w:rPr>
      </w:pPr>
    </w:p>
    <w:p>
      <w:pPr>
        <w:ind w:right="20" w:firstLine="324"/>
        <w:spacing w:after="0" w:line="246" w:lineRule="auto"/>
        <w:rPr>
          <w:sz w:val="20"/>
          <w:szCs w:val="20"/>
          <w:color w:val="auto"/>
        </w:rPr>
      </w:pPr>
      <w:r>
        <w:rPr>
          <w:rFonts w:ascii="Arial" w:cs="Arial" w:eastAsia="Arial" w:hAnsi="Arial"/>
          <w:sz w:val="20"/>
          <w:szCs w:val="20"/>
          <w:color w:val="666666"/>
        </w:rPr>
        <w:t>The table below provides information on the named executive officers’ restricted stock unit awards that vested and the stock options that they exercised in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217170</wp:posOffset>
            </wp:positionV>
            <wp:extent cx="5332095" cy="1543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32095" cy="1543050"/>
                    </a:xfrm>
                    <a:prstGeom prst="rect">
                      <a:avLst/>
                    </a:prstGeom>
                    <a:noFill/>
                  </pic:spPr>
                </pic:pic>
              </a:graphicData>
            </a:graphic>
          </wp:anchor>
        </w:drawing>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FFFFFF"/>
        </w:rPr>
        <w:t>OPTION EXERCISES AND STOCK VESTED TABLE</w:t>
      </w:r>
    </w:p>
    <w:p>
      <w:pPr>
        <w:spacing w:after="0" w:line="54" w:lineRule="exact"/>
        <w:rPr>
          <w:sz w:val="20"/>
          <w:szCs w:val="20"/>
          <w:color w:val="auto"/>
        </w:rPr>
      </w:pPr>
    </w:p>
    <w:tbl>
      <w:tblPr>
        <w:tblLayout w:type="fixed"/>
        <w:tblInd w:w="1420" w:type="dxa"/>
        <w:tblCellMar>
          <w:top w:w="0" w:type="dxa"/>
          <w:left w:w="0" w:type="dxa"/>
          <w:bottom w:w="0" w:type="dxa"/>
          <w:right w:w="0" w:type="dxa"/>
        </w:tblCellMar>
      </w:tblPr>
      <w:tr>
        <w:trPr>
          <w:trHeight w:val="271"/>
        </w:trPr>
        <w:tc>
          <w:tcPr>
            <w:tcW w:w="20" w:type="dxa"/>
            <w:vAlign w:val="bottom"/>
          </w:tcPr>
          <w:p>
            <w:pPr>
              <w:spacing w:after="0"/>
              <w:rPr>
                <w:sz w:val="23"/>
                <w:szCs w:val="23"/>
                <w:color w:val="auto"/>
              </w:rPr>
            </w:pPr>
          </w:p>
        </w:tc>
        <w:tc>
          <w:tcPr>
            <w:tcW w:w="2100" w:type="dxa"/>
            <w:vAlign w:val="bottom"/>
            <w:shd w:val="clear" w:color="auto" w:fill="DDDDDD"/>
          </w:tcPr>
          <w:p>
            <w:pPr>
              <w:spacing w:after="0"/>
              <w:rPr>
                <w:sz w:val="23"/>
                <w:szCs w:val="23"/>
                <w:color w:val="auto"/>
              </w:rPr>
            </w:pPr>
          </w:p>
        </w:tc>
        <w:tc>
          <w:tcPr>
            <w:tcW w:w="3180" w:type="dxa"/>
            <w:vAlign w:val="bottom"/>
            <w:gridSpan w:val="2"/>
            <w:shd w:val="clear" w:color="auto" w:fill="DDDDDD"/>
          </w:tcPr>
          <w:p>
            <w:pPr>
              <w:jc w:val="right"/>
              <w:ind w:right="1070"/>
              <w:spacing w:after="0"/>
              <w:rPr>
                <w:sz w:val="20"/>
                <w:szCs w:val="20"/>
                <w:color w:val="auto"/>
              </w:rPr>
            </w:pPr>
            <w:r>
              <w:rPr>
                <w:rFonts w:ascii="Arial" w:cs="Arial" w:eastAsia="Arial" w:hAnsi="Arial"/>
                <w:sz w:val="14"/>
                <w:szCs w:val="14"/>
                <w:b w:val="1"/>
                <w:bCs w:val="1"/>
                <w:color w:val="666666"/>
              </w:rPr>
              <w:t>Option Awards</w:t>
            </w:r>
          </w:p>
        </w:tc>
        <w:tc>
          <w:tcPr>
            <w:tcW w:w="3080" w:type="dxa"/>
            <w:vAlign w:val="bottom"/>
            <w:gridSpan w:val="2"/>
            <w:shd w:val="clear" w:color="auto" w:fill="DDDDDD"/>
          </w:tcPr>
          <w:p>
            <w:pPr>
              <w:jc w:val="right"/>
              <w:ind w:right="930"/>
              <w:spacing w:after="0"/>
              <w:rPr>
                <w:sz w:val="20"/>
                <w:szCs w:val="20"/>
                <w:color w:val="auto"/>
              </w:rPr>
            </w:pPr>
            <w:r>
              <w:rPr>
                <w:rFonts w:ascii="Arial" w:cs="Arial" w:eastAsia="Arial" w:hAnsi="Arial"/>
                <w:sz w:val="14"/>
                <w:szCs w:val="14"/>
                <w:b w:val="1"/>
                <w:bCs w:val="1"/>
                <w:color w:val="666666"/>
              </w:rPr>
              <w:t>Stock Awards</w:t>
            </w:r>
          </w:p>
        </w:tc>
        <w:tc>
          <w:tcPr>
            <w:tcW w:w="20" w:type="dxa"/>
            <w:vAlign w:val="bottom"/>
          </w:tcPr>
          <w:p>
            <w:pPr>
              <w:spacing w:after="0"/>
              <w:rPr>
                <w:sz w:val="23"/>
                <w:szCs w:val="23"/>
                <w:color w:val="auto"/>
              </w:rPr>
            </w:pPr>
          </w:p>
        </w:tc>
      </w:tr>
      <w:tr>
        <w:trPr>
          <w:trHeight w:val="188"/>
        </w:trPr>
        <w:tc>
          <w:tcPr>
            <w:tcW w:w="20" w:type="dxa"/>
            <w:vAlign w:val="bottom"/>
          </w:tcPr>
          <w:p>
            <w:pPr>
              <w:spacing w:after="0"/>
              <w:rPr>
                <w:sz w:val="16"/>
                <w:szCs w:val="16"/>
                <w:color w:val="auto"/>
              </w:rPr>
            </w:pPr>
          </w:p>
        </w:tc>
        <w:tc>
          <w:tcPr>
            <w:tcW w:w="2100" w:type="dxa"/>
            <w:vAlign w:val="bottom"/>
            <w:shd w:val="clear" w:color="auto" w:fill="DDDDDD"/>
          </w:tcPr>
          <w:p>
            <w:pPr>
              <w:spacing w:after="0"/>
              <w:rPr>
                <w:sz w:val="16"/>
                <w:szCs w:val="16"/>
                <w:color w:val="auto"/>
              </w:rPr>
            </w:pPr>
          </w:p>
        </w:tc>
        <w:tc>
          <w:tcPr>
            <w:tcW w:w="156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Number of Shares</w:t>
            </w:r>
          </w:p>
        </w:tc>
        <w:tc>
          <w:tcPr>
            <w:tcW w:w="1620" w:type="dxa"/>
            <w:vAlign w:val="bottom"/>
            <w:shd w:val="clear" w:color="auto" w:fill="DDDDDD"/>
          </w:tcPr>
          <w:p>
            <w:pPr>
              <w:spacing w:after="0"/>
              <w:rPr>
                <w:sz w:val="16"/>
                <w:szCs w:val="16"/>
                <w:color w:val="auto"/>
              </w:rPr>
            </w:pPr>
          </w:p>
        </w:tc>
        <w:tc>
          <w:tcPr>
            <w:tcW w:w="162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Number of Shares</w:t>
            </w:r>
          </w:p>
        </w:tc>
        <w:tc>
          <w:tcPr>
            <w:tcW w:w="1460" w:type="dxa"/>
            <w:vAlign w:val="bottom"/>
            <w:shd w:val="clear" w:color="auto" w:fill="DDDDDD"/>
          </w:tcPr>
          <w:p>
            <w:pPr>
              <w:spacing w:after="0"/>
              <w:rPr>
                <w:sz w:val="16"/>
                <w:szCs w:val="16"/>
                <w:color w:val="auto"/>
              </w:rPr>
            </w:pPr>
          </w:p>
        </w:tc>
        <w:tc>
          <w:tcPr>
            <w:tcW w:w="20" w:type="dxa"/>
            <w:vAlign w:val="bottom"/>
          </w:tcPr>
          <w:p>
            <w:pPr>
              <w:spacing w:after="0"/>
              <w:rPr>
                <w:sz w:val="16"/>
                <w:szCs w:val="16"/>
                <w:color w:val="auto"/>
              </w:rPr>
            </w:pPr>
          </w:p>
        </w:tc>
      </w:tr>
      <w:tr>
        <w:trPr>
          <w:trHeight w:val="161"/>
        </w:trPr>
        <w:tc>
          <w:tcPr>
            <w:tcW w:w="20" w:type="dxa"/>
            <w:vAlign w:val="bottom"/>
          </w:tcPr>
          <w:p>
            <w:pPr>
              <w:spacing w:after="0"/>
              <w:rPr>
                <w:sz w:val="13"/>
                <w:szCs w:val="13"/>
                <w:color w:val="auto"/>
              </w:rPr>
            </w:pPr>
          </w:p>
        </w:tc>
        <w:tc>
          <w:tcPr>
            <w:tcW w:w="2100" w:type="dxa"/>
            <w:vAlign w:val="bottom"/>
            <w:shd w:val="clear" w:color="auto" w:fill="DDDDDD"/>
          </w:tcPr>
          <w:p>
            <w:pPr>
              <w:spacing w:after="0"/>
              <w:rPr>
                <w:sz w:val="13"/>
                <w:szCs w:val="13"/>
                <w:color w:val="auto"/>
              </w:rPr>
            </w:pPr>
          </w:p>
        </w:tc>
        <w:tc>
          <w:tcPr>
            <w:tcW w:w="1560" w:type="dxa"/>
            <w:vAlign w:val="bottom"/>
            <w:shd w:val="clear" w:color="auto" w:fill="DDDDDD"/>
          </w:tcPr>
          <w:p>
            <w:pPr>
              <w:jc w:val="center"/>
              <w:ind w:right="8"/>
              <w:spacing w:after="0"/>
              <w:rPr>
                <w:sz w:val="20"/>
                <w:szCs w:val="20"/>
                <w:color w:val="auto"/>
              </w:rPr>
            </w:pPr>
            <w:r>
              <w:rPr>
                <w:rFonts w:ascii="Arial" w:cs="Arial" w:eastAsia="Arial" w:hAnsi="Arial"/>
                <w:sz w:val="14"/>
                <w:szCs w:val="14"/>
                <w:b w:val="1"/>
                <w:bCs w:val="1"/>
                <w:color w:val="666666"/>
              </w:rPr>
              <w:t>Acquired on</w:t>
            </w:r>
          </w:p>
        </w:tc>
        <w:tc>
          <w:tcPr>
            <w:tcW w:w="1620" w:type="dxa"/>
            <w:vAlign w:val="bottom"/>
            <w:shd w:val="clear" w:color="auto" w:fill="DDDDDD"/>
          </w:tcPr>
          <w:p>
            <w:pPr>
              <w:jc w:val="center"/>
              <w:ind w:right="110"/>
              <w:spacing w:after="0"/>
              <w:rPr>
                <w:sz w:val="20"/>
                <w:szCs w:val="20"/>
                <w:color w:val="auto"/>
              </w:rPr>
            </w:pPr>
            <w:r>
              <w:rPr>
                <w:rFonts w:ascii="Arial" w:cs="Arial" w:eastAsia="Arial" w:hAnsi="Arial"/>
                <w:sz w:val="14"/>
                <w:szCs w:val="14"/>
                <w:b w:val="1"/>
                <w:bCs w:val="1"/>
                <w:color w:val="666666"/>
              </w:rPr>
              <w:t>Value Realized on</w:t>
            </w:r>
          </w:p>
        </w:tc>
        <w:tc>
          <w:tcPr>
            <w:tcW w:w="162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Acquired on</w:t>
            </w:r>
          </w:p>
        </w:tc>
        <w:tc>
          <w:tcPr>
            <w:tcW w:w="146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Value Realized on</w:t>
            </w:r>
          </w:p>
        </w:tc>
        <w:tc>
          <w:tcPr>
            <w:tcW w:w="20" w:type="dxa"/>
            <w:vAlign w:val="bottom"/>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2100" w:type="dxa"/>
            <w:vAlign w:val="bottom"/>
            <w:shd w:val="clear" w:color="auto" w:fill="DDDDDD"/>
          </w:tcPr>
          <w:p>
            <w:pPr>
              <w:spacing w:after="0"/>
              <w:rPr>
                <w:sz w:val="14"/>
                <w:szCs w:val="14"/>
                <w:color w:val="auto"/>
              </w:rPr>
            </w:pPr>
          </w:p>
        </w:tc>
        <w:tc>
          <w:tcPr>
            <w:tcW w:w="156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Exercise</w:t>
            </w:r>
          </w:p>
        </w:tc>
        <w:tc>
          <w:tcPr>
            <w:tcW w:w="1620" w:type="dxa"/>
            <w:vAlign w:val="bottom"/>
            <w:shd w:val="clear" w:color="auto" w:fill="DDDDDD"/>
          </w:tcPr>
          <w:p>
            <w:pPr>
              <w:jc w:val="center"/>
              <w:ind w:right="110"/>
              <w:spacing w:after="0" w:line="163" w:lineRule="exact"/>
              <w:rPr>
                <w:sz w:val="20"/>
                <w:szCs w:val="20"/>
                <w:color w:val="auto"/>
              </w:rPr>
            </w:pPr>
            <w:r>
              <w:rPr>
                <w:rFonts w:ascii="Arial" w:cs="Arial" w:eastAsia="Arial" w:hAnsi="Arial"/>
                <w:sz w:val="12"/>
                <w:szCs w:val="12"/>
                <w:b w:val="1"/>
                <w:bCs w:val="1"/>
                <w:color w:val="666666"/>
              </w:rPr>
              <w:t xml:space="preserve">Exercise </w:t>
            </w:r>
            <w:r>
              <w:rPr>
                <w:rFonts w:ascii="Arial" w:cs="Arial" w:eastAsia="Arial" w:hAnsi="Arial"/>
                <w:sz w:val="18"/>
                <w:szCs w:val="18"/>
                <w:b w:val="1"/>
                <w:bCs w:val="1"/>
                <w:color w:val="666666"/>
                <w:vertAlign w:val="superscript"/>
              </w:rPr>
              <w:t>1</w:t>
            </w:r>
          </w:p>
        </w:tc>
        <w:tc>
          <w:tcPr>
            <w:tcW w:w="1620" w:type="dxa"/>
            <w:vAlign w:val="bottom"/>
            <w:shd w:val="clear" w:color="auto" w:fill="DDDDDD"/>
          </w:tcPr>
          <w:p>
            <w:pPr>
              <w:jc w:val="center"/>
              <w:ind w:left="9"/>
              <w:spacing w:after="0" w:line="163" w:lineRule="exact"/>
              <w:rPr>
                <w:sz w:val="20"/>
                <w:szCs w:val="20"/>
                <w:color w:val="auto"/>
              </w:rPr>
            </w:pPr>
            <w:r>
              <w:rPr>
                <w:rFonts w:ascii="Arial" w:cs="Arial" w:eastAsia="Arial" w:hAnsi="Arial"/>
                <w:sz w:val="12"/>
                <w:szCs w:val="12"/>
                <w:b w:val="1"/>
                <w:bCs w:val="1"/>
                <w:color w:val="666666"/>
              </w:rPr>
              <w:t xml:space="preserve">Vesting </w:t>
            </w:r>
            <w:r>
              <w:rPr>
                <w:rFonts w:ascii="Arial" w:cs="Arial" w:eastAsia="Arial" w:hAnsi="Arial"/>
                <w:sz w:val="18"/>
                <w:szCs w:val="18"/>
                <w:b w:val="1"/>
                <w:bCs w:val="1"/>
                <w:color w:val="666666"/>
                <w:vertAlign w:val="superscript"/>
              </w:rPr>
              <w:t>2</w:t>
            </w:r>
          </w:p>
        </w:tc>
        <w:tc>
          <w:tcPr>
            <w:tcW w:w="1460" w:type="dxa"/>
            <w:vAlign w:val="bottom"/>
            <w:shd w:val="clear" w:color="auto" w:fill="DDDDDD"/>
          </w:tcPr>
          <w:p>
            <w:pPr>
              <w:jc w:val="center"/>
              <w:spacing w:after="0" w:line="163" w:lineRule="exact"/>
              <w:rPr>
                <w:sz w:val="20"/>
                <w:szCs w:val="20"/>
                <w:color w:val="auto"/>
              </w:rPr>
            </w:pPr>
            <w:r>
              <w:rPr>
                <w:rFonts w:ascii="Arial" w:cs="Arial" w:eastAsia="Arial" w:hAnsi="Arial"/>
                <w:sz w:val="12"/>
                <w:szCs w:val="12"/>
                <w:b w:val="1"/>
                <w:bCs w:val="1"/>
                <w:color w:val="666666"/>
              </w:rPr>
              <w:t xml:space="preserve">Vesting </w:t>
            </w:r>
            <w:r>
              <w:rPr>
                <w:rFonts w:ascii="Arial" w:cs="Arial" w:eastAsia="Arial" w:hAnsi="Arial"/>
                <w:sz w:val="18"/>
                <w:szCs w:val="18"/>
                <w:b w:val="1"/>
                <w:bCs w:val="1"/>
                <w:color w:val="666666"/>
                <w:vertAlign w:val="superscript"/>
              </w:rPr>
              <w:t>3</w:t>
            </w:r>
          </w:p>
        </w:tc>
        <w:tc>
          <w:tcPr>
            <w:tcW w:w="20" w:type="dxa"/>
            <w:vAlign w:val="bottom"/>
          </w:tcPr>
          <w:p>
            <w:pPr>
              <w:spacing w:after="0"/>
              <w:rPr>
                <w:sz w:val="14"/>
                <w:szCs w:val="14"/>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shd w:val="clear" w:color="auto" w:fill="DDDDDD"/>
          </w:tcPr>
          <w:p>
            <w:pPr>
              <w:ind w:left="40"/>
              <w:spacing w:after="0"/>
              <w:rPr>
                <w:sz w:val="20"/>
                <w:szCs w:val="20"/>
                <w:color w:val="auto"/>
              </w:rPr>
            </w:pPr>
            <w:r>
              <w:rPr>
                <w:rFonts w:ascii="Arial" w:cs="Arial" w:eastAsia="Arial" w:hAnsi="Arial"/>
                <w:sz w:val="14"/>
                <w:szCs w:val="14"/>
                <w:b w:val="1"/>
                <w:bCs w:val="1"/>
                <w:color w:val="666666"/>
              </w:rPr>
              <w:t>Name</w:t>
            </w:r>
          </w:p>
        </w:tc>
        <w:tc>
          <w:tcPr>
            <w:tcW w:w="156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w:t>
            </w:r>
          </w:p>
        </w:tc>
        <w:tc>
          <w:tcPr>
            <w:tcW w:w="1620" w:type="dxa"/>
            <w:vAlign w:val="bottom"/>
            <w:tcBorders>
              <w:bottom w:val="single" w:sz="8" w:color="auto"/>
            </w:tcBorders>
            <w:shd w:val="clear" w:color="auto" w:fill="DDDDDD"/>
          </w:tcPr>
          <w:p>
            <w:pPr>
              <w:jc w:val="center"/>
              <w:ind w:right="110"/>
              <w:spacing w:after="0"/>
              <w:rPr>
                <w:sz w:val="20"/>
                <w:szCs w:val="20"/>
                <w:color w:val="auto"/>
              </w:rPr>
            </w:pPr>
            <w:r>
              <w:rPr>
                <w:rFonts w:ascii="Arial" w:cs="Arial" w:eastAsia="Arial" w:hAnsi="Arial"/>
                <w:sz w:val="14"/>
                <w:szCs w:val="14"/>
                <w:b w:val="1"/>
                <w:bCs w:val="1"/>
                <w:color w:val="666666"/>
                <w:w w:val="93"/>
              </w:rPr>
              <w:t>($)</w:t>
            </w:r>
          </w:p>
        </w:tc>
        <w:tc>
          <w:tcPr>
            <w:tcW w:w="162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w w:val="93"/>
              </w:rPr>
              <w:t>(#)</w:t>
            </w:r>
          </w:p>
        </w:tc>
        <w:tc>
          <w:tcPr>
            <w:tcW w:w="146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w:t>
            </w:r>
          </w:p>
        </w:tc>
        <w:tc>
          <w:tcPr>
            <w:tcW w:w="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100" w:type="dxa"/>
            <w:vAlign w:val="bottom"/>
          </w:tcPr>
          <w:p>
            <w:pPr>
              <w:ind w:left="40"/>
              <w:spacing w:after="0"/>
              <w:rPr>
                <w:sz w:val="20"/>
                <w:szCs w:val="20"/>
                <w:color w:val="auto"/>
              </w:rPr>
            </w:pPr>
            <w:r>
              <w:rPr>
                <w:rFonts w:ascii="Arial" w:cs="Arial" w:eastAsia="Arial" w:hAnsi="Arial"/>
                <w:sz w:val="14"/>
                <w:szCs w:val="14"/>
                <w:b w:val="1"/>
                <w:bCs w:val="1"/>
                <w:color w:val="666666"/>
              </w:rPr>
              <w:t>Horacio D. Rozanski</w:t>
            </w:r>
          </w:p>
        </w:tc>
        <w:tc>
          <w:tcPr>
            <w:tcW w:w="1560" w:type="dxa"/>
            <w:vAlign w:val="bottom"/>
          </w:tcPr>
          <w:p>
            <w:pPr>
              <w:jc w:val="right"/>
              <w:ind w:right="48"/>
              <w:spacing w:after="0"/>
              <w:rPr>
                <w:sz w:val="20"/>
                <w:szCs w:val="20"/>
                <w:color w:val="auto"/>
              </w:rPr>
            </w:pPr>
            <w:r>
              <w:rPr>
                <w:rFonts w:ascii="Arial" w:cs="Arial" w:eastAsia="Arial" w:hAnsi="Arial"/>
                <w:sz w:val="14"/>
                <w:szCs w:val="14"/>
                <w:color w:val="666666"/>
              </w:rPr>
              <w:t>45,000</w:t>
            </w:r>
          </w:p>
        </w:tc>
        <w:tc>
          <w:tcPr>
            <w:tcW w:w="1620" w:type="dxa"/>
            <w:vAlign w:val="bottom"/>
          </w:tcPr>
          <w:p>
            <w:pPr>
              <w:jc w:val="right"/>
              <w:ind w:right="170"/>
              <w:spacing w:after="0"/>
              <w:rPr>
                <w:sz w:val="20"/>
                <w:szCs w:val="20"/>
                <w:color w:val="auto"/>
              </w:rPr>
            </w:pPr>
            <w:r>
              <w:rPr>
                <w:rFonts w:ascii="Arial" w:cs="Arial" w:eastAsia="Arial" w:hAnsi="Arial"/>
                <w:sz w:val="14"/>
                <w:szCs w:val="14"/>
                <w:color w:val="666666"/>
              </w:rPr>
              <w:t>2,355,750</w:t>
            </w:r>
          </w:p>
        </w:tc>
        <w:tc>
          <w:tcPr>
            <w:tcW w:w="1620" w:type="dxa"/>
            <w:vAlign w:val="bottom"/>
          </w:tcPr>
          <w:p>
            <w:pPr>
              <w:jc w:val="right"/>
              <w:ind w:right="49"/>
              <w:spacing w:after="0"/>
              <w:rPr>
                <w:sz w:val="20"/>
                <w:szCs w:val="20"/>
                <w:color w:val="auto"/>
              </w:rPr>
            </w:pPr>
            <w:r>
              <w:rPr>
                <w:rFonts w:ascii="Arial" w:cs="Arial" w:eastAsia="Arial" w:hAnsi="Arial"/>
                <w:sz w:val="14"/>
                <w:szCs w:val="14"/>
                <w:color w:val="666666"/>
              </w:rPr>
              <w:t>94,347</w:t>
            </w:r>
          </w:p>
        </w:tc>
        <w:tc>
          <w:tcPr>
            <w:tcW w:w="1460" w:type="dxa"/>
            <w:vAlign w:val="bottom"/>
          </w:tcPr>
          <w:p>
            <w:pPr>
              <w:jc w:val="right"/>
              <w:ind w:right="10"/>
              <w:spacing w:after="0"/>
              <w:rPr>
                <w:sz w:val="20"/>
                <w:szCs w:val="20"/>
                <w:color w:val="auto"/>
              </w:rPr>
            </w:pPr>
            <w:r>
              <w:rPr>
                <w:rFonts w:ascii="Arial" w:cs="Arial" w:eastAsia="Arial" w:hAnsi="Arial"/>
                <w:sz w:val="14"/>
                <w:szCs w:val="14"/>
                <w:color w:val="666666"/>
              </w:rPr>
              <w:t>6,808,375</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100" w:type="dxa"/>
            <w:vAlign w:val="bottom"/>
            <w:shd w:val="clear" w:color="auto" w:fill="DDDDDD"/>
          </w:tcPr>
          <w:p>
            <w:pPr>
              <w:ind w:left="40"/>
              <w:spacing w:after="0"/>
              <w:rPr>
                <w:sz w:val="20"/>
                <w:szCs w:val="20"/>
                <w:color w:val="auto"/>
              </w:rPr>
            </w:pPr>
            <w:r>
              <w:rPr>
                <w:rFonts w:ascii="Arial" w:cs="Arial" w:eastAsia="Arial" w:hAnsi="Arial"/>
                <w:sz w:val="14"/>
                <w:szCs w:val="14"/>
                <w:b w:val="1"/>
                <w:bCs w:val="1"/>
                <w:color w:val="666666"/>
              </w:rPr>
              <w:t>Lloyd W. Howell, Jr.</w:t>
            </w:r>
          </w:p>
        </w:tc>
        <w:tc>
          <w:tcPr>
            <w:tcW w:w="156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666666"/>
              </w:rPr>
              <w:t>—</w:t>
            </w:r>
          </w:p>
        </w:tc>
        <w:tc>
          <w:tcPr>
            <w:tcW w:w="1620" w:type="dxa"/>
            <w:vAlign w:val="bottom"/>
            <w:shd w:val="clear" w:color="auto" w:fill="DDDDDD"/>
          </w:tcPr>
          <w:p>
            <w:pPr>
              <w:jc w:val="right"/>
              <w:ind w:right="170"/>
              <w:spacing w:after="0"/>
              <w:rPr>
                <w:sz w:val="20"/>
                <w:szCs w:val="20"/>
                <w:color w:val="auto"/>
              </w:rPr>
            </w:pPr>
            <w:r>
              <w:rPr>
                <w:rFonts w:ascii="Arial" w:cs="Arial" w:eastAsia="Arial" w:hAnsi="Arial"/>
                <w:sz w:val="14"/>
                <w:szCs w:val="14"/>
                <w:color w:val="666666"/>
              </w:rPr>
              <w:t>—</w:t>
            </w:r>
          </w:p>
        </w:tc>
        <w:tc>
          <w:tcPr>
            <w:tcW w:w="1620" w:type="dxa"/>
            <w:vAlign w:val="bottom"/>
            <w:shd w:val="clear" w:color="auto" w:fill="DDDDDD"/>
          </w:tcPr>
          <w:p>
            <w:pPr>
              <w:jc w:val="right"/>
              <w:ind w:right="49"/>
              <w:spacing w:after="0"/>
              <w:rPr>
                <w:sz w:val="20"/>
                <w:szCs w:val="20"/>
                <w:color w:val="auto"/>
              </w:rPr>
            </w:pPr>
            <w:r>
              <w:rPr>
                <w:rFonts w:ascii="Arial" w:cs="Arial" w:eastAsia="Arial" w:hAnsi="Arial"/>
                <w:sz w:val="14"/>
                <w:szCs w:val="14"/>
                <w:color w:val="666666"/>
              </w:rPr>
              <w:t>49,149</w:t>
            </w:r>
          </w:p>
        </w:tc>
        <w:tc>
          <w:tcPr>
            <w:tcW w:w="1460" w:type="dxa"/>
            <w:vAlign w:val="bottom"/>
            <w:shd w:val="clear" w:color="auto" w:fill="DDDDDD"/>
          </w:tcPr>
          <w:p>
            <w:pPr>
              <w:jc w:val="right"/>
              <w:ind w:right="10"/>
              <w:spacing w:after="0"/>
              <w:rPr>
                <w:sz w:val="20"/>
                <w:szCs w:val="20"/>
                <w:color w:val="auto"/>
              </w:rPr>
            </w:pPr>
            <w:r>
              <w:rPr>
                <w:rFonts w:ascii="Arial" w:cs="Arial" w:eastAsia="Arial" w:hAnsi="Arial"/>
                <w:sz w:val="14"/>
                <w:szCs w:val="14"/>
                <w:color w:val="666666"/>
              </w:rPr>
              <w:t>3,528,177</w:t>
            </w: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100" w:type="dxa"/>
            <w:vAlign w:val="bottom"/>
          </w:tcPr>
          <w:p>
            <w:pPr>
              <w:ind w:left="40"/>
              <w:spacing w:after="0"/>
              <w:rPr>
                <w:sz w:val="20"/>
                <w:szCs w:val="20"/>
                <w:color w:val="auto"/>
              </w:rPr>
            </w:pPr>
            <w:r>
              <w:rPr>
                <w:rFonts w:ascii="Arial" w:cs="Arial" w:eastAsia="Arial" w:hAnsi="Arial"/>
                <w:sz w:val="14"/>
                <w:szCs w:val="14"/>
                <w:b w:val="1"/>
                <w:bCs w:val="1"/>
                <w:color w:val="666666"/>
              </w:rPr>
              <w:t>Karen M. Dahut</w:t>
            </w:r>
          </w:p>
        </w:tc>
        <w:tc>
          <w:tcPr>
            <w:tcW w:w="1560" w:type="dxa"/>
            <w:vAlign w:val="bottom"/>
          </w:tcPr>
          <w:p>
            <w:pPr>
              <w:jc w:val="right"/>
              <w:ind w:right="48"/>
              <w:spacing w:after="0"/>
              <w:rPr>
                <w:sz w:val="20"/>
                <w:szCs w:val="20"/>
                <w:color w:val="auto"/>
              </w:rPr>
            </w:pPr>
            <w:r>
              <w:rPr>
                <w:rFonts w:ascii="Arial" w:cs="Arial" w:eastAsia="Arial" w:hAnsi="Arial"/>
                <w:sz w:val="14"/>
                <w:szCs w:val="14"/>
                <w:color w:val="666666"/>
              </w:rPr>
              <w:t>—</w:t>
            </w:r>
          </w:p>
        </w:tc>
        <w:tc>
          <w:tcPr>
            <w:tcW w:w="1620" w:type="dxa"/>
            <w:vAlign w:val="bottom"/>
          </w:tcPr>
          <w:p>
            <w:pPr>
              <w:jc w:val="right"/>
              <w:ind w:right="170"/>
              <w:spacing w:after="0"/>
              <w:rPr>
                <w:sz w:val="20"/>
                <w:szCs w:val="20"/>
                <w:color w:val="auto"/>
              </w:rPr>
            </w:pPr>
            <w:r>
              <w:rPr>
                <w:rFonts w:ascii="Arial" w:cs="Arial" w:eastAsia="Arial" w:hAnsi="Arial"/>
                <w:sz w:val="14"/>
                <w:szCs w:val="14"/>
                <w:color w:val="666666"/>
              </w:rPr>
              <w:t>—</w:t>
            </w:r>
          </w:p>
        </w:tc>
        <w:tc>
          <w:tcPr>
            <w:tcW w:w="1620" w:type="dxa"/>
            <w:vAlign w:val="bottom"/>
          </w:tcPr>
          <w:p>
            <w:pPr>
              <w:jc w:val="right"/>
              <w:ind w:right="49"/>
              <w:spacing w:after="0"/>
              <w:rPr>
                <w:sz w:val="20"/>
                <w:szCs w:val="20"/>
                <w:color w:val="auto"/>
              </w:rPr>
            </w:pPr>
            <w:r>
              <w:rPr>
                <w:rFonts w:ascii="Arial" w:cs="Arial" w:eastAsia="Arial" w:hAnsi="Arial"/>
                <w:sz w:val="14"/>
                <w:szCs w:val="14"/>
                <w:color w:val="666666"/>
              </w:rPr>
              <w:t>49,149</w:t>
            </w:r>
          </w:p>
        </w:tc>
        <w:tc>
          <w:tcPr>
            <w:tcW w:w="1460" w:type="dxa"/>
            <w:vAlign w:val="bottom"/>
          </w:tcPr>
          <w:p>
            <w:pPr>
              <w:jc w:val="right"/>
              <w:ind w:right="10"/>
              <w:spacing w:after="0"/>
              <w:rPr>
                <w:sz w:val="20"/>
                <w:szCs w:val="20"/>
                <w:color w:val="auto"/>
              </w:rPr>
            </w:pPr>
            <w:r>
              <w:rPr>
                <w:rFonts w:ascii="Arial" w:cs="Arial" w:eastAsia="Arial" w:hAnsi="Arial"/>
                <w:sz w:val="14"/>
                <w:szCs w:val="14"/>
                <w:color w:val="666666"/>
              </w:rPr>
              <w:t>3,528,177</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100" w:type="dxa"/>
            <w:vAlign w:val="bottom"/>
            <w:shd w:val="clear" w:color="auto" w:fill="DDDDDD"/>
          </w:tcPr>
          <w:p>
            <w:pPr>
              <w:ind w:left="40"/>
              <w:spacing w:after="0"/>
              <w:rPr>
                <w:sz w:val="20"/>
                <w:szCs w:val="20"/>
                <w:color w:val="auto"/>
              </w:rPr>
            </w:pPr>
            <w:r>
              <w:rPr>
                <w:rFonts w:ascii="Arial" w:cs="Arial" w:eastAsia="Arial" w:hAnsi="Arial"/>
                <w:sz w:val="14"/>
                <w:szCs w:val="14"/>
                <w:b w:val="1"/>
                <w:bCs w:val="1"/>
                <w:color w:val="666666"/>
              </w:rPr>
              <w:t>Nancy J. Laben</w:t>
            </w:r>
          </w:p>
        </w:tc>
        <w:tc>
          <w:tcPr>
            <w:tcW w:w="156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666666"/>
              </w:rPr>
              <w:t>22,064</w:t>
            </w:r>
          </w:p>
        </w:tc>
        <w:tc>
          <w:tcPr>
            <w:tcW w:w="1620" w:type="dxa"/>
            <w:vAlign w:val="bottom"/>
            <w:shd w:val="clear" w:color="auto" w:fill="DDDDDD"/>
          </w:tcPr>
          <w:p>
            <w:pPr>
              <w:jc w:val="right"/>
              <w:ind w:right="170"/>
              <w:spacing w:after="0"/>
              <w:rPr>
                <w:sz w:val="20"/>
                <w:szCs w:val="20"/>
                <w:color w:val="auto"/>
              </w:rPr>
            </w:pPr>
            <w:r>
              <w:rPr>
                <w:rFonts w:ascii="Arial" w:cs="Arial" w:eastAsia="Arial" w:hAnsi="Arial"/>
                <w:sz w:val="14"/>
                <w:szCs w:val="14"/>
                <w:color w:val="666666"/>
              </w:rPr>
              <w:t>859,061</w:t>
            </w:r>
          </w:p>
        </w:tc>
        <w:tc>
          <w:tcPr>
            <w:tcW w:w="1620" w:type="dxa"/>
            <w:vAlign w:val="bottom"/>
            <w:shd w:val="clear" w:color="auto" w:fill="DDDDDD"/>
          </w:tcPr>
          <w:p>
            <w:pPr>
              <w:jc w:val="right"/>
              <w:ind w:right="49"/>
              <w:spacing w:after="0"/>
              <w:rPr>
                <w:sz w:val="20"/>
                <w:szCs w:val="20"/>
                <w:color w:val="auto"/>
              </w:rPr>
            </w:pPr>
            <w:r>
              <w:rPr>
                <w:rFonts w:ascii="Arial" w:cs="Arial" w:eastAsia="Arial" w:hAnsi="Arial"/>
                <w:sz w:val="14"/>
                <w:szCs w:val="14"/>
                <w:color w:val="666666"/>
              </w:rPr>
              <w:t>19,106</w:t>
            </w:r>
          </w:p>
        </w:tc>
        <w:tc>
          <w:tcPr>
            <w:tcW w:w="1460" w:type="dxa"/>
            <w:vAlign w:val="bottom"/>
            <w:shd w:val="clear" w:color="auto" w:fill="DDDDDD"/>
          </w:tcPr>
          <w:p>
            <w:pPr>
              <w:jc w:val="right"/>
              <w:ind w:right="10"/>
              <w:spacing w:after="0"/>
              <w:rPr>
                <w:sz w:val="20"/>
                <w:szCs w:val="20"/>
                <w:color w:val="auto"/>
              </w:rPr>
            </w:pPr>
            <w:r>
              <w:rPr>
                <w:rFonts w:ascii="Arial" w:cs="Arial" w:eastAsia="Arial" w:hAnsi="Arial"/>
                <w:sz w:val="14"/>
                <w:szCs w:val="14"/>
                <w:color w:val="666666"/>
              </w:rPr>
              <w:t>1,365,234</w:t>
            </w:r>
          </w:p>
        </w:tc>
        <w:tc>
          <w:tcPr>
            <w:tcW w:w="2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2100" w:type="dxa"/>
            <w:vAlign w:val="bottom"/>
          </w:tcPr>
          <w:p>
            <w:pPr>
              <w:ind w:left="40"/>
              <w:spacing w:after="0"/>
              <w:rPr>
                <w:sz w:val="20"/>
                <w:szCs w:val="20"/>
                <w:color w:val="auto"/>
              </w:rPr>
            </w:pPr>
            <w:r>
              <w:rPr>
                <w:rFonts w:ascii="Arial" w:cs="Arial" w:eastAsia="Arial" w:hAnsi="Arial"/>
                <w:sz w:val="14"/>
                <w:szCs w:val="14"/>
                <w:b w:val="1"/>
                <w:bCs w:val="1"/>
                <w:color w:val="666666"/>
              </w:rPr>
              <w:t>Susan L. Penfield</w:t>
            </w:r>
          </w:p>
        </w:tc>
        <w:tc>
          <w:tcPr>
            <w:tcW w:w="1560" w:type="dxa"/>
            <w:vAlign w:val="bottom"/>
          </w:tcPr>
          <w:p>
            <w:pPr>
              <w:jc w:val="right"/>
              <w:ind w:right="48"/>
              <w:spacing w:after="0"/>
              <w:rPr>
                <w:sz w:val="20"/>
                <w:szCs w:val="20"/>
                <w:color w:val="auto"/>
              </w:rPr>
            </w:pPr>
            <w:r>
              <w:rPr>
                <w:rFonts w:ascii="Arial" w:cs="Arial" w:eastAsia="Arial" w:hAnsi="Arial"/>
                <w:sz w:val="14"/>
                <w:szCs w:val="14"/>
                <w:color w:val="666666"/>
              </w:rPr>
              <w:t>27,741</w:t>
            </w:r>
          </w:p>
        </w:tc>
        <w:tc>
          <w:tcPr>
            <w:tcW w:w="1620" w:type="dxa"/>
            <w:vAlign w:val="bottom"/>
          </w:tcPr>
          <w:p>
            <w:pPr>
              <w:jc w:val="right"/>
              <w:ind w:right="170"/>
              <w:spacing w:after="0"/>
              <w:rPr>
                <w:sz w:val="20"/>
                <w:szCs w:val="20"/>
                <w:color w:val="auto"/>
              </w:rPr>
            </w:pPr>
            <w:r>
              <w:rPr>
                <w:rFonts w:ascii="Arial" w:cs="Arial" w:eastAsia="Arial" w:hAnsi="Arial"/>
                <w:sz w:val="14"/>
                <w:szCs w:val="14"/>
                <w:color w:val="666666"/>
              </w:rPr>
              <w:t>1,719,065</w:t>
            </w:r>
          </w:p>
        </w:tc>
        <w:tc>
          <w:tcPr>
            <w:tcW w:w="1620" w:type="dxa"/>
            <w:vAlign w:val="bottom"/>
          </w:tcPr>
          <w:p>
            <w:pPr>
              <w:jc w:val="right"/>
              <w:ind w:right="49"/>
              <w:spacing w:after="0"/>
              <w:rPr>
                <w:sz w:val="20"/>
                <w:szCs w:val="20"/>
                <w:color w:val="auto"/>
              </w:rPr>
            </w:pPr>
            <w:r>
              <w:rPr>
                <w:rFonts w:ascii="Arial" w:cs="Arial" w:eastAsia="Arial" w:hAnsi="Arial"/>
                <w:sz w:val="14"/>
                <w:szCs w:val="14"/>
                <w:color w:val="666666"/>
              </w:rPr>
              <w:t>35,137</w:t>
            </w:r>
          </w:p>
        </w:tc>
        <w:tc>
          <w:tcPr>
            <w:tcW w:w="1460" w:type="dxa"/>
            <w:vAlign w:val="bottom"/>
          </w:tcPr>
          <w:p>
            <w:pPr>
              <w:jc w:val="right"/>
              <w:ind w:right="10"/>
              <w:spacing w:after="0"/>
              <w:rPr>
                <w:sz w:val="20"/>
                <w:szCs w:val="20"/>
                <w:color w:val="auto"/>
              </w:rPr>
            </w:pPr>
            <w:r>
              <w:rPr>
                <w:rFonts w:ascii="Arial" w:cs="Arial" w:eastAsia="Arial" w:hAnsi="Arial"/>
                <w:sz w:val="14"/>
                <w:szCs w:val="14"/>
                <w:color w:val="666666"/>
              </w:rPr>
              <w:t>2,525,779</w:t>
            </w:r>
          </w:p>
        </w:tc>
        <w:tc>
          <w:tcPr>
            <w:tcW w:w="20" w:type="dxa"/>
            <w:vAlign w:val="bottom"/>
          </w:tcPr>
          <w:p>
            <w:pPr>
              <w:spacing w:after="0"/>
              <w:rPr>
                <w:sz w:val="17"/>
                <w:szCs w:val="17"/>
                <w:color w:val="auto"/>
              </w:rPr>
            </w:pPr>
          </w:p>
        </w:tc>
      </w:tr>
    </w:tbl>
    <w:p>
      <w:pPr>
        <w:spacing w:after="0" w:line="260" w:lineRule="exact"/>
        <w:rPr>
          <w:sz w:val="20"/>
          <w:szCs w:val="20"/>
          <w:color w:val="auto"/>
        </w:rPr>
      </w:pPr>
    </w:p>
    <w:p>
      <w:pPr>
        <w:ind w:left="540" w:hanging="316"/>
        <w:spacing w:after="0"/>
        <w:tabs>
          <w:tab w:leader="none" w:pos="540" w:val="left"/>
        </w:tabs>
        <w:numPr>
          <w:ilvl w:val="0"/>
          <w:numId w:val="50"/>
        </w:numPr>
        <w:rPr>
          <w:rFonts w:ascii="Arial" w:cs="Arial" w:eastAsia="Arial" w:hAnsi="Arial"/>
          <w:sz w:val="14"/>
          <w:szCs w:val="14"/>
          <w:color w:val="666666"/>
        </w:rPr>
      </w:pPr>
      <w:r>
        <w:rPr>
          <w:rFonts w:ascii="Arial" w:cs="Arial" w:eastAsia="Arial" w:hAnsi="Arial"/>
          <w:sz w:val="14"/>
          <w:szCs w:val="14"/>
          <w:color w:val="666666"/>
        </w:rPr>
        <w:t>Option Award ($) value realized is calculated based on the fair market value of our common stock less exercise cost at time of exercise.</w:t>
      </w:r>
    </w:p>
    <w:p>
      <w:pPr>
        <w:spacing w:after="0" w:line="1" w:lineRule="exact"/>
        <w:rPr>
          <w:rFonts w:ascii="Arial" w:cs="Arial" w:eastAsia="Arial" w:hAnsi="Arial"/>
          <w:sz w:val="14"/>
          <w:szCs w:val="14"/>
          <w:color w:val="666666"/>
        </w:rPr>
      </w:pPr>
    </w:p>
    <w:p>
      <w:pPr>
        <w:ind w:left="540" w:hanging="316"/>
        <w:spacing w:after="0" w:line="241" w:lineRule="auto"/>
        <w:tabs>
          <w:tab w:leader="none" w:pos="540" w:val="left"/>
        </w:tabs>
        <w:numPr>
          <w:ilvl w:val="0"/>
          <w:numId w:val="50"/>
        </w:numPr>
        <w:rPr>
          <w:rFonts w:ascii="Arial" w:cs="Arial" w:eastAsia="Arial" w:hAnsi="Arial"/>
          <w:sz w:val="14"/>
          <w:szCs w:val="14"/>
          <w:color w:val="666666"/>
        </w:rPr>
      </w:pPr>
      <w:r>
        <w:rPr>
          <w:rFonts w:ascii="Arial" w:cs="Arial" w:eastAsia="Arial" w:hAnsi="Arial"/>
          <w:sz w:val="14"/>
          <w:szCs w:val="14"/>
          <w:color w:val="666666"/>
        </w:rPr>
        <w:t>Includes performance-based RSUs earned in connection with the fiscal 2018-2020 performance period that vested on March 31, 2020 and a portion of time-based RSUs granted in previous fiscal years that vested on March 31, 2020.</w:t>
      </w:r>
    </w:p>
    <w:p>
      <w:pPr>
        <w:ind w:left="540" w:hanging="316"/>
        <w:spacing w:after="0"/>
        <w:tabs>
          <w:tab w:leader="none" w:pos="540" w:val="left"/>
        </w:tabs>
        <w:numPr>
          <w:ilvl w:val="0"/>
          <w:numId w:val="50"/>
        </w:numPr>
        <w:rPr>
          <w:rFonts w:ascii="Arial" w:cs="Arial" w:eastAsia="Arial" w:hAnsi="Arial"/>
          <w:sz w:val="14"/>
          <w:szCs w:val="14"/>
          <w:color w:val="666666"/>
        </w:rPr>
      </w:pPr>
      <w:r>
        <w:rPr>
          <w:rFonts w:ascii="Arial" w:cs="Arial" w:eastAsia="Arial" w:hAnsi="Arial"/>
          <w:sz w:val="14"/>
          <w:szCs w:val="14"/>
          <w:color w:val="666666"/>
        </w:rPr>
        <w:t>Stock Award ($) value realized is calculated based on fair market value on the applicable vesting date of June 29, 2019,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42</w:t>
      </w:r>
    </w:p>
    <w:p>
      <w:pPr>
        <w:sectPr>
          <w:pgSz w:w="11900" w:h="16838" w:orient="portrait"/>
          <w:cols w:equalWidth="0" w:num="1">
            <w:col w:w="11240"/>
          </w:cols>
          <w:pgMar w:left="320" w:top="471" w:right="339" w:bottom="1440" w:gutter="0" w:footer="0" w:header="0"/>
        </w:sectPr>
      </w:pPr>
    </w:p>
    <w:bookmarkStart w:id="51" w:name="page52"/>
    <w:bookmarkEnd w:id="51"/>
    <w:p>
      <w:pPr>
        <w:ind w:left="340"/>
        <w:spacing w:after="0"/>
        <w:rPr>
          <w:sz w:val="20"/>
          <w:szCs w:val="20"/>
          <w:color w:val="auto"/>
        </w:rPr>
      </w:pPr>
      <w:r>
        <w:rPr>
          <w:rFonts w:ascii="Arial" w:cs="Arial" w:eastAsia="Arial" w:hAnsi="Arial"/>
          <w:sz w:val="20"/>
          <w:szCs w:val="20"/>
          <w:b w:val="1"/>
          <w:bCs w:val="1"/>
          <w:i w:val="1"/>
          <w:iCs w:val="1"/>
          <w:color w:val="547BCC"/>
        </w:rPr>
        <w:t>Pension Benefits Table</w:t>
      </w:r>
    </w:p>
    <w:p>
      <w:pPr>
        <w:spacing w:after="0" w:line="186"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The Officers’ Retirement Plan is an unfunded defined benefit retirement plan that we maintain for our executives. Under the Officers’ Retirement Plan, if an executive retires of his or her own volition (and is not entitled to severance) after a minimum of either (a) age 60 with five years of service as an executive or (b) age 50 with 10 years of service as an executive, he or she will be entitled to receive a single lump sum retirement payment equal to $10,000 for each year of service as an executive, pro-rated as appropriate. As of fiscal year 2020 end, Messrs. Rozanski and Howell and Mses. Dahut and Penfield are eligible to receive benefits under the Officers’ Retirement Plan upon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206375</wp:posOffset>
            </wp:positionV>
            <wp:extent cx="5949315" cy="1371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49315" cy="1371600"/>
                    </a:xfrm>
                    <a:prstGeom prst="rect">
                      <a:avLst/>
                    </a:prstGeom>
                    <a:noFill/>
                  </pic:spPr>
                </pic:pic>
              </a:graphicData>
            </a:graphic>
          </wp:anchor>
        </w:drawing>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FFFF"/>
        </w:rPr>
        <w:t>PENSION BENEFITS TABLE</w:t>
      </w:r>
    </w:p>
    <w:p>
      <w:pPr>
        <w:spacing w:after="0" w:line="54" w:lineRule="exact"/>
        <w:rPr>
          <w:sz w:val="20"/>
          <w:szCs w:val="20"/>
          <w:color w:val="auto"/>
        </w:rPr>
      </w:pPr>
    </w:p>
    <w:tbl>
      <w:tblPr>
        <w:tblLayout w:type="fixed"/>
        <w:tblInd w:w="9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920" w:type="dxa"/>
            <w:vAlign w:val="bottom"/>
            <w:shd w:val="clear" w:color="auto" w:fill="DDDDDD"/>
          </w:tcPr>
          <w:p>
            <w:pPr>
              <w:spacing w:after="0"/>
              <w:rPr>
                <w:sz w:val="16"/>
                <w:szCs w:val="16"/>
                <w:color w:val="auto"/>
              </w:rPr>
            </w:pPr>
          </w:p>
        </w:tc>
        <w:tc>
          <w:tcPr>
            <w:tcW w:w="2380" w:type="dxa"/>
            <w:vAlign w:val="bottom"/>
            <w:shd w:val="clear" w:color="auto" w:fill="DDDDDD"/>
          </w:tcPr>
          <w:p>
            <w:pPr>
              <w:spacing w:after="0"/>
              <w:rPr>
                <w:sz w:val="16"/>
                <w:szCs w:val="16"/>
                <w:color w:val="auto"/>
              </w:rPr>
            </w:pPr>
          </w:p>
        </w:tc>
        <w:tc>
          <w:tcPr>
            <w:tcW w:w="1700" w:type="dxa"/>
            <w:vAlign w:val="bottom"/>
            <w:shd w:val="clear" w:color="auto" w:fill="DDDDDD"/>
          </w:tcPr>
          <w:p>
            <w:pPr>
              <w:spacing w:after="0"/>
              <w:rPr>
                <w:sz w:val="16"/>
                <w:szCs w:val="16"/>
                <w:color w:val="auto"/>
              </w:rPr>
            </w:pPr>
          </w:p>
        </w:tc>
        <w:tc>
          <w:tcPr>
            <w:tcW w:w="164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Present Value of</w:t>
            </w:r>
          </w:p>
        </w:tc>
        <w:tc>
          <w:tcPr>
            <w:tcW w:w="1700" w:type="dxa"/>
            <w:vAlign w:val="bottom"/>
            <w:shd w:val="clear" w:color="auto" w:fill="DDDDDD"/>
          </w:tcPr>
          <w:p>
            <w:pPr>
              <w:spacing w:after="0"/>
              <w:rPr>
                <w:sz w:val="16"/>
                <w:szCs w:val="16"/>
                <w:color w:val="auto"/>
              </w:rPr>
            </w:pPr>
          </w:p>
        </w:tc>
      </w:tr>
      <w:tr>
        <w:trPr>
          <w:trHeight w:val="161"/>
        </w:trPr>
        <w:tc>
          <w:tcPr>
            <w:tcW w:w="20" w:type="dxa"/>
            <w:vAlign w:val="bottom"/>
          </w:tcPr>
          <w:p>
            <w:pPr>
              <w:spacing w:after="0"/>
              <w:rPr>
                <w:sz w:val="13"/>
                <w:szCs w:val="13"/>
                <w:color w:val="auto"/>
              </w:rPr>
            </w:pPr>
          </w:p>
        </w:tc>
        <w:tc>
          <w:tcPr>
            <w:tcW w:w="1920" w:type="dxa"/>
            <w:vAlign w:val="bottom"/>
            <w:shd w:val="clear" w:color="auto" w:fill="DDDDDD"/>
          </w:tcPr>
          <w:p>
            <w:pPr>
              <w:spacing w:after="0"/>
              <w:rPr>
                <w:sz w:val="13"/>
                <w:szCs w:val="13"/>
                <w:color w:val="auto"/>
              </w:rPr>
            </w:pPr>
          </w:p>
        </w:tc>
        <w:tc>
          <w:tcPr>
            <w:tcW w:w="2380" w:type="dxa"/>
            <w:vAlign w:val="bottom"/>
            <w:shd w:val="clear" w:color="auto" w:fill="DDDDDD"/>
          </w:tcPr>
          <w:p>
            <w:pPr>
              <w:spacing w:after="0"/>
              <w:rPr>
                <w:sz w:val="13"/>
                <w:szCs w:val="13"/>
                <w:color w:val="auto"/>
              </w:rPr>
            </w:pPr>
          </w:p>
        </w:tc>
        <w:tc>
          <w:tcPr>
            <w:tcW w:w="1700" w:type="dxa"/>
            <w:vAlign w:val="bottom"/>
            <w:shd w:val="clear" w:color="auto" w:fill="DDDDDD"/>
          </w:tcPr>
          <w:p>
            <w:pPr>
              <w:ind w:left="280"/>
              <w:spacing w:after="0"/>
              <w:rPr>
                <w:sz w:val="20"/>
                <w:szCs w:val="20"/>
                <w:color w:val="auto"/>
              </w:rPr>
            </w:pPr>
            <w:r>
              <w:rPr>
                <w:rFonts w:ascii="Arial" w:cs="Arial" w:eastAsia="Arial" w:hAnsi="Arial"/>
                <w:sz w:val="14"/>
                <w:szCs w:val="14"/>
                <w:b w:val="1"/>
                <w:bCs w:val="1"/>
                <w:color w:val="666666"/>
              </w:rPr>
              <w:t>Number of Years</w:t>
            </w:r>
          </w:p>
        </w:tc>
        <w:tc>
          <w:tcPr>
            <w:tcW w:w="164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Accumulated</w:t>
            </w:r>
          </w:p>
        </w:tc>
        <w:tc>
          <w:tcPr>
            <w:tcW w:w="170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Payments During</w:t>
            </w:r>
          </w:p>
        </w:tc>
      </w:tr>
      <w:tr>
        <w:trPr>
          <w:trHeight w:val="163"/>
        </w:trPr>
        <w:tc>
          <w:tcPr>
            <w:tcW w:w="20" w:type="dxa"/>
            <w:vAlign w:val="bottom"/>
          </w:tcPr>
          <w:p>
            <w:pPr>
              <w:spacing w:after="0"/>
              <w:rPr>
                <w:sz w:val="14"/>
                <w:szCs w:val="14"/>
                <w:color w:val="auto"/>
              </w:rPr>
            </w:pPr>
          </w:p>
        </w:tc>
        <w:tc>
          <w:tcPr>
            <w:tcW w:w="1920" w:type="dxa"/>
            <w:vAlign w:val="bottom"/>
            <w:shd w:val="clear" w:color="auto" w:fill="DDDDDD"/>
          </w:tcPr>
          <w:p>
            <w:pPr>
              <w:spacing w:after="0"/>
              <w:rPr>
                <w:sz w:val="14"/>
                <w:szCs w:val="14"/>
                <w:color w:val="auto"/>
              </w:rPr>
            </w:pPr>
          </w:p>
        </w:tc>
        <w:tc>
          <w:tcPr>
            <w:tcW w:w="2380" w:type="dxa"/>
            <w:vAlign w:val="bottom"/>
            <w:shd w:val="clear" w:color="auto" w:fill="DDDDDD"/>
          </w:tcPr>
          <w:p>
            <w:pPr>
              <w:spacing w:after="0"/>
              <w:rPr>
                <w:sz w:val="14"/>
                <w:szCs w:val="14"/>
                <w:color w:val="auto"/>
              </w:rPr>
            </w:pPr>
          </w:p>
        </w:tc>
        <w:tc>
          <w:tcPr>
            <w:tcW w:w="1700" w:type="dxa"/>
            <w:vAlign w:val="bottom"/>
            <w:shd w:val="clear" w:color="auto" w:fill="DDDDDD"/>
          </w:tcPr>
          <w:p>
            <w:pPr>
              <w:ind w:left="260"/>
              <w:spacing w:after="0"/>
              <w:rPr>
                <w:sz w:val="20"/>
                <w:szCs w:val="20"/>
                <w:color w:val="auto"/>
              </w:rPr>
            </w:pPr>
            <w:r>
              <w:rPr>
                <w:rFonts w:ascii="Arial" w:cs="Arial" w:eastAsia="Arial" w:hAnsi="Arial"/>
                <w:sz w:val="14"/>
                <w:szCs w:val="14"/>
                <w:b w:val="1"/>
                <w:bCs w:val="1"/>
                <w:color w:val="666666"/>
              </w:rPr>
              <w:t>Credited Service</w:t>
            </w:r>
          </w:p>
        </w:tc>
        <w:tc>
          <w:tcPr>
            <w:tcW w:w="1640" w:type="dxa"/>
            <w:vAlign w:val="bottom"/>
            <w:shd w:val="clear" w:color="auto" w:fill="DDDDDD"/>
          </w:tcPr>
          <w:p>
            <w:pPr>
              <w:jc w:val="center"/>
              <w:spacing w:after="0" w:line="164" w:lineRule="exact"/>
              <w:rPr>
                <w:sz w:val="20"/>
                <w:szCs w:val="20"/>
                <w:color w:val="auto"/>
              </w:rPr>
            </w:pPr>
            <w:r>
              <w:rPr>
                <w:rFonts w:ascii="Arial" w:cs="Arial" w:eastAsia="Arial" w:hAnsi="Arial"/>
                <w:sz w:val="12"/>
                <w:szCs w:val="12"/>
                <w:b w:val="1"/>
                <w:bCs w:val="1"/>
                <w:color w:val="666666"/>
              </w:rPr>
              <w:t xml:space="preserve">Benefits </w:t>
            </w:r>
            <w:r>
              <w:rPr>
                <w:rFonts w:ascii="Arial" w:cs="Arial" w:eastAsia="Arial" w:hAnsi="Arial"/>
                <w:sz w:val="18"/>
                <w:szCs w:val="18"/>
                <w:b w:val="1"/>
                <w:bCs w:val="1"/>
                <w:color w:val="666666"/>
                <w:vertAlign w:val="superscript"/>
              </w:rPr>
              <w:t>1</w:t>
            </w:r>
          </w:p>
        </w:tc>
        <w:tc>
          <w:tcPr>
            <w:tcW w:w="170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Last Fiscal Year</w:t>
            </w:r>
          </w:p>
        </w:tc>
      </w:tr>
      <w:tr>
        <w:trPr>
          <w:trHeight w:val="209"/>
        </w:trPr>
        <w:tc>
          <w:tcPr>
            <w:tcW w:w="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shd w:val="clear" w:color="auto" w:fill="DDDDDD"/>
          </w:tcPr>
          <w:p>
            <w:pPr>
              <w:ind w:left="40"/>
              <w:spacing w:after="0"/>
              <w:rPr>
                <w:sz w:val="20"/>
                <w:szCs w:val="20"/>
                <w:color w:val="auto"/>
              </w:rPr>
            </w:pPr>
            <w:r>
              <w:rPr>
                <w:rFonts w:ascii="Arial" w:cs="Arial" w:eastAsia="Arial" w:hAnsi="Arial"/>
                <w:sz w:val="14"/>
                <w:szCs w:val="14"/>
                <w:b w:val="1"/>
                <w:bCs w:val="1"/>
                <w:color w:val="666666"/>
              </w:rPr>
              <w:t>Name</w:t>
            </w:r>
          </w:p>
        </w:tc>
        <w:tc>
          <w:tcPr>
            <w:tcW w:w="2380" w:type="dxa"/>
            <w:vAlign w:val="bottom"/>
            <w:tcBorders>
              <w:bottom w:val="single" w:sz="8" w:color="auto"/>
            </w:tcBorders>
            <w:shd w:val="clear" w:color="auto" w:fill="DDDDDD"/>
          </w:tcPr>
          <w:p>
            <w:pPr>
              <w:jc w:val="center"/>
              <w:ind w:left="168"/>
              <w:spacing w:after="0"/>
              <w:rPr>
                <w:sz w:val="20"/>
                <w:szCs w:val="20"/>
                <w:color w:val="auto"/>
              </w:rPr>
            </w:pPr>
            <w:r>
              <w:rPr>
                <w:rFonts w:ascii="Arial" w:cs="Arial" w:eastAsia="Arial" w:hAnsi="Arial"/>
                <w:sz w:val="14"/>
                <w:szCs w:val="14"/>
                <w:b w:val="1"/>
                <w:bCs w:val="1"/>
                <w:color w:val="666666"/>
              </w:rPr>
              <w:t>Plan Name</w:t>
            </w:r>
          </w:p>
        </w:tc>
        <w:tc>
          <w:tcPr>
            <w:tcW w:w="170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w:t>
            </w:r>
          </w:p>
        </w:tc>
        <w:tc>
          <w:tcPr>
            <w:tcW w:w="164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w:t>
            </w:r>
          </w:p>
        </w:tc>
        <w:tc>
          <w:tcPr>
            <w:tcW w:w="170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w:t>
            </w:r>
          </w:p>
        </w:tc>
      </w:tr>
      <w:tr>
        <w:trPr>
          <w:trHeight w:val="210"/>
        </w:trPr>
        <w:tc>
          <w:tcPr>
            <w:tcW w:w="20" w:type="dxa"/>
            <w:vAlign w:val="bottom"/>
          </w:tcPr>
          <w:p>
            <w:pPr>
              <w:spacing w:after="0"/>
              <w:rPr>
                <w:sz w:val="18"/>
                <w:szCs w:val="18"/>
                <w:color w:val="auto"/>
              </w:rPr>
            </w:pPr>
          </w:p>
        </w:tc>
        <w:tc>
          <w:tcPr>
            <w:tcW w:w="1920" w:type="dxa"/>
            <w:vAlign w:val="bottom"/>
          </w:tcPr>
          <w:p>
            <w:pPr>
              <w:ind w:left="40"/>
              <w:spacing w:after="0"/>
              <w:rPr>
                <w:sz w:val="20"/>
                <w:szCs w:val="20"/>
                <w:color w:val="auto"/>
              </w:rPr>
            </w:pPr>
            <w:r>
              <w:rPr>
                <w:rFonts w:ascii="Arial" w:cs="Arial" w:eastAsia="Arial" w:hAnsi="Arial"/>
                <w:sz w:val="14"/>
                <w:szCs w:val="14"/>
                <w:b w:val="1"/>
                <w:bCs w:val="1"/>
                <w:color w:val="666666"/>
              </w:rPr>
              <w:t>Horacio D. Rozanski</w:t>
            </w:r>
          </w:p>
        </w:tc>
        <w:tc>
          <w:tcPr>
            <w:tcW w:w="2380" w:type="dxa"/>
            <w:vAlign w:val="bottom"/>
          </w:tcPr>
          <w:p>
            <w:pPr>
              <w:jc w:val="center"/>
              <w:ind w:left="168"/>
              <w:spacing w:after="0"/>
              <w:rPr>
                <w:sz w:val="20"/>
                <w:szCs w:val="20"/>
                <w:color w:val="auto"/>
              </w:rPr>
            </w:pPr>
            <w:r>
              <w:rPr>
                <w:rFonts w:ascii="Arial" w:cs="Arial" w:eastAsia="Arial" w:hAnsi="Arial"/>
                <w:sz w:val="14"/>
                <w:szCs w:val="14"/>
                <w:color w:val="666666"/>
              </w:rPr>
              <w:t>Officers’ Retirement Plan</w:t>
            </w:r>
          </w:p>
        </w:tc>
        <w:tc>
          <w:tcPr>
            <w:tcW w:w="1700" w:type="dxa"/>
            <w:vAlign w:val="bottom"/>
          </w:tcPr>
          <w:p>
            <w:pPr>
              <w:jc w:val="center"/>
              <w:spacing w:after="0"/>
              <w:rPr>
                <w:sz w:val="20"/>
                <w:szCs w:val="20"/>
                <w:color w:val="auto"/>
              </w:rPr>
            </w:pPr>
            <w:r>
              <w:rPr>
                <w:rFonts w:ascii="Arial" w:cs="Arial" w:eastAsia="Arial" w:hAnsi="Arial"/>
                <w:sz w:val="14"/>
                <w:szCs w:val="14"/>
                <w:color w:val="666666"/>
              </w:rPr>
              <w:t>20.5</w:t>
            </w:r>
          </w:p>
        </w:tc>
        <w:tc>
          <w:tcPr>
            <w:tcW w:w="1640" w:type="dxa"/>
            <w:vAlign w:val="bottom"/>
          </w:tcPr>
          <w:p>
            <w:pPr>
              <w:jc w:val="center"/>
              <w:spacing w:after="0"/>
              <w:rPr>
                <w:sz w:val="20"/>
                <w:szCs w:val="20"/>
                <w:color w:val="auto"/>
              </w:rPr>
            </w:pPr>
            <w:r>
              <w:rPr>
                <w:rFonts w:ascii="Arial" w:cs="Arial" w:eastAsia="Arial" w:hAnsi="Arial"/>
                <w:sz w:val="14"/>
                <w:szCs w:val="14"/>
                <w:color w:val="666666"/>
              </w:rPr>
              <w:t>205,000</w:t>
            </w:r>
          </w:p>
        </w:tc>
        <w:tc>
          <w:tcPr>
            <w:tcW w:w="1700" w:type="dxa"/>
            <w:vAlign w:val="bottom"/>
          </w:tcPr>
          <w:p>
            <w:pPr>
              <w:jc w:val="center"/>
              <w:spacing w:after="0"/>
              <w:rPr>
                <w:sz w:val="20"/>
                <w:szCs w:val="20"/>
                <w:color w:val="auto"/>
              </w:rPr>
            </w:pPr>
            <w:r>
              <w:rPr>
                <w:rFonts w:ascii="Arial" w:cs="Arial" w:eastAsia="Arial" w:hAnsi="Arial"/>
                <w:sz w:val="14"/>
                <w:szCs w:val="14"/>
                <w:color w:val="666666"/>
                <w:w w:val="99"/>
              </w:rPr>
              <w:t>—</w:t>
            </w:r>
          </w:p>
        </w:tc>
      </w:tr>
      <w:tr>
        <w:trPr>
          <w:trHeight w:val="222"/>
        </w:trPr>
        <w:tc>
          <w:tcPr>
            <w:tcW w:w="20" w:type="dxa"/>
            <w:vAlign w:val="bottom"/>
          </w:tcPr>
          <w:p>
            <w:pPr>
              <w:spacing w:after="0"/>
              <w:rPr>
                <w:sz w:val="19"/>
                <w:szCs w:val="19"/>
                <w:color w:val="auto"/>
              </w:rPr>
            </w:pPr>
          </w:p>
        </w:tc>
        <w:tc>
          <w:tcPr>
            <w:tcW w:w="1920" w:type="dxa"/>
            <w:vAlign w:val="bottom"/>
            <w:shd w:val="clear" w:color="auto" w:fill="DDDDDD"/>
          </w:tcPr>
          <w:p>
            <w:pPr>
              <w:ind w:left="40"/>
              <w:spacing w:after="0"/>
              <w:rPr>
                <w:sz w:val="20"/>
                <w:szCs w:val="20"/>
                <w:color w:val="auto"/>
              </w:rPr>
            </w:pPr>
            <w:r>
              <w:rPr>
                <w:rFonts w:ascii="Arial" w:cs="Arial" w:eastAsia="Arial" w:hAnsi="Arial"/>
                <w:sz w:val="14"/>
                <w:szCs w:val="14"/>
                <w:b w:val="1"/>
                <w:bCs w:val="1"/>
                <w:color w:val="666666"/>
              </w:rPr>
              <w:t>Lloyd W. Howell, Jr.</w:t>
            </w:r>
          </w:p>
        </w:tc>
        <w:tc>
          <w:tcPr>
            <w:tcW w:w="2380" w:type="dxa"/>
            <w:vAlign w:val="bottom"/>
            <w:shd w:val="clear" w:color="auto" w:fill="DDDDDD"/>
          </w:tcPr>
          <w:p>
            <w:pPr>
              <w:jc w:val="center"/>
              <w:ind w:left="188"/>
              <w:spacing w:after="0"/>
              <w:rPr>
                <w:sz w:val="20"/>
                <w:szCs w:val="20"/>
                <w:color w:val="auto"/>
              </w:rPr>
            </w:pPr>
            <w:r>
              <w:rPr>
                <w:rFonts w:ascii="Arial" w:cs="Arial" w:eastAsia="Arial" w:hAnsi="Arial"/>
                <w:sz w:val="14"/>
                <w:szCs w:val="14"/>
                <w:color w:val="666666"/>
              </w:rPr>
              <w:t>Officers’ Retirement Plan</w:t>
            </w:r>
          </w:p>
        </w:tc>
        <w:tc>
          <w:tcPr>
            <w:tcW w:w="170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19.5</w:t>
            </w:r>
          </w:p>
        </w:tc>
        <w:tc>
          <w:tcPr>
            <w:tcW w:w="164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195,000</w:t>
            </w:r>
          </w:p>
        </w:tc>
        <w:tc>
          <w:tcPr>
            <w:tcW w:w="170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r>
      <w:tr>
        <w:trPr>
          <w:trHeight w:val="210"/>
        </w:trPr>
        <w:tc>
          <w:tcPr>
            <w:tcW w:w="20" w:type="dxa"/>
            <w:vAlign w:val="bottom"/>
          </w:tcPr>
          <w:p>
            <w:pPr>
              <w:spacing w:after="0"/>
              <w:rPr>
                <w:sz w:val="18"/>
                <w:szCs w:val="18"/>
                <w:color w:val="auto"/>
              </w:rPr>
            </w:pPr>
          </w:p>
        </w:tc>
        <w:tc>
          <w:tcPr>
            <w:tcW w:w="1920" w:type="dxa"/>
            <w:vAlign w:val="bottom"/>
          </w:tcPr>
          <w:p>
            <w:pPr>
              <w:ind w:left="40"/>
              <w:spacing w:after="0"/>
              <w:rPr>
                <w:sz w:val="20"/>
                <w:szCs w:val="20"/>
                <w:color w:val="auto"/>
              </w:rPr>
            </w:pPr>
            <w:r>
              <w:rPr>
                <w:rFonts w:ascii="Arial" w:cs="Arial" w:eastAsia="Arial" w:hAnsi="Arial"/>
                <w:sz w:val="14"/>
                <w:szCs w:val="14"/>
                <w:b w:val="1"/>
                <w:bCs w:val="1"/>
                <w:color w:val="666666"/>
              </w:rPr>
              <w:t>Karen M. Dahut</w:t>
            </w:r>
          </w:p>
        </w:tc>
        <w:tc>
          <w:tcPr>
            <w:tcW w:w="2380" w:type="dxa"/>
            <w:vAlign w:val="bottom"/>
          </w:tcPr>
          <w:p>
            <w:pPr>
              <w:jc w:val="center"/>
              <w:ind w:left="188"/>
              <w:spacing w:after="0"/>
              <w:rPr>
                <w:sz w:val="20"/>
                <w:szCs w:val="20"/>
                <w:color w:val="auto"/>
              </w:rPr>
            </w:pPr>
            <w:r>
              <w:rPr>
                <w:rFonts w:ascii="Arial" w:cs="Arial" w:eastAsia="Arial" w:hAnsi="Arial"/>
                <w:sz w:val="14"/>
                <w:szCs w:val="14"/>
                <w:color w:val="666666"/>
              </w:rPr>
              <w:t>Officers’ Retirement Plan</w:t>
            </w:r>
          </w:p>
        </w:tc>
        <w:tc>
          <w:tcPr>
            <w:tcW w:w="1700" w:type="dxa"/>
            <w:vAlign w:val="bottom"/>
          </w:tcPr>
          <w:p>
            <w:pPr>
              <w:jc w:val="center"/>
              <w:spacing w:after="0"/>
              <w:rPr>
                <w:sz w:val="20"/>
                <w:szCs w:val="20"/>
                <w:color w:val="auto"/>
              </w:rPr>
            </w:pPr>
            <w:r>
              <w:rPr>
                <w:rFonts w:ascii="Arial" w:cs="Arial" w:eastAsia="Arial" w:hAnsi="Arial"/>
                <w:sz w:val="14"/>
                <w:szCs w:val="14"/>
                <w:color w:val="666666"/>
              </w:rPr>
              <w:t>15.5</w:t>
            </w:r>
          </w:p>
        </w:tc>
        <w:tc>
          <w:tcPr>
            <w:tcW w:w="1640" w:type="dxa"/>
            <w:vAlign w:val="bottom"/>
          </w:tcPr>
          <w:p>
            <w:pPr>
              <w:jc w:val="center"/>
              <w:spacing w:after="0"/>
              <w:rPr>
                <w:sz w:val="20"/>
                <w:szCs w:val="20"/>
                <w:color w:val="auto"/>
              </w:rPr>
            </w:pPr>
            <w:r>
              <w:rPr>
                <w:rFonts w:ascii="Arial" w:cs="Arial" w:eastAsia="Arial" w:hAnsi="Arial"/>
                <w:sz w:val="14"/>
                <w:szCs w:val="14"/>
                <w:color w:val="666666"/>
              </w:rPr>
              <w:t>155,000</w:t>
            </w:r>
          </w:p>
        </w:tc>
        <w:tc>
          <w:tcPr>
            <w:tcW w:w="1700" w:type="dxa"/>
            <w:vAlign w:val="bottom"/>
          </w:tcPr>
          <w:p>
            <w:pPr>
              <w:jc w:val="center"/>
              <w:spacing w:after="0"/>
              <w:rPr>
                <w:sz w:val="20"/>
                <w:szCs w:val="20"/>
                <w:color w:val="auto"/>
              </w:rPr>
            </w:pPr>
            <w:r>
              <w:rPr>
                <w:rFonts w:ascii="Arial" w:cs="Arial" w:eastAsia="Arial" w:hAnsi="Arial"/>
                <w:sz w:val="14"/>
                <w:szCs w:val="14"/>
                <w:color w:val="666666"/>
                <w:w w:val="99"/>
              </w:rPr>
              <w:t>—</w:t>
            </w:r>
          </w:p>
        </w:tc>
      </w:tr>
      <w:tr>
        <w:trPr>
          <w:trHeight w:val="222"/>
        </w:trPr>
        <w:tc>
          <w:tcPr>
            <w:tcW w:w="20" w:type="dxa"/>
            <w:vAlign w:val="bottom"/>
          </w:tcPr>
          <w:p>
            <w:pPr>
              <w:spacing w:after="0"/>
              <w:rPr>
                <w:sz w:val="19"/>
                <w:szCs w:val="19"/>
                <w:color w:val="auto"/>
              </w:rPr>
            </w:pPr>
          </w:p>
        </w:tc>
        <w:tc>
          <w:tcPr>
            <w:tcW w:w="1920" w:type="dxa"/>
            <w:vAlign w:val="bottom"/>
            <w:shd w:val="clear" w:color="auto" w:fill="DDDDDD"/>
          </w:tcPr>
          <w:p>
            <w:pPr>
              <w:ind w:left="40"/>
              <w:spacing w:after="0"/>
              <w:rPr>
                <w:sz w:val="20"/>
                <w:szCs w:val="20"/>
                <w:color w:val="auto"/>
              </w:rPr>
            </w:pPr>
            <w:r>
              <w:rPr>
                <w:rFonts w:ascii="Arial" w:cs="Arial" w:eastAsia="Arial" w:hAnsi="Arial"/>
                <w:sz w:val="14"/>
                <w:szCs w:val="14"/>
                <w:b w:val="1"/>
                <w:bCs w:val="1"/>
                <w:color w:val="666666"/>
              </w:rPr>
              <w:t>Nancy J. Laben</w:t>
            </w:r>
          </w:p>
        </w:tc>
        <w:tc>
          <w:tcPr>
            <w:tcW w:w="2380" w:type="dxa"/>
            <w:vAlign w:val="bottom"/>
            <w:shd w:val="clear" w:color="auto" w:fill="DDDDDD"/>
          </w:tcPr>
          <w:p>
            <w:pPr>
              <w:jc w:val="center"/>
              <w:ind w:left="188"/>
              <w:spacing w:after="0"/>
              <w:rPr>
                <w:sz w:val="20"/>
                <w:szCs w:val="20"/>
                <w:color w:val="auto"/>
              </w:rPr>
            </w:pPr>
            <w:r>
              <w:rPr>
                <w:rFonts w:ascii="Arial" w:cs="Arial" w:eastAsia="Arial" w:hAnsi="Arial"/>
                <w:sz w:val="14"/>
                <w:szCs w:val="14"/>
                <w:color w:val="666666"/>
              </w:rPr>
              <w:t>Officers’ Retirement Plan</w:t>
            </w:r>
          </w:p>
        </w:tc>
        <w:tc>
          <w:tcPr>
            <w:tcW w:w="170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6.5</w:t>
            </w:r>
          </w:p>
        </w:tc>
        <w:tc>
          <w:tcPr>
            <w:tcW w:w="164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61,424</w:t>
            </w:r>
          </w:p>
        </w:tc>
        <w:tc>
          <w:tcPr>
            <w:tcW w:w="170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r>
      <w:tr>
        <w:trPr>
          <w:trHeight w:val="204"/>
        </w:trPr>
        <w:tc>
          <w:tcPr>
            <w:tcW w:w="20" w:type="dxa"/>
            <w:vAlign w:val="bottom"/>
          </w:tcPr>
          <w:p>
            <w:pPr>
              <w:spacing w:after="0"/>
              <w:rPr>
                <w:sz w:val="17"/>
                <w:szCs w:val="17"/>
                <w:color w:val="auto"/>
              </w:rPr>
            </w:pPr>
          </w:p>
        </w:tc>
        <w:tc>
          <w:tcPr>
            <w:tcW w:w="1920" w:type="dxa"/>
            <w:vAlign w:val="bottom"/>
          </w:tcPr>
          <w:p>
            <w:pPr>
              <w:ind w:left="40"/>
              <w:spacing w:after="0"/>
              <w:rPr>
                <w:sz w:val="20"/>
                <w:szCs w:val="20"/>
                <w:color w:val="auto"/>
              </w:rPr>
            </w:pPr>
            <w:r>
              <w:rPr>
                <w:rFonts w:ascii="Arial" w:cs="Arial" w:eastAsia="Arial" w:hAnsi="Arial"/>
                <w:sz w:val="14"/>
                <w:szCs w:val="14"/>
                <w:b w:val="1"/>
                <w:bCs w:val="1"/>
                <w:color w:val="666666"/>
              </w:rPr>
              <w:t>Susan L. Penfield</w:t>
            </w:r>
          </w:p>
        </w:tc>
        <w:tc>
          <w:tcPr>
            <w:tcW w:w="2380" w:type="dxa"/>
            <w:vAlign w:val="bottom"/>
          </w:tcPr>
          <w:p>
            <w:pPr>
              <w:jc w:val="center"/>
              <w:ind w:left="188"/>
              <w:spacing w:after="0"/>
              <w:rPr>
                <w:sz w:val="20"/>
                <w:szCs w:val="20"/>
                <w:color w:val="auto"/>
              </w:rPr>
            </w:pPr>
            <w:r>
              <w:rPr>
                <w:rFonts w:ascii="Arial" w:cs="Arial" w:eastAsia="Arial" w:hAnsi="Arial"/>
                <w:sz w:val="14"/>
                <w:szCs w:val="14"/>
                <w:color w:val="666666"/>
              </w:rPr>
              <w:t>Officers’ Retirement Plan</w:t>
            </w:r>
          </w:p>
        </w:tc>
        <w:tc>
          <w:tcPr>
            <w:tcW w:w="1700" w:type="dxa"/>
            <w:vAlign w:val="bottom"/>
          </w:tcPr>
          <w:p>
            <w:pPr>
              <w:jc w:val="center"/>
              <w:spacing w:after="0"/>
              <w:rPr>
                <w:sz w:val="20"/>
                <w:szCs w:val="20"/>
                <w:color w:val="auto"/>
              </w:rPr>
            </w:pPr>
            <w:r>
              <w:rPr>
                <w:rFonts w:ascii="Arial" w:cs="Arial" w:eastAsia="Arial" w:hAnsi="Arial"/>
                <w:sz w:val="14"/>
                <w:szCs w:val="14"/>
                <w:color w:val="666666"/>
              </w:rPr>
              <w:t>17.5</w:t>
            </w:r>
          </w:p>
        </w:tc>
        <w:tc>
          <w:tcPr>
            <w:tcW w:w="1640" w:type="dxa"/>
            <w:vAlign w:val="bottom"/>
          </w:tcPr>
          <w:p>
            <w:pPr>
              <w:jc w:val="center"/>
              <w:spacing w:after="0"/>
              <w:rPr>
                <w:sz w:val="20"/>
                <w:szCs w:val="20"/>
                <w:color w:val="auto"/>
              </w:rPr>
            </w:pPr>
            <w:r>
              <w:rPr>
                <w:rFonts w:ascii="Arial" w:cs="Arial" w:eastAsia="Arial" w:hAnsi="Arial"/>
                <w:sz w:val="14"/>
                <w:szCs w:val="14"/>
                <w:color w:val="666666"/>
              </w:rPr>
              <w:t>175,000</w:t>
            </w:r>
          </w:p>
        </w:tc>
        <w:tc>
          <w:tcPr>
            <w:tcW w:w="1700" w:type="dxa"/>
            <w:vAlign w:val="bottom"/>
          </w:tcPr>
          <w:p>
            <w:pPr>
              <w:jc w:val="center"/>
              <w:spacing w:after="0"/>
              <w:rPr>
                <w:sz w:val="20"/>
                <w:szCs w:val="20"/>
                <w:color w:val="auto"/>
              </w:rPr>
            </w:pPr>
            <w:r>
              <w:rPr>
                <w:rFonts w:ascii="Arial" w:cs="Arial" w:eastAsia="Arial" w:hAnsi="Arial"/>
                <w:sz w:val="14"/>
                <w:szCs w:val="14"/>
                <w:color w:val="666666"/>
                <w:w w:val="99"/>
              </w:rPr>
              <w:t>—</w:t>
            </w:r>
          </w:p>
        </w:tc>
      </w:tr>
    </w:tbl>
    <w:p>
      <w:pPr>
        <w:spacing w:after="0" w:line="260" w:lineRule="exact"/>
        <w:rPr>
          <w:sz w:val="20"/>
          <w:szCs w:val="20"/>
          <w:color w:val="auto"/>
        </w:rPr>
      </w:pPr>
    </w:p>
    <w:p>
      <w:pPr>
        <w:jc w:val="both"/>
        <w:ind w:left="460" w:hanging="331"/>
        <w:spacing w:after="0" w:line="249" w:lineRule="auto"/>
        <w:tabs>
          <w:tab w:leader="none" w:pos="460" w:val="left"/>
        </w:tabs>
        <w:numPr>
          <w:ilvl w:val="0"/>
          <w:numId w:val="51"/>
        </w:numPr>
        <w:rPr>
          <w:rFonts w:ascii="Arial" w:cs="Arial" w:eastAsia="Arial" w:hAnsi="Arial"/>
          <w:sz w:val="14"/>
          <w:szCs w:val="14"/>
          <w:color w:val="666666"/>
        </w:rPr>
      </w:pPr>
      <w:r>
        <w:rPr>
          <w:rFonts w:ascii="Arial" w:cs="Arial" w:eastAsia="Arial" w:hAnsi="Arial"/>
          <w:sz w:val="14"/>
          <w:szCs w:val="14"/>
          <w:color w:val="666666"/>
        </w:rPr>
        <w:t>The present value of accumulated benefits has been calculated in a manner consistent with our reporting of the Retired Officers’ Bonus Plan under FASB ASC 715-30, using the Accumulated Benefit Obligation with the exception of the retirement rate assumptions. The amounts shown above reflect an assumption that each participant collects his or her benefit at the earliest age at which an unreduced benefit is available.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547BCC"/>
        </w:rPr>
        <w:t>Potential Payments upon Termination or a Change in Control</w:t>
      </w:r>
    </w:p>
    <w:p>
      <w:pPr>
        <w:spacing w:after="0" w:line="253" w:lineRule="exact"/>
        <w:rPr>
          <w:sz w:val="20"/>
          <w:szCs w:val="20"/>
          <w:color w:val="auto"/>
        </w:rPr>
      </w:pPr>
    </w:p>
    <w:p>
      <w:pPr>
        <w:ind w:right="280" w:firstLine="405"/>
        <w:spacing w:after="0" w:line="241" w:lineRule="auto"/>
        <w:rPr>
          <w:sz w:val="20"/>
          <w:szCs w:val="20"/>
          <w:color w:val="auto"/>
        </w:rPr>
      </w:pPr>
      <w:r>
        <w:rPr>
          <w:rFonts w:ascii="Arial" w:cs="Arial" w:eastAsia="Arial" w:hAnsi="Arial"/>
          <w:sz w:val="20"/>
          <w:szCs w:val="20"/>
          <w:color w:val="666666"/>
        </w:rPr>
        <w:t>Consistent with our Transition Policy, which deals with departures other than retirement, resignation, death, disability and terminations for cause, each named executive officer is eligible for transition pay equal to four months of base pay, plus one additional month for each year of service as an executive, up to a maximum of 12 months’ base pay. Under the terms of our Transition Policy and Retirement Policy, all departure payments and benefits are contingent upon the executives’ signing of a general release.</w:t>
      </w:r>
    </w:p>
    <w:p>
      <w:pPr>
        <w:spacing w:after="0" w:line="155" w:lineRule="exact"/>
        <w:rPr>
          <w:sz w:val="20"/>
          <w:szCs w:val="20"/>
          <w:color w:val="auto"/>
        </w:rPr>
      </w:pPr>
    </w:p>
    <w:p>
      <w:pPr>
        <w:jc w:val="both"/>
        <w:ind w:firstLine="405"/>
        <w:spacing w:after="0"/>
        <w:rPr>
          <w:sz w:val="20"/>
          <w:szCs w:val="20"/>
          <w:color w:val="auto"/>
        </w:rPr>
      </w:pPr>
      <w:r>
        <w:rPr>
          <w:rFonts w:ascii="Arial" w:cs="Arial" w:eastAsia="Arial" w:hAnsi="Arial"/>
          <w:sz w:val="20"/>
          <w:szCs w:val="20"/>
          <w:color w:val="666666"/>
        </w:rPr>
        <w:t>Under our Officers' Retirement Plan, if our named executive officers retire, they will each be entitled to receive a single lump sum retirement payment equal to $10,000 for each year of service as an executive, pro-rated as appropriate, and an annual allowance of $4,000 for financial counseling and tax preparation assistance. They are also eligible for a one-time payment of $5,000 upon entering retirement for financial counseling expenses associated with developing a retirement financial strategy. In addition, each of our named executive officers and their eligible dependents will be entitled to receive the benefit of Company-paid retiree medical and dental coverage for life.</w:t>
      </w:r>
    </w:p>
    <w:p>
      <w:pPr>
        <w:spacing w:after="0" w:line="159" w:lineRule="exact"/>
        <w:rPr>
          <w:sz w:val="20"/>
          <w:szCs w:val="20"/>
          <w:color w:val="auto"/>
        </w:rPr>
      </w:pPr>
    </w:p>
    <w:p>
      <w:pPr>
        <w:jc w:val="both"/>
        <w:ind w:firstLine="405"/>
        <w:spacing w:after="0" w:line="246" w:lineRule="auto"/>
        <w:rPr>
          <w:sz w:val="20"/>
          <w:szCs w:val="20"/>
          <w:color w:val="auto"/>
        </w:rPr>
      </w:pPr>
      <w:r>
        <w:rPr>
          <w:rFonts w:ascii="Arial" w:cs="Arial" w:eastAsia="Arial" w:hAnsi="Arial"/>
          <w:sz w:val="20"/>
          <w:szCs w:val="20"/>
          <w:color w:val="666666"/>
        </w:rPr>
        <w:t>In addition, our award agreements governing the equity awards held by our named executive officers include provisions related to the treatment of the awards upon a termination of employment.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20"/>
          <w:szCs w:val="20"/>
          <w:i w:val="1"/>
          <w:iCs w:val="1"/>
          <w:color w:val="4F81BD"/>
        </w:rPr>
        <w:t>Death</w:t>
      </w:r>
    </w:p>
    <w:p>
      <w:pPr>
        <w:spacing w:after="0" w:line="182"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20"/>
          <w:szCs w:val="20"/>
          <w:color w:val="666666"/>
        </w:rPr>
        <w:t>In the event of a named executive officer’s termination of employment due to death, (i) unvested options immediately vest and remain outstanding until the first anniversary of the termination date, or if earlier, the option’s expiration date, (ii) unvested time-based restricted stock units and restricted stock immediately vest and (iii) unvested performance-based restricted stock units immediately vest at target award levels.</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20"/>
          <w:szCs w:val="20"/>
          <w:i w:val="1"/>
          <w:iCs w:val="1"/>
          <w:color w:val="4F81BD"/>
        </w:rPr>
        <w:t>Disability</w:t>
      </w:r>
    </w:p>
    <w:p>
      <w:pPr>
        <w:spacing w:after="0" w:line="182"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20"/>
          <w:szCs w:val="20"/>
          <w:color w:val="666666"/>
        </w:rPr>
        <w:t>In the event of a named executive officer’s termination of employment due to disability, (i) unvested options continue to vest on the normal schedule, and vested options will remain outstanding until the first anniversary of the termination date (or for options vesting after the termination date, the first anniversary of the vesting date), or if earlier, the option’s expiration date,</w:t>
      </w:r>
    </w:p>
    <w:p>
      <w:pPr>
        <w:spacing w:after="0" w:line="1"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20"/>
          <w:szCs w:val="20"/>
          <w:color w:val="666666"/>
        </w:rPr>
      </w:pPr>
      <w:r>
        <w:rPr>
          <w:rFonts w:ascii="Arial" w:cs="Arial" w:eastAsia="Arial" w:hAnsi="Arial"/>
          <w:sz w:val="20"/>
          <w:szCs w:val="20"/>
          <w:color w:val="666666"/>
        </w:rPr>
        <w:t>unvested time-based restricted stock units and restricted stock continue to vest on the normal schedule</w:t>
      </w:r>
    </w:p>
    <w:p>
      <w:pPr>
        <w:spacing w:after="0" w:line="218" w:lineRule="exact"/>
        <w:rPr>
          <w:rFonts w:ascii="Arial" w:cs="Arial" w:eastAsia="Arial" w:hAnsi="Arial"/>
          <w:sz w:val="20"/>
          <w:szCs w:val="20"/>
          <w:color w:val="666666"/>
        </w:rPr>
      </w:pPr>
    </w:p>
    <w:p>
      <w:pPr>
        <w:ind w:left="5520"/>
        <w:spacing w:after="0"/>
        <w:rPr>
          <w:rFonts w:ascii="Arial" w:cs="Arial" w:eastAsia="Arial" w:hAnsi="Arial"/>
          <w:sz w:val="20"/>
          <w:szCs w:val="20"/>
          <w:color w:val="666666"/>
        </w:rPr>
      </w:pPr>
      <w:r>
        <w:rPr>
          <w:rFonts w:ascii="Arial" w:cs="Arial" w:eastAsia="Arial" w:hAnsi="Arial"/>
          <w:sz w:val="18"/>
          <w:szCs w:val="18"/>
          <w:color w:val="666666"/>
        </w:rPr>
        <w:t>43</w:t>
      </w:r>
    </w:p>
    <w:p>
      <w:pPr>
        <w:sectPr>
          <w:pgSz w:w="11900" w:h="16838" w:orient="portrait"/>
          <w:cols w:equalWidth="0" w:num="1">
            <w:col w:w="11240"/>
          </w:cols>
          <w:pgMar w:left="320" w:top="490" w:right="339" w:bottom="1440" w:gutter="0" w:footer="0" w:header="0"/>
        </w:sectPr>
      </w:pPr>
    </w:p>
    <w:bookmarkStart w:id="52" w:name="page53"/>
    <w:bookmarkEnd w:id="52"/>
    <w:p>
      <w:pPr>
        <w:jc w:val="both"/>
        <w:spacing w:after="0" w:line="243" w:lineRule="auto"/>
        <w:rPr>
          <w:sz w:val="20"/>
          <w:szCs w:val="20"/>
          <w:color w:val="auto"/>
        </w:rPr>
      </w:pPr>
      <w:r>
        <w:rPr>
          <w:rFonts w:ascii="Arial" w:cs="Arial" w:eastAsia="Arial" w:hAnsi="Arial"/>
          <w:sz w:val="20"/>
          <w:szCs w:val="20"/>
          <w:color w:val="666666"/>
        </w:rPr>
        <w:t>and (iii) unvested performance-based restricted stock units vest on the normal vesting date in a pro rata amount of the units that would have been earned and vested based on the actual achievement of the performance goals as if employment had not terminated (with the amount prorated based on the portion of the performance period that lapsed prior to the termination date).</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20"/>
          <w:szCs w:val="20"/>
          <w:i w:val="1"/>
          <w:iCs w:val="1"/>
          <w:color w:val="4F81BD"/>
        </w:rPr>
        <w:t>Company Approved Departure</w:t>
      </w:r>
    </w:p>
    <w:p>
      <w:pPr>
        <w:spacing w:after="0" w:line="182" w:lineRule="exact"/>
        <w:rPr>
          <w:sz w:val="20"/>
          <w:szCs w:val="20"/>
          <w:color w:val="auto"/>
        </w:rPr>
      </w:pPr>
    </w:p>
    <w:p>
      <w:pPr>
        <w:jc w:val="both"/>
        <w:ind w:firstLine="405"/>
        <w:spacing w:after="0"/>
        <w:rPr>
          <w:sz w:val="20"/>
          <w:szCs w:val="20"/>
          <w:color w:val="auto"/>
        </w:rPr>
      </w:pPr>
      <w:r>
        <w:rPr>
          <w:rFonts w:ascii="Arial" w:cs="Arial" w:eastAsia="Arial" w:hAnsi="Arial"/>
          <w:sz w:val="20"/>
          <w:szCs w:val="20"/>
          <w:color w:val="666666"/>
        </w:rPr>
        <w:t>In the event of a named executive officer’s termination of employment by reason of a “Company approved departure” (as defined in the Equity Incentive Plan or applicable award agreement), (i) unvested options continue to vest on the normal schedule, and vested options remain outstanding until the 60th day following the termination date (or for options vesting after the termination date, the 60th day following the vesting date), or if earlier, the option’s expiration date, (ii) unvested time-based restricted stock units continue to vest on the normal schedule and (iii) unvested performance-based restricted stock units vest on the normal vesting date in a pro rata amount of the units that would have been earned and vested based on the actual achievement of the performance goals as if employment had not terminated (with the amount prorated based on the portion of the performance period that lapsed prior to the termination date). In May 2020, the Compensation Committee extended the post-termination exercise period for outstanding options to 90 days following the termination date (or for options vesting after the termination date, 90 days following the vesting date), or if earlier, the option’s expiration date.</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20"/>
          <w:szCs w:val="20"/>
          <w:i w:val="1"/>
          <w:iCs w:val="1"/>
          <w:color w:val="4F81BD"/>
        </w:rPr>
        <w:t>For Cause</w:t>
      </w:r>
    </w:p>
    <w:p>
      <w:pPr>
        <w:spacing w:after="0" w:line="182"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20"/>
          <w:szCs w:val="20"/>
          <w:color w:val="666666"/>
        </w:rPr>
        <w:t>In the event of a named executive officer’s termination of employment for cause, all vested and unvested options, and all unvested time-based restricted stock units, restricted stock and performance-based restricted stock units are immediately forfeited and canceled, effective as of the termination date.</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20"/>
          <w:szCs w:val="20"/>
          <w:i w:val="1"/>
          <w:iCs w:val="1"/>
          <w:color w:val="4F81BD"/>
        </w:rPr>
        <w:t>Qualified Permanent Retirement</w:t>
      </w:r>
    </w:p>
    <w:p>
      <w:pPr>
        <w:spacing w:after="0" w:line="182"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20"/>
          <w:szCs w:val="20"/>
          <w:color w:val="666666"/>
        </w:rPr>
        <w:t>If a named executive officer’s employment is terminated by reason of a qualifying permanent retirement on or after March 31 of the first fiscal year of a performance period, unvested performance-based restricted stock units will continue to vest on the vesting date based on actual achievement of the performance goals as if employment had not terminated. In the event of a retirement occurring prior to March 31 of the first fiscal year of the performance period, or if at any time if the retirement is not a qualifying permanent retirement, all unvested performance-based restricted stock units will be immediately forfeited.</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20"/>
          <w:szCs w:val="20"/>
          <w:i w:val="1"/>
          <w:iCs w:val="1"/>
          <w:color w:val="4F81BD"/>
        </w:rPr>
        <w:t>Any Other Termination</w:t>
      </w:r>
    </w:p>
    <w:p>
      <w:pPr>
        <w:spacing w:after="0" w:line="182" w:lineRule="exact"/>
        <w:rPr>
          <w:sz w:val="20"/>
          <w:szCs w:val="20"/>
          <w:color w:val="auto"/>
        </w:rPr>
      </w:pPr>
    </w:p>
    <w:p>
      <w:pPr>
        <w:jc w:val="both"/>
        <w:ind w:firstLine="405"/>
        <w:spacing w:after="0"/>
        <w:rPr>
          <w:sz w:val="20"/>
          <w:szCs w:val="20"/>
          <w:color w:val="auto"/>
        </w:rPr>
      </w:pPr>
      <w:r>
        <w:rPr>
          <w:rFonts w:ascii="Arial" w:cs="Arial" w:eastAsia="Arial" w:hAnsi="Arial"/>
          <w:sz w:val="20"/>
          <w:szCs w:val="20"/>
          <w:color w:val="666666"/>
        </w:rPr>
        <w:t>In the event of a named executive officer’s termination of employment for any reason other than death, disability, a Company approved departure, a qualified permanent retirement after the first fiscal year of a performance period (in the case of the performance-based restricted stock units) or cause, unvested options are immediately forfeited and canceled, and vested options remain outstanding until the 60th day following the termination date, or if earlier, the option’s expiration date, and unvested time-based restricted stock units and performance-based restricted stock units are immediately forfeited, in each case unless otherwise determined by our Compensation Committee. In May 2020, the Compensation Committee extended the post-termination exercise period for outstanding options to 90 days following the termination date, or if earlier, the option’s expiration date.</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20"/>
          <w:szCs w:val="20"/>
          <w:i w:val="1"/>
          <w:iCs w:val="1"/>
          <w:color w:val="4F81BD"/>
        </w:rPr>
        <w:t>Non-Competition Agreements</w:t>
      </w:r>
    </w:p>
    <w:p>
      <w:pPr>
        <w:spacing w:after="0" w:line="249" w:lineRule="exact"/>
        <w:rPr>
          <w:sz w:val="20"/>
          <w:szCs w:val="20"/>
          <w:color w:val="auto"/>
        </w:rPr>
      </w:pPr>
    </w:p>
    <w:p>
      <w:pPr>
        <w:ind w:right="180" w:firstLine="324"/>
        <w:spacing w:after="0"/>
        <w:rPr>
          <w:sz w:val="20"/>
          <w:szCs w:val="20"/>
          <w:color w:val="auto"/>
        </w:rPr>
      </w:pPr>
      <w:r>
        <w:rPr>
          <w:rFonts w:ascii="Arial" w:cs="Arial" w:eastAsia="Arial" w:hAnsi="Arial"/>
          <w:sz w:val="20"/>
          <w:szCs w:val="20"/>
          <w:color w:val="666666"/>
        </w:rPr>
        <w:t>The named executive officers are party to agreements that include non-competition, non-solicitation and non-recruitment covenants, which generally cover the period during which the executive is employed with us and for one year following termination of employment, along with perpetual confidentiality covenants. If the named executive officer breaches these agreements or otherwise engages in competitive activity as defined in the Equity Incentive Plan, we have the discretion to suspend vesting of all or a portion of any award and/or require the forfeiture or disgorgement to us of any equity award (including gains on the sale of the stock, if any) that vested, was paid or settled in the 12 months prior to or any time after such breach or the date the individual otherwise engaged in such competitive activity.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44</w:t>
      </w:r>
    </w:p>
    <w:p>
      <w:pPr>
        <w:sectPr>
          <w:pgSz w:w="11900" w:h="16838" w:orient="portrait"/>
          <w:cols w:equalWidth="0" w:num="1">
            <w:col w:w="11240"/>
          </w:cols>
          <w:pgMar w:left="320" w:top="514" w:right="339" w:bottom="1440" w:gutter="0" w:footer="0" w:header="0"/>
        </w:sectPr>
      </w:pPr>
    </w:p>
    <w:bookmarkStart w:id="53" w:name="page54"/>
    <w:bookmarkEnd w:id="53"/>
    <w:p>
      <w:pPr>
        <w:ind w:left="340"/>
        <w:spacing w:after="0"/>
        <w:rPr>
          <w:sz w:val="20"/>
          <w:szCs w:val="20"/>
          <w:color w:val="auto"/>
        </w:rPr>
      </w:pPr>
      <w:r>
        <w:rPr>
          <w:rFonts w:ascii="Arial" w:cs="Arial" w:eastAsia="Arial" w:hAnsi="Arial"/>
          <w:sz w:val="20"/>
          <w:szCs w:val="20"/>
          <w:b w:val="1"/>
          <w:bCs w:val="1"/>
          <w:i w:val="1"/>
          <w:iCs w:val="1"/>
          <w:color w:val="547BCC"/>
        </w:rPr>
        <w:t>Change in Control Protections</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20"/>
          <w:szCs w:val="20"/>
          <w:color w:val="666666"/>
        </w:rPr>
        <w:t>We do not have change in control agreements with any of our employees.</w:t>
      </w:r>
    </w:p>
    <w:p>
      <w:pPr>
        <w:spacing w:after="0" w:line="162" w:lineRule="exact"/>
        <w:rPr>
          <w:sz w:val="20"/>
          <w:szCs w:val="20"/>
          <w:color w:val="auto"/>
        </w:rPr>
      </w:pPr>
    </w:p>
    <w:p>
      <w:pPr>
        <w:jc w:val="both"/>
        <w:ind w:firstLine="405"/>
        <w:spacing w:after="0"/>
        <w:rPr>
          <w:sz w:val="20"/>
          <w:szCs w:val="20"/>
          <w:color w:val="auto"/>
        </w:rPr>
      </w:pPr>
      <w:r>
        <w:rPr>
          <w:rFonts w:ascii="Arial" w:cs="Arial" w:eastAsia="Arial" w:hAnsi="Arial"/>
          <w:sz w:val="20"/>
          <w:szCs w:val="20"/>
          <w:color w:val="666666"/>
        </w:rPr>
        <w:t>Under the Equity Incentive Plan, and unless provided otherwise in an award agreement or determined by our Compensation Committee, if a change in control occurs, outstanding service-vesting options will vest immediately prior to the change in control and time-based restricted stock units will vest upon the change in control. With respect to performance-based restricted stock units, in the event of a change in control, an amount of restricted stock units equal to the target award will remain outstanding and will vest on the vesting date, subject to the continued employment or service of the participant but without regard to the achievement of any performance goals. If the participant's employment or service is terminated by the Company without cause or for good reason (as defined in the applicable award agreement) within two years following the change in control, the outstanding performance-based restricted stock units will vest (at target) as of the termination date.</w:t>
      </w:r>
    </w:p>
    <w:p>
      <w:pPr>
        <w:spacing w:after="0" w:line="158" w:lineRule="exact"/>
        <w:rPr>
          <w:sz w:val="20"/>
          <w:szCs w:val="20"/>
          <w:color w:val="auto"/>
        </w:rPr>
      </w:pPr>
    </w:p>
    <w:p>
      <w:pPr>
        <w:jc w:val="both"/>
        <w:ind w:firstLine="405"/>
        <w:spacing w:after="0"/>
        <w:rPr>
          <w:sz w:val="20"/>
          <w:szCs w:val="20"/>
          <w:color w:val="auto"/>
        </w:rPr>
      </w:pPr>
      <w:r>
        <w:rPr>
          <w:rFonts w:ascii="Arial" w:cs="Arial" w:eastAsia="Arial" w:hAnsi="Arial"/>
          <w:sz w:val="20"/>
          <w:szCs w:val="20"/>
          <w:color w:val="666666"/>
        </w:rPr>
        <w:t>In addition, if during the five year period after a change in control our executives’ retiree medical plan is terminated or modified in a manner that is materially adverse to our executives, our executives, including our named executive officers, will be guaranteed their existing benefits under the plan during such five-year period and will receive a cash payment equal to the excess of the actuarial cost of the executive’s benefits under the plan that would be accrued on the Company’s financial statements on the fifth anniversary of the change in control in the absence of the termination or modification over the amount that is accrued on our financial statements on the fifth anniversary of the change in control after giving effect to the termination or modification (but excluding the accrual on the payment itself).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45</w:t>
      </w:r>
    </w:p>
    <w:p>
      <w:pPr>
        <w:sectPr>
          <w:pgSz w:w="11900" w:h="16838" w:orient="portrait"/>
          <w:cols w:equalWidth="0" w:num="1">
            <w:col w:w="11240"/>
          </w:cols>
          <w:pgMar w:left="320" w:top="490" w:right="339" w:bottom="1440" w:gutter="0" w:footer="0" w:header="0"/>
        </w:sectPr>
      </w:pPr>
    </w:p>
    <w:bookmarkStart w:id="54" w:name="page55"/>
    <w:bookmarkEnd w:id="54"/>
    <w:p>
      <w:pPr>
        <w:spacing w:after="0" w:line="62" w:lineRule="exact"/>
        <w:rPr>
          <w:sz w:val="20"/>
          <w:szCs w:val="20"/>
          <w:color w:val="auto"/>
        </w:rPr>
      </w:pPr>
    </w:p>
    <w:p>
      <w:pPr>
        <w:jc w:val="both"/>
        <w:ind w:firstLine="405"/>
        <w:spacing w:after="0"/>
        <w:rPr>
          <w:sz w:val="20"/>
          <w:szCs w:val="20"/>
          <w:color w:val="auto"/>
        </w:rPr>
      </w:pPr>
      <w:r>
        <w:rPr>
          <w:rFonts w:ascii="Arial" w:cs="Arial" w:eastAsia="Arial" w:hAnsi="Arial"/>
          <w:sz w:val="20"/>
          <w:szCs w:val="20"/>
          <w:color w:val="666666"/>
        </w:rPr>
        <w:t>The following table presents potential payments to each named executive officer as if the named executive officer’s employment had been terminated or a change in control had occurred as the last day of fiscal year 2020. If applicable, amounts in the table were calculated using $ 68.64, the closing fair market value of our common stock on March 31, 2020. The actual amounts that would be paid to any named executive officer can only be determined at the time of an actual termination of employment or change in control and would vary from those listed below. The estimated amounts listed below are in addition to any retirement, welfare and other benefits that are available to our salaried employees generally.</w:t>
      </w:r>
    </w:p>
    <w:p>
      <w:pPr>
        <w:spacing w:after="0" w:line="116" w:lineRule="exact"/>
        <w:rPr>
          <w:sz w:val="20"/>
          <w:szCs w:val="20"/>
          <w:color w:val="auto"/>
        </w:rPr>
      </w:pPr>
    </w:p>
    <w:tbl>
      <w:tblPr>
        <w:tblLayout w:type="fixed"/>
        <w:tblInd w:w="930" w:type="dxa"/>
        <w:tblCellMar>
          <w:top w:w="0" w:type="dxa"/>
          <w:left w:w="0" w:type="dxa"/>
          <w:bottom w:w="0" w:type="dxa"/>
          <w:right w:w="0" w:type="dxa"/>
        </w:tblCellMar>
      </w:tblPr>
      <w:tr>
        <w:trPr>
          <w:trHeight w:val="203"/>
        </w:trPr>
        <w:tc>
          <w:tcPr>
            <w:tcW w:w="1820" w:type="dxa"/>
            <w:vAlign w:val="bottom"/>
            <w:tcBorders>
              <w:top w:val="single" w:sz="8" w:color="auto"/>
              <w:left w:val="single" w:sz="8" w:color="auto"/>
            </w:tcBorders>
            <w:shd w:val="clear" w:color="auto" w:fill="DDDDDD"/>
          </w:tcPr>
          <w:p>
            <w:pPr>
              <w:spacing w:after="0"/>
              <w:rPr>
                <w:sz w:val="17"/>
                <w:szCs w:val="17"/>
                <w:color w:val="auto"/>
              </w:rPr>
            </w:pPr>
          </w:p>
        </w:tc>
        <w:tc>
          <w:tcPr>
            <w:tcW w:w="1160" w:type="dxa"/>
            <w:vAlign w:val="bottom"/>
            <w:tcBorders>
              <w:top w:val="single" w:sz="8" w:color="auto"/>
            </w:tcBorders>
            <w:shd w:val="clear" w:color="auto" w:fill="DDDDDD"/>
          </w:tcPr>
          <w:p>
            <w:pPr>
              <w:spacing w:after="0"/>
              <w:rPr>
                <w:sz w:val="17"/>
                <w:szCs w:val="17"/>
                <w:color w:val="auto"/>
              </w:rPr>
            </w:pPr>
          </w:p>
        </w:tc>
        <w:tc>
          <w:tcPr>
            <w:tcW w:w="1300" w:type="dxa"/>
            <w:vAlign w:val="bottom"/>
            <w:tcBorders>
              <w:top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Equity With</w:t>
            </w:r>
          </w:p>
        </w:tc>
        <w:tc>
          <w:tcPr>
            <w:tcW w:w="560" w:type="dxa"/>
            <w:vAlign w:val="bottom"/>
            <w:tcBorders>
              <w:top w:val="single" w:sz="8" w:color="auto"/>
            </w:tcBorders>
            <w:shd w:val="clear" w:color="auto" w:fill="DDDDDD"/>
          </w:tcPr>
          <w:p>
            <w:pPr>
              <w:spacing w:after="0"/>
              <w:rPr>
                <w:sz w:val="17"/>
                <w:szCs w:val="17"/>
                <w:color w:val="auto"/>
              </w:rPr>
            </w:pPr>
          </w:p>
        </w:tc>
        <w:tc>
          <w:tcPr>
            <w:tcW w:w="1360" w:type="dxa"/>
            <w:vAlign w:val="bottom"/>
            <w:tcBorders>
              <w:top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Retirement</w:t>
            </w:r>
          </w:p>
        </w:tc>
        <w:tc>
          <w:tcPr>
            <w:tcW w:w="1040" w:type="dxa"/>
            <w:vAlign w:val="bottom"/>
            <w:tcBorders>
              <w:top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Death and</w:t>
            </w:r>
          </w:p>
        </w:tc>
        <w:tc>
          <w:tcPr>
            <w:tcW w:w="200" w:type="dxa"/>
            <w:vAlign w:val="bottom"/>
            <w:tcBorders>
              <w:top w:val="single" w:sz="8" w:color="auto"/>
            </w:tcBorders>
            <w:shd w:val="clear" w:color="auto" w:fill="DDDDDD"/>
          </w:tcPr>
          <w:p>
            <w:pPr>
              <w:spacing w:after="0"/>
              <w:rPr>
                <w:sz w:val="17"/>
                <w:szCs w:val="17"/>
                <w:color w:val="auto"/>
              </w:rPr>
            </w:pPr>
          </w:p>
        </w:tc>
        <w:tc>
          <w:tcPr>
            <w:tcW w:w="980" w:type="dxa"/>
            <w:vAlign w:val="bottom"/>
            <w:tcBorders>
              <w:top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Continued</w:t>
            </w:r>
          </w:p>
        </w:tc>
        <w:tc>
          <w:tcPr>
            <w:tcW w:w="180" w:type="dxa"/>
            <w:vAlign w:val="bottom"/>
            <w:tcBorders>
              <w:top w:val="single" w:sz="8" w:color="auto"/>
            </w:tcBorders>
            <w:shd w:val="clear" w:color="auto" w:fill="DDDDDD"/>
          </w:tcPr>
          <w:p>
            <w:pPr>
              <w:spacing w:after="0"/>
              <w:rPr>
                <w:sz w:val="17"/>
                <w:szCs w:val="17"/>
                <w:color w:val="auto"/>
              </w:rPr>
            </w:pPr>
          </w:p>
        </w:tc>
        <w:tc>
          <w:tcPr>
            <w:tcW w:w="860" w:type="dxa"/>
            <w:vAlign w:val="bottom"/>
            <w:tcBorders>
              <w:top w:val="single" w:sz="8" w:color="auto"/>
              <w:right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820" w:type="dxa"/>
            <w:vAlign w:val="bottom"/>
            <w:tcBorders>
              <w:left w:val="single" w:sz="8" w:color="auto"/>
            </w:tcBorders>
            <w:shd w:val="clear" w:color="auto" w:fill="DDDDDD"/>
          </w:tcPr>
          <w:p>
            <w:pPr>
              <w:spacing w:after="0"/>
              <w:rPr>
                <w:sz w:val="13"/>
                <w:szCs w:val="13"/>
                <w:color w:val="auto"/>
              </w:rPr>
            </w:pPr>
          </w:p>
        </w:tc>
        <w:tc>
          <w:tcPr>
            <w:tcW w:w="116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Severance</w:t>
            </w:r>
          </w:p>
        </w:tc>
        <w:tc>
          <w:tcPr>
            <w:tcW w:w="130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Accelerated</w:t>
            </w:r>
          </w:p>
        </w:tc>
        <w:tc>
          <w:tcPr>
            <w:tcW w:w="560" w:type="dxa"/>
            <w:vAlign w:val="bottom"/>
            <w:shd w:val="clear" w:color="auto" w:fill="DDDDDD"/>
          </w:tcPr>
          <w:p>
            <w:pPr>
              <w:spacing w:after="0"/>
              <w:rPr>
                <w:sz w:val="13"/>
                <w:szCs w:val="13"/>
                <w:color w:val="auto"/>
              </w:rPr>
            </w:pPr>
          </w:p>
        </w:tc>
        <w:tc>
          <w:tcPr>
            <w:tcW w:w="136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Plan</w:t>
            </w:r>
          </w:p>
        </w:tc>
        <w:tc>
          <w:tcPr>
            <w:tcW w:w="104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Disability</w:t>
            </w:r>
          </w:p>
        </w:tc>
        <w:tc>
          <w:tcPr>
            <w:tcW w:w="200" w:type="dxa"/>
            <w:vAlign w:val="bottom"/>
            <w:shd w:val="clear" w:color="auto" w:fill="DDDDDD"/>
          </w:tcPr>
          <w:p>
            <w:pPr>
              <w:spacing w:after="0"/>
              <w:rPr>
                <w:sz w:val="13"/>
                <w:szCs w:val="13"/>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Perquisites</w:t>
            </w:r>
          </w:p>
        </w:tc>
        <w:tc>
          <w:tcPr>
            <w:tcW w:w="180" w:type="dxa"/>
            <w:vAlign w:val="bottom"/>
            <w:shd w:val="clear" w:color="auto" w:fill="DDDDDD"/>
          </w:tcPr>
          <w:p>
            <w:pPr>
              <w:spacing w:after="0"/>
              <w:rPr>
                <w:sz w:val="13"/>
                <w:szCs w:val="13"/>
                <w:color w:val="auto"/>
              </w:rPr>
            </w:pPr>
          </w:p>
        </w:tc>
        <w:tc>
          <w:tcPr>
            <w:tcW w:w="860" w:type="dxa"/>
            <w:vAlign w:val="bottom"/>
            <w:tcBorders>
              <w:right w:val="single" w:sz="8" w:color="auto"/>
            </w:tcBorders>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tcBorders>
            <w:shd w:val="clear" w:color="auto" w:fill="DDDDDD"/>
          </w:tcPr>
          <w:p>
            <w:pPr>
              <w:spacing w:after="0"/>
              <w:rPr>
                <w:sz w:val="17"/>
                <w:szCs w:val="17"/>
                <w:color w:val="auto"/>
              </w:rPr>
            </w:pPr>
          </w:p>
        </w:tc>
        <w:tc>
          <w:tcPr>
            <w:tcW w:w="1160" w:type="dxa"/>
            <w:vAlign w:val="bottom"/>
            <w:shd w:val="clear" w:color="auto" w:fill="DDDDDD"/>
          </w:tcPr>
          <w:p>
            <w:pPr>
              <w:jc w:val="center"/>
              <w:spacing w:after="0" w:line="203" w:lineRule="exact"/>
              <w:rPr>
                <w:sz w:val="20"/>
                <w:szCs w:val="20"/>
                <w:color w:val="auto"/>
              </w:rPr>
            </w:pPr>
            <w:r>
              <w:rPr>
                <w:rFonts w:ascii="Arial" w:cs="Arial" w:eastAsia="Arial" w:hAnsi="Arial"/>
                <w:sz w:val="14"/>
                <w:szCs w:val="14"/>
                <w:b w:val="1"/>
                <w:bCs w:val="1"/>
                <w:color w:val="666666"/>
                <w:w w:val="96"/>
              </w:rPr>
              <w:t xml:space="preserve">Pay </w:t>
            </w:r>
            <w:r>
              <w:rPr>
                <w:rFonts w:ascii="Arial" w:cs="Arial" w:eastAsia="Arial" w:hAnsi="Arial"/>
                <w:sz w:val="23"/>
                <w:szCs w:val="23"/>
                <w:b w:val="1"/>
                <w:bCs w:val="1"/>
                <w:color w:val="666666"/>
                <w:w w:val="96"/>
                <w:vertAlign w:val="superscript"/>
              </w:rPr>
              <w:t>1</w:t>
            </w:r>
          </w:p>
        </w:tc>
        <w:tc>
          <w:tcPr>
            <w:tcW w:w="1300" w:type="dxa"/>
            <w:vAlign w:val="bottom"/>
            <w:shd w:val="clear" w:color="auto" w:fill="DDDDDD"/>
          </w:tcPr>
          <w:p>
            <w:pPr>
              <w:jc w:val="center"/>
              <w:spacing w:after="0" w:line="203" w:lineRule="exact"/>
              <w:rPr>
                <w:sz w:val="20"/>
                <w:szCs w:val="20"/>
                <w:color w:val="auto"/>
              </w:rPr>
            </w:pPr>
            <w:r>
              <w:rPr>
                <w:rFonts w:ascii="Arial" w:cs="Arial" w:eastAsia="Arial" w:hAnsi="Arial"/>
                <w:sz w:val="14"/>
                <w:szCs w:val="14"/>
                <w:b w:val="1"/>
                <w:bCs w:val="1"/>
                <w:color w:val="666666"/>
                <w:w w:val="95"/>
              </w:rPr>
              <w:t xml:space="preserve">Vesting </w:t>
            </w:r>
            <w:r>
              <w:rPr>
                <w:rFonts w:ascii="Arial" w:cs="Arial" w:eastAsia="Arial" w:hAnsi="Arial"/>
                <w:sz w:val="23"/>
                <w:szCs w:val="23"/>
                <w:b w:val="1"/>
                <w:bCs w:val="1"/>
                <w:color w:val="666666"/>
                <w:w w:val="95"/>
                <w:vertAlign w:val="superscript"/>
              </w:rPr>
              <w:t>2</w:t>
            </w:r>
          </w:p>
        </w:tc>
        <w:tc>
          <w:tcPr>
            <w:tcW w:w="560" w:type="dxa"/>
            <w:vAlign w:val="bottom"/>
            <w:shd w:val="clear" w:color="auto" w:fill="DDDDDD"/>
          </w:tcPr>
          <w:p>
            <w:pPr>
              <w:spacing w:after="0"/>
              <w:rPr>
                <w:sz w:val="17"/>
                <w:szCs w:val="17"/>
                <w:color w:val="auto"/>
              </w:rPr>
            </w:pPr>
          </w:p>
        </w:tc>
        <w:tc>
          <w:tcPr>
            <w:tcW w:w="1360" w:type="dxa"/>
            <w:vAlign w:val="bottom"/>
            <w:shd w:val="clear" w:color="auto" w:fill="DDDDDD"/>
          </w:tcPr>
          <w:p>
            <w:pPr>
              <w:jc w:val="center"/>
              <w:spacing w:after="0" w:line="203" w:lineRule="exact"/>
              <w:rPr>
                <w:sz w:val="20"/>
                <w:szCs w:val="20"/>
                <w:color w:val="auto"/>
              </w:rPr>
            </w:pPr>
            <w:r>
              <w:rPr>
                <w:rFonts w:ascii="Arial" w:cs="Arial" w:eastAsia="Arial" w:hAnsi="Arial"/>
                <w:sz w:val="14"/>
                <w:szCs w:val="14"/>
                <w:b w:val="1"/>
                <w:bCs w:val="1"/>
                <w:color w:val="666666"/>
              </w:rPr>
              <w:t xml:space="preserve">Benefits </w:t>
            </w:r>
            <w:r>
              <w:rPr>
                <w:rFonts w:ascii="Arial" w:cs="Arial" w:eastAsia="Arial" w:hAnsi="Arial"/>
                <w:sz w:val="23"/>
                <w:szCs w:val="23"/>
                <w:b w:val="1"/>
                <w:bCs w:val="1"/>
                <w:color w:val="666666"/>
                <w:vertAlign w:val="superscript"/>
              </w:rPr>
              <w:t>8</w:t>
            </w:r>
          </w:p>
        </w:tc>
        <w:tc>
          <w:tcPr>
            <w:tcW w:w="104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Benefits</w:t>
            </w:r>
          </w:p>
        </w:tc>
        <w:tc>
          <w:tcPr>
            <w:tcW w:w="200" w:type="dxa"/>
            <w:vAlign w:val="bottom"/>
            <w:shd w:val="clear" w:color="auto" w:fill="DDDDDD"/>
          </w:tcPr>
          <w:p>
            <w:pPr>
              <w:spacing w:after="0"/>
              <w:rPr>
                <w:sz w:val="17"/>
                <w:szCs w:val="17"/>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666666"/>
              </w:rPr>
              <w:t>and Benefits</w:t>
            </w:r>
          </w:p>
        </w:tc>
        <w:tc>
          <w:tcPr>
            <w:tcW w:w="180" w:type="dxa"/>
            <w:vAlign w:val="bottom"/>
            <w:shd w:val="clear" w:color="auto" w:fill="DDDDDD"/>
          </w:tcPr>
          <w:p>
            <w:pPr>
              <w:spacing w:after="0"/>
              <w:rPr>
                <w:sz w:val="17"/>
                <w:szCs w:val="17"/>
                <w:color w:val="auto"/>
              </w:rPr>
            </w:pPr>
          </w:p>
        </w:tc>
        <w:tc>
          <w:tcPr>
            <w:tcW w:w="860" w:type="dxa"/>
            <w:vAlign w:val="bottom"/>
            <w:tcBorders>
              <w:right w:val="single" w:sz="8" w:color="auto"/>
            </w:tcBorders>
            <w:shd w:val="clear" w:color="auto" w:fill="DDDDDD"/>
          </w:tcPr>
          <w:p>
            <w:pPr>
              <w:jc w:val="right"/>
              <w:ind w:right="208"/>
              <w:spacing w:after="0"/>
              <w:rPr>
                <w:sz w:val="20"/>
                <w:szCs w:val="20"/>
                <w:color w:val="auto"/>
              </w:rPr>
            </w:pPr>
            <w:r>
              <w:rPr>
                <w:rFonts w:ascii="Arial" w:cs="Arial" w:eastAsia="Arial" w:hAnsi="Arial"/>
                <w:sz w:val="14"/>
                <w:szCs w:val="14"/>
                <w:b w:val="1"/>
                <w:bCs w:val="1"/>
                <w:color w:val="666666"/>
              </w:rPr>
              <w:t>Total</w:t>
            </w:r>
          </w:p>
        </w:tc>
        <w:tc>
          <w:tcPr>
            <w:tcW w:w="0" w:type="dxa"/>
            <w:vAlign w:val="bottom"/>
          </w:tcPr>
          <w:p>
            <w:pPr>
              <w:spacing w:after="0"/>
              <w:rPr>
                <w:sz w:val="1"/>
                <w:szCs w:val="1"/>
                <w:color w:val="auto"/>
              </w:rPr>
            </w:pPr>
          </w:p>
        </w:tc>
      </w:tr>
      <w:tr>
        <w:trPr>
          <w:trHeight w:val="277"/>
        </w:trPr>
        <w:tc>
          <w:tcPr>
            <w:tcW w:w="1820" w:type="dxa"/>
            <w:vAlign w:val="bottom"/>
            <w:tcBorders>
              <w:left w:val="single" w:sz="8" w:color="auto"/>
              <w:bottom w:val="single" w:sz="8" w:color="auto"/>
            </w:tcBorders>
            <w:shd w:val="clear" w:color="auto" w:fill="DDDDDD"/>
          </w:tcPr>
          <w:p>
            <w:pPr>
              <w:ind w:left="60"/>
              <w:spacing w:after="0"/>
              <w:rPr>
                <w:sz w:val="20"/>
                <w:szCs w:val="20"/>
                <w:color w:val="auto"/>
              </w:rPr>
            </w:pPr>
            <w:r>
              <w:rPr>
                <w:rFonts w:ascii="Arial" w:cs="Arial" w:eastAsia="Arial" w:hAnsi="Arial"/>
                <w:sz w:val="14"/>
                <w:szCs w:val="14"/>
                <w:b w:val="1"/>
                <w:bCs w:val="1"/>
                <w:color w:val="666666"/>
              </w:rPr>
              <w:t>Name</w:t>
            </w:r>
          </w:p>
        </w:tc>
        <w:tc>
          <w:tcPr>
            <w:tcW w:w="116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w:t>
            </w:r>
          </w:p>
        </w:tc>
        <w:tc>
          <w:tcPr>
            <w:tcW w:w="130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w:t>
            </w:r>
          </w:p>
        </w:tc>
        <w:tc>
          <w:tcPr>
            <w:tcW w:w="560" w:type="dxa"/>
            <w:vAlign w:val="bottom"/>
            <w:tcBorders>
              <w:bottom w:val="single" w:sz="8" w:color="auto"/>
            </w:tcBorders>
            <w:shd w:val="clear" w:color="auto" w:fill="DDDDDD"/>
          </w:tcPr>
          <w:p>
            <w:pPr>
              <w:spacing w:after="0"/>
              <w:rPr>
                <w:sz w:val="24"/>
                <w:szCs w:val="24"/>
                <w:color w:val="auto"/>
              </w:rPr>
            </w:pPr>
          </w:p>
        </w:tc>
        <w:tc>
          <w:tcPr>
            <w:tcW w:w="136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w w:val="93"/>
              </w:rPr>
              <w:t>($)</w:t>
            </w:r>
          </w:p>
        </w:tc>
        <w:tc>
          <w:tcPr>
            <w:tcW w:w="104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w:t>
            </w:r>
          </w:p>
        </w:tc>
        <w:tc>
          <w:tcPr>
            <w:tcW w:w="20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w:t>
            </w:r>
          </w:p>
        </w:tc>
        <w:tc>
          <w:tcPr>
            <w:tcW w:w="180" w:type="dxa"/>
            <w:vAlign w:val="bottom"/>
            <w:tcBorders>
              <w:bottom w:val="single" w:sz="8" w:color="auto"/>
            </w:tcBorders>
            <w:shd w:val="clear" w:color="auto" w:fill="DDDDDD"/>
          </w:tcPr>
          <w:p>
            <w:pPr>
              <w:spacing w:after="0"/>
              <w:rPr>
                <w:sz w:val="24"/>
                <w:szCs w:val="24"/>
                <w:color w:val="auto"/>
              </w:rPr>
            </w:pPr>
          </w:p>
        </w:tc>
        <w:tc>
          <w:tcPr>
            <w:tcW w:w="860" w:type="dxa"/>
            <w:vAlign w:val="bottom"/>
            <w:tcBorders>
              <w:bottom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666666"/>
              </w:rPr>
              <w:t>($)</w:t>
            </w:r>
          </w:p>
        </w:tc>
        <w:tc>
          <w:tcPr>
            <w:tcW w:w="0" w:type="dxa"/>
            <w:vAlign w:val="bottom"/>
          </w:tcPr>
          <w:p>
            <w:pPr>
              <w:spacing w:after="0"/>
              <w:rPr>
                <w:sz w:val="1"/>
                <w:szCs w:val="1"/>
                <w:color w:val="auto"/>
              </w:rPr>
            </w:pPr>
          </w:p>
        </w:tc>
      </w:tr>
      <w:tr>
        <w:trPr>
          <w:trHeight w:val="258"/>
        </w:trPr>
        <w:tc>
          <w:tcPr>
            <w:tcW w:w="1820" w:type="dxa"/>
            <w:vAlign w:val="bottom"/>
            <w:tcBorders>
              <w:left w:val="single" w:sz="8" w:color="auto"/>
            </w:tcBorders>
          </w:tcPr>
          <w:p>
            <w:pPr>
              <w:ind w:left="60"/>
              <w:spacing w:after="0"/>
              <w:rPr>
                <w:sz w:val="20"/>
                <w:szCs w:val="20"/>
                <w:color w:val="auto"/>
              </w:rPr>
            </w:pPr>
            <w:r>
              <w:rPr>
                <w:rFonts w:ascii="Arial" w:cs="Arial" w:eastAsia="Arial" w:hAnsi="Arial"/>
                <w:sz w:val="14"/>
                <w:szCs w:val="14"/>
                <w:b w:val="1"/>
                <w:bCs w:val="1"/>
                <w:color w:val="666666"/>
              </w:rPr>
              <w:t>Horacio D. Rozanski</w:t>
            </w:r>
          </w:p>
        </w:tc>
        <w:tc>
          <w:tcPr>
            <w:tcW w:w="1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Death</w:t>
            </w:r>
          </w:p>
        </w:tc>
        <w:tc>
          <w:tcPr>
            <w:tcW w:w="116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tcPr>
          <w:p>
            <w:pPr>
              <w:jc w:val="center"/>
              <w:ind w:left="28"/>
              <w:spacing w:after="0"/>
              <w:rPr>
                <w:sz w:val="20"/>
                <w:szCs w:val="20"/>
                <w:color w:val="auto"/>
              </w:rPr>
            </w:pPr>
            <w:r>
              <w:rPr>
                <w:rFonts w:ascii="Arial" w:cs="Arial" w:eastAsia="Arial" w:hAnsi="Arial"/>
                <w:sz w:val="14"/>
                <w:szCs w:val="14"/>
                <w:color w:val="666666"/>
              </w:rPr>
              <w:t>10,069,968</w:t>
            </w:r>
          </w:p>
        </w:tc>
        <w:tc>
          <w:tcPr>
            <w:tcW w:w="56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666666"/>
              </w:rPr>
              <w:t>—</w:t>
            </w:r>
          </w:p>
        </w:tc>
        <w:tc>
          <w:tcPr>
            <w:tcW w:w="1040" w:type="dxa"/>
            <w:vAlign w:val="bottom"/>
          </w:tcPr>
          <w:p>
            <w:pPr>
              <w:jc w:val="center"/>
              <w:spacing w:after="0"/>
              <w:rPr>
                <w:sz w:val="20"/>
                <w:szCs w:val="20"/>
                <w:color w:val="auto"/>
              </w:rPr>
            </w:pPr>
            <w:r>
              <w:rPr>
                <w:rFonts w:ascii="Arial" w:cs="Arial" w:eastAsia="Arial" w:hAnsi="Arial"/>
                <w:sz w:val="14"/>
                <w:szCs w:val="14"/>
                <w:color w:val="666666"/>
              </w:rPr>
              <w:t>2,125,000</w:t>
            </w:r>
          </w:p>
        </w:tc>
        <w:tc>
          <w:tcPr>
            <w:tcW w:w="200" w:type="dxa"/>
            <w:vAlign w:val="bottom"/>
          </w:tcPr>
          <w:p>
            <w:pPr>
              <w:jc w:val="right"/>
              <w:ind w:right="20"/>
              <w:spacing w:after="0"/>
              <w:rPr>
                <w:sz w:val="20"/>
                <w:szCs w:val="20"/>
                <w:color w:val="auto"/>
              </w:rPr>
            </w:pPr>
            <w:r>
              <w:rPr>
                <w:rFonts w:ascii="Arial" w:cs="Arial" w:eastAsia="Arial" w:hAnsi="Arial"/>
                <w:sz w:val="12"/>
                <w:szCs w:val="12"/>
                <w:color w:val="666666"/>
              </w:rPr>
              <w:t>3</w:t>
            </w:r>
          </w:p>
        </w:tc>
        <w:tc>
          <w:tcPr>
            <w:tcW w:w="98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tcPr>
          <w:p>
            <w:pPr>
              <w:spacing w:after="0"/>
              <w:rPr>
                <w:sz w:val="23"/>
                <w:szCs w:val="23"/>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666666"/>
              </w:rPr>
              <w:t>12,194,968</w:t>
            </w:r>
          </w:p>
        </w:tc>
        <w:tc>
          <w:tcPr>
            <w:tcW w:w="0" w:type="dxa"/>
            <w:vAlign w:val="bottom"/>
          </w:tcPr>
          <w:p>
            <w:pPr>
              <w:spacing w:after="0"/>
              <w:rPr>
                <w:sz w:val="1"/>
                <w:szCs w:val="1"/>
                <w:color w:val="auto"/>
              </w:rPr>
            </w:pPr>
          </w:p>
        </w:tc>
      </w:tr>
      <w:tr>
        <w:trPr>
          <w:trHeight w:val="270"/>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Disability</w:t>
            </w:r>
          </w:p>
        </w:tc>
        <w:tc>
          <w:tcPr>
            <w:tcW w:w="116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tcPr>
          <w:p>
            <w:pPr>
              <w:jc w:val="center"/>
              <w:ind w:left="28"/>
              <w:spacing w:after="0"/>
              <w:rPr>
                <w:sz w:val="20"/>
                <w:szCs w:val="20"/>
                <w:color w:val="auto"/>
              </w:rPr>
            </w:pPr>
            <w:r>
              <w:rPr>
                <w:rFonts w:ascii="Arial" w:cs="Arial" w:eastAsia="Arial" w:hAnsi="Arial"/>
                <w:sz w:val="14"/>
                <w:szCs w:val="14"/>
                <w:color w:val="666666"/>
              </w:rPr>
              <w:t>—</w:t>
            </w:r>
          </w:p>
        </w:tc>
        <w:tc>
          <w:tcPr>
            <w:tcW w:w="56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666666"/>
              </w:rPr>
              <w:t>—</w:t>
            </w:r>
          </w:p>
        </w:tc>
        <w:tc>
          <w:tcPr>
            <w:tcW w:w="1040" w:type="dxa"/>
            <w:vAlign w:val="bottom"/>
          </w:tcPr>
          <w:p>
            <w:pPr>
              <w:jc w:val="center"/>
              <w:spacing w:after="0"/>
              <w:rPr>
                <w:sz w:val="20"/>
                <w:szCs w:val="20"/>
                <w:color w:val="auto"/>
              </w:rPr>
            </w:pPr>
            <w:r>
              <w:rPr>
                <w:rFonts w:ascii="Arial" w:cs="Arial" w:eastAsia="Arial" w:hAnsi="Arial"/>
                <w:sz w:val="14"/>
                <w:szCs w:val="14"/>
                <w:color w:val="666666"/>
              </w:rPr>
              <w:t>3,028,666</w:t>
            </w:r>
          </w:p>
        </w:tc>
        <w:tc>
          <w:tcPr>
            <w:tcW w:w="200" w:type="dxa"/>
            <w:vAlign w:val="bottom"/>
          </w:tcPr>
          <w:p>
            <w:pPr>
              <w:jc w:val="right"/>
              <w:ind w:right="20"/>
              <w:spacing w:after="0"/>
              <w:rPr>
                <w:sz w:val="20"/>
                <w:szCs w:val="20"/>
                <w:color w:val="auto"/>
              </w:rPr>
            </w:pPr>
            <w:r>
              <w:rPr>
                <w:rFonts w:ascii="Arial" w:cs="Arial" w:eastAsia="Arial" w:hAnsi="Arial"/>
                <w:sz w:val="12"/>
                <w:szCs w:val="12"/>
                <w:color w:val="666666"/>
              </w:rPr>
              <w:t>4</w:t>
            </w:r>
          </w:p>
        </w:tc>
        <w:tc>
          <w:tcPr>
            <w:tcW w:w="980" w:type="dxa"/>
            <w:vAlign w:val="bottom"/>
          </w:tcPr>
          <w:p>
            <w:pPr>
              <w:jc w:val="center"/>
              <w:spacing w:after="0"/>
              <w:rPr>
                <w:sz w:val="20"/>
                <w:szCs w:val="20"/>
                <w:color w:val="auto"/>
              </w:rPr>
            </w:pPr>
            <w:r>
              <w:rPr>
                <w:rFonts w:ascii="Arial" w:cs="Arial" w:eastAsia="Arial" w:hAnsi="Arial"/>
                <w:sz w:val="14"/>
                <w:szCs w:val="14"/>
                <w:color w:val="666666"/>
              </w:rPr>
              <w:t>1,447,179</w:t>
            </w:r>
          </w:p>
        </w:tc>
        <w:tc>
          <w:tcPr>
            <w:tcW w:w="180" w:type="dxa"/>
            <w:vAlign w:val="bottom"/>
          </w:tcPr>
          <w:p>
            <w:pPr>
              <w:jc w:val="right"/>
              <w:ind w:right="20"/>
              <w:spacing w:after="0"/>
              <w:rPr>
                <w:sz w:val="20"/>
                <w:szCs w:val="20"/>
                <w:color w:val="auto"/>
              </w:rPr>
            </w:pPr>
            <w:r>
              <w:rPr>
                <w:rFonts w:ascii="Arial" w:cs="Arial" w:eastAsia="Arial" w:hAnsi="Arial"/>
                <w:sz w:val="12"/>
                <w:szCs w:val="12"/>
                <w:color w:val="666666"/>
              </w:rPr>
              <w:t>5</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666666"/>
              </w:rPr>
              <w:t>4,475,845</w:t>
            </w:r>
          </w:p>
        </w:tc>
        <w:tc>
          <w:tcPr>
            <w:tcW w:w="0" w:type="dxa"/>
            <w:vAlign w:val="bottom"/>
          </w:tcPr>
          <w:p>
            <w:pPr>
              <w:spacing w:after="0"/>
              <w:rPr>
                <w:sz w:val="1"/>
                <w:szCs w:val="1"/>
                <w:color w:val="auto"/>
              </w:rPr>
            </w:pPr>
          </w:p>
        </w:tc>
      </w:tr>
      <w:tr>
        <w:trPr>
          <w:trHeight w:val="206"/>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Involuntary</w:t>
            </w: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vMerge w:val="restart"/>
          </w:tcPr>
          <w:p>
            <w:pPr>
              <w:jc w:val="right"/>
              <w:ind w:right="20"/>
              <w:spacing w:after="0"/>
              <w:rPr>
                <w:sz w:val="20"/>
                <w:szCs w:val="20"/>
                <w:color w:val="auto"/>
              </w:rPr>
            </w:pPr>
            <w:r>
              <w:rPr>
                <w:rFonts w:ascii="Arial" w:cs="Arial" w:eastAsia="Arial" w:hAnsi="Arial"/>
                <w:sz w:val="12"/>
                <w:szCs w:val="12"/>
                <w:color w:val="666666"/>
              </w:rPr>
              <w:t>6</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1820" w:type="dxa"/>
            <w:vAlign w:val="bottom"/>
            <w:tcBorders>
              <w:left w:val="single" w:sz="8" w:color="auto"/>
            </w:tcBorders>
            <w:vMerge w:val="restart"/>
          </w:tcPr>
          <w:p>
            <w:pPr>
              <w:ind w:left="60"/>
              <w:spacing w:after="0"/>
              <w:rPr>
                <w:sz w:val="20"/>
                <w:szCs w:val="20"/>
                <w:color w:val="auto"/>
              </w:rPr>
            </w:pPr>
            <w:r>
              <w:rPr>
                <w:rFonts w:ascii="Arial" w:cs="Arial" w:eastAsia="Arial" w:hAnsi="Arial"/>
                <w:sz w:val="14"/>
                <w:szCs w:val="14"/>
                <w:color w:val="666666"/>
              </w:rPr>
              <w:t>Termination</w:t>
            </w:r>
          </w:p>
        </w:tc>
        <w:tc>
          <w:tcPr>
            <w:tcW w:w="1160" w:type="dxa"/>
            <w:vAlign w:val="bottom"/>
            <w:vMerge w:val="restart"/>
          </w:tcPr>
          <w:p>
            <w:pPr>
              <w:jc w:val="center"/>
              <w:ind w:left="328"/>
              <w:spacing w:after="0"/>
              <w:rPr>
                <w:sz w:val="20"/>
                <w:szCs w:val="20"/>
                <w:color w:val="auto"/>
              </w:rPr>
            </w:pPr>
            <w:r>
              <w:rPr>
                <w:rFonts w:ascii="Arial" w:cs="Arial" w:eastAsia="Arial" w:hAnsi="Arial"/>
                <w:sz w:val="14"/>
                <w:szCs w:val="14"/>
                <w:color w:val="666666"/>
              </w:rPr>
              <w:t>1,500,000</w:t>
            </w:r>
          </w:p>
        </w:tc>
        <w:tc>
          <w:tcPr>
            <w:tcW w:w="1300" w:type="dxa"/>
            <w:vAlign w:val="bottom"/>
            <w:vMerge w:val="restart"/>
          </w:tcPr>
          <w:p>
            <w:pPr>
              <w:jc w:val="center"/>
              <w:ind w:left="28"/>
              <w:spacing w:after="0"/>
              <w:rPr>
                <w:sz w:val="20"/>
                <w:szCs w:val="20"/>
                <w:color w:val="auto"/>
              </w:rPr>
            </w:pPr>
            <w:r>
              <w:rPr>
                <w:rFonts w:ascii="Arial" w:cs="Arial" w:eastAsia="Arial" w:hAnsi="Arial"/>
                <w:sz w:val="14"/>
                <w:szCs w:val="14"/>
                <w:color w:val="666666"/>
              </w:rPr>
              <w:t>—</w:t>
            </w:r>
          </w:p>
        </w:tc>
        <w:tc>
          <w:tcPr>
            <w:tcW w:w="560" w:type="dxa"/>
            <w:vAlign w:val="bottom"/>
          </w:tcPr>
          <w:p>
            <w:pPr>
              <w:spacing w:after="0"/>
              <w:rPr>
                <w:sz w:val="5"/>
                <w:szCs w:val="5"/>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666666"/>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tcPr>
          <w:p>
            <w:pPr>
              <w:spacing w:after="0"/>
              <w:rPr>
                <w:sz w:val="5"/>
                <w:szCs w:val="5"/>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666666"/>
              </w:rPr>
              <w:t>30,000</w:t>
            </w:r>
          </w:p>
        </w:tc>
        <w:tc>
          <w:tcPr>
            <w:tcW w:w="180" w:type="dxa"/>
            <w:vAlign w:val="bottom"/>
            <w:vMerge w:val="continue"/>
          </w:tcPr>
          <w:p>
            <w:pPr>
              <w:spacing w:after="0"/>
              <w:rPr>
                <w:sz w:val="5"/>
                <w:szCs w:val="5"/>
                <w:color w:val="auto"/>
              </w:rPr>
            </w:pP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666666"/>
              </w:rPr>
              <w:t>1,530,000</w:t>
            </w:r>
          </w:p>
        </w:tc>
        <w:tc>
          <w:tcPr>
            <w:tcW w:w="0" w:type="dxa"/>
            <w:vAlign w:val="bottom"/>
          </w:tcPr>
          <w:p>
            <w:pPr>
              <w:spacing w:after="0"/>
              <w:rPr>
                <w:sz w:val="1"/>
                <w:szCs w:val="1"/>
                <w:color w:val="auto"/>
              </w:rPr>
            </w:pPr>
          </w:p>
        </w:tc>
      </w:tr>
      <w:tr>
        <w:trPr>
          <w:trHeight w:val="114"/>
        </w:trPr>
        <w:tc>
          <w:tcPr>
            <w:tcW w:w="1820" w:type="dxa"/>
            <w:vAlign w:val="bottom"/>
            <w:tcBorders>
              <w:left w:val="single" w:sz="8" w:color="auto"/>
            </w:tcBorders>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8"/>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 xml:space="preserve">Retirement </w:t>
            </w:r>
            <w:r>
              <w:rPr>
                <w:rFonts w:ascii="Arial" w:cs="Arial" w:eastAsia="Arial" w:hAnsi="Arial"/>
                <w:sz w:val="23"/>
                <w:szCs w:val="23"/>
                <w:color w:val="666666"/>
                <w:vertAlign w:val="superscript"/>
              </w:rPr>
              <w:t>11</w:t>
            </w:r>
          </w:p>
        </w:tc>
        <w:tc>
          <w:tcPr>
            <w:tcW w:w="116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tcPr>
          <w:p>
            <w:pPr>
              <w:jc w:val="center"/>
              <w:ind w:left="28"/>
              <w:spacing w:after="0"/>
              <w:rPr>
                <w:sz w:val="20"/>
                <w:szCs w:val="20"/>
                <w:color w:val="auto"/>
              </w:rPr>
            </w:pPr>
            <w:r>
              <w:rPr>
                <w:rFonts w:ascii="Arial" w:cs="Arial" w:eastAsia="Arial" w:hAnsi="Arial"/>
                <w:sz w:val="14"/>
                <w:szCs w:val="14"/>
                <w:color w:val="666666"/>
              </w:rPr>
              <w:t>—</w:t>
            </w:r>
          </w:p>
        </w:tc>
        <w:tc>
          <w:tcPr>
            <w:tcW w:w="5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666666"/>
              </w:rPr>
              <w:t>205,000</w:t>
            </w:r>
          </w:p>
        </w:tc>
        <w:tc>
          <w:tcPr>
            <w:tcW w:w="104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666666"/>
              </w:rPr>
              <w:t>1,535,359</w:t>
            </w:r>
          </w:p>
        </w:tc>
        <w:tc>
          <w:tcPr>
            <w:tcW w:w="180" w:type="dxa"/>
            <w:vAlign w:val="bottom"/>
          </w:tcPr>
          <w:p>
            <w:pPr>
              <w:jc w:val="right"/>
              <w:ind w:right="20"/>
              <w:spacing w:after="0"/>
              <w:rPr>
                <w:sz w:val="20"/>
                <w:szCs w:val="20"/>
                <w:color w:val="auto"/>
              </w:rPr>
            </w:pPr>
            <w:r>
              <w:rPr>
                <w:rFonts w:ascii="Arial" w:cs="Arial" w:eastAsia="Arial" w:hAnsi="Arial"/>
                <w:sz w:val="12"/>
                <w:szCs w:val="12"/>
                <w:color w:val="666666"/>
              </w:rPr>
              <w:t>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666666"/>
              </w:rPr>
              <w:t>1,740,359</w:t>
            </w:r>
          </w:p>
        </w:tc>
        <w:tc>
          <w:tcPr>
            <w:tcW w:w="0" w:type="dxa"/>
            <w:vAlign w:val="bottom"/>
          </w:tcPr>
          <w:p>
            <w:pPr>
              <w:spacing w:after="0"/>
              <w:rPr>
                <w:sz w:val="1"/>
                <w:szCs w:val="1"/>
                <w:color w:val="auto"/>
              </w:rPr>
            </w:pPr>
          </w:p>
        </w:tc>
      </w:tr>
      <w:tr>
        <w:trPr>
          <w:trHeight w:val="172"/>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Voluntary Resignation</w:t>
            </w:r>
          </w:p>
        </w:tc>
        <w:tc>
          <w:tcPr>
            <w:tcW w:w="116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tcPr>
          <w:p>
            <w:pPr>
              <w:jc w:val="center"/>
              <w:ind w:left="28"/>
              <w:spacing w:after="0"/>
              <w:rPr>
                <w:sz w:val="20"/>
                <w:szCs w:val="20"/>
                <w:color w:val="auto"/>
              </w:rPr>
            </w:pPr>
            <w:r>
              <w:rPr>
                <w:rFonts w:ascii="Arial" w:cs="Arial" w:eastAsia="Arial" w:hAnsi="Arial"/>
                <w:sz w:val="14"/>
                <w:szCs w:val="14"/>
                <w:color w:val="666666"/>
              </w:rPr>
              <w:t>—</w:t>
            </w:r>
          </w:p>
        </w:tc>
        <w:tc>
          <w:tcPr>
            <w:tcW w:w="5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666666"/>
              </w:rPr>
              <w:t>—</w:t>
            </w:r>
          </w:p>
        </w:tc>
        <w:tc>
          <w:tcPr>
            <w:tcW w:w="104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tcPr>
          <w:p>
            <w:pPr>
              <w:spacing w:after="0"/>
              <w:rPr>
                <w:sz w:val="14"/>
                <w:szCs w:val="14"/>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666666"/>
                <w:w w:val="99"/>
              </w:rPr>
              <w:t>—</w:t>
            </w:r>
          </w:p>
        </w:tc>
        <w:tc>
          <w:tcPr>
            <w:tcW w:w="0" w:type="dxa"/>
            <w:vAlign w:val="bottom"/>
          </w:tcPr>
          <w:p>
            <w:pPr>
              <w:spacing w:after="0"/>
              <w:rPr>
                <w:sz w:val="1"/>
                <w:szCs w:val="1"/>
                <w:color w:val="auto"/>
              </w:rPr>
            </w:pPr>
          </w:p>
        </w:tc>
      </w:tr>
      <w:tr>
        <w:trPr>
          <w:trHeight w:val="206"/>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Termination for</w:t>
            </w: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2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666666"/>
              </w:rPr>
              <w:t>Cause</w:t>
            </w:r>
          </w:p>
        </w:tc>
        <w:tc>
          <w:tcPr>
            <w:tcW w:w="116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tcPr>
          <w:p>
            <w:pPr>
              <w:jc w:val="center"/>
              <w:ind w:left="28"/>
              <w:spacing w:after="0"/>
              <w:rPr>
                <w:sz w:val="20"/>
                <w:szCs w:val="20"/>
                <w:color w:val="auto"/>
              </w:rPr>
            </w:pPr>
            <w:r>
              <w:rPr>
                <w:rFonts w:ascii="Arial" w:cs="Arial" w:eastAsia="Arial" w:hAnsi="Arial"/>
                <w:sz w:val="14"/>
                <w:szCs w:val="14"/>
                <w:color w:val="666666"/>
              </w:rPr>
              <w:t>—</w:t>
            </w:r>
          </w:p>
        </w:tc>
        <w:tc>
          <w:tcPr>
            <w:tcW w:w="5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666666"/>
              </w:rPr>
              <w:t>—</w:t>
            </w:r>
          </w:p>
        </w:tc>
        <w:tc>
          <w:tcPr>
            <w:tcW w:w="104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tcPr>
          <w:p>
            <w:pPr>
              <w:spacing w:after="0"/>
              <w:rPr>
                <w:sz w:val="14"/>
                <w:szCs w:val="14"/>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666666"/>
                <w:w w:val="99"/>
              </w:rPr>
              <w:t>—</w:t>
            </w:r>
          </w:p>
        </w:tc>
        <w:tc>
          <w:tcPr>
            <w:tcW w:w="0" w:type="dxa"/>
            <w:vAlign w:val="bottom"/>
          </w:tcPr>
          <w:p>
            <w:pPr>
              <w:spacing w:after="0"/>
              <w:rPr>
                <w:sz w:val="1"/>
                <w:szCs w:val="1"/>
                <w:color w:val="auto"/>
              </w:rPr>
            </w:pPr>
          </w:p>
        </w:tc>
      </w:tr>
      <w:tr>
        <w:trPr>
          <w:trHeight w:val="270"/>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Change-In-Control</w:t>
            </w:r>
          </w:p>
        </w:tc>
        <w:tc>
          <w:tcPr>
            <w:tcW w:w="116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tcPr>
          <w:p>
            <w:pPr>
              <w:jc w:val="center"/>
              <w:ind w:left="28"/>
              <w:spacing w:after="0"/>
              <w:rPr>
                <w:sz w:val="20"/>
                <w:szCs w:val="20"/>
                <w:color w:val="auto"/>
              </w:rPr>
            </w:pPr>
            <w:r>
              <w:rPr>
                <w:rFonts w:ascii="Arial" w:cs="Arial" w:eastAsia="Arial" w:hAnsi="Arial"/>
                <w:sz w:val="14"/>
                <w:szCs w:val="14"/>
                <w:color w:val="666666"/>
              </w:rPr>
              <w:t>1,807,360</w:t>
            </w:r>
          </w:p>
        </w:tc>
        <w:tc>
          <w:tcPr>
            <w:tcW w:w="56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666666"/>
              </w:rPr>
              <w:t>—</w:t>
            </w:r>
          </w:p>
        </w:tc>
        <w:tc>
          <w:tcPr>
            <w:tcW w:w="104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666666"/>
              </w:rPr>
              <w:t>1,447,179</w:t>
            </w:r>
          </w:p>
        </w:tc>
        <w:tc>
          <w:tcPr>
            <w:tcW w:w="180" w:type="dxa"/>
            <w:vAlign w:val="bottom"/>
          </w:tcPr>
          <w:p>
            <w:pPr>
              <w:jc w:val="right"/>
              <w:ind w:right="20"/>
              <w:spacing w:after="0"/>
              <w:rPr>
                <w:sz w:val="20"/>
                <w:szCs w:val="20"/>
                <w:color w:val="auto"/>
              </w:rPr>
            </w:pPr>
            <w:r>
              <w:rPr>
                <w:rFonts w:ascii="Arial" w:cs="Arial" w:eastAsia="Arial" w:hAnsi="Arial"/>
                <w:sz w:val="12"/>
                <w:szCs w:val="12"/>
                <w:color w:val="666666"/>
              </w:rPr>
              <w:t>9</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666666"/>
              </w:rPr>
              <w:t>3,254,539</w:t>
            </w:r>
          </w:p>
        </w:tc>
        <w:tc>
          <w:tcPr>
            <w:tcW w:w="0" w:type="dxa"/>
            <w:vAlign w:val="bottom"/>
          </w:tcPr>
          <w:p>
            <w:pPr>
              <w:spacing w:after="0"/>
              <w:rPr>
                <w:sz w:val="1"/>
                <w:szCs w:val="1"/>
                <w:color w:val="auto"/>
              </w:rPr>
            </w:pPr>
          </w:p>
        </w:tc>
      </w:tr>
      <w:tr>
        <w:trPr>
          <w:trHeight w:val="206"/>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Involuntary</w:t>
            </w: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2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666666"/>
              </w:rPr>
              <w:t>Termination After Change-</w:t>
            </w: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2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666666"/>
              </w:rPr>
              <w:t>In-Control</w:t>
            </w:r>
          </w:p>
        </w:tc>
        <w:tc>
          <w:tcPr>
            <w:tcW w:w="116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tcPr>
          <w:p>
            <w:pPr>
              <w:jc w:val="center"/>
              <w:ind w:left="28"/>
              <w:spacing w:after="0"/>
              <w:rPr>
                <w:sz w:val="20"/>
                <w:szCs w:val="20"/>
                <w:color w:val="auto"/>
              </w:rPr>
            </w:pPr>
            <w:r>
              <w:rPr>
                <w:rFonts w:ascii="Arial" w:cs="Arial" w:eastAsia="Arial" w:hAnsi="Arial"/>
                <w:sz w:val="14"/>
                <w:szCs w:val="14"/>
                <w:color w:val="666666"/>
              </w:rPr>
              <w:t>8,262,609</w:t>
            </w:r>
          </w:p>
        </w:tc>
        <w:tc>
          <w:tcPr>
            <w:tcW w:w="5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666666"/>
              </w:rPr>
              <w:t>—</w:t>
            </w:r>
          </w:p>
        </w:tc>
        <w:tc>
          <w:tcPr>
            <w:tcW w:w="104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tcPr>
          <w:p>
            <w:pPr>
              <w:spacing w:after="0"/>
              <w:rPr>
                <w:sz w:val="15"/>
                <w:szCs w:val="15"/>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666666"/>
              </w:rPr>
              <w:t>8,262,609</w:t>
            </w:r>
          </w:p>
        </w:tc>
        <w:tc>
          <w:tcPr>
            <w:tcW w:w="0" w:type="dxa"/>
            <w:vAlign w:val="bottom"/>
          </w:tcPr>
          <w:p>
            <w:pPr>
              <w:spacing w:after="0"/>
              <w:rPr>
                <w:sz w:val="1"/>
                <w:szCs w:val="1"/>
                <w:color w:val="auto"/>
              </w:rPr>
            </w:pPr>
          </w:p>
        </w:tc>
      </w:tr>
      <w:tr>
        <w:trPr>
          <w:trHeight w:val="264"/>
        </w:trPr>
        <w:tc>
          <w:tcPr>
            <w:tcW w:w="1820" w:type="dxa"/>
            <w:vAlign w:val="bottom"/>
            <w:tcBorders>
              <w:left w:val="single" w:sz="8" w:color="auto"/>
            </w:tcBorders>
            <w:shd w:val="clear" w:color="auto" w:fill="DDDDDD"/>
          </w:tcPr>
          <w:p>
            <w:pPr>
              <w:ind w:left="60"/>
              <w:spacing w:after="0"/>
              <w:rPr>
                <w:sz w:val="20"/>
                <w:szCs w:val="20"/>
                <w:color w:val="auto"/>
              </w:rPr>
            </w:pPr>
            <w:r>
              <w:rPr>
                <w:rFonts w:ascii="Arial" w:cs="Arial" w:eastAsia="Arial" w:hAnsi="Arial"/>
                <w:sz w:val="14"/>
                <w:szCs w:val="14"/>
                <w:b w:val="1"/>
                <w:bCs w:val="1"/>
                <w:color w:val="666666"/>
              </w:rPr>
              <w:t>Lloyd W. Howell, Jr.</w:t>
            </w:r>
          </w:p>
        </w:tc>
        <w:tc>
          <w:tcPr>
            <w:tcW w:w="1160" w:type="dxa"/>
            <w:vAlign w:val="bottom"/>
            <w:shd w:val="clear" w:color="auto" w:fill="DDDDDD"/>
          </w:tcPr>
          <w:p>
            <w:pPr>
              <w:spacing w:after="0"/>
              <w:rPr>
                <w:sz w:val="22"/>
                <w:szCs w:val="22"/>
                <w:color w:val="auto"/>
              </w:rPr>
            </w:pPr>
          </w:p>
        </w:tc>
        <w:tc>
          <w:tcPr>
            <w:tcW w:w="1300" w:type="dxa"/>
            <w:vAlign w:val="bottom"/>
            <w:shd w:val="clear" w:color="auto" w:fill="DDDDDD"/>
          </w:tcPr>
          <w:p>
            <w:pPr>
              <w:spacing w:after="0"/>
              <w:rPr>
                <w:sz w:val="22"/>
                <w:szCs w:val="22"/>
                <w:color w:val="auto"/>
              </w:rPr>
            </w:pPr>
          </w:p>
        </w:tc>
        <w:tc>
          <w:tcPr>
            <w:tcW w:w="560" w:type="dxa"/>
            <w:vAlign w:val="bottom"/>
            <w:shd w:val="clear" w:color="auto" w:fill="DDDDDD"/>
          </w:tcPr>
          <w:p>
            <w:pPr>
              <w:spacing w:after="0"/>
              <w:rPr>
                <w:sz w:val="22"/>
                <w:szCs w:val="22"/>
                <w:color w:val="auto"/>
              </w:rPr>
            </w:pPr>
          </w:p>
        </w:tc>
        <w:tc>
          <w:tcPr>
            <w:tcW w:w="136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98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860" w:type="dxa"/>
            <w:vAlign w:val="bottom"/>
            <w:tcBorders>
              <w:right w:val="single" w:sz="8" w:color="auto"/>
            </w:tcBorders>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820" w:type="dxa"/>
            <w:vAlign w:val="bottom"/>
            <w:tcBorders>
              <w:left w:val="single" w:sz="8" w:color="auto"/>
            </w:tcBorders>
            <w:shd w:val="clear" w:color="auto" w:fill="DDDDDD"/>
          </w:tcPr>
          <w:p>
            <w:pPr>
              <w:ind w:left="380"/>
              <w:spacing w:after="0"/>
              <w:rPr>
                <w:sz w:val="20"/>
                <w:szCs w:val="20"/>
                <w:color w:val="auto"/>
              </w:rPr>
            </w:pPr>
            <w:r>
              <w:rPr>
                <w:rFonts w:ascii="Arial" w:cs="Arial" w:eastAsia="Arial" w:hAnsi="Arial"/>
                <w:sz w:val="14"/>
                <w:szCs w:val="14"/>
                <w:color w:val="666666"/>
              </w:rPr>
              <w:t>Death</w:t>
            </w:r>
          </w:p>
        </w:tc>
        <w:tc>
          <w:tcPr>
            <w:tcW w:w="116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4,755,126</w:t>
            </w:r>
          </w:p>
        </w:tc>
        <w:tc>
          <w:tcPr>
            <w:tcW w:w="560" w:type="dxa"/>
            <w:vAlign w:val="bottom"/>
            <w:shd w:val="clear" w:color="auto" w:fill="DDDDDD"/>
          </w:tcPr>
          <w:p>
            <w:pPr>
              <w:spacing w:after="0"/>
              <w:rPr>
                <w:sz w:val="23"/>
                <w:szCs w:val="23"/>
                <w:color w:val="auto"/>
              </w:rPr>
            </w:pPr>
          </w:p>
        </w:tc>
        <w:tc>
          <w:tcPr>
            <w:tcW w:w="136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w:t>
            </w:r>
          </w:p>
        </w:tc>
        <w:tc>
          <w:tcPr>
            <w:tcW w:w="104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2,085,417</w:t>
            </w:r>
          </w:p>
        </w:tc>
        <w:tc>
          <w:tcPr>
            <w:tcW w:w="200" w:type="dxa"/>
            <w:vAlign w:val="bottom"/>
            <w:shd w:val="clear" w:color="auto" w:fill="DDDDDD"/>
          </w:tcPr>
          <w:p>
            <w:pPr>
              <w:jc w:val="right"/>
              <w:ind w:right="20"/>
              <w:spacing w:after="0"/>
              <w:rPr>
                <w:sz w:val="20"/>
                <w:szCs w:val="20"/>
                <w:color w:val="auto"/>
              </w:rPr>
            </w:pPr>
            <w:r>
              <w:rPr>
                <w:rFonts w:ascii="Arial" w:cs="Arial" w:eastAsia="Arial" w:hAnsi="Arial"/>
                <w:sz w:val="12"/>
                <w:szCs w:val="12"/>
                <w:color w:val="666666"/>
              </w:rPr>
              <w:t>3</w:t>
            </w:r>
          </w:p>
        </w:tc>
        <w:tc>
          <w:tcPr>
            <w:tcW w:w="98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shd w:val="clear" w:color="auto" w:fill="DDDDDD"/>
          </w:tcPr>
          <w:p>
            <w:pPr>
              <w:spacing w:after="0"/>
              <w:rPr>
                <w:sz w:val="23"/>
                <w:szCs w:val="23"/>
                <w:color w:val="auto"/>
              </w:rPr>
            </w:pPr>
          </w:p>
        </w:tc>
        <w:tc>
          <w:tcPr>
            <w:tcW w:w="86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4"/>
                <w:szCs w:val="14"/>
                <w:color w:val="666666"/>
              </w:rPr>
              <w:t>6,840,543</w:t>
            </w:r>
          </w:p>
        </w:tc>
        <w:tc>
          <w:tcPr>
            <w:tcW w:w="0" w:type="dxa"/>
            <w:vAlign w:val="bottom"/>
          </w:tcPr>
          <w:p>
            <w:pPr>
              <w:spacing w:after="0"/>
              <w:rPr>
                <w:sz w:val="1"/>
                <w:szCs w:val="1"/>
                <w:color w:val="auto"/>
              </w:rPr>
            </w:pPr>
          </w:p>
        </w:tc>
      </w:tr>
      <w:tr>
        <w:trPr>
          <w:trHeight w:val="270"/>
        </w:trPr>
        <w:tc>
          <w:tcPr>
            <w:tcW w:w="1820" w:type="dxa"/>
            <w:vAlign w:val="bottom"/>
            <w:tcBorders>
              <w:left w:val="single" w:sz="8" w:color="auto"/>
            </w:tcBorders>
            <w:shd w:val="clear" w:color="auto" w:fill="DDDDDD"/>
          </w:tcPr>
          <w:p>
            <w:pPr>
              <w:ind w:left="380"/>
              <w:spacing w:after="0"/>
              <w:rPr>
                <w:sz w:val="20"/>
                <w:szCs w:val="20"/>
                <w:color w:val="auto"/>
              </w:rPr>
            </w:pPr>
            <w:r>
              <w:rPr>
                <w:rFonts w:ascii="Arial" w:cs="Arial" w:eastAsia="Arial" w:hAnsi="Arial"/>
                <w:sz w:val="14"/>
                <w:szCs w:val="14"/>
                <w:color w:val="666666"/>
              </w:rPr>
              <w:t>Disability</w:t>
            </w:r>
          </w:p>
        </w:tc>
        <w:tc>
          <w:tcPr>
            <w:tcW w:w="116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560" w:type="dxa"/>
            <w:vAlign w:val="bottom"/>
            <w:shd w:val="clear" w:color="auto" w:fill="DDDDDD"/>
          </w:tcPr>
          <w:p>
            <w:pPr>
              <w:spacing w:after="0"/>
              <w:rPr>
                <w:sz w:val="23"/>
                <w:szCs w:val="23"/>
                <w:color w:val="auto"/>
              </w:rPr>
            </w:pPr>
          </w:p>
        </w:tc>
        <w:tc>
          <w:tcPr>
            <w:tcW w:w="136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w:t>
            </w:r>
          </w:p>
        </w:tc>
        <w:tc>
          <w:tcPr>
            <w:tcW w:w="104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2,888,628</w:t>
            </w:r>
          </w:p>
        </w:tc>
        <w:tc>
          <w:tcPr>
            <w:tcW w:w="200" w:type="dxa"/>
            <w:vAlign w:val="bottom"/>
            <w:shd w:val="clear" w:color="auto" w:fill="DDDDDD"/>
          </w:tcPr>
          <w:p>
            <w:pPr>
              <w:jc w:val="right"/>
              <w:ind w:right="20"/>
              <w:spacing w:after="0"/>
              <w:rPr>
                <w:sz w:val="20"/>
                <w:szCs w:val="20"/>
                <w:color w:val="auto"/>
              </w:rPr>
            </w:pPr>
            <w:r>
              <w:rPr>
                <w:rFonts w:ascii="Arial" w:cs="Arial" w:eastAsia="Arial" w:hAnsi="Arial"/>
                <w:sz w:val="12"/>
                <w:szCs w:val="12"/>
                <w:color w:val="666666"/>
              </w:rPr>
              <w:t>4</w:t>
            </w:r>
          </w:p>
        </w:tc>
        <w:tc>
          <w:tcPr>
            <w:tcW w:w="98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1,351,630</w:t>
            </w:r>
          </w:p>
        </w:tc>
        <w:tc>
          <w:tcPr>
            <w:tcW w:w="180" w:type="dxa"/>
            <w:vAlign w:val="bottom"/>
            <w:shd w:val="clear" w:color="auto" w:fill="DDDDDD"/>
          </w:tcPr>
          <w:p>
            <w:pPr>
              <w:jc w:val="right"/>
              <w:ind w:right="20"/>
              <w:spacing w:after="0"/>
              <w:rPr>
                <w:sz w:val="20"/>
                <w:szCs w:val="20"/>
                <w:color w:val="auto"/>
              </w:rPr>
            </w:pPr>
            <w:r>
              <w:rPr>
                <w:rFonts w:ascii="Arial" w:cs="Arial" w:eastAsia="Arial" w:hAnsi="Arial"/>
                <w:sz w:val="12"/>
                <w:szCs w:val="12"/>
                <w:color w:val="666666"/>
              </w:rPr>
              <w:t>5</w:t>
            </w:r>
          </w:p>
        </w:tc>
        <w:tc>
          <w:tcPr>
            <w:tcW w:w="86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4"/>
                <w:szCs w:val="14"/>
                <w:color w:val="666666"/>
              </w:rPr>
              <w:t>4,240,258</w:t>
            </w:r>
          </w:p>
        </w:tc>
        <w:tc>
          <w:tcPr>
            <w:tcW w:w="0" w:type="dxa"/>
            <w:vAlign w:val="bottom"/>
          </w:tcPr>
          <w:p>
            <w:pPr>
              <w:spacing w:after="0"/>
              <w:rPr>
                <w:sz w:val="1"/>
                <w:szCs w:val="1"/>
                <w:color w:val="auto"/>
              </w:rPr>
            </w:pPr>
          </w:p>
        </w:tc>
      </w:tr>
      <w:tr>
        <w:trPr>
          <w:trHeight w:val="206"/>
        </w:trPr>
        <w:tc>
          <w:tcPr>
            <w:tcW w:w="1820" w:type="dxa"/>
            <w:vAlign w:val="bottom"/>
            <w:tcBorders>
              <w:left w:val="single" w:sz="8" w:color="auto"/>
            </w:tcBorders>
            <w:shd w:val="clear" w:color="auto" w:fill="DDDDDD"/>
          </w:tcPr>
          <w:p>
            <w:pPr>
              <w:ind w:left="380"/>
              <w:spacing w:after="0"/>
              <w:rPr>
                <w:sz w:val="20"/>
                <w:szCs w:val="20"/>
                <w:color w:val="auto"/>
              </w:rPr>
            </w:pPr>
            <w:r>
              <w:rPr>
                <w:rFonts w:ascii="Arial" w:cs="Arial" w:eastAsia="Arial" w:hAnsi="Arial"/>
                <w:sz w:val="14"/>
                <w:szCs w:val="14"/>
                <w:color w:val="666666"/>
              </w:rPr>
              <w:t>Involuntary</w:t>
            </w:r>
          </w:p>
        </w:tc>
        <w:tc>
          <w:tcPr>
            <w:tcW w:w="116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360" w:type="dxa"/>
            <w:vAlign w:val="bottom"/>
            <w:shd w:val="clear" w:color="auto" w:fill="DDDDDD"/>
          </w:tcPr>
          <w:p>
            <w:pPr>
              <w:spacing w:after="0"/>
              <w:rPr>
                <w:sz w:val="17"/>
                <w:szCs w:val="17"/>
                <w:color w:val="auto"/>
              </w:rPr>
            </w:pPr>
          </w:p>
        </w:tc>
        <w:tc>
          <w:tcPr>
            <w:tcW w:w="104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80" w:type="dxa"/>
            <w:vAlign w:val="bottom"/>
            <w:shd w:val="clear" w:color="auto" w:fill="DDDDDD"/>
          </w:tcPr>
          <w:p>
            <w:pPr>
              <w:spacing w:after="0"/>
              <w:rPr>
                <w:sz w:val="17"/>
                <w:szCs w:val="17"/>
                <w:color w:val="auto"/>
              </w:rPr>
            </w:pPr>
          </w:p>
        </w:tc>
        <w:tc>
          <w:tcPr>
            <w:tcW w:w="180" w:type="dxa"/>
            <w:vAlign w:val="bottom"/>
            <w:vMerge w:val="restart"/>
            <w:shd w:val="clear" w:color="auto" w:fill="DDDDDD"/>
          </w:tcPr>
          <w:p>
            <w:pPr>
              <w:jc w:val="right"/>
              <w:ind w:right="20"/>
              <w:spacing w:after="0"/>
              <w:rPr>
                <w:sz w:val="20"/>
                <w:szCs w:val="20"/>
                <w:color w:val="auto"/>
              </w:rPr>
            </w:pPr>
            <w:r>
              <w:rPr>
                <w:rFonts w:ascii="Arial" w:cs="Arial" w:eastAsia="Arial" w:hAnsi="Arial"/>
                <w:sz w:val="12"/>
                <w:szCs w:val="12"/>
                <w:color w:val="666666"/>
              </w:rPr>
              <w:t>6</w:t>
            </w:r>
          </w:p>
        </w:tc>
        <w:tc>
          <w:tcPr>
            <w:tcW w:w="860" w:type="dxa"/>
            <w:vAlign w:val="bottom"/>
            <w:tcBorders>
              <w:right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1820" w:type="dxa"/>
            <w:vAlign w:val="bottom"/>
            <w:tcBorders>
              <w:left w:val="single" w:sz="8" w:color="auto"/>
            </w:tcBorders>
            <w:vMerge w:val="restart"/>
            <w:shd w:val="clear" w:color="auto" w:fill="DDDDDD"/>
          </w:tcPr>
          <w:p>
            <w:pPr>
              <w:ind w:left="60"/>
              <w:spacing w:after="0"/>
              <w:rPr>
                <w:sz w:val="20"/>
                <w:szCs w:val="20"/>
                <w:color w:val="auto"/>
              </w:rPr>
            </w:pPr>
            <w:r>
              <w:rPr>
                <w:rFonts w:ascii="Arial" w:cs="Arial" w:eastAsia="Arial" w:hAnsi="Arial"/>
                <w:sz w:val="14"/>
                <w:szCs w:val="14"/>
                <w:color w:val="666666"/>
              </w:rPr>
              <w:t>Termination</w:t>
            </w:r>
          </w:p>
        </w:tc>
        <w:tc>
          <w:tcPr>
            <w:tcW w:w="1160" w:type="dxa"/>
            <w:vAlign w:val="bottom"/>
            <w:vMerge w:val="restart"/>
            <w:shd w:val="clear" w:color="auto" w:fill="DDDDDD"/>
          </w:tcPr>
          <w:p>
            <w:pPr>
              <w:jc w:val="center"/>
              <w:spacing w:after="0"/>
              <w:rPr>
                <w:sz w:val="20"/>
                <w:szCs w:val="20"/>
                <w:color w:val="auto"/>
              </w:rPr>
            </w:pPr>
            <w:r>
              <w:rPr>
                <w:rFonts w:ascii="Arial" w:cs="Arial" w:eastAsia="Arial" w:hAnsi="Arial"/>
                <w:sz w:val="14"/>
                <w:szCs w:val="14"/>
                <w:color w:val="666666"/>
              </w:rPr>
              <w:t>1,025,000</w:t>
            </w:r>
          </w:p>
        </w:tc>
        <w:tc>
          <w:tcPr>
            <w:tcW w:w="1300" w:type="dxa"/>
            <w:vAlign w:val="bottom"/>
            <w:vMerge w:val="restart"/>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560" w:type="dxa"/>
            <w:vAlign w:val="bottom"/>
            <w:shd w:val="clear" w:color="auto" w:fill="DDDDDD"/>
          </w:tcPr>
          <w:p>
            <w:pPr>
              <w:spacing w:after="0"/>
              <w:rPr>
                <w:sz w:val="5"/>
                <w:szCs w:val="5"/>
                <w:color w:val="auto"/>
              </w:rPr>
            </w:pPr>
          </w:p>
        </w:tc>
        <w:tc>
          <w:tcPr>
            <w:tcW w:w="1360" w:type="dxa"/>
            <w:vAlign w:val="bottom"/>
            <w:vMerge w:val="restart"/>
            <w:shd w:val="clear" w:color="auto" w:fill="DDDDDD"/>
          </w:tcPr>
          <w:p>
            <w:pPr>
              <w:jc w:val="center"/>
              <w:spacing w:after="0"/>
              <w:rPr>
                <w:sz w:val="20"/>
                <w:szCs w:val="20"/>
                <w:color w:val="auto"/>
              </w:rPr>
            </w:pPr>
            <w:r>
              <w:rPr>
                <w:rFonts w:ascii="Arial" w:cs="Arial" w:eastAsia="Arial" w:hAnsi="Arial"/>
                <w:sz w:val="14"/>
                <w:szCs w:val="14"/>
                <w:color w:val="666666"/>
              </w:rPr>
              <w:t>—</w:t>
            </w:r>
          </w:p>
        </w:tc>
        <w:tc>
          <w:tcPr>
            <w:tcW w:w="1040" w:type="dxa"/>
            <w:vAlign w:val="bottom"/>
            <w:vMerge w:val="restart"/>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shd w:val="clear" w:color="auto" w:fill="DDDDDD"/>
          </w:tcPr>
          <w:p>
            <w:pPr>
              <w:spacing w:after="0"/>
              <w:rPr>
                <w:sz w:val="5"/>
                <w:szCs w:val="5"/>
                <w:color w:val="auto"/>
              </w:rPr>
            </w:pPr>
          </w:p>
        </w:tc>
        <w:tc>
          <w:tcPr>
            <w:tcW w:w="980" w:type="dxa"/>
            <w:vAlign w:val="bottom"/>
            <w:vMerge w:val="restart"/>
            <w:shd w:val="clear" w:color="auto" w:fill="DDDDDD"/>
          </w:tcPr>
          <w:p>
            <w:pPr>
              <w:jc w:val="center"/>
              <w:spacing w:after="0"/>
              <w:rPr>
                <w:sz w:val="20"/>
                <w:szCs w:val="20"/>
                <w:color w:val="auto"/>
              </w:rPr>
            </w:pPr>
            <w:r>
              <w:rPr>
                <w:rFonts w:ascii="Arial" w:cs="Arial" w:eastAsia="Arial" w:hAnsi="Arial"/>
                <w:sz w:val="14"/>
                <w:szCs w:val="14"/>
                <w:color w:val="666666"/>
              </w:rPr>
              <w:t>30,000</w:t>
            </w:r>
          </w:p>
        </w:tc>
        <w:tc>
          <w:tcPr>
            <w:tcW w:w="180" w:type="dxa"/>
            <w:vAlign w:val="bottom"/>
            <w:vMerge w:val="continue"/>
            <w:shd w:val="clear" w:color="auto" w:fill="DDDDDD"/>
          </w:tcPr>
          <w:p>
            <w:pPr>
              <w:spacing w:after="0"/>
              <w:rPr>
                <w:sz w:val="5"/>
                <w:szCs w:val="5"/>
                <w:color w:val="auto"/>
              </w:rPr>
            </w:pPr>
          </w:p>
        </w:tc>
        <w:tc>
          <w:tcPr>
            <w:tcW w:w="860" w:type="dxa"/>
            <w:vAlign w:val="bottom"/>
            <w:tcBorders>
              <w:right w:val="single" w:sz="8" w:color="auto"/>
            </w:tcBorders>
            <w:vMerge w:val="restart"/>
            <w:shd w:val="clear" w:color="auto" w:fill="DDDDDD"/>
          </w:tcPr>
          <w:p>
            <w:pPr>
              <w:jc w:val="right"/>
              <w:spacing w:after="0"/>
              <w:rPr>
                <w:sz w:val="20"/>
                <w:szCs w:val="20"/>
                <w:color w:val="auto"/>
              </w:rPr>
            </w:pPr>
            <w:r>
              <w:rPr>
                <w:rFonts w:ascii="Arial" w:cs="Arial" w:eastAsia="Arial" w:hAnsi="Arial"/>
                <w:sz w:val="14"/>
                <w:szCs w:val="14"/>
                <w:color w:val="666666"/>
              </w:rPr>
              <w:t>1,055,000</w:t>
            </w:r>
          </w:p>
        </w:tc>
        <w:tc>
          <w:tcPr>
            <w:tcW w:w="0" w:type="dxa"/>
            <w:vAlign w:val="bottom"/>
          </w:tcPr>
          <w:p>
            <w:pPr>
              <w:spacing w:after="0"/>
              <w:rPr>
                <w:sz w:val="1"/>
                <w:szCs w:val="1"/>
                <w:color w:val="auto"/>
              </w:rPr>
            </w:pPr>
          </w:p>
        </w:tc>
      </w:tr>
      <w:tr>
        <w:trPr>
          <w:trHeight w:val="114"/>
        </w:trPr>
        <w:tc>
          <w:tcPr>
            <w:tcW w:w="1820" w:type="dxa"/>
            <w:vAlign w:val="bottom"/>
            <w:tcBorders>
              <w:left w:val="single" w:sz="8" w:color="auto"/>
            </w:tcBorders>
            <w:vMerge w:val="continue"/>
            <w:shd w:val="clear" w:color="auto" w:fill="DDDDDD"/>
          </w:tcPr>
          <w:p>
            <w:pPr>
              <w:spacing w:after="0"/>
              <w:rPr>
                <w:sz w:val="9"/>
                <w:szCs w:val="9"/>
                <w:color w:val="auto"/>
              </w:rPr>
            </w:pPr>
          </w:p>
        </w:tc>
        <w:tc>
          <w:tcPr>
            <w:tcW w:w="1160" w:type="dxa"/>
            <w:vAlign w:val="bottom"/>
            <w:vMerge w:val="continue"/>
            <w:shd w:val="clear" w:color="auto" w:fill="DDDDDD"/>
          </w:tcPr>
          <w:p>
            <w:pPr>
              <w:spacing w:after="0"/>
              <w:rPr>
                <w:sz w:val="9"/>
                <w:szCs w:val="9"/>
                <w:color w:val="auto"/>
              </w:rPr>
            </w:pPr>
          </w:p>
        </w:tc>
        <w:tc>
          <w:tcPr>
            <w:tcW w:w="1300" w:type="dxa"/>
            <w:vAlign w:val="bottom"/>
            <w:vMerge w:val="continue"/>
            <w:shd w:val="clear" w:color="auto" w:fill="DDDDDD"/>
          </w:tcPr>
          <w:p>
            <w:pPr>
              <w:spacing w:after="0"/>
              <w:rPr>
                <w:sz w:val="9"/>
                <w:szCs w:val="9"/>
                <w:color w:val="auto"/>
              </w:rPr>
            </w:pPr>
          </w:p>
        </w:tc>
        <w:tc>
          <w:tcPr>
            <w:tcW w:w="560" w:type="dxa"/>
            <w:vAlign w:val="bottom"/>
            <w:shd w:val="clear" w:color="auto" w:fill="DDDDDD"/>
          </w:tcPr>
          <w:p>
            <w:pPr>
              <w:spacing w:after="0"/>
              <w:rPr>
                <w:sz w:val="9"/>
                <w:szCs w:val="9"/>
                <w:color w:val="auto"/>
              </w:rPr>
            </w:pPr>
          </w:p>
        </w:tc>
        <w:tc>
          <w:tcPr>
            <w:tcW w:w="1360" w:type="dxa"/>
            <w:vAlign w:val="bottom"/>
            <w:vMerge w:val="continue"/>
            <w:shd w:val="clear" w:color="auto" w:fill="DDDDDD"/>
          </w:tcPr>
          <w:p>
            <w:pPr>
              <w:spacing w:after="0"/>
              <w:rPr>
                <w:sz w:val="9"/>
                <w:szCs w:val="9"/>
                <w:color w:val="auto"/>
              </w:rPr>
            </w:pPr>
          </w:p>
        </w:tc>
        <w:tc>
          <w:tcPr>
            <w:tcW w:w="1040" w:type="dxa"/>
            <w:vAlign w:val="bottom"/>
            <w:vMerge w:val="continue"/>
            <w:shd w:val="clear" w:color="auto" w:fill="DDDDDD"/>
          </w:tcPr>
          <w:p>
            <w:pPr>
              <w:spacing w:after="0"/>
              <w:rPr>
                <w:sz w:val="9"/>
                <w:szCs w:val="9"/>
                <w:color w:val="auto"/>
              </w:rPr>
            </w:pPr>
          </w:p>
        </w:tc>
        <w:tc>
          <w:tcPr>
            <w:tcW w:w="200" w:type="dxa"/>
            <w:vAlign w:val="bottom"/>
            <w:shd w:val="clear" w:color="auto" w:fill="DDDDDD"/>
          </w:tcPr>
          <w:p>
            <w:pPr>
              <w:spacing w:after="0"/>
              <w:rPr>
                <w:sz w:val="9"/>
                <w:szCs w:val="9"/>
                <w:color w:val="auto"/>
              </w:rPr>
            </w:pPr>
          </w:p>
        </w:tc>
        <w:tc>
          <w:tcPr>
            <w:tcW w:w="980" w:type="dxa"/>
            <w:vAlign w:val="bottom"/>
            <w:vMerge w:val="continue"/>
            <w:shd w:val="clear" w:color="auto" w:fill="DDDDDD"/>
          </w:tcPr>
          <w:p>
            <w:pPr>
              <w:spacing w:after="0"/>
              <w:rPr>
                <w:sz w:val="9"/>
                <w:szCs w:val="9"/>
                <w:color w:val="auto"/>
              </w:rPr>
            </w:pPr>
          </w:p>
        </w:tc>
        <w:tc>
          <w:tcPr>
            <w:tcW w:w="180" w:type="dxa"/>
            <w:vAlign w:val="bottom"/>
            <w:shd w:val="clear" w:color="auto" w:fill="DDDDDD"/>
          </w:tcPr>
          <w:p>
            <w:pPr>
              <w:spacing w:after="0"/>
              <w:rPr>
                <w:sz w:val="9"/>
                <w:szCs w:val="9"/>
                <w:color w:val="auto"/>
              </w:rPr>
            </w:pPr>
          </w:p>
        </w:tc>
        <w:tc>
          <w:tcPr>
            <w:tcW w:w="860" w:type="dxa"/>
            <w:vAlign w:val="bottom"/>
            <w:tcBorders>
              <w:right w:val="single" w:sz="8" w:color="auto"/>
            </w:tcBorders>
            <w:vMerge w:val="continue"/>
            <w:shd w:val="clear" w:color="auto" w:fill="DDDDDD"/>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820" w:type="dxa"/>
            <w:vAlign w:val="bottom"/>
            <w:tcBorders>
              <w:left w:val="single" w:sz="8" w:color="auto"/>
            </w:tcBorders>
            <w:shd w:val="clear" w:color="auto" w:fill="DDDDDD"/>
          </w:tcPr>
          <w:p>
            <w:pPr>
              <w:ind w:left="380"/>
              <w:spacing w:after="0"/>
              <w:rPr>
                <w:sz w:val="20"/>
                <w:szCs w:val="20"/>
                <w:color w:val="auto"/>
              </w:rPr>
            </w:pPr>
            <w:r>
              <w:rPr>
                <w:rFonts w:ascii="Arial" w:cs="Arial" w:eastAsia="Arial" w:hAnsi="Arial"/>
                <w:sz w:val="14"/>
                <w:szCs w:val="14"/>
                <w:color w:val="666666"/>
              </w:rPr>
              <w:t xml:space="preserve">Retirement </w:t>
            </w:r>
            <w:r>
              <w:rPr>
                <w:rFonts w:ascii="Arial" w:cs="Arial" w:eastAsia="Arial" w:hAnsi="Arial"/>
                <w:sz w:val="23"/>
                <w:szCs w:val="23"/>
                <w:color w:val="666666"/>
                <w:vertAlign w:val="superscript"/>
              </w:rPr>
              <w:t>11</w:t>
            </w:r>
          </w:p>
        </w:tc>
        <w:tc>
          <w:tcPr>
            <w:tcW w:w="116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560" w:type="dxa"/>
            <w:vAlign w:val="bottom"/>
            <w:shd w:val="clear" w:color="auto" w:fill="DDDDDD"/>
          </w:tcPr>
          <w:p>
            <w:pPr>
              <w:spacing w:after="0"/>
              <w:rPr>
                <w:sz w:val="24"/>
                <w:szCs w:val="24"/>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666666"/>
              </w:rPr>
              <w:t>195,000</w:t>
            </w:r>
          </w:p>
        </w:tc>
        <w:tc>
          <w:tcPr>
            <w:tcW w:w="104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shd w:val="clear" w:color="auto" w:fill="DDDDDD"/>
          </w:tcPr>
          <w:p>
            <w:pPr>
              <w:spacing w:after="0"/>
              <w:rPr>
                <w:sz w:val="24"/>
                <w:szCs w:val="24"/>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1,438,259</w:t>
            </w:r>
          </w:p>
        </w:tc>
        <w:tc>
          <w:tcPr>
            <w:tcW w:w="180" w:type="dxa"/>
            <w:vAlign w:val="bottom"/>
            <w:shd w:val="clear" w:color="auto" w:fill="DDDDDD"/>
          </w:tcPr>
          <w:p>
            <w:pPr>
              <w:jc w:val="right"/>
              <w:ind w:right="20"/>
              <w:spacing w:after="0"/>
              <w:rPr>
                <w:sz w:val="20"/>
                <w:szCs w:val="20"/>
                <w:color w:val="auto"/>
              </w:rPr>
            </w:pPr>
            <w:r>
              <w:rPr>
                <w:rFonts w:ascii="Arial" w:cs="Arial" w:eastAsia="Arial" w:hAnsi="Arial"/>
                <w:sz w:val="12"/>
                <w:szCs w:val="12"/>
                <w:color w:val="666666"/>
              </w:rPr>
              <w:t>7</w:t>
            </w:r>
          </w:p>
        </w:tc>
        <w:tc>
          <w:tcPr>
            <w:tcW w:w="86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4"/>
                <w:szCs w:val="14"/>
                <w:color w:val="666666"/>
              </w:rPr>
              <w:t>1,633,259</w:t>
            </w:r>
          </w:p>
        </w:tc>
        <w:tc>
          <w:tcPr>
            <w:tcW w:w="0" w:type="dxa"/>
            <w:vAlign w:val="bottom"/>
          </w:tcPr>
          <w:p>
            <w:pPr>
              <w:spacing w:after="0"/>
              <w:rPr>
                <w:sz w:val="1"/>
                <w:szCs w:val="1"/>
                <w:color w:val="auto"/>
              </w:rPr>
            </w:pPr>
          </w:p>
        </w:tc>
      </w:tr>
      <w:tr>
        <w:trPr>
          <w:trHeight w:val="258"/>
        </w:trPr>
        <w:tc>
          <w:tcPr>
            <w:tcW w:w="1820" w:type="dxa"/>
            <w:vAlign w:val="bottom"/>
            <w:tcBorders>
              <w:left w:val="single" w:sz="8" w:color="auto"/>
            </w:tcBorders>
            <w:shd w:val="clear" w:color="auto" w:fill="DDDDDD"/>
          </w:tcPr>
          <w:p>
            <w:pPr>
              <w:ind w:left="380"/>
              <w:spacing w:after="0"/>
              <w:rPr>
                <w:sz w:val="20"/>
                <w:szCs w:val="20"/>
                <w:color w:val="auto"/>
              </w:rPr>
            </w:pPr>
            <w:r>
              <w:rPr>
                <w:rFonts w:ascii="Arial" w:cs="Arial" w:eastAsia="Arial" w:hAnsi="Arial"/>
                <w:sz w:val="14"/>
                <w:szCs w:val="14"/>
                <w:color w:val="666666"/>
              </w:rPr>
              <w:t>Voluntary Resignation</w:t>
            </w:r>
          </w:p>
        </w:tc>
        <w:tc>
          <w:tcPr>
            <w:tcW w:w="116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560" w:type="dxa"/>
            <w:vAlign w:val="bottom"/>
            <w:shd w:val="clear" w:color="auto" w:fill="DDDDDD"/>
          </w:tcPr>
          <w:p>
            <w:pPr>
              <w:spacing w:after="0"/>
              <w:rPr>
                <w:sz w:val="22"/>
                <w:szCs w:val="22"/>
                <w:color w:val="auto"/>
              </w:rPr>
            </w:pPr>
          </w:p>
        </w:tc>
        <w:tc>
          <w:tcPr>
            <w:tcW w:w="136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w:t>
            </w:r>
          </w:p>
        </w:tc>
        <w:tc>
          <w:tcPr>
            <w:tcW w:w="104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shd w:val="clear" w:color="auto" w:fill="DDDDDD"/>
          </w:tcPr>
          <w:p>
            <w:pPr>
              <w:spacing w:after="0"/>
              <w:rPr>
                <w:sz w:val="22"/>
                <w:szCs w:val="22"/>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shd w:val="clear" w:color="auto" w:fill="DDDDDD"/>
          </w:tcPr>
          <w:p>
            <w:pPr>
              <w:spacing w:after="0"/>
              <w:rPr>
                <w:sz w:val="22"/>
                <w:szCs w:val="22"/>
                <w:color w:val="auto"/>
              </w:rPr>
            </w:pPr>
          </w:p>
        </w:tc>
        <w:tc>
          <w:tcPr>
            <w:tcW w:w="86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0" w:type="dxa"/>
            <w:vAlign w:val="bottom"/>
          </w:tcPr>
          <w:p>
            <w:pPr>
              <w:spacing w:after="0"/>
              <w:rPr>
                <w:sz w:val="1"/>
                <w:szCs w:val="1"/>
                <w:color w:val="auto"/>
              </w:rPr>
            </w:pPr>
          </w:p>
        </w:tc>
      </w:tr>
      <w:tr>
        <w:trPr>
          <w:trHeight w:val="206"/>
        </w:trPr>
        <w:tc>
          <w:tcPr>
            <w:tcW w:w="1820" w:type="dxa"/>
            <w:vAlign w:val="bottom"/>
            <w:tcBorders>
              <w:left w:val="single" w:sz="8" w:color="auto"/>
            </w:tcBorders>
            <w:shd w:val="clear" w:color="auto" w:fill="DDDDDD"/>
          </w:tcPr>
          <w:p>
            <w:pPr>
              <w:ind w:left="380"/>
              <w:spacing w:after="0"/>
              <w:rPr>
                <w:sz w:val="20"/>
                <w:szCs w:val="20"/>
                <w:color w:val="auto"/>
              </w:rPr>
            </w:pPr>
            <w:r>
              <w:rPr>
                <w:rFonts w:ascii="Arial" w:cs="Arial" w:eastAsia="Arial" w:hAnsi="Arial"/>
                <w:sz w:val="14"/>
                <w:szCs w:val="14"/>
                <w:color w:val="666666"/>
              </w:rPr>
              <w:t>Termination for</w:t>
            </w:r>
          </w:p>
        </w:tc>
        <w:tc>
          <w:tcPr>
            <w:tcW w:w="116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360" w:type="dxa"/>
            <w:vAlign w:val="bottom"/>
            <w:shd w:val="clear" w:color="auto" w:fill="DDDDDD"/>
          </w:tcPr>
          <w:p>
            <w:pPr>
              <w:spacing w:after="0"/>
              <w:rPr>
                <w:sz w:val="17"/>
                <w:szCs w:val="17"/>
                <w:color w:val="auto"/>
              </w:rPr>
            </w:pPr>
          </w:p>
        </w:tc>
        <w:tc>
          <w:tcPr>
            <w:tcW w:w="104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8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60" w:type="dxa"/>
            <w:vAlign w:val="bottom"/>
            <w:tcBorders>
              <w:right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20" w:type="dxa"/>
            <w:vAlign w:val="bottom"/>
            <w:tcBorders>
              <w:left w:val="single" w:sz="8" w:color="auto"/>
            </w:tcBorders>
            <w:shd w:val="clear" w:color="auto" w:fill="DDDDDD"/>
          </w:tcPr>
          <w:p>
            <w:pPr>
              <w:ind w:left="60"/>
              <w:spacing w:after="0"/>
              <w:rPr>
                <w:sz w:val="20"/>
                <w:szCs w:val="20"/>
                <w:color w:val="auto"/>
              </w:rPr>
            </w:pPr>
            <w:r>
              <w:rPr>
                <w:rFonts w:ascii="Arial" w:cs="Arial" w:eastAsia="Arial" w:hAnsi="Arial"/>
                <w:sz w:val="14"/>
                <w:szCs w:val="14"/>
                <w:color w:val="666666"/>
              </w:rPr>
              <w:t>Cause</w:t>
            </w:r>
          </w:p>
        </w:tc>
        <w:tc>
          <w:tcPr>
            <w:tcW w:w="116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560" w:type="dxa"/>
            <w:vAlign w:val="bottom"/>
            <w:shd w:val="clear" w:color="auto" w:fill="DDDDDD"/>
          </w:tcPr>
          <w:p>
            <w:pPr>
              <w:spacing w:after="0"/>
              <w:rPr>
                <w:sz w:val="14"/>
                <w:szCs w:val="14"/>
                <w:color w:val="auto"/>
              </w:rPr>
            </w:pPr>
          </w:p>
        </w:tc>
        <w:tc>
          <w:tcPr>
            <w:tcW w:w="136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w:t>
            </w:r>
          </w:p>
        </w:tc>
        <w:tc>
          <w:tcPr>
            <w:tcW w:w="104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shd w:val="clear" w:color="auto" w:fill="DDDDDD"/>
          </w:tcPr>
          <w:p>
            <w:pPr>
              <w:spacing w:after="0"/>
              <w:rPr>
                <w:sz w:val="14"/>
                <w:szCs w:val="14"/>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shd w:val="clear" w:color="auto" w:fill="DDDDDD"/>
          </w:tcPr>
          <w:p>
            <w:pPr>
              <w:spacing w:after="0"/>
              <w:rPr>
                <w:sz w:val="14"/>
                <w:szCs w:val="14"/>
                <w:color w:val="auto"/>
              </w:rPr>
            </w:pPr>
          </w:p>
        </w:tc>
        <w:tc>
          <w:tcPr>
            <w:tcW w:w="86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0" w:type="dxa"/>
            <w:vAlign w:val="bottom"/>
          </w:tcPr>
          <w:p>
            <w:pPr>
              <w:spacing w:after="0"/>
              <w:rPr>
                <w:sz w:val="1"/>
                <w:szCs w:val="1"/>
                <w:color w:val="auto"/>
              </w:rPr>
            </w:pPr>
          </w:p>
        </w:tc>
      </w:tr>
      <w:tr>
        <w:trPr>
          <w:trHeight w:val="270"/>
        </w:trPr>
        <w:tc>
          <w:tcPr>
            <w:tcW w:w="1820" w:type="dxa"/>
            <w:vAlign w:val="bottom"/>
            <w:tcBorders>
              <w:left w:val="single" w:sz="8" w:color="auto"/>
            </w:tcBorders>
            <w:shd w:val="clear" w:color="auto" w:fill="DDDDDD"/>
          </w:tcPr>
          <w:p>
            <w:pPr>
              <w:ind w:left="380"/>
              <w:spacing w:after="0"/>
              <w:rPr>
                <w:sz w:val="20"/>
                <w:szCs w:val="20"/>
                <w:color w:val="auto"/>
              </w:rPr>
            </w:pPr>
            <w:r>
              <w:rPr>
                <w:rFonts w:ascii="Arial" w:cs="Arial" w:eastAsia="Arial" w:hAnsi="Arial"/>
                <w:sz w:val="14"/>
                <w:szCs w:val="14"/>
                <w:color w:val="666666"/>
              </w:rPr>
              <w:t>Change-In-Control</w:t>
            </w:r>
          </w:p>
        </w:tc>
        <w:tc>
          <w:tcPr>
            <w:tcW w:w="116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1,658,090</w:t>
            </w:r>
          </w:p>
        </w:tc>
        <w:tc>
          <w:tcPr>
            <w:tcW w:w="560" w:type="dxa"/>
            <w:vAlign w:val="bottom"/>
            <w:shd w:val="clear" w:color="auto" w:fill="DDDDDD"/>
          </w:tcPr>
          <w:p>
            <w:pPr>
              <w:spacing w:after="0"/>
              <w:rPr>
                <w:sz w:val="23"/>
                <w:szCs w:val="23"/>
                <w:color w:val="auto"/>
              </w:rPr>
            </w:pPr>
          </w:p>
        </w:tc>
        <w:tc>
          <w:tcPr>
            <w:tcW w:w="136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w:t>
            </w:r>
          </w:p>
        </w:tc>
        <w:tc>
          <w:tcPr>
            <w:tcW w:w="104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shd w:val="clear" w:color="auto" w:fill="DDDDDD"/>
          </w:tcPr>
          <w:p>
            <w:pPr>
              <w:spacing w:after="0"/>
              <w:rPr>
                <w:sz w:val="23"/>
                <w:szCs w:val="23"/>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1,351,630</w:t>
            </w:r>
          </w:p>
        </w:tc>
        <w:tc>
          <w:tcPr>
            <w:tcW w:w="180" w:type="dxa"/>
            <w:vAlign w:val="bottom"/>
            <w:shd w:val="clear" w:color="auto" w:fill="DDDDDD"/>
          </w:tcPr>
          <w:p>
            <w:pPr>
              <w:jc w:val="right"/>
              <w:ind w:right="20"/>
              <w:spacing w:after="0"/>
              <w:rPr>
                <w:sz w:val="20"/>
                <w:szCs w:val="20"/>
                <w:color w:val="auto"/>
              </w:rPr>
            </w:pPr>
            <w:r>
              <w:rPr>
                <w:rFonts w:ascii="Arial" w:cs="Arial" w:eastAsia="Arial" w:hAnsi="Arial"/>
                <w:sz w:val="12"/>
                <w:szCs w:val="12"/>
                <w:color w:val="666666"/>
              </w:rPr>
              <w:t>9</w:t>
            </w:r>
          </w:p>
        </w:tc>
        <w:tc>
          <w:tcPr>
            <w:tcW w:w="86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4"/>
                <w:szCs w:val="14"/>
                <w:color w:val="666666"/>
              </w:rPr>
              <w:t>3,009,720</w:t>
            </w:r>
          </w:p>
        </w:tc>
        <w:tc>
          <w:tcPr>
            <w:tcW w:w="0" w:type="dxa"/>
            <w:vAlign w:val="bottom"/>
          </w:tcPr>
          <w:p>
            <w:pPr>
              <w:spacing w:after="0"/>
              <w:rPr>
                <w:sz w:val="1"/>
                <w:szCs w:val="1"/>
                <w:color w:val="auto"/>
              </w:rPr>
            </w:pPr>
          </w:p>
        </w:tc>
      </w:tr>
      <w:tr>
        <w:trPr>
          <w:trHeight w:val="206"/>
        </w:trPr>
        <w:tc>
          <w:tcPr>
            <w:tcW w:w="1820" w:type="dxa"/>
            <w:vAlign w:val="bottom"/>
            <w:tcBorders>
              <w:left w:val="single" w:sz="8" w:color="auto"/>
            </w:tcBorders>
            <w:shd w:val="clear" w:color="auto" w:fill="DDDDDD"/>
          </w:tcPr>
          <w:p>
            <w:pPr>
              <w:ind w:left="380"/>
              <w:spacing w:after="0"/>
              <w:rPr>
                <w:sz w:val="20"/>
                <w:szCs w:val="20"/>
                <w:color w:val="auto"/>
              </w:rPr>
            </w:pPr>
            <w:r>
              <w:rPr>
                <w:rFonts w:ascii="Arial" w:cs="Arial" w:eastAsia="Arial" w:hAnsi="Arial"/>
                <w:sz w:val="14"/>
                <w:szCs w:val="14"/>
                <w:color w:val="666666"/>
              </w:rPr>
              <w:t>Involuntary</w:t>
            </w:r>
          </w:p>
        </w:tc>
        <w:tc>
          <w:tcPr>
            <w:tcW w:w="116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360" w:type="dxa"/>
            <w:vAlign w:val="bottom"/>
            <w:shd w:val="clear" w:color="auto" w:fill="DDDDDD"/>
          </w:tcPr>
          <w:p>
            <w:pPr>
              <w:spacing w:after="0"/>
              <w:rPr>
                <w:sz w:val="17"/>
                <w:szCs w:val="17"/>
                <w:color w:val="auto"/>
              </w:rPr>
            </w:pPr>
          </w:p>
        </w:tc>
        <w:tc>
          <w:tcPr>
            <w:tcW w:w="104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8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60" w:type="dxa"/>
            <w:vAlign w:val="bottom"/>
            <w:tcBorders>
              <w:right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20" w:type="dxa"/>
            <w:vAlign w:val="bottom"/>
            <w:tcBorders>
              <w:left w:val="single" w:sz="8" w:color="auto"/>
            </w:tcBorders>
            <w:shd w:val="clear" w:color="auto" w:fill="DDDDDD"/>
          </w:tcPr>
          <w:p>
            <w:pPr>
              <w:ind w:left="60"/>
              <w:spacing w:after="0"/>
              <w:rPr>
                <w:sz w:val="20"/>
                <w:szCs w:val="20"/>
                <w:color w:val="auto"/>
              </w:rPr>
            </w:pPr>
            <w:r>
              <w:rPr>
                <w:rFonts w:ascii="Arial" w:cs="Arial" w:eastAsia="Arial" w:hAnsi="Arial"/>
                <w:sz w:val="14"/>
                <w:szCs w:val="14"/>
                <w:color w:val="666666"/>
              </w:rPr>
              <w:t>Termination After Change-</w:t>
            </w:r>
          </w:p>
        </w:tc>
        <w:tc>
          <w:tcPr>
            <w:tcW w:w="1160" w:type="dxa"/>
            <w:vAlign w:val="bottom"/>
            <w:shd w:val="clear" w:color="auto" w:fill="DDDDDD"/>
          </w:tcPr>
          <w:p>
            <w:pPr>
              <w:spacing w:after="0"/>
              <w:rPr>
                <w:sz w:val="14"/>
                <w:szCs w:val="14"/>
                <w:color w:val="auto"/>
              </w:rPr>
            </w:pPr>
          </w:p>
        </w:tc>
        <w:tc>
          <w:tcPr>
            <w:tcW w:w="1300" w:type="dxa"/>
            <w:vAlign w:val="bottom"/>
            <w:shd w:val="clear" w:color="auto" w:fill="DDDDDD"/>
          </w:tcPr>
          <w:p>
            <w:pPr>
              <w:spacing w:after="0"/>
              <w:rPr>
                <w:sz w:val="14"/>
                <w:szCs w:val="14"/>
                <w:color w:val="auto"/>
              </w:rPr>
            </w:pPr>
          </w:p>
        </w:tc>
        <w:tc>
          <w:tcPr>
            <w:tcW w:w="560" w:type="dxa"/>
            <w:vAlign w:val="bottom"/>
            <w:shd w:val="clear" w:color="auto" w:fill="DDDDDD"/>
          </w:tcPr>
          <w:p>
            <w:pPr>
              <w:spacing w:after="0"/>
              <w:rPr>
                <w:sz w:val="14"/>
                <w:szCs w:val="14"/>
                <w:color w:val="auto"/>
              </w:rPr>
            </w:pPr>
          </w:p>
        </w:tc>
        <w:tc>
          <w:tcPr>
            <w:tcW w:w="1360" w:type="dxa"/>
            <w:vAlign w:val="bottom"/>
            <w:shd w:val="clear" w:color="auto" w:fill="DDDDDD"/>
          </w:tcPr>
          <w:p>
            <w:pPr>
              <w:spacing w:after="0"/>
              <w:rPr>
                <w:sz w:val="14"/>
                <w:szCs w:val="14"/>
                <w:color w:val="auto"/>
              </w:rPr>
            </w:pPr>
          </w:p>
        </w:tc>
        <w:tc>
          <w:tcPr>
            <w:tcW w:w="1040" w:type="dxa"/>
            <w:vAlign w:val="bottom"/>
            <w:shd w:val="clear" w:color="auto" w:fill="DDDDDD"/>
          </w:tcPr>
          <w:p>
            <w:pPr>
              <w:spacing w:after="0"/>
              <w:rPr>
                <w:sz w:val="14"/>
                <w:szCs w:val="14"/>
                <w:color w:val="auto"/>
              </w:rPr>
            </w:pPr>
          </w:p>
        </w:tc>
        <w:tc>
          <w:tcPr>
            <w:tcW w:w="200" w:type="dxa"/>
            <w:vAlign w:val="bottom"/>
            <w:shd w:val="clear" w:color="auto" w:fill="DDDDDD"/>
          </w:tcPr>
          <w:p>
            <w:pPr>
              <w:spacing w:after="0"/>
              <w:rPr>
                <w:sz w:val="14"/>
                <w:szCs w:val="14"/>
                <w:color w:val="auto"/>
              </w:rPr>
            </w:pPr>
          </w:p>
        </w:tc>
        <w:tc>
          <w:tcPr>
            <w:tcW w:w="9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860" w:type="dxa"/>
            <w:vAlign w:val="bottom"/>
            <w:tcBorders>
              <w:right w:val="single" w:sz="8" w:color="auto"/>
            </w:tcBorders>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820" w:type="dxa"/>
            <w:vAlign w:val="bottom"/>
            <w:tcBorders>
              <w:left w:val="single" w:sz="8" w:color="auto"/>
            </w:tcBorders>
            <w:shd w:val="clear" w:color="auto" w:fill="DDDDDD"/>
          </w:tcPr>
          <w:p>
            <w:pPr>
              <w:ind w:left="60"/>
              <w:spacing w:after="0"/>
              <w:rPr>
                <w:sz w:val="20"/>
                <w:szCs w:val="20"/>
                <w:color w:val="auto"/>
              </w:rPr>
            </w:pPr>
            <w:r>
              <w:rPr>
                <w:rFonts w:ascii="Arial" w:cs="Arial" w:eastAsia="Arial" w:hAnsi="Arial"/>
                <w:sz w:val="14"/>
                <w:szCs w:val="14"/>
                <w:color w:val="666666"/>
              </w:rPr>
              <w:t>In-Control</w:t>
            </w:r>
          </w:p>
        </w:tc>
        <w:tc>
          <w:tcPr>
            <w:tcW w:w="116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3,097,037</w:t>
            </w:r>
          </w:p>
        </w:tc>
        <w:tc>
          <w:tcPr>
            <w:tcW w:w="560" w:type="dxa"/>
            <w:vAlign w:val="bottom"/>
            <w:shd w:val="clear" w:color="auto" w:fill="DDDDDD"/>
          </w:tcPr>
          <w:p>
            <w:pPr>
              <w:spacing w:after="0"/>
              <w:rPr>
                <w:sz w:val="16"/>
                <w:szCs w:val="16"/>
                <w:color w:val="auto"/>
              </w:rPr>
            </w:pPr>
          </w:p>
        </w:tc>
        <w:tc>
          <w:tcPr>
            <w:tcW w:w="136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w:t>
            </w:r>
          </w:p>
        </w:tc>
        <w:tc>
          <w:tcPr>
            <w:tcW w:w="104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shd w:val="clear" w:color="auto" w:fill="DDDDDD"/>
          </w:tcPr>
          <w:p>
            <w:pPr>
              <w:spacing w:after="0"/>
              <w:rPr>
                <w:sz w:val="16"/>
                <w:szCs w:val="16"/>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shd w:val="clear" w:color="auto" w:fill="DDDDDD"/>
          </w:tcPr>
          <w:p>
            <w:pPr>
              <w:spacing w:after="0"/>
              <w:rPr>
                <w:sz w:val="16"/>
                <w:szCs w:val="16"/>
                <w:color w:val="auto"/>
              </w:rPr>
            </w:pPr>
          </w:p>
        </w:tc>
        <w:tc>
          <w:tcPr>
            <w:tcW w:w="86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4"/>
                <w:szCs w:val="14"/>
                <w:color w:val="666666"/>
              </w:rPr>
              <w:t>3,097,037</w:t>
            </w:r>
          </w:p>
        </w:tc>
        <w:tc>
          <w:tcPr>
            <w:tcW w:w="0" w:type="dxa"/>
            <w:vAlign w:val="bottom"/>
          </w:tcPr>
          <w:p>
            <w:pPr>
              <w:spacing w:after="0"/>
              <w:rPr>
                <w:sz w:val="1"/>
                <w:szCs w:val="1"/>
                <w:color w:val="auto"/>
              </w:rPr>
            </w:pPr>
          </w:p>
        </w:tc>
      </w:tr>
      <w:tr>
        <w:trPr>
          <w:trHeight w:val="258"/>
        </w:trPr>
        <w:tc>
          <w:tcPr>
            <w:tcW w:w="1820" w:type="dxa"/>
            <w:vAlign w:val="bottom"/>
            <w:tcBorders>
              <w:left w:val="single" w:sz="8" w:color="auto"/>
            </w:tcBorders>
          </w:tcPr>
          <w:p>
            <w:pPr>
              <w:ind w:left="60"/>
              <w:spacing w:after="0"/>
              <w:rPr>
                <w:sz w:val="20"/>
                <w:szCs w:val="20"/>
                <w:color w:val="auto"/>
              </w:rPr>
            </w:pPr>
            <w:r>
              <w:rPr>
                <w:rFonts w:ascii="Arial" w:cs="Arial" w:eastAsia="Arial" w:hAnsi="Arial"/>
                <w:sz w:val="14"/>
                <w:szCs w:val="14"/>
                <w:b w:val="1"/>
                <w:bCs w:val="1"/>
                <w:color w:val="666666"/>
              </w:rPr>
              <w:t>Karen M. Dahut</w:t>
            </w:r>
          </w:p>
        </w:tc>
        <w:tc>
          <w:tcPr>
            <w:tcW w:w="1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Death</w:t>
            </w:r>
          </w:p>
        </w:tc>
        <w:tc>
          <w:tcPr>
            <w:tcW w:w="116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tcPr>
          <w:p>
            <w:pPr>
              <w:jc w:val="center"/>
              <w:ind w:left="28"/>
              <w:spacing w:after="0"/>
              <w:rPr>
                <w:sz w:val="20"/>
                <w:szCs w:val="20"/>
                <w:color w:val="auto"/>
              </w:rPr>
            </w:pPr>
            <w:r>
              <w:rPr>
                <w:rFonts w:ascii="Arial" w:cs="Arial" w:eastAsia="Arial" w:hAnsi="Arial"/>
                <w:sz w:val="14"/>
                <w:szCs w:val="14"/>
                <w:color w:val="666666"/>
              </w:rPr>
              <w:t>4,755,126</w:t>
            </w:r>
          </w:p>
        </w:tc>
        <w:tc>
          <w:tcPr>
            <w:tcW w:w="56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666666"/>
              </w:rPr>
              <w:t>—</w:t>
            </w:r>
          </w:p>
        </w:tc>
        <w:tc>
          <w:tcPr>
            <w:tcW w:w="1040" w:type="dxa"/>
            <w:vAlign w:val="bottom"/>
          </w:tcPr>
          <w:p>
            <w:pPr>
              <w:jc w:val="center"/>
              <w:spacing w:after="0"/>
              <w:rPr>
                <w:sz w:val="20"/>
                <w:szCs w:val="20"/>
                <w:color w:val="auto"/>
              </w:rPr>
            </w:pPr>
            <w:r>
              <w:rPr>
                <w:rFonts w:ascii="Arial" w:cs="Arial" w:eastAsia="Arial" w:hAnsi="Arial"/>
                <w:sz w:val="14"/>
                <w:szCs w:val="14"/>
                <w:color w:val="666666"/>
              </w:rPr>
              <w:t>2,085,417</w:t>
            </w:r>
          </w:p>
        </w:tc>
        <w:tc>
          <w:tcPr>
            <w:tcW w:w="200" w:type="dxa"/>
            <w:vAlign w:val="bottom"/>
          </w:tcPr>
          <w:p>
            <w:pPr>
              <w:jc w:val="right"/>
              <w:ind w:right="20"/>
              <w:spacing w:after="0"/>
              <w:rPr>
                <w:sz w:val="20"/>
                <w:szCs w:val="20"/>
                <w:color w:val="auto"/>
              </w:rPr>
            </w:pPr>
            <w:r>
              <w:rPr>
                <w:rFonts w:ascii="Arial" w:cs="Arial" w:eastAsia="Arial" w:hAnsi="Arial"/>
                <w:sz w:val="12"/>
                <w:szCs w:val="12"/>
                <w:color w:val="666666"/>
              </w:rPr>
              <w:t>3</w:t>
            </w:r>
          </w:p>
        </w:tc>
        <w:tc>
          <w:tcPr>
            <w:tcW w:w="98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tcPr>
          <w:p>
            <w:pPr>
              <w:spacing w:after="0"/>
              <w:rPr>
                <w:sz w:val="23"/>
                <w:szCs w:val="23"/>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666666"/>
              </w:rPr>
              <w:t>6,840,543</w:t>
            </w:r>
          </w:p>
        </w:tc>
        <w:tc>
          <w:tcPr>
            <w:tcW w:w="0" w:type="dxa"/>
            <w:vAlign w:val="bottom"/>
          </w:tcPr>
          <w:p>
            <w:pPr>
              <w:spacing w:after="0"/>
              <w:rPr>
                <w:sz w:val="1"/>
                <w:szCs w:val="1"/>
                <w:color w:val="auto"/>
              </w:rPr>
            </w:pPr>
          </w:p>
        </w:tc>
      </w:tr>
      <w:tr>
        <w:trPr>
          <w:trHeight w:val="270"/>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Disability</w:t>
            </w:r>
          </w:p>
        </w:tc>
        <w:tc>
          <w:tcPr>
            <w:tcW w:w="116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56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666666"/>
              </w:rPr>
              <w:t>—</w:t>
            </w:r>
          </w:p>
        </w:tc>
        <w:tc>
          <w:tcPr>
            <w:tcW w:w="1040" w:type="dxa"/>
            <w:vAlign w:val="bottom"/>
          </w:tcPr>
          <w:p>
            <w:pPr>
              <w:jc w:val="center"/>
              <w:spacing w:after="0"/>
              <w:rPr>
                <w:sz w:val="20"/>
                <w:szCs w:val="20"/>
                <w:color w:val="auto"/>
              </w:rPr>
            </w:pPr>
            <w:r>
              <w:rPr>
                <w:rFonts w:ascii="Arial" w:cs="Arial" w:eastAsia="Arial" w:hAnsi="Arial"/>
                <w:sz w:val="14"/>
                <w:szCs w:val="14"/>
                <w:color w:val="666666"/>
              </w:rPr>
              <w:t>2,505,169</w:t>
            </w:r>
          </w:p>
        </w:tc>
        <w:tc>
          <w:tcPr>
            <w:tcW w:w="200" w:type="dxa"/>
            <w:vAlign w:val="bottom"/>
          </w:tcPr>
          <w:p>
            <w:pPr>
              <w:jc w:val="right"/>
              <w:ind w:right="20"/>
              <w:spacing w:after="0"/>
              <w:rPr>
                <w:sz w:val="20"/>
                <w:szCs w:val="20"/>
                <w:color w:val="auto"/>
              </w:rPr>
            </w:pPr>
            <w:r>
              <w:rPr>
                <w:rFonts w:ascii="Arial" w:cs="Arial" w:eastAsia="Arial" w:hAnsi="Arial"/>
                <w:sz w:val="12"/>
                <w:szCs w:val="12"/>
                <w:color w:val="666666"/>
              </w:rPr>
              <w:t>4</w:t>
            </w:r>
          </w:p>
        </w:tc>
        <w:tc>
          <w:tcPr>
            <w:tcW w:w="980" w:type="dxa"/>
            <w:vAlign w:val="bottom"/>
          </w:tcPr>
          <w:p>
            <w:pPr>
              <w:jc w:val="center"/>
              <w:spacing w:after="0"/>
              <w:rPr>
                <w:sz w:val="20"/>
                <w:szCs w:val="20"/>
                <w:color w:val="auto"/>
              </w:rPr>
            </w:pPr>
            <w:r>
              <w:rPr>
                <w:rFonts w:ascii="Arial" w:cs="Arial" w:eastAsia="Arial" w:hAnsi="Arial"/>
                <w:sz w:val="14"/>
                <w:szCs w:val="14"/>
                <w:color w:val="666666"/>
              </w:rPr>
              <w:t>1,115,425</w:t>
            </w:r>
          </w:p>
        </w:tc>
        <w:tc>
          <w:tcPr>
            <w:tcW w:w="180" w:type="dxa"/>
            <w:vAlign w:val="bottom"/>
          </w:tcPr>
          <w:p>
            <w:pPr>
              <w:jc w:val="right"/>
              <w:ind w:right="20"/>
              <w:spacing w:after="0"/>
              <w:rPr>
                <w:sz w:val="20"/>
                <w:szCs w:val="20"/>
                <w:color w:val="auto"/>
              </w:rPr>
            </w:pPr>
            <w:r>
              <w:rPr>
                <w:rFonts w:ascii="Arial" w:cs="Arial" w:eastAsia="Arial" w:hAnsi="Arial"/>
                <w:sz w:val="12"/>
                <w:szCs w:val="12"/>
                <w:color w:val="666666"/>
              </w:rPr>
              <w:t>5</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666666"/>
              </w:rPr>
              <w:t>3,620,594</w:t>
            </w:r>
          </w:p>
        </w:tc>
        <w:tc>
          <w:tcPr>
            <w:tcW w:w="0" w:type="dxa"/>
            <w:vAlign w:val="bottom"/>
          </w:tcPr>
          <w:p>
            <w:pPr>
              <w:spacing w:after="0"/>
              <w:rPr>
                <w:sz w:val="1"/>
                <w:szCs w:val="1"/>
                <w:color w:val="auto"/>
              </w:rPr>
            </w:pPr>
          </w:p>
        </w:tc>
      </w:tr>
      <w:tr>
        <w:trPr>
          <w:trHeight w:val="206"/>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Involuntary</w:t>
            </w: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vMerge w:val="restart"/>
          </w:tcPr>
          <w:p>
            <w:pPr>
              <w:jc w:val="right"/>
              <w:ind w:right="20"/>
              <w:spacing w:after="0"/>
              <w:rPr>
                <w:sz w:val="20"/>
                <w:szCs w:val="20"/>
                <w:color w:val="auto"/>
              </w:rPr>
            </w:pPr>
            <w:r>
              <w:rPr>
                <w:rFonts w:ascii="Arial" w:cs="Arial" w:eastAsia="Arial" w:hAnsi="Arial"/>
                <w:sz w:val="12"/>
                <w:szCs w:val="12"/>
                <w:color w:val="666666"/>
              </w:rPr>
              <w:t>6</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1820" w:type="dxa"/>
            <w:vAlign w:val="bottom"/>
            <w:tcBorders>
              <w:left w:val="single" w:sz="8" w:color="auto"/>
            </w:tcBorders>
            <w:vMerge w:val="restart"/>
          </w:tcPr>
          <w:p>
            <w:pPr>
              <w:ind w:left="60"/>
              <w:spacing w:after="0"/>
              <w:rPr>
                <w:sz w:val="20"/>
                <w:szCs w:val="20"/>
                <w:color w:val="auto"/>
              </w:rPr>
            </w:pPr>
            <w:r>
              <w:rPr>
                <w:rFonts w:ascii="Arial" w:cs="Arial" w:eastAsia="Arial" w:hAnsi="Arial"/>
                <w:sz w:val="14"/>
                <w:szCs w:val="14"/>
                <w:color w:val="666666"/>
              </w:rPr>
              <w:t>Termination</w:t>
            </w:r>
          </w:p>
        </w:tc>
        <w:tc>
          <w:tcPr>
            <w:tcW w:w="1160" w:type="dxa"/>
            <w:vAlign w:val="bottom"/>
            <w:vMerge w:val="restart"/>
          </w:tcPr>
          <w:p>
            <w:pPr>
              <w:jc w:val="center"/>
              <w:ind w:left="328"/>
              <w:spacing w:after="0"/>
              <w:rPr>
                <w:sz w:val="20"/>
                <w:szCs w:val="20"/>
                <w:color w:val="auto"/>
              </w:rPr>
            </w:pPr>
            <w:r>
              <w:rPr>
                <w:rFonts w:ascii="Arial" w:cs="Arial" w:eastAsia="Arial" w:hAnsi="Arial"/>
                <w:sz w:val="14"/>
                <w:szCs w:val="14"/>
                <w:color w:val="666666"/>
              </w:rPr>
              <w:t>1,025,000</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666666"/>
                <w:w w:val="99"/>
              </w:rPr>
              <w:t>—</w:t>
            </w:r>
          </w:p>
        </w:tc>
        <w:tc>
          <w:tcPr>
            <w:tcW w:w="560" w:type="dxa"/>
            <w:vAlign w:val="bottom"/>
          </w:tcPr>
          <w:p>
            <w:pPr>
              <w:spacing w:after="0"/>
              <w:rPr>
                <w:sz w:val="5"/>
                <w:szCs w:val="5"/>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666666"/>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tcPr>
          <w:p>
            <w:pPr>
              <w:spacing w:after="0"/>
              <w:rPr>
                <w:sz w:val="5"/>
                <w:szCs w:val="5"/>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666666"/>
              </w:rPr>
              <w:t>30,000</w:t>
            </w:r>
          </w:p>
        </w:tc>
        <w:tc>
          <w:tcPr>
            <w:tcW w:w="180" w:type="dxa"/>
            <w:vAlign w:val="bottom"/>
            <w:vMerge w:val="continue"/>
          </w:tcPr>
          <w:p>
            <w:pPr>
              <w:spacing w:after="0"/>
              <w:rPr>
                <w:sz w:val="5"/>
                <w:szCs w:val="5"/>
                <w:color w:val="auto"/>
              </w:rPr>
            </w:pP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666666"/>
              </w:rPr>
              <w:t>1,055,000</w:t>
            </w:r>
          </w:p>
        </w:tc>
        <w:tc>
          <w:tcPr>
            <w:tcW w:w="0" w:type="dxa"/>
            <w:vAlign w:val="bottom"/>
          </w:tcPr>
          <w:p>
            <w:pPr>
              <w:spacing w:after="0"/>
              <w:rPr>
                <w:sz w:val="1"/>
                <w:szCs w:val="1"/>
                <w:color w:val="auto"/>
              </w:rPr>
            </w:pPr>
          </w:p>
        </w:tc>
      </w:tr>
      <w:tr>
        <w:trPr>
          <w:trHeight w:val="114"/>
        </w:trPr>
        <w:tc>
          <w:tcPr>
            <w:tcW w:w="1820" w:type="dxa"/>
            <w:vAlign w:val="bottom"/>
            <w:tcBorders>
              <w:left w:val="single" w:sz="8" w:color="auto"/>
            </w:tcBorders>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8"/>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 xml:space="preserve">Retirement </w:t>
            </w:r>
            <w:r>
              <w:rPr>
                <w:rFonts w:ascii="Arial" w:cs="Arial" w:eastAsia="Arial" w:hAnsi="Arial"/>
                <w:sz w:val="23"/>
                <w:szCs w:val="23"/>
                <w:color w:val="666666"/>
                <w:vertAlign w:val="superscript"/>
              </w:rPr>
              <w:t>11</w:t>
            </w:r>
          </w:p>
        </w:tc>
        <w:tc>
          <w:tcPr>
            <w:tcW w:w="116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5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666666"/>
              </w:rPr>
              <w:t>155,000</w:t>
            </w:r>
          </w:p>
        </w:tc>
        <w:tc>
          <w:tcPr>
            <w:tcW w:w="104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666666"/>
              </w:rPr>
              <w:t>1,202,033</w:t>
            </w:r>
          </w:p>
        </w:tc>
        <w:tc>
          <w:tcPr>
            <w:tcW w:w="180" w:type="dxa"/>
            <w:vAlign w:val="bottom"/>
          </w:tcPr>
          <w:p>
            <w:pPr>
              <w:jc w:val="right"/>
              <w:ind w:right="20"/>
              <w:spacing w:after="0"/>
              <w:rPr>
                <w:sz w:val="20"/>
                <w:szCs w:val="20"/>
                <w:color w:val="auto"/>
              </w:rPr>
            </w:pPr>
            <w:r>
              <w:rPr>
                <w:rFonts w:ascii="Arial" w:cs="Arial" w:eastAsia="Arial" w:hAnsi="Arial"/>
                <w:sz w:val="12"/>
                <w:szCs w:val="12"/>
                <w:color w:val="666666"/>
              </w:rPr>
              <w:t>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666666"/>
              </w:rPr>
              <w:t>1,357,033</w:t>
            </w:r>
          </w:p>
        </w:tc>
        <w:tc>
          <w:tcPr>
            <w:tcW w:w="0" w:type="dxa"/>
            <w:vAlign w:val="bottom"/>
          </w:tcPr>
          <w:p>
            <w:pPr>
              <w:spacing w:after="0"/>
              <w:rPr>
                <w:sz w:val="1"/>
                <w:szCs w:val="1"/>
                <w:color w:val="auto"/>
              </w:rPr>
            </w:pPr>
          </w:p>
        </w:tc>
      </w:tr>
      <w:tr>
        <w:trPr>
          <w:trHeight w:val="172"/>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Voluntary Resignation</w:t>
            </w:r>
          </w:p>
        </w:tc>
        <w:tc>
          <w:tcPr>
            <w:tcW w:w="116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5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666666"/>
              </w:rPr>
              <w:t>—</w:t>
            </w:r>
          </w:p>
        </w:tc>
        <w:tc>
          <w:tcPr>
            <w:tcW w:w="104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tcPr>
          <w:p>
            <w:pPr>
              <w:spacing w:after="0"/>
              <w:rPr>
                <w:sz w:val="14"/>
                <w:szCs w:val="14"/>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666666"/>
                <w:w w:val="99"/>
              </w:rPr>
              <w:t>—</w:t>
            </w:r>
          </w:p>
        </w:tc>
        <w:tc>
          <w:tcPr>
            <w:tcW w:w="0" w:type="dxa"/>
            <w:vAlign w:val="bottom"/>
          </w:tcPr>
          <w:p>
            <w:pPr>
              <w:spacing w:after="0"/>
              <w:rPr>
                <w:sz w:val="1"/>
                <w:szCs w:val="1"/>
                <w:color w:val="auto"/>
              </w:rPr>
            </w:pPr>
          </w:p>
        </w:tc>
      </w:tr>
      <w:tr>
        <w:trPr>
          <w:trHeight w:val="206"/>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Termination for</w:t>
            </w: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2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666666"/>
              </w:rPr>
              <w:t>Cause</w:t>
            </w:r>
          </w:p>
        </w:tc>
        <w:tc>
          <w:tcPr>
            <w:tcW w:w="116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5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666666"/>
              </w:rPr>
              <w:t>—</w:t>
            </w:r>
          </w:p>
        </w:tc>
        <w:tc>
          <w:tcPr>
            <w:tcW w:w="104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tcPr>
          <w:p>
            <w:pPr>
              <w:spacing w:after="0"/>
              <w:rPr>
                <w:sz w:val="14"/>
                <w:szCs w:val="14"/>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666666"/>
                <w:w w:val="99"/>
              </w:rPr>
              <w:t>—</w:t>
            </w:r>
          </w:p>
        </w:tc>
        <w:tc>
          <w:tcPr>
            <w:tcW w:w="0" w:type="dxa"/>
            <w:vAlign w:val="bottom"/>
          </w:tcPr>
          <w:p>
            <w:pPr>
              <w:spacing w:after="0"/>
              <w:rPr>
                <w:sz w:val="1"/>
                <w:szCs w:val="1"/>
                <w:color w:val="auto"/>
              </w:rPr>
            </w:pPr>
          </w:p>
        </w:tc>
      </w:tr>
      <w:tr>
        <w:trPr>
          <w:trHeight w:val="270"/>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Change-In-Control</w:t>
            </w:r>
          </w:p>
        </w:tc>
        <w:tc>
          <w:tcPr>
            <w:tcW w:w="116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666666"/>
              </w:rPr>
              <w:t>1,658,090</w:t>
            </w:r>
          </w:p>
        </w:tc>
        <w:tc>
          <w:tcPr>
            <w:tcW w:w="56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666666"/>
              </w:rPr>
              <w:t>—</w:t>
            </w:r>
          </w:p>
        </w:tc>
        <w:tc>
          <w:tcPr>
            <w:tcW w:w="104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666666"/>
              </w:rPr>
              <w:t>1,115,425</w:t>
            </w:r>
          </w:p>
        </w:tc>
        <w:tc>
          <w:tcPr>
            <w:tcW w:w="180" w:type="dxa"/>
            <w:vAlign w:val="bottom"/>
          </w:tcPr>
          <w:p>
            <w:pPr>
              <w:jc w:val="right"/>
              <w:ind w:right="20"/>
              <w:spacing w:after="0"/>
              <w:rPr>
                <w:sz w:val="20"/>
                <w:szCs w:val="20"/>
                <w:color w:val="auto"/>
              </w:rPr>
            </w:pPr>
            <w:r>
              <w:rPr>
                <w:rFonts w:ascii="Arial" w:cs="Arial" w:eastAsia="Arial" w:hAnsi="Arial"/>
                <w:sz w:val="12"/>
                <w:szCs w:val="12"/>
                <w:color w:val="666666"/>
              </w:rPr>
              <w:t>9</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666666"/>
              </w:rPr>
              <w:t>2,773,515</w:t>
            </w:r>
          </w:p>
        </w:tc>
        <w:tc>
          <w:tcPr>
            <w:tcW w:w="0" w:type="dxa"/>
            <w:vAlign w:val="bottom"/>
          </w:tcPr>
          <w:p>
            <w:pPr>
              <w:spacing w:after="0"/>
              <w:rPr>
                <w:sz w:val="1"/>
                <w:szCs w:val="1"/>
                <w:color w:val="auto"/>
              </w:rPr>
            </w:pPr>
          </w:p>
        </w:tc>
      </w:tr>
      <w:tr>
        <w:trPr>
          <w:trHeight w:val="206"/>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Involuntary</w:t>
            </w: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2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666666"/>
              </w:rPr>
              <w:t>Termination After Change-</w:t>
            </w: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2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666666"/>
              </w:rPr>
              <w:t>In-Control</w:t>
            </w:r>
          </w:p>
        </w:tc>
        <w:tc>
          <w:tcPr>
            <w:tcW w:w="116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666666"/>
              </w:rPr>
              <w:t>3,097,037</w:t>
            </w:r>
          </w:p>
        </w:tc>
        <w:tc>
          <w:tcPr>
            <w:tcW w:w="5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666666"/>
              </w:rPr>
              <w:t>—</w:t>
            </w:r>
          </w:p>
        </w:tc>
        <w:tc>
          <w:tcPr>
            <w:tcW w:w="104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tcPr>
          <w:p>
            <w:pPr>
              <w:spacing w:after="0"/>
              <w:rPr>
                <w:sz w:val="15"/>
                <w:szCs w:val="15"/>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666666"/>
              </w:rPr>
              <w:t>3,097,037</w:t>
            </w:r>
          </w:p>
        </w:tc>
        <w:tc>
          <w:tcPr>
            <w:tcW w:w="0" w:type="dxa"/>
            <w:vAlign w:val="bottom"/>
          </w:tcPr>
          <w:p>
            <w:pPr>
              <w:spacing w:after="0"/>
              <w:rPr>
                <w:sz w:val="1"/>
                <w:szCs w:val="1"/>
                <w:color w:val="auto"/>
              </w:rPr>
            </w:pPr>
          </w:p>
        </w:tc>
      </w:tr>
      <w:tr>
        <w:trPr>
          <w:trHeight w:val="264"/>
        </w:trPr>
        <w:tc>
          <w:tcPr>
            <w:tcW w:w="1820" w:type="dxa"/>
            <w:vAlign w:val="bottom"/>
            <w:tcBorders>
              <w:left w:val="single" w:sz="8" w:color="auto"/>
            </w:tcBorders>
            <w:shd w:val="clear" w:color="auto" w:fill="DDDDDD"/>
          </w:tcPr>
          <w:p>
            <w:pPr>
              <w:ind w:left="60"/>
              <w:spacing w:after="0"/>
              <w:rPr>
                <w:sz w:val="20"/>
                <w:szCs w:val="20"/>
                <w:color w:val="auto"/>
              </w:rPr>
            </w:pPr>
            <w:r>
              <w:rPr>
                <w:rFonts w:ascii="Arial" w:cs="Arial" w:eastAsia="Arial" w:hAnsi="Arial"/>
                <w:sz w:val="14"/>
                <w:szCs w:val="14"/>
                <w:b w:val="1"/>
                <w:bCs w:val="1"/>
                <w:color w:val="666666"/>
              </w:rPr>
              <w:t>Nancy J. Laben</w:t>
            </w:r>
          </w:p>
        </w:tc>
        <w:tc>
          <w:tcPr>
            <w:tcW w:w="1160" w:type="dxa"/>
            <w:vAlign w:val="bottom"/>
            <w:shd w:val="clear" w:color="auto" w:fill="DDDDDD"/>
          </w:tcPr>
          <w:p>
            <w:pPr>
              <w:spacing w:after="0"/>
              <w:rPr>
                <w:sz w:val="22"/>
                <w:szCs w:val="22"/>
                <w:color w:val="auto"/>
              </w:rPr>
            </w:pPr>
          </w:p>
        </w:tc>
        <w:tc>
          <w:tcPr>
            <w:tcW w:w="1300" w:type="dxa"/>
            <w:vAlign w:val="bottom"/>
            <w:shd w:val="clear" w:color="auto" w:fill="DDDDDD"/>
          </w:tcPr>
          <w:p>
            <w:pPr>
              <w:spacing w:after="0"/>
              <w:rPr>
                <w:sz w:val="22"/>
                <w:szCs w:val="22"/>
                <w:color w:val="auto"/>
              </w:rPr>
            </w:pPr>
          </w:p>
        </w:tc>
        <w:tc>
          <w:tcPr>
            <w:tcW w:w="560" w:type="dxa"/>
            <w:vAlign w:val="bottom"/>
            <w:shd w:val="clear" w:color="auto" w:fill="DDDDDD"/>
          </w:tcPr>
          <w:p>
            <w:pPr>
              <w:spacing w:after="0"/>
              <w:rPr>
                <w:sz w:val="22"/>
                <w:szCs w:val="22"/>
                <w:color w:val="auto"/>
              </w:rPr>
            </w:pPr>
          </w:p>
        </w:tc>
        <w:tc>
          <w:tcPr>
            <w:tcW w:w="136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98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860" w:type="dxa"/>
            <w:vAlign w:val="bottom"/>
            <w:tcBorders>
              <w:right w:val="single" w:sz="8" w:color="auto"/>
            </w:tcBorders>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820" w:type="dxa"/>
            <w:vAlign w:val="bottom"/>
            <w:tcBorders>
              <w:left w:val="single" w:sz="8" w:color="auto"/>
            </w:tcBorders>
            <w:shd w:val="clear" w:color="auto" w:fill="DDDDDD"/>
          </w:tcPr>
          <w:p>
            <w:pPr>
              <w:ind w:left="380"/>
              <w:spacing w:after="0"/>
              <w:rPr>
                <w:sz w:val="20"/>
                <w:szCs w:val="20"/>
                <w:color w:val="auto"/>
              </w:rPr>
            </w:pPr>
            <w:r>
              <w:rPr>
                <w:rFonts w:ascii="Arial" w:cs="Arial" w:eastAsia="Arial" w:hAnsi="Arial"/>
                <w:sz w:val="14"/>
                <w:szCs w:val="14"/>
                <w:color w:val="666666"/>
              </w:rPr>
              <w:t>Death</w:t>
            </w:r>
          </w:p>
        </w:tc>
        <w:tc>
          <w:tcPr>
            <w:tcW w:w="116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666666"/>
              </w:rPr>
              <w:t>2,567,033</w:t>
            </w:r>
          </w:p>
        </w:tc>
        <w:tc>
          <w:tcPr>
            <w:tcW w:w="560" w:type="dxa"/>
            <w:vAlign w:val="bottom"/>
            <w:shd w:val="clear" w:color="auto" w:fill="DDDDDD"/>
          </w:tcPr>
          <w:p>
            <w:pPr>
              <w:spacing w:after="0"/>
              <w:rPr>
                <w:sz w:val="23"/>
                <w:szCs w:val="23"/>
                <w:color w:val="auto"/>
              </w:rPr>
            </w:pPr>
          </w:p>
        </w:tc>
        <w:tc>
          <w:tcPr>
            <w:tcW w:w="136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w:t>
            </w:r>
          </w:p>
        </w:tc>
        <w:tc>
          <w:tcPr>
            <w:tcW w:w="104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2,054,167</w:t>
            </w:r>
          </w:p>
        </w:tc>
        <w:tc>
          <w:tcPr>
            <w:tcW w:w="200" w:type="dxa"/>
            <w:vAlign w:val="bottom"/>
            <w:shd w:val="clear" w:color="auto" w:fill="DDDDDD"/>
          </w:tcPr>
          <w:p>
            <w:pPr>
              <w:jc w:val="right"/>
              <w:ind w:right="20"/>
              <w:spacing w:after="0"/>
              <w:rPr>
                <w:sz w:val="20"/>
                <w:szCs w:val="20"/>
                <w:color w:val="auto"/>
              </w:rPr>
            </w:pPr>
            <w:r>
              <w:rPr>
                <w:rFonts w:ascii="Arial" w:cs="Arial" w:eastAsia="Arial" w:hAnsi="Arial"/>
                <w:sz w:val="12"/>
                <w:szCs w:val="12"/>
                <w:color w:val="666666"/>
              </w:rPr>
              <w:t>3</w:t>
            </w:r>
          </w:p>
        </w:tc>
        <w:tc>
          <w:tcPr>
            <w:tcW w:w="98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shd w:val="clear" w:color="auto" w:fill="DDDDDD"/>
          </w:tcPr>
          <w:p>
            <w:pPr>
              <w:spacing w:after="0"/>
              <w:rPr>
                <w:sz w:val="23"/>
                <w:szCs w:val="23"/>
                <w:color w:val="auto"/>
              </w:rPr>
            </w:pPr>
          </w:p>
        </w:tc>
        <w:tc>
          <w:tcPr>
            <w:tcW w:w="86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4"/>
                <w:szCs w:val="14"/>
                <w:color w:val="666666"/>
              </w:rPr>
              <w:t>4,621,200</w:t>
            </w:r>
          </w:p>
        </w:tc>
        <w:tc>
          <w:tcPr>
            <w:tcW w:w="0" w:type="dxa"/>
            <w:vAlign w:val="bottom"/>
          </w:tcPr>
          <w:p>
            <w:pPr>
              <w:spacing w:after="0"/>
              <w:rPr>
                <w:sz w:val="1"/>
                <w:szCs w:val="1"/>
                <w:color w:val="auto"/>
              </w:rPr>
            </w:pPr>
          </w:p>
        </w:tc>
      </w:tr>
      <w:tr>
        <w:trPr>
          <w:trHeight w:val="270"/>
        </w:trPr>
        <w:tc>
          <w:tcPr>
            <w:tcW w:w="1820" w:type="dxa"/>
            <w:vAlign w:val="bottom"/>
            <w:tcBorders>
              <w:left w:val="single" w:sz="8" w:color="auto"/>
            </w:tcBorders>
            <w:shd w:val="clear" w:color="auto" w:fill="DDDDDD"/>
          </w:tcPr>
          <w:p>
            <w:pPr>
              <w:ind w:left="380"/>
              <w:spacing w:after="0"/>
              <w:rPr>
                <w:sz w:val="20"/>
                <w:szCs w:val="20"/>
                <w:color w:val="auto"/>
              </w:rPr>
            </w:pPr>
            <w:r>
              <w:rPr>
                <w:rFonts w:ascii="Arial" w:cs="Arial" w:eastAsia="Arial" w:hAnsi="Arial"/>
                <w:sz w:val="14"/>
                <w:szCs w:val="14"/>
                <w:color w:val="666666"/>
              </w:rPr>
              <w:t>Disability</w:t>
            </w:r>
          </w:p>
        </w:tc>
        <w:tc>
          <w:tcPr>
            <w:tcW w:w="116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560" w:type="dxa"/>
            <w:vAlign w:val="bottom"/>
            <w:shd w:val="clear" w:color="auto" w:fill="DDDDDD"/>
          </w:tcPr>
          <w:p>
            <w:pPr>
              <w:spacing w:after="0"/>
              <w:rPr>
                <w:sz w:val="23"/>
                <w:szCs w:val="23"/>
                <w:color w:val="auto"/>
              </w:rPr>
            </w:pPr>
          </w:p>
        </w:tc>
        <w:tc>
          <w:tcPr>
            <w:tcW w:w="136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w:t>
            </w:r>
          </w:p>
        </w:tc>
        <w:tc>
          <w:tcPr>
            <w:tcW w:w="104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2,142,580</w:t>
            </w:r>
          </w:p>
        </w:tc>
        <w:tc>
          <w:tcPr>
            <w:tcW w:w="200" w:type="dxa"/>
            <w:vAlign w:val="bottom"/>
            <w:shd w:val="clear" w:color="auto" w:fill="DDDDDD"/>
          </w:tcPr>
          <w:p>
            <w:pPr>
              <w:jc w:val="right"/>
              <w:ind w:right="20"/>
              <w:spacing w:after="0"/>
              <w:rPr>
                <w:sz w:val="20"/>
                <w:szCs w:val="20"/>
                <w:color w:val="auto"/>
              </w:rPr>
            </w:pPr>
            <w:r>
              <w:rPr>
                <w:rFonts w:ascii="Arial" w:cs="Arial" w:eastAsia="Arial" w:hAnsi="Arial"/>
                <w:sz w:val="12"/>
                <w:szCs w:val="12"/>
                <w:color w:val="666666"/>
              </w:rPr>
              <w:t>4</w:t>
            </w:r>
          </w:p>
        </w:tc>
        <w:tc>
          <w:tcPr>
            <w:tcW w:w="98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shd w:val="clear" w:color="auto" w:fill="DDDDDD"/>
          </w:tcPr>
          <w:p>
            <w:pPr>
              <w:spacing w:after="0"/>
              <w:rPr>
                <w:sz w:val="23"/>
                <w:szCs w:val="23"/>
                <w:color w:val="auto"/>
              </w:rPr>
            </w:pPr>
          </w:p>
        </w:tc>
        <w:tc>
          <w:tcPr>
            <w:tcW w:w="86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4"/>
                <w:szCs w:val="14"/>
                <w:color w:val="666666"/>
              </w:rPr>
              <w:t>2,142,580</w:t>
            </w:r>
          </w:p>
        </w:tc>
        <w:tc>
          <w:tcPr>
            <w:tcW w:w="0" w:type="dxa"/>
            <w:vAlign w:val="bottom"/>
          </w:tcPr>
          <w:p>
            <w:pPr>
              <w:spacing w:after="0"/>
              <w:rPr>
                <w:sz w:val="1"/>
                <w:szCs w:val="1"/>
                <w:color w:val="auto"/>
              </w:rPr>
            </w:pPr>
          </w:p>
        </w:tc>
      </w:tr>
      <w:tr>
        <w:trPr>
          <w:trHeight w:val="206"/>
        </w:trPr>
        <w:tc>
          <w:tcPr>
            <w:tcW w:w="1820" w:type="dxa"/>
            <w:vAlign w:val="bottom"/>
            <w:tcBorders>
              <w:left w:val="single" w:sz="8" w:color="auto"/>
            </w:tcBorders>
            <w:shd w:val="clear" w:color="auto" w:fill="DDDDDD"/>
          </w:tcPr>
          <w:p>
            <w:pPr>
              <w:ind w:left="380"/>
              <w:spacing w:after="0"/>
              <w:rPr>
                <w:sz w:val="20"/>
                <w:szCs w:val="20"/>
                <w:color w:val="auto"/>
              </w:rPr>
            </w:pPr>
            <w:r>
              <w:rPr>
                <w:rFonts w:ascii="Arial" w:cs="Arial" w:eastAsia="Arial" w:hAnsi="Arial"/>
                <w:sz w:val="14"/>
                <w:szCs w:val="14"/>
                <w:color w:val="666666"/>
              </w:rPr>
              <w:t>Involuntary</w:t>
            </w:r>
          </w:p>
        </w:tc>
        <w:tc>
          <w:tcPr>
            <w:tcW w:w="116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360" w:type="dxa"/>
            <w:vAlign w:val="bottom"/>
            <w:shd w:val="clear" w:color="auto" w:fill="DDDDDD"/>
          </w:tcPr>
          <w:p>
            <w:pPr>
              <w:spacing w:after="0"/>
              <w:rPr>
                <w:sz w:val="17"/>
                <w:szCs w:val="17"/>
                <w:color w:val="auto"/>
              </w:rPr>
            </w:pPr>
          </w:p>
        </w:tc>
        <w:tc>
          <w:tcPr>
            <w:tcW w:w="104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80" w:type="dxa"/>
            <w:vAlign w:val="bottom"/>
            <w:shd w:val="clear" w:color="auto" w:fill="DDDDDD"/>
          </w:tcPr>
          <w:p>
            <w:pPr>
              <w:spacing w:after="0"/>
              <w:rPr>
                <w:sz w:val="17"/>
                <w:szCs w:val="17"/>
                <w:color w:val="auto"/>
              </w:rPr>
            </w:pPr>
          </w:p>
        </w:tc>
        <w:tc>
          <w:tcPr>
            <w:tcW w:w="180" w:type="dxa"/>
            <w:vAlign w:val="bottom"/>
            <w:vMerge w:val="restart"/>
            <w:shd w:val="clear" w:color="auto" w:fill="DDDDDD"/>
          </w:tcPr>
          <w:p>
            <w:pPr>
              <w:jc w:val="right"/>
              <w:ind w:right="20"/>
              <w:spacing w:after="0"/>
              <w:rPr>
                <w:sz w:val="20"/>
                <w:szCs w:val="20"/>
                <w:color w:val="auto"/>
              </w:rPr>
            </w:pPr>
            <w:r>
              <w:rPr>
                <w:rFonts w:ascii="Arial" w:cs="Arial" w:eastAsia="Arial" w:hAnsi="Arial"/>
                <w:sz w:val="12"/>
                <w:szCs w:val="12"/>
                <w:color w:val="666666"/>
              </w:rPr>
              <w:t>6</w:t>
            </w:r>
          </w:p>
        </w:tc>
        <w:tc>
          <w:tcPr>
            <w:tcW w:w="860" w:type="dxa"/>
            <w:vAlign w:val="bottom"/>
            <w:tcBorders>
              <w:right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1820" w:type="dxa"/>
            <w:vAlign w:val="bottom"/>
            <w:tcBorders>
              <w:left w:val="single" w:sz="8" w:color="auto"/>
            </w:tcBorders>
            <w:vMerge w:val="restart"/>
            <w:shd w:val="clear" w:color="auto" w:fill="DDDDDD"/>
          </w:tcPr>
          <w:p>
            <w:pPr>
              <w:ind w:left="380"/>
              <w:spacing w:after="0"/>
              <w:rPr>
                <w:sz w:val="20"/>
                <w:szCs w:val="20"/>
                <w:color w:val="auto"/>
              </w:rPr>
            </w:pPr>
            <w:r>
              <w:rPr>
                <w:rFonts w:ascii="Arial" w:cs="Arial" w:eastAsia="Arial" w:hAnsi="Arial"/>
                <w:sz w:val="14"/>
                <w:szCs w:val="14"/>
                <w:color w:val="666666"/>
              </w:rPr>
              <w:t>Termination</w:t>
            </w:r>
          </w:p>
        </w:tc>
        <w:tc>
          <w:tcPr>
            <w:tcW w:w="1160" w:type="dxa"/>
            <w:vAlign w:val="bottom"/>
            <w:vMerge w:val="restart"/>
            <w:shd w:val="clear" w:color="auto" w:fill="DDDDDD"/>
          </w:tcPr>
          <w:p>
            <w:pPr>
              <w:jc w:val="center"/>
              <w:ind w:left="328"/>
              <w:spacing w:after="0"/>
              <w:rPr>
                <w:sz w:val="20"/>
                <w:szCs w:val="20"/>
                <w:color w:val="auto"/>
              </w:rPr>
            </w:pPr>
            <w:r>
              <w:rPr>
                <w:rFonts w:ascii="Arial" w:cs="Arial" w:eastAsia="Arial" w:hAnsi="Arial"/>
                <w:sz w:val="14"/>
                <w:szCs w:val="14"/>
                <w:color w:val="666666"/>
              </w:rPr>
              <w:t>541,667</w:t>
            </w:r>
          </w:p>
        </w:tc>
        <w:tc>
          <w:tcPr>
            <w:tcW w:w="1300" w:type="dxa"/>
            <w:vAlign w:val="bottom"/>
            <w:vMerge w:val="restart"/>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560" w:type="dxa"/>
            <w:vAlign w:val="bottom"/>
            <w:shd w:val="clear" w:color="auto" w:fill="DDDDDD"/>
          </w:tcPr>
          <w:p>
            <w:pPr>
              <w:spacing w:after="0"/>
              <w:rPr>
                <w:sz w:val="5"/>
                <w:szCs w:val="5"/>
                <w:color w:val="auto"/>
              </w:rPr>
            </w:pPr>
          </w:p>
        </w:tc>
        <w:tc>
          <w:tcPr>
            <w:tcW w:w="1360" w:type="dxa"/>
            <w:vAlign w:val="bottom"/>
            <w:vMerge w:val="restart"/>
            <w:shd w:val="clear" w:color="auto" w:fill="DDDDDD"/>
          </w:tcPr>
          <w:p>
            <w:pPr>
              <w:jc w:val="center"/>
              <w:spacing w:after="0"/>
              <w:rPr>
                <w:sz w:val="20"/>
                <w:szCs w:val="20"/>
                <w:color w:val="auto"/>
              </w:rPr>
            </w:pPr>
            <w:r>
              <w:rPr>
                <w:rFonts w:ascii="Arial" w:cs="Arial" w:eastAsia="Arial" w:hAnsi="Arial"/>
                <w:sz w:val="14"/>
                <w:szCs w:val="14"/>
                <w:color w:val="666666"/>
              </w:rPr>
              <w:t>—</w:t>
            </w:r>
          </w:p>
        </w:tc>
        <w:tc>
          <w:tcPr>
            <w:tcW w:w="1040" w:type="dxa"/>
            <w:vAlign w:val="bottom"/>
            <w:vMerge w:val="restart"/>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shd w:val="clear" w:color="auto" w:fill="DDDDDD"/>
          </w:tcPr>
          <w:p>
            <w:pPr>
              <w:spacing w:after="0"/>
              <w:rPr>
                <w:sz w:val="5"/>
                <w:szCs w:val="5"/>
                <w:color w:val="auto"/>
              </w:rPr>
            </w:pPr>
          </w:p>
        </w:tc>
        <w:tc>
          <w:tcPr>
            <w:tcW w:w="980" w:type="dxa"/>
            <w:vAlign w:val="bottom"/>
            <w:vMerge w:val="restart"/>
            <w:shd w:val="clear" w:color="auto" w:fill="DDDDDD"/>
          </w:tcPr>
          <w:p>
            <w:pPr>
              <w:jc w:val="center"/>
              <w:spacing w:after="0"/>
              <w:rPr>
                <w:sz w:val="20"/>
                <w:szCs w:val="20"/>
                <w:color w:val="auto"/>
              </w:rPr>
            </w:pPr>
            <w:r>
              <w:rPr>
                <w:rFonts w:ascii="Arial" w:cs="Arial" w:eastAsia="Arial" w:hAnsi="Arial"/>
                <w:sz w:val="14"/>
                <w:szCs w:val="14"/>
                <w:color w:val="666666"/>
              </w:rPr>
              <w:t>30,000</w:t>
            </w:r>
          </w:p>
        </w:tc>
        <w:tc>
          <w:tcPr>
            <w:tcW w:w="180" w:type="dxa"/>
            <w:vAlign w:val="bottom"/>
            <w:vMerge w:val="continue"/>
            <w:shd w:val="clear" w:color="auto" w:fill="DDDDDD"/>
          </w:tcPr>
          <w:p>
            <w:pPr>
              <w:spacing w:after="0"/>
              <w:rPr>
                <w:sz w:val="5"/>
                <w:szCs w:val="5"/>
                <w:color w:val="auto"/>
              </w:rPr>
            </w:pPr>
          </w:p>
        </w:tc>
        <w:tc>
          <w:tcPr>
            <w:tcW w:w="860" w:type="dxa"/>
            <w:vAlign w:val="bottom"/>
            <w:tcBorders>
              <w:right w:val="single" w:sz="8" w:color="auto"/>
            </w:tcBorders>
            <w:vMerge w:val="restart"/>
            <w:shd w:val="clear" w:color="auto" w:fill="DDDDDD"/>
          </w:tcPr>
          <w:p>
            <w:pPr>
              <w:jc w:val="right"/>
              <w:spacing w:after="0"/>
              <w:rPr>
                <w:sz w:val="20"/>
                <w:szCs w:val="20"/>
                <w:color w:val="auto"/>
              </w:rPr>
            </w:pPr>
            <w:r>
              <w:rPr>
                <w:rFonts w:ascii="Arial" w:cs="Arial" w:eastAsia="Arial" w:hAnsi="Arial"/>
                <w:sz w:val="14"/>
                <w:szCs w:val="14"/>
                <w:color w:val="666666"/>
              </w:rPr>
              <w:t>571,667</w:t>
            </w:r>
          </w:p>
        </w:tc>
        <w:tc>
          <w:tcPr>
            <w:tcW w:w="0" w:type="dxa"/>
            <w:vAlign w:val="bottom"/>
          </w:tcPr>
          <w:p>
            <w:pPr>
              <w:spacing w:after="0"/>
              <w:rPr>
                <w:sz w:val="1"/>
                <w:szCs w:val="1"/>
                <w:color w:val="auto"/>
              </w:rPr>
            </w:pPr>
          </w:p>
        </w:tc>
      </w:tr>
      <w:tr>
        <w:trPr>
          <w:trHeight w:val="114"/>
        </w:trPr>
        <w:tc>
          <w:tcPr>
            <w:tcW w:w="1820" w:type="dxa"/>
            <w:vAlign w:val="bottom"/>
            <w:tcBorders>
              <w:left w:val="single" w:sz="8" w:color="auto"/>
            </w:tcBorders>
            <w:vMerge w:val="continue"/>
            <w:shd w:val="clear" w:color="auto" w:fill="DDDDDD"/>
          </w:tcPr>
          <w:p>
            <w:pPr>
              <w:spacing w:after="0"/>
              <w:rPr>
                <w:sz w:val="9"/>
                <w:szCs w:val="9"/>
                <w:color w:val="auto"/>
              </w:rPr>
            </w:pPr>
          </w:p>
        </w:tc>
        <w:tc>
          <w:tcPr>
            <w:tcW w:w="1160" w:type="dxa"/>
            <w:vAlign w:val="bottom"/>
            <w:vMerge w:val="continue"/>
            <w:shd w:val="clear" w:color="auto" w:fill="DDDDDD"/>
          </w:tcPr>
          <w:p>
            <w:pPr>
              <w:spacing w:after="0"/>
              <w:rPr>
                <w:sz w:val="9"/>
                <w:szCs w:val="9"/>
                <w:color w:val="auto"/>
              </w:rPr>
            </w:pPr>
          </w:p>
        </w:tc>
        <w:tc>
          <w:tcPr>
            <w:tcW w:w="1300" w:type="dxa"/>
            <w:vAlign w:val="bottom"/>
            <w:vMerge w:val="continue"/>
            <w:shd w:val="clear" w:color="auto" w:fill="DDDDDD"/>
          </w:tcPr>
          <w:p>
            <w:pPr>
              <w:spacing w:after="0"/>
              <w:rPr>
                <w:sz w:val="9"/>
                <w:szCs w:val="9"/>
                <w:color w:val="auto"/>
              </w:rPr>
            </w:pPr>
          </w:p>
        </w:tc>
        <w:tc>
          <w:tcPr>
            <w:tcW w:w="560" w:type="dxa"/>
            <w:vAlign w:val="bottom"/>
            <w:shd w:val="clear" w:color="auto" w:fill="DDDDDD"/>
          </w:tcPr>
          <w:p>
            <w:pPr>
              <w:spacing w:after="0"/>
              <w:rPr>
                <w:sz w:val="9"/>
                <w:szCs w:val="9"/>
                <w:color w:val="auto"/>
              </w:rPr>
            </w:pPr>
          </w:p>
        </w:tc>
        <w:tc>
          <w:tcPr>
            <w:tcW w:w="1360" w:type="dxa"/>
            <w:vAlign w:val="bottom"/>
            <w:vMerge w:val="continue"/>
            <w:shd w:val="clear" w:color="auto" w:fill="DDDDDD"/>
          </w:tcPr>
          <w:p>
            <w:pPr>
              <w:spacing w:after="0"/>
              <w:rPr>
                <w:sz w:val="9"/>
                <w:szCs w:val="9"/>
                <w:color w:val="auto"/>
              </w:rPr>
            </w:pPr>
          </w:p>
        </w:tc>
        <w:tc>
          <w:tcPr>
            <w:tcW w:w="1040" w:type="dxa"/>
            <w:vAlign w:val="bottom"/>
            <w:vMerge w:val="continue"/>
            <w:shd w:val="clear" w:color="auto" w:fill="DDDDDD"/>
          </w:tcPr>
          <w:p>
            <w:pPr>
              <w:spacing w:after="0"/>
              <w:rPr>
                <w:sz w:val="9"/>
                <w:szCs w:val="9"/>
                <w:color w:val="auto"/>
              </w:rPr>
            </w:pPr>
          </w:p>
        </w:tc>
        <w:tc>
          <w:tcPr>
            <w:tcW w:w="200" w:type="dxa"/>
            <w:vAlign w:val="bottom"/>
            <w:shd w:val="clear" w:color="auto" w:fill="DDDDDD"/>
          </w:tcPr>
          <w:p>
            <w:pPr>
              <w:spacing w:after="0"/>
              <w:rPr>
                <w:sz w:val="9"/>
                <w:szCs w:val="9"/>
                <w:color w:val="auto"/>
              </w:rPr>
            </w:pPr>
          </w:p>
        </w:tc>
        <w:tc>
          <w:tcPr>
            <w:tcW w:w="980" w:type="dxa"/>
            <w:vAlign w:val="bottom"/>
            <w:vMerge w:val="continue"/>
            <w:shd w:val="clear" w:color="auto" w:fill="DDDDDD"/>
          </w:tcPr>
          <w:p>
            <w:pPr>
              <w:spacing w:after="0"/>
              <w:rPr>
                <w:sz w:val="9"/>
                <w:szCs w:val="9"/>
                <w:color w:val="auto"/>
              </w:rPr>
            </w:pPr>
          </w:p>
        </w:tc>
        <w:tc>
          <w:tcPr>
            <w:tcW w:w="180" w:type="dxa"/>
            <w:vAlign w:val="bottom"/>
            <w:shd w:val="clear" w:color="auto" w:fill="DDDDDD"/>
          </w:tcPr>
          <w:p>
            <w:pPr>
              <w:spacing w:after="0"/>
              <w:rPr>
                <w:sz w:val="9"/>
                <w:szCs w:val="9"/>
                <w:color w:val="auto"/>
              </w:rPr>
            </w:pPr>
          </w:p>
        </w:tc>
        <w:tc>
          <w:tcPr>
            <w:tcW w:w="860" w:type="dxa"/>
            <w:vAlign w:val="bottom"/>
            <w:tcBorders>
              <w:right w:val="single" w:sz="8" w:color="auto"/>
            </w:tcBorders>
            <w:vMerge w:val="continue"/>
            <w:shd w:val="clear" w:color="auto" w:fill="DDDDDD"/>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820" w:type="dxa"/>
            <w:vAlign w:val="bottom"/>
            <w:tcBorders>
              <w:left w:val="single" w:sz="8" w:color="auto"/>
            </w:tcBorders>
            <w:shd w:val="clear" w:color="auto" w:fill="DDDDDD"/>
          </w:tcPr>
          <w:p>
            <w:pPr>
              <w:ind w:left="380"/>
              <w:spacing w:after="0"/>
              <w:rPr>
                <w:sz w:val="20"/>
                <w:szCs w:val="20"/>
                <w:color w:val="auto"/>
              </w:rPr>
            </w:pPr>
            <w:r>
              <w:rPr>
                <w:rFonts w:ascii="Arial" w:cs="Arial" w:eastAsia="Arial" w:hAnsi="Arial"/>
                <w:sz w:val="14"/>
                <w:szCs w:val="14"/>
                <w:color w:val="666666"/>
              </w:rPr>
              <w:t xml:space="preserve">Retirement </w:t>
            </w:r>
            <w:r>
              <w:rPr>
                <w:rFonts w:ascii="Arial" w:cs="Arial" w:eastAsia="Arial" w:hAnsi="Arial"/>
                <w:sz w:val="23"/>
                <w:szCs w:val="23"/>
                <w:color w:val="666666"/>
                <w:vertAlign w:val="superscript"/>
              </w:rPr>
              <w:t>10</w:t>
            </w:r>
          </w:p>
        </w:tc>
        <w:tc>
          <w:tcPr>
            <w:tcW w:w="116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560" w:type="dxa"/>
            <w:vAlign w:val="bottom"/>
            <w:shd w:val="clear" w:color="auto" w:fill="DDDDDD"/>
          </w:tcPr>
          <w:p>
            <w:pPr>
              <w:spacing w:after="0"/>
              <w:rPr>
                <w:sz w:val="24"/>
                <w:szCs w:val="24"/>
                <w:color w:val="auto"/>
              </w:rPr>
            </w:pPr>
          </w:p>
        </w:tc>
        <w:tc>
          <w:tcPr>
            <w:tcW w:w="136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w:t>
            </w:r>
          </w:p>
        </w:tc>
        <w:tc>
          <w:tcPr>
            <w:tcW w:w="104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shd w:val="clear" w:color="auto" w:fill="DDDDDD"/>
          </w:tcPr>
          <w:p>
            <w:pPr>
              <w:spacing w:after="0"/>
              <w:rPr>
                <w:sz w:val="24"/>
                <w:szCs w:val="24"/>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shd w:val="clear" w:color="auto" w:fill="DDDDDD"/>
          </w:tcPr>
          <w:p>
            <w:pPr>
              <w:spacing w:after="0"/>
              <w:rPr>
                <w:sz w:val="24"/>
                <w:szCs w:val="24"/>
                <w:color w:val="auto"/>
              </w:rPr>
            </w:pPr>
          </w:p>
        </w:tc>
        <w:tc>
          <w:tcPr>
            <w:tcW w:w="86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0" w:type="dxa"/>
            <w:vAlign w:val="bottom"/>
          </w:tcPr>
          <w:p>
            <w:pPr>
              <w:spacing w:after="0"/>
              <w:rPr>
                <w:sz w:val="1"/>
                <w:szCs w:val="1"/>
                <w:color w:val="auto"/>
              </w:rPr>
            </w:pPr>
          </w:p>
        </w:tc>
      </w:tr>
      <w:tr>
        <w:trPr>
          <w:trHeight w:val="258"/>
        </w:trPr>
        <w:tc>
          <w:tcPr>
            <w:tcW w:w="1820" w:type="dxa"/>
            <w:vAlign w:val="bottom"/>
            <w:tcBorders>
              <w:left w:val="single" w:sz="8" w:color="auto"/>
            </w:tcBorders>
            <w:shd w:val="clear" w:color="auto" w:fill="DDDDDD"/>
          </w:tcPr>
          <w:p>
            <w:pPr>
              <w:ind w:left="380"/>
              <w:spacing w:after="0"/>
              <w:rPr>
                <w:sz w:val="20"/>
                <w:szCs w:val="20"/>
                <w:color w:val="auto"/>
              </w:rPr>
            </w:pPr>
            <w:r>
              <w:rPr>
                <w:rFonts w:ascii="Arial" w:cs="Arial" w:eastAsia="Arial" w:hAnsi="Arial"/>
                <w:sz w:val="14"/>
                <w:szCs w:val="14"/>
                <w:color w:val="666666"/>
              </w:rPr>
              <w:t>Voluntary Resignation</w:t>
            </w:r>
          </w:p>
        </w:tc>
        <w:tc>
          <w:tcPr>
            <w:tcW w:w="116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560" w:type="dxa"/>
            <w:vAlign w:val="bottom"/>
            <w:shd w:val="clear" w:color="auto" w:fill="DDDDDD"/>
          </w:tcPr>
          <w:p>
            <w:pPr>
              <w:spacing w:after="0"/>
              <w:rPr>
                <w:sz w:val="22"/>
                <w:szCs w:val="22"/>
                <w:color w:val="auto"/>
              </w:rPr>
            </w:pPr>
          </w:p>
        </w:tc>
        <w:tc>
          <w:tcPr>
            <w:tcW w:w="136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w:t>
            </w:r>
          </w:p>
        </w:tc>
        <w:tc>
          <w:tcPr>
            <w:tcW w:w="104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shd w:val="clear" w:color="auto" w:fill="DDDDDD"/>
          </w:tcPr>
          <w:p>
            <w:pPr>
              <w:spacing w:after="0"/>
              <w:rPr>
                <w:sz w:val="22"/>
                <w:szCs w:val="22"/>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shd w:val="clear" w:color="auto" w:fill="DDDDDD"/>
          </w:tcPr>
          <w:p>
            <w:pPr>
              <w:spacing w:after="0"/>
              <w:rPr>
                <w:sz w:val="22"/>
                <w:szCs w:val="22"/>
                <w:color w:val="auto"/>
              </w:rPr>
            </w:pPr>
          </w:p>
        </w:tc>
        <w:tc>
          <w:tcPr>
            <w:tcW w:w="86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0" w:type="dxa"/>
            <w:vAlign w:val="bottom"/>
          </w:tcPr>
          <w:p>
            <w:pPr>
              <w:spacing w:after="0"/>
              <w:rPr>
                <w:sz w:val="1"/>
                <w:szCs w:val="1"/>
                <w:color w:val="auto"/>
              </w:rPr>
            </w:pPr>
          </w:p>
        </w:tc>
      </w:tr>
      <w:tr>
        <w:trPr>
          <w:trHeight w:val="206"/>
        </w:trPr>
        <w:tc>
          <w:tcPr>
            <w:tcW w:w="1820" w:type="dxa"/>
            <w:vAlign w:val="bottom"/>
            <w:tcBorders>
              <w:left w:val="single" w:sz="8" w:color="auto"/>
            </w:tcBorders>
            <w:shd w:val="clear" w:color="auto" w:fill="DDDDDD"/>
          </w:tcPr>
          <w:p>
            <w:pPr>
              <w:ind w:left="380"/>
              <w:spacing w:after="0"/>
              <w:rPr>
                <w:sz w:val="20"/>
                <w:szCs w:val="20"/>
                <w:color w:val="auto"/>
              </w:rPr>
            </w:pPr>
            <w:r>
              <w:rPr>
                <w:rFonts w:ascii="Arial" w:cs="Arial" w:eastAsia="Arial" w:hAnsi="Arial"/>
                <w:sz w:val="14"/>
                <w:szCs w:val="14"/>
                <w:color w:val="666666"/>
              </w:rPr>
              <w:t>Termination for</w:t>
            </w:r>
          </w:p>
        </w:tc>
        <w:tc>
          <w:tcPr>
            <w:tcW w:w="116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360" w:type="dxa"/>
            <w:vAlign w:val="bottom"/>
            <w:shd w:val="clear" w:color="auto" w:fill="DDDDDD"/>
          </w:tcPr>
          <w:p>
            <w:pPr>
              <w:spacing w:after="0"/>
              <w:rPr>
                <w:sz w:val="17"/>
                <w:szCs w:val="17"/>
                <w:color w:val="auto"/>
              </w:rPr>
            </w:pPr>
          </w:p>
        </w:tc>
        <w:tc>
          <w:tcPr>
            <w:tcW w:w="104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8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60" w:type="dxa"/>
            <w:vAlign w:val="bottom"/>
            <w:tcBorders>
              <w:right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20" w:type="dxa"/>
            <w:vAlign w:val="bottom"/>
            <w:tcBorders>
              <w:left w:val="single" w:sz="8" w:color="auto"/>
            </w:tcBorders>
            <w:shd w:val="clear" w:color="auto" w:fill="DDDDDD"/>
          </w:tcPr>
          <w:p>
            <w:pPr>
              <w:ind w:left="380"/>
              <w:spacing w:after="0"/>
              <w:rPr>
                <w:sz w:val="20"/>
                <w:szCs w:val="20"/>
                <w:color w:val="auto"/>
              </w:rPr>
            </w:pPr>
            <w:r>
              <w:rPr>
                <w:rFonts w:ascii="Arial" w:cs="Arial" w:eastAsia="Arial" w:hAnsi="Arial"/>
                <w:sz w:val="14"/>
                <w:szCs w:val="14"/>
                <w:color w:val="666666"/>
              </w:rPr>
              <w:t>Cause</w:t>
            </w:r>
          </w:p>
        </w:tc>
        <w:tc>
          <w:tcPr>
            <w:tcW w:w="116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560" w:type="dxa"/>
            <w:vAlign w:val="bottom"/>
            <w:shd w:val="clear" w:color="auto" w:fill="DDDDDD"/>
          </w:tcPr>
          <w:p>
            <w:pPr>
              <w:spacing w:after="0"/>
              <w:rPr>
                <w:sz w:val="14"/>
                <w:szCs w:val="14"/>
                <w:color w:val="auto"/>
              </w:rPr>
            </w:pPr>
          </w:p>
        </w:tc>
        <w:tc>
          <w:tcPr>
            <w:tcW w:w="136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w:t>
            </w:r>
          </w:p>
        </w:tc>
        <w:tc>
          <w:tcPr>
            <w:tcW w:w="104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shd w:val="clear" w:color="auto" w:fill="DDDDDD"/>
          </w:tcPr>
          <w:p>
            <w:pPr>
              <w:spacing w:after="0"/>
              <w:rPr>
                <w:sz w:val="14"/>
                <w:szCs w:val="14"/>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shd w:val="clear" w:color="auto" w:fill="DDDDDD"/>
          </w:tcPr>
          <w:p>
            <w:pPr>
              <w:spacing w:after="0"/>
              <w:rPr>
                <w:sz w:val="14"/>
                <w:szCs w:val="14"/>
                <w:color w:val="auto"/>
              </w:rPr>
            </w:pPr>
          </w:p>
        </w:tc>
        <w:tc>
          <w:tcPr>
            <w:tcW w:w="86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0" w:type="dxa"/>
            <w:vAlign w:val="bottom"/>
          </w:tcPr>
          <w:p>
            <w:pPr>
              <w:spacing w:after="0"/>
              <w:rPr>
                <w:sz w:val="1"/>
                <w:szCs w:val="1"/>
                <w:color w:val="auto"/>
              </w:rPr>
            </w:pPr>
          </w:p>
        </w:tc>
      </w:tr>
      <w:tr>
        <w:trPr>
          <w:trHeight w:val="270"/>
        </w:trPr>
        <w:tc>
          <w:tcPr>
            <w:tcW w:w="1820" w:type="dxa"/>
            <w:vAlign w:val="bottom"/>
            <w:tcBorders>
              <w:left w:val="single" w:sz="8" w:color="auto"/>
            </w:tcBorders>
            <w:shd w:val="clear" w:color="auto" w:fill="DDDDDD"/>
          </w:tcPr>
          <w:p>
            <w:pPr>
              <w:ind w:left="380"/>
              <w:spacing w:after="0"/>
              <w:rPr>
                <w:sz w:val="20"/>
                <w:szCs w:val="20"/>
                <w:color w:val="auto"/>
              </w:rPr>
            </w:pPr>
            <w:r>
              <w:rPr>
                <w:rFonts w:ascii="Arial" w:cs="Arial" w:eastAsia="Arial" w:hAnsi="Arial"/>
                <w:sz w:val="14"/>
                <w:szCs w:val="14"/>
                <w:color w:val="666666"/>
              </w:rPr>
              <w:t>Change-In-Control</w:t>
            </w:r>
          </w:p>
        </w:tc>
        <w:tc>
          <w:tcPr>
            <w:tcW w:w="116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666666"/>
              </w:rPr>
              <w:t>1,385,739</w:t>
            </w:r>
          </w:p>
        </w:tc>
        <w:tc>
          <w:tcPr>
            <w:tcW w:w="560" w:type="dxa"/>
            <w:vAlign w:val="bottom"/>
            <w:shd w:val="clear" w:color="auto" w:fill="DDDDDD"/>
          </w:tcPr>
          <w:p>
            <w:pPr>
              <w:ind w:left="380"/>
              <w:spacing w:after="0"/>
              <w:rPr>
                <w:sz w:val="20"/>
                <w:szCs w:val="20"/>
                <w:color w:val="auto"/>
              </w:rPr>
            </w:pPr>
            <w:r>
              <w:rPr>
                <w:rFonts w:ascii="Arial" w:cs="Arial" w:eastAsia="Arial" w:hAnsi="Arial"/>
                <w:sz w:val="14"/>
                <w:szCs w:val="14"/>
                <w:color w:val="666666"/>
              </w:rPr>
              <w:t>—</w:t>
            </w:r>
          </w:p>
        </w:tc>
        <w:tc>
          <w:tcPr>
            <w:tcW w:w="136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w:t>
            </w:r>
          </w:p>
        </w:tc>
        <w:tc>
          <w:tcPr>
            <w:tcW w:w="104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shd w:val="clear" w:color="auto" w:fill="DDDDDD"/>
          </w:tcPr>
          <w:p>
            <w:pPr>
              <w:spacing w:after="0"/>
              <w:rPr>
                <w:sz w:val="23"/>
                <w:szCs w:val="23"/>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shd w:val="clear" w:color="auto" w:fill="DDDDDD"/>
          </w:tcPr>
          <w:p>
            <w:pPr>
              <w:spacing w:after="0"/>
              <w:rPr>
                <w:sz w:val="23"/>
                <w:szCs w:val="23"/>
                <w:color w:val="auto"/>
              </w:rPr>
            </w:pPr>
          </w:p>
        </w:tc>
        <w:tc>
          <w:tcPr>
            <w:tcW w:w="86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4"/>
                <w:szCs w:val="14"/>
                <w:color w:val="666666"/>
              </w:rPr>
              <w:t>1,385,739</w:t>
            </w:r>
          </w:p>
        </w:tc>
        <w:tc>
          <w:tcPr>
            <w:tcW w:w="0" w:type="dxa"/>
            <w:vAlign w:val="bottom"/>
          </w:tcPr>
          <w:p>
            <w:pPr>
              <w:spacing w:after="0"/>
              <w:rPr>
                <w:sz w:val="1"/>
                <w:szCs w:val="1"/>
                <w:color w:val="auto"/>
              </w:rPr>
            </w:pPr>
          </w:p>
        </w:tc>
      </w:tr>
      <w:tr>
        <w:trPr>
          <w:trHeight w:val="206"/>
        </w:trPr>
        <w:tc>
          <w:tcPr>
            <w:tcW w:w="1820" w:type="dxa"/>
            <w:vAlign w:val="bottom"/>
            <w:tcBorders>
              <w:left w:val="single" w:sz="8" w:color="auto"/>
            </w:tcBorders>
            <w:shd w:val="clear" w:color="auto" w:fill="DDDDDD"/>
          </w:tcPr>
          <w:p>
            <w:pPr>
              <w:ind w:left="380"/>
              <w:spacing w:after="0"/>
              <w:rPr>
                <w:sz w:val="20"/>
                <w:szCs w:val="20"/>
                <w:color w:val="auto"/>
              </w:rPr>
            </w:pPr>
            <w:r>
              <w:rPr>
                <w:rFonts w:ascii="Arial" w:cs="Arial" w:eastAsia="Arial" w:hAnsi="Arial"/>
                <w:sz w:val="14"/>
                <w:szCs w:val="14"/>
                <w:color w:val="666666"/>
              </w:rPr>
              <w:t>Involuntary</w:t>
            </w:r>
          </w:p>
        </w:tc>
        <w:tc>
          <w:tcPr>
            <w:tcW w:w="116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360" w:type="dxa"/>
            <w:vAlign w:val="bottom"/>
            <w:shd w:val="clear" w:color="auto" w:fill="DDDDDD"/>
          </w:tcPr>
          <w:p>
            <w:pPr>
              <w:spacing w:after="0"/>
              <w:rPr>
                <w:sz w:val="17"/>
                <w:szCs w:val="17"/>
                <w:color w:val="auto"/>
              </w:rPr>
            </w:pPr>
          </w:p>
        </w:tc>
        <w:tc>
          <w:tcPr>
            <w:tcW w:w="104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8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60" w:type="dxa"/>
            <w:vAlign w:val="bottom"/>
            <w:tcBorders>
              <w:right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20" w:type="dxa"/>
            <w:vAlign w:val="bottom"/>
            <w:tcBorders>
              <w:left w:val="single" w:sz="8" w:color="auto"/>
            </w:tcBorders>
            <w:shd w:val="clear" w:color="auto" w:fill="DDDDDD"/>
          </w:tcPr>
          <w:p>
            <w:pPr>
              <w:ind w:left="60"/>
              <w:spacing w:after="0"/>
              <w:rPr>
                <w:sz w:val="20"/>
                <w:szCs w:val="20"/>
                <w:color w:val="auto"/>
              </w:rPr>
            </w:pPr>
            <w:r>
              <w:rPr>
                <w:rFonts w:ascii="Arial" w:cs="Arial" w:eastAsia="Arial" w:hAnsi="Arial"/>
                <w:sz w:val="14"/>
                <w:szCs w:val="14"/>
                <w:color w:val="666666"/>
              </w:rPr>
              <w:t>Termination After Change-</w:t>
            </w:r>
          </w:p>
        </w:tc>
        <w:tc>
          <w:tcPr>
            <w:tcW w:w="1160" w:type="dxa"/>
            <w:vAlign w:val="bottom"/>
            <w:shd w:val="clear" w:color="auto" w:fill="DDDDDD"/>
          </w:tcPr>
          <w:p>
            <w:pPr>
              <w:spacing w:after="0"/>
              <w:rPr>
                <w:sz w:val="14"/>
                <w:szCs w:val="14"/>
                <w:color w:val="auto"/>
              </w:rPr>
            </w:pPr>
          </w:p>
        </w:tc>
        <w:tc>
          <w:tcPr>
            <w:tcW w:w="1300" w:type="dxa"/>
            <w:vAlign w:val="bottom"/>
            <w:shd w:val="clear" w:color="auto" w:fill="DDDDDD"/>
          </w:tcPr>
          <w:p>
            <w:pPr>
              <w:spacing w:after="0"/>
              <w:rPr>
                <w:sz w:val="14"/>
                <w:szCs w:val="14"/>
                <w:color w:val="auto"/>
              </w:rPr>
            </w:pPr>
          </w:p>
        </w:tc>
        <w:tc>
          <w:tcPr>
            <w:tcW w:w="560" w:type="dxa"/>
            <w:vAlign w:val="bottom"/>
            <w:shd w:val="clear" w:color="auto" w:fill="DDDDDD"/>
          </w:tcPr>
          <w:p>
            <w:pPr>
              <w:spacing w:after="0"/>
              <w:rPr>
                <w:sz w:val="14"/>
                <w:szCs w:val="14"/>
                <w:color w:val="auto"/>
              </w:rPr>
            </w:pPr>
          </w:p>
        </w:tc>
        <w:tc>
          <w:tcPr>
            <w:tcW w:w="1360" w:type="dxa"/>
            <w:vAlign w:val="bottom"/>
            <w:shd w:val="clear" w:color="auto" w:fill="DDDDDD"/>
          </w:tcPr>
          <w:p>
            <w:pPr>
              <w:spacing w:after="0"/>
              <w:rPr>
                <w:sz w:val="14"/>
                <w:szCs w:val="14"/>
                <w:color w:val="auto"/>
              </w:rPr>
            </w:pPr>
          </w:p>
        </w:tc>
        <w:tc>
          <w:tcPr>
            <w:tcW w:w="1040" w:type="dxa"/>
            <w:vAlign w:val="bottom"/>
            <w:shd w:val="clear" w:color="auto" w:fill="DDDDDD"/>
          </w:tcPr>
          <w:p>
            <w:pPr>
              <w:spacing w:after="0"/>
              <w:rPr>
                <w:sz w:val="14"/>
                <w:szCs w:val="14"/>
                <w:color w:val="auto"/>
              </w:rPr>
            </w:pPr>
          </w:p>
        </w:tc>
        <w:tc>
          <w:tcPr>
            <w:tcW w:w="200" w:type="dxa"/>
            <w:vAlign w:val="bottom"/>
            <w:shd w:val="clear" w:color="auto" w:fill="DDDDDD"/>
          </w:tcPr>
          <w:p>
            <w:pPr>
              <w:spacing w:after="0"/>
              <w:rPr>
                <w:sz w:val="14"/>
                <w:szCs w:val="14"/>
                <w:color w:val="auto"/>
              </w:rPr>
            </w:pPr>
          </w:p>
        </w:tc>
        <w:tc>
          <w:tcPr>
            <w:tcW w:w="9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860" w:type="dxa"/>
            <w:vAlign w:val="bottom"/>
            <w:tcBorders>
              <w:right w:val="single" w:sz="8" w:color="auto"/>
            </w:tcBorders>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820" w:type="dxa"/>
            <w:vAlign w:val="bottom"/>
            <w:tcBorders>
              <w:left w:val="single" w:sz="8" w:color="auto"/>
            </w:tcBorders>
            <w:shd w:val="clear" w:color="auto" w:fill="DDDDDD"/>
          </w:tcPr>
          <w:p>
            <w:pPr>
              <w:ind w:left="60"/>
              <w:spacing w:after="0"/>
              <w:rPr>
                <w:sz w:val="20"/>
                <w:szCs w:val="20"/>
                <w:color w:val="auto"/>
              </w:rPr>
            </w:pPr>
            <w:r>
              <w:rPr>
                <w:rFonts w:ascii="Arial" w:cs="Arial" w:eastAsia="Arial" w:hAnsi="Arial"/>
                <w:sz w:val="14"/>
                <w:szCs w:val="14"/>
                <w:color w:val="666666"/>
              </w:rPr>
              <w:t>In-Control</w:t>
            </w:r>
          </w:p>
        </w:tc>
        <w:tc>
          <w:tcPr>
            <w:tcW w:w="116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666666"/>
              </w:rPr>
              <w:t>1,181,294</w:t>
            </w:r>
          </w:p>
        </w:tc>
        <w:tc>
          <w:tcPr>
            <w:tcW w:w="560" w:type="dxa"/>
            <w:vAlign w:val="bottom"/>
            <w:shd w:val="clear" w:color="auto" w:fill="DDDDDD"/>
          </w:tcPr>
          <w:p>
            <w:pPr>
              <w:ind w:left="380"/>
              <w:spacing w:after="0"/>
              <w:rPr>
                <w:sz w:val="20"/>
                <w:szCs w:val="20"/>
                <w:color w:val="auto"/>
              </w:rPr>
            </w:pPr>
            <w:r>
              <w:rPr>
                <w:rFonts w:ascii="Arial" w:cs="Arial" w:eastAsia="Arial" w:hAnsi="Arial"/>
                <w:sz w:val="14"/>
                <w:szCs w:val="14"/>
                <w:color w:val="666666"/>
              </w:rPr>
              <w:t>—</w:t>
            </w:r>
          </w:p>
        </w:tc>
        <w:tc>
          <w:tcPr>
            <w:tcW w:w="1360" w:type="dxa"/>
            <w:vAlign w:val="bottom"/>
            <w:shd w:val="clear" w:color="auto" w:fill="DDDDDD"/>
          </w:tcPr>
          <w:p>
            <w:pPr>
              <w:jc w:val="center"/>
              <w:spacing w:after="0"/>
              <w:rPr>
                <w:sz w:val="20"/>
                <w:szCs w:val="20"/>
                <w:color w:val="auto"/>
              </w:rPr>
            </w:pPr>
            <w:r>
              <w:rPr>
                <w:rFonts w:ascii="Arial" w:cs="Arial" w:eastAsia="Arial" w:hAnsi="Arial"/>
                <w:sz w:val="14"/>
                <w:szCs w:val="14"/>
                <w:color w:val="666666"/>
              </w:rPr>
              <w:t>—</w:t>
            </w:r>
          </w:p>
        </w:tc>
        <w:tc>
          <w:tcPr>
            <w:tcW w:w="104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shd w:val="clear" w:color="auto" w:fill="DDDDDD"/>
          </w:tcPr>
          <w:p>
            <w:pPr>
              <w:spacing w:after="0"/>
              <w:rPr>
                <w:sz w:val="16"/>
                <w:szCs w:val="16"/>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shd w:val="clear" w:color="auto" w:fill="DDDDDD"/>
          </w:tcPr>
          <w:p>
            <w:pPr>
              <w:spacing w:after="0"/>
              <w:rPr>
                <w:sz w:val="16"/>
                <w:szCs w:val="16"/>
                <w:color w:val="auto"/>
              </w:rPr>
            </w:pPr>
          </w:p>
        </w:tc>
        <w:tc>
          <w:tcPr>
            <w:tcW w:w="86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4"/>
                <w:szCs w:val="14"/>
                <w:color w:val="666666"/>
              </w:rPr>
              <w:t>1,181,294</w:t>
            </w:r>
          </w:p>
        </w:tc>
        <w:tc>
          <w:tcPr>
            <w:tcW w:w="0" w:type="dxa"/>
            <w:vAlign w:val="bottom"/>
          </w:tcPr>
          <w:p>
            <w:pPr>
              <w:spacing w:after="0"/>
              <w:rPr>
                <w:sz w:val="1"/>
                <w:szCs w:val="1"/>
                <w:color w:val="auto"/>
              </w:rPr>
            </w:pPr>
          </w:p>
        </w:tc>
      </w:tr>
      <w:tr>
        <w:trPr>
          <w:trHeight w:val="258"/>
        </w:trPr>
        <w:tc>
          <w:tcPr>
            <w:tcW w:w="1820" w:type="dxa"/>
            <w:vAlign w:val="bottom"/>
            <w:tcBorders>
              <w:left w:val="single" w:sz="8" w:color="auto"/>
            </w:tcBorders>
          </w:tcPr>
          <w:p>
            <w:pPr>
              <w:ind w:left="60"/>
              <w:spacing w:after="0"/>
              <w:rPr>
                <w:sz w:val="20"/>
                <w:szCs w:val="20"/>
                <w:color w:val="auto"/>
              </w:rPr>
            </w:pPr>
            <w:r>
              <w:rPr>
                <w:rFonts w:ascii="Arial" w:cs="Arial" w:eastAsia="Arial" w:hAnsi="Arial"/>
                <w:sz w:val="14"/>
                <w:szCs w:val="14"/>
                <w:b w:val="1"/>
                <w:bCs w:val="1"/>
                <w:color w:val="666666"/>
              </w:rPr>
              <w:t>Susan L. Penfield</w:t>
            </w:r>
          </w:p>
        </w:tc>
        <w:tc>
          <w:tcPr>
            <w:tcW w:w="1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Death</w:t>
            </w:r>
          </w:p>
        </w:tc>
        <w:tc>
          <w:tcPr>
            <w:tcW w:w="116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tcPr>
          <w:p>
            <w:pPr>
              <w:jc w:val="center"/>
              <w:ind w:left="28"/>
              <w:spacing w:after="0"/>
              <w:rPr>
                <w:sz w:val="20"/>
                <w:szCs w:val="20"/>
                <w:color w:val="auto"/>
              </w:rPr>
            </w:pPr>
            <w:r>
              <w:rPr>
                <w:rFonts w:ascii="Arial" w:cs="Arial" w:eastAsia="Arial" w:hAnsi="Arial"/>
                <w:sz w:val="14"/>
                <w:szCs w:val="14"/>
                <w:color w:val="666666"/>
              </w:rPr>
              <w:t>2,381,143</w:t>
            </w:r>
          </w:p>
        </w:tc>
        <w:tc>
          <w:tcPr>
            <w:tcW w:w="56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666666"/>
              </w:rPr>
              <w:t>—</w:t>
            </w:r>
          </w:p>
        </w:tc>
        <w:tc>
          <w:tcPr>
            <w:tcW w:w="1040" w:type="dxa"/>
            <w:vAlign w:val="bottom"/>
          </w:tcPr>
          <w:p>
            <w:pPr>
              <w:jc w:val="center"/>
              <w:spacing w:after="0"/>
              <w:rPr>
                <w:sz w:val="20"/>
                <w:szCs w:val="20"/>
                <w:color w:val="auto"/>
              </w:rPr>
            </w:pPr>
            <w:r>
              <w:rPr>
                <w:rFonts w:ascii="Arial" w:cs="Arial" w:eastAsia="Arial" w:hAnsi="Arial"/>
                <w:sz w:val="14"/>
                <w:szCs w:val="14"/>
                <w:color w:val="666666"/>
              </w:rPr>
              <w:t>2,066,667</w:t>
            </w:r>
          </w:p>
        </w:tc>
        <w:tc>
          <w:tcPr>
            <w:tcW w:w="200" w:type="dxa"/>
            <w:vAlign w:val="bottom"/>
          </w:tcPr>
          <w:p>
            <w:pPr>
              <w:jc w:val="right"/>
              <w:ind w:right="20"/>
              <w:spacing w:after="0"/>
              <w:rPr>
                <w:sz w:val="20"/>
                <w:szCs w:val="20"/>
                <w:color w:val="auto"/>
              </w:rPr>
            </w:pPr>
            <w:r>
              <w:rPr>
                <w:rFonts w:ascii="Arial" w:cs="Arial" w:eastAsia="Arial" w:hAnsi="Arial"/>
                <w:sz w:val="12"/>
                <w:szCs w:val="12"/>
                <w:color w:val="666666"/>
              </w:rPr>
              <w:t>3</w:t>
            </w:r>
          </w:p>
        </w:tc>
        <w:tc>
          <w:tcPr>
            <w:tcW w:w="98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tcPr>
          <w:p>
            <w:pPr>
              <w:spacing w:after="0"/>
              <w:rPr>
                <w:sz w:val="23"/>
                <w:szCs w:val="23"/>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666666"/>
              </w:rPr>
              <w:t>4,447,810</w:t>
            </w:r>
          </w:p>
        </w:tc>
        <w:tc>
          <w:tcPr>
            <w:tcW w:w="0" w:type="dxa"/>
            <w:vAlign w:val="bottom"/>
          </w:tcPr>
          <w:p>
            <w:pPr>
              <w:spacing w:after="0"/>
              <w:rPr>
                <w:sz w:val="1"/>
                <w:szCs w:val="1"/>
                <w:color w:val="auto"/>
              </w:rPr>
            </w:pPr>
          </w:p>
        </w:tc>
      </w:tr>
      <w:tr>
        <w:trPr>
          <w:trHeight w:val="270"/>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Disability</w:t>
            </w:r>
          </w:p>
        </w:tc>
        <w:tc>
          <w:tcPr>
            <w:tcW w:w="116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56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666666"/>
              </w:rPr>
              <w:t>—</w:t>
            </w:r>
          </w:p>
        </w:tc>
        <w:tc>
          <w:tcPr>
            <w:tcW w:w="1040" w:type="dxa"/>
            <w:vAlign w:val="bottom"/>
          </w:tcPr>
          <w:p>
            <w:pPr>
              <w:jc w:val="center"/>
              <w:spacing w:after="0"/>
              <w:rPr>
                <w:sz w:val="20"/>
                <w:szCs w:val="20"/>
                <w:color w:val="auto"/>
              </w:rPr>
            </w:pPr>
            <w:r>
              <w:rPr>
                <w:rFonts w:ascii="Arial" w:cs="Arial" w:eastAsia="Arial" w:hAnsi="Arial"/>
                <w:sz w:val="14"/>
                <w:szCs w:val="14"/>
                <w:color w:val="666666"/>
              </w:rPr>
              <w:t>2,265,497</w:t>
            </w:r>
          </w:p>
        </w:tc>
        <w:tc>
          <w:tcPr>
            <w:tcW w:w="200" w:type="dxa"/>
            <w:vAlign w:val="bottom"/>
          </w:tcPr>
          <w:p>
            <w:pPr>
              <w:jc w:val="right"/>
              <w:ind w:right="20"/>
              <w:spacing w:after="0"/>
              <w:rPr>
                <w:sz w:val="20"/>
                <w:szCs w:val="20"/>
                <w:color w:val="auto"/>
              </w:rPr>
            </w:pPr>
            <w:r>
              <w:rPr>
                <w:rFonts w:ascii="Arial" w:cs="Arial" w:eastAsia="Arial" w:hAnsi="Arial"/>
                <w:sz w:val="12"/>
                <w:szCs w:val="12"/>
                <w:color w:val="666666"/>
              </w:rPr>
              <w:t>4</w:t>
            </w:r>
          </w:p>
        </w:tc>
        <w:tc>
          <w:tcPr>
            <w:tcW w:w="980" w:type="dxa"/>
            <w:vAlign w:val="bottom"/>
          </w:tcPr>
          <w:p>
            <w:pPr>
              <w:jc w:val="center"/>
              <w:spacing w:after="0"/>
              <w:rPr>
                <w:sz w:val="20"/>
                <w:szCs w:val="20"/>
                <w:color w:val="auto"/>
              </w:rPr>
            </w:pPr>
            <w:r>
              <w:rPr>
                <w:rFonts w:ascii="Arial" w:cs="Arial" w:eastAsia="Arial" w:hAnsi="Arial"/>
                <w:sz w:val="14"/>
                <w:szCs w:val="14"/>
                <w:color w:val="666666"/>
              </w:rPr>
              <w:t>964,889</w:t>
            </w:r>
          </w:p>
        </w:tc>
        <w:tc>
          <w:tcPr>
            <w:tcW w:w="180" w:type="dxa"/>
            <w:vAlign w:val="bottom"/>
          </w:tcPr>
          <w:p>
            <w:pPr>
              <w:jc w:val="right"/>
              <w:ind w:right="20"/>
              <w:spacing w:after="0"/>
              <w:rPr>
                <w:sz w:val="20"/>
                <w:szCs w:val="20"/>
                <w:color w:val="auto"/>
              </w:rPr>
            </w:pPr>
            <w:r>
              <w:rPr>
                <w:rFonts w:ascii="Arial" w:cs="Arial" w:eastAsia="Arial" w:hAnsi="Arial"/>
                <w:sz w:val="12"/>
                <w:szCs w:val="12"/>
                <w:color w:val="666666"/>
              </w:rPr>
              <w:t>5</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666666"/>
              </w:rPr>
              <w:t>3,230,386</w:t>
            </w:r>
          </w:p>
        </w:tc>
        <w:tc>
          <w:tcPr>
            <w:tcW w:w="0" w:type="dxa"/>
            <w:vAlign w:val="bottom"/>
          </w:tcPr>
          <w:p>
            <w:pPr>
              <w:spacing w:after="0"/>
              <w:rPr>
                <w:sz w:val="1"/>
                <w:szCs w:val="1"/>
                <w:color w:val="auto"/>
              </w:rPr>
            </w:pPr>
          </w:p>
        </w:tc>
      </w:tr>
      <w:tr>
        <w:trPr>
          <w:trHeight w:val="206"/>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Involuntary</w:t>
            </w: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vMerge w:val="restart"/>
          </w:tcPr>
          <w:p>
            <w:pPr>
              <w:jc w:val="right"/>
              <w:ind w:right="20"/>
              <w:spacing w:after="0"/>
              <w:rPr>
                <w:sz w:val="20"/>
                <w:szCs w:val="20"/>
                <w:color w:val="auto"/>
              </w:rPr>
            </w:pPr>
            <w:r>
              <w:rPr>
                <w:rFonts w:ascii="Arial" w:cs="Arial" w:eastAsia="Arial" w:hAnsi="Arial"/>
                <w:sz w:val="12"/>
                <w:szCs w:val="12"/>
                <w:color w:val="666666"/>
              </w:rPr>
              <w:t>6</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1820" w:type="dxa"/>
            <w:vAlign w:val="bottom"/>
            <w:tcBorders>
              <w:left w:val="single" w:sz="8" w:color="auto"/>
            </w:tcBorders>
            <w:vMerge w:val="restart"/>
          </w:tcPr>
          <w:p>
            <w:pPr>
              <w:ind w:left="60"/>
              <w:spacing w:after="0"/>
              <w:rPr>
                <w:sz w:val="20"/>
                <w:szCs w:val="20"/>
                <w:color w:val="auto"/>
              </w:rPr>
            </w:pPr>
            <w:r>
              <w:rPr>
                <w:rFonts w:ascii="Arial" w:cs="Arial" w:eastAsia="Arial" w:hAnsi="Arial"/>
                <w:sz w:val="14"/>
                <w:szCs w:val="14"/>
                <w:color w:val="666666"/>
              </w:rPr>
              <w:t>Termination</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666666"/>
              </w:rPr>
              <w:t>800,000</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666666"/>
                <w:w w:val="99"/>
              </w:rPr>
              <w:t>—</w:t>
            </w:r>
          </w:p>
        </w:tc>
        <w:tc>
          <w:tcPr>
            <w:tcW w:w="560" w:type="dxa"/>
            <w:vAlign w:val="bottom"/>
          </w:tcPr>
          <w:p>
            <w:pPr>
              <w:spacing w:after="0"/>
              <w:rPr>
                <w:sz w:val="5"/>
                <w:szCs w:val="5"/>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666666"/>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tcPr>
          <w:p>
            <w:pPr>
              <w:spacing w:after="0"/>
              <w:rPr>
                <w:sz w:val="5"/>
                <w:szCs w:val="5"/>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666666"/>
              </w:rPr>
              <w:t>30,000</w:t>
            </w:r>
          </w:p>
        </w:tc>
        <w:tc>
          <w:tcPr>
            <w:tcW w:w="180" w:type="dxa"/>
            <w:vAlign w:val="bottom"/>
            <w:vMerge w:val="continue"/>
          </w:tcPr>
          <w:p>
            <w:pPr>
              <w:spacing w:after="0"/>
              <w:rPr>
                <w:sz w:val="5"/>
                <w:szCs w:val="5"/>
                <w:color w:val="auto"/>
              </w:rPr>
            </w:pP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666666"/>
              </w:rPr>
              <w:t>830,000</w:t>
            </w:r>
          </w:p>
        </w:tc>
        <w:tc>
          <w:tcPr>
            <w:tcW w:w="0" w:type="dxa"/>
            <w:vAlign w:val="bottom"/>
          </w:tcPr>
          <w:p>
            <w:pPr>
              <w:spacing w:after="0"/>
              <w:rPr>
                <w:sz w:val="1"/>
                <w:szCs w:val="1"/>
                <w:color w:val="auto"/>
              </w:rPr>
            </w:pPr>
          </w:p>
        </w:tc>
      </w:tr>
      <w:tr>
        <w:trPr>
          <w:trHeight w:val="114"/>
        </w:trPr>
        <w:tc>
          <w:tcPr>
            <w:tcW w:w="1820" w:type="dxa"/>
            <w:vAlign w:val="bottom"/>
            <w:tcBorders>
              <w:left w:val="single" w:sz="8" w:color="auto"/>
            </w:tcBorders>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8"/>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 xml:space="preserve">Retirement </w:t>
            </w:r>
            <w:r>
              <w:rPr>
                <w:rFonts w:ascii="Arial" w:cs="Arial" w:eastAsia="Arial" w:hAnsi="Arial"/>
                <w:sz w:val="23"/>
                <w:szCs w:val="23"/>
                <w:color w:val="666666"/>
                <w:vertAlign w:val="superscript"/>
              </w:rPr>
              <w:t>11</w:t>
            </w:r>
          </w:p>
        </w:tc>
        <w:tc>
          <w:tcPr>
            <w:tcW w:w="116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5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666666"/>
              </w:rPr>
              <w:t>175,000</w:t>
            </w:r>
          </w:p>
        </w:tc>
        <w:tc>
          <w:tcPr>
            <w:tcW w:w="104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666666"/>
              </w:rPr>
              <w:t>1,066,204</w:t>
            </w:r>
          </w:p>
        </w:tc>
        <w:tc>
          <w:tcPr>
            <w:tcW w:w="180" w:type="dxa"/>
            <w:vAlign w:val="bottom"/>
          </w:tcPr>
          <w:p>
            <w:pPr>
              <w:jc w:val="right"/>
              <w:ind w:right="20"/>
              <w:spacing w:after="0"/>
              <w:rPr>
                <w:sz w:val="20"/>
                <w:szCs w:val="20"/>
                <w:color w:val="auto"/>
              </w:rPr>
            </w:pPr>
            <w:r>
              <w:rPr>
                <w:rFonts w:ascii="Arial" w:cs="Arial" w:eastAsia="Arial" w:hAnsi="Arial"/>
                <w:sz w:val="12"/>
                <w:szCs w:val="12"/>
                <w:color w:val="666666"/>
              </w:rPr>
              <w:t>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666666"/>
              </w:rPr>
              <w:t>1,241,204</w:t>
            </w:r>
          </w:p>
        </w:tc>
        <w:tc>
          <w:tcPr>
            <w:tcW w:w="0" w:type="dxa"/>
            <w:vAlign w:val="bottom"/>
          </w:tcPr>
          <w:p>
            <w:pPr>
              <w:spacing w:after="0"/>
              <w:rPr>
                <w:sz w:val="1"/>
                <w:szCs w:val="1"/>
                <w:color w:val="auto"/>
              </w:rPr>
            </w:pPr>
          </w:p>
        </w:tc>
      </w:tr>
      <w:tr>
        <w:trPr>
          <w:trHeight w:val="172"/>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Voluntary Resignation</w:t>
            </w:r>
          </w:p>
        </w:tc>
        <w:tc>
          <w:tcPr>
            <w:tcW w:w="116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5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666666"/>
              </w:rPr>
              <w:t>—</w:t>
            </w:r>
          </w:p>
        </w:tc>
        <w:tc>
          <w:tcPr>
            <w:tcW w:w="104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tcPr>
          <w:p>
            <w:pPr>
              <w:spacing w:after="0"/>
              <w:rPr>
                <w:sz w:val="14"/>
                <w:szCs w:val="14"/>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666666"/>
                <w:w w:val="99"/>
              </w:rPr>
              <w:t>—</w:t>
            </w:r>
          </w:p>
        </w:tc>
        <w:tc>
          <w:tcPr>
            <w:tcW w:w="0" w:type="dxa"/>
            <w:vAlign w:val="bottom"/>
          </w:tcPr>
          <w:p>
            <w:pPr>
              <w:spacing w:after="0"/>
              <w:rPr>
                <w:sz w:val="1"/>
                <w:szCs w:val="1"/>
                <w:color w:val="auto"/>
              </w:rPr>
            </w:pPr>
          </w:p>
        </w:tc>
      </w:tr>
      <w:tr>
        <w:trPr>
          <w:trHeight w:val="206"/>
        </w:trPr>
        <w:tc>
          <w:tcPr>
            <w:tcW w:w="182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Termination for</w:t>
            </w: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2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666666"/>
              </w:rPr>
              <w:t>Cause</w:t>
            </w:r>
          </w:p>
        </w:tc>
        <w:tc>
          <w:tcPr>
            <w:tcW w:w="116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5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666666"/>
              </w:rPr>
              <w:t>—</w:t>
            </w:r>
          </w:p>
        </w:tc>
        <w:tc>
          <w:tcPr>
            <w:tcW w:w="104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666666"/>
                <w:w w:val="99"/>
              </w:rPr>
              <w:t>—</w:t>
            </w:r>
          </w:p>
        </w:tc>
        <w:tc>
          <w:tcPr>
            <w:tcW w:w="180" w:type="dxa"/>
            <w:vAlign w:val="bottom"/>
          </w:tcPr>
          <w:p>
            <w:pPr>
              <w:spacing w:after="0"/>
              <w:rPr>
                <w:sz w:val="14"/>
                <w:szCs w:val="14"/>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666666"/>
                <w:w w:val="99"/>
              </w:rPr>
              <w:t>—</w:t>
            </w:r>
          </w:p>
        </w:tc>
        <w:tc>
          <w:tcPr>
            <w:tcW w:w="0" w:type="dxa"/>
            <w:vAlign w:val="bottom"/>
          </w:tcPr>
          <w:p>
            <w:pPr>
              <w:spacing w:after="0"/>
              <w:rPr>
                <w:sz w:val="1"/>
                <w:szCs w:val="1"/>
                <w:color w:val="auto"/>
              </w:rPr>
            </w:pPr>
          </w:p>
        </w:tc>
      </w:tr>
      <w:tr>
        <w:trPr>
          <w:trHeight w:val="48"/>
        </w:trPr>
        <w:tc>
          <w:tcPr>
            <w:tcW w:w="1820" w:type="dxa"/>
            <w:vAlign w:val="bottom"/>
            <w:tcBorders>
              <w:left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514" w:right="339" w:bottom="0" w:gutter="0" w:footer="0" w:header="0"/>
        </w:sectPr>
      </w:pPr>
    </w:p>
    <w:bookmarkStart w:id="55" w:name="page56"/>
    <w:bookmarkEnd w:id="55"/>
    <w:p>
      <w:pPr>
        <w:spacing w:after="0" w:line="1" w:lineRule="exact"/>
        <w:rPr>
          <w:sz w:val="20"/>
          <w:szCs w:val="20"/>
          <w:color w:val="auto"/>
        </w:rPr>
      </w:pPr>
    </w:p>
    <w:tbl>
      <w:tblPr>
        <w:tblLayout w:type="fixed"/>
        <w:tblInd w:w="790" w:type="dxa"/>
        <w:tblCellMar>
          <w:top w:w="0" w:type="dxa"/>
          <w:left w:w="0" w:type="dxa"/>
          <w:bottom w:w="0" w:type="dxa"/>
          <w:right w:w="0" w:type="dxa"/>
        </w:tblCellMar>
      </w:tblPr>
      <w:tr>
        <w:trPr>
          <w:trHeight w:val="275"/>
        </w:trPr>
        <w:tc>
          <w:tcPr>
            <w:tcW w:w="204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Change-In-Control</w:t>
            </w:r>
          </w:p>
        </w:tc>
        <w:tc>
          <w:tcPr>
            <w:tcW w:w="860" w:type="dxa"/>
            <w:vAlign w:val="bottom"/>
          </w:tcPr>
          <w:p>
            <w:pPr>
              <w:ind w:left="300"/>
              <w:spacing w:after="0"/>
              <w:rPr>
                <w:sz w:val="20"/>
                <w:szCs w:val="20"/>
                <w:color w:val="auto"/>
              </w:rPr>
            </w:pPr>
            <w:r>
              <w:rPr>
                <w:rFonts w:ascii="Arial" w:cs="Arial" w:eastAsia="Arial" w:hAnsi="Arial"/>
                <w:sz w:val="14"/>
                <w:szCs w:val="14"/>
                <w:color w:val="666666"/>
              </w:rPr>
              <w:t>—</w:t>
            </w:r>
          </w:p>
        </w:tc>
        <w:tc>
          <w:tcPr>
            <w:tcW w:w="1800" w:type="dxa"/>
            <w:vAlign w:val="bottom"/>
          </w:tcPr>
          <w:p>
            <w:pPr>
              <w:jc w:val="right"/>
              <w:ind w:right="668"/>
              <w:spacing w:after="0"/>
              <w:rPr>
                <w:sz w:val="20"/>
                <w:szCs w:val="20"/>
                <w:color w:val="auto"/>
              </w:rPr>
            </w:pPr>
            <w:r>
              <w:rPr>
                <w:rFonts w:ascii="Arial" w:cs="Arial" w:eastAsia="Arial" w:hAnsi="Arial"/>
                <w:sz w:val="14"/>
                <w:szCs w:val="14"/>
                <w:color w:val="666666"/>
              </w:rPr>
              <w:t>1,162,509</w:t>
            </w:r>
          </w:p>
        </w:tc>
        <w:tc>
          <w:tcPr>
            <w:tcW w:w="1420" w:type="dxa"/>
            <w:vAlign w:val="bottom"/>
          </w:tcPr>
          <w:p>
            <w:pPr>
              <w:ind w:left="740"/>
              <w:spacing w:after="0"/>
              <w:rPr>
                <w:sz w:val="20"/>
                <w:szCs w:val="20"/>
                <w:color w:val="auto"/>
              </w:rPr>
            </w:pPr>
            <w:r>
              <w:rPr>
                <w:rFonts w:ascii="Arial" w:cs="Arial" w:eastAsia="Arial" w:hAnsi="Arial"/>
                <w:sz w:val="14"/>
                <w:szCs w:val="14"/>
                <w:color w:val="666666"/>
              </w:rPr>
              <w:t>—</w:t>
            </w:r>
          </w:p>
        </w:tc>
        <w:tc>
          <w:tcPr>
            <w:tcW w:w="1120" w:type="dxa"/>
            <w:vAlign w:val="bottom"/>
          </w:tcPr>
          <w:p>
            <w:pPr>
              <w:ind w:left="540"/>
              <w:spacing w:after="0"/>
              <w:rPr>
                <w:sz w:val="20"/>
                <w:szCs w:val="20"/>
                <w:color w:val="auto"/>
              </w:rPr>
            </w:pPr>
            <w:r>
              <w:rPr>
                <w:rFonts w:ascii="Arial" w:cs="Arial" w:eastAsia="Arial" w:hAnsi="Arial"/>
                <w:sz w:val="14"/>
                <w:szCs w:val="14"/>
                <w:color w:val="666666"/>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666666"/>
              </w:rPr>
              <w:t>964,889</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23"/>
                <w:szCs w:val="23"/>
                <w:color w:val="666666"/>
                <w:vertAlign w:val="superscript"/>
              </w:rPr>
              <w:t>9</w:t>
            </w:r>
            <w:r>
              <w:rPr>
                <w:rFonts w:ascii="Arial" w:cs="Arial" w:eastAsia="Arial" w:hAnsi="Arial"/>
                <w:sz w:val="14"/>
                <w:szCs w:val="14"/>
                <w:color w:val="666666"/>
              </w:rPr>
              <w:t xml:space="preserve">    2,127,398</w:t>
            </w:r>
          </w:p>
        </w:tc>
      </w:tr>
      <w:tr>
        <w:trPr>
          <w:trHeight w:val="162"/>
        </w:trPr>
        <w:tc>
          <w:tcPr>
            <w:tcW w:w="2040" w:type="dxa"/>
            <w:vAlign w:val="bottom"/>
            <w:tcBorders>
              <w:left w:val="single" w:sz="8" w:color="auto"/>
            </w:tcBorders>
          </w:tcPr>
          <w:p>
            <w:pPr>
              <w:ind w:left="380"/>
              <w:spacing w:after="0"/>
              <w:rPr>
                <w:sz w:val="20"/>
                <w:szCs w:val="20"/>
                <w:color w:val="auto"/>
              </w:rPr>
            </w:pPr>
            <w:r>
              <w:rPr>
                <w:rFonts w:ascii="Arial" w:cs="Arial" w:eastAsia="Arial" w:hAnsi="Arial"/>
                <w:sz w:val="14"/>
                <w:szCs w:val="14"/>
                <w:color w:val="666666"/>
              </w:rPr>
              <w:t>Involuntary</w:t>
            </w: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r>
      <w:tr>
        <w:trPr>
          <w:trHeight w:val="162"/>
        </w:trPr>
        <w:tc>
          <w:tcPr>
            <w:tcW w:w="204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666666"/>
              </w:rPr>
              <w:t>Termination After Change-</w:t>
            </w: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r>
      <w:tr>
        <w:trPr>
          <w:trHeight w:val="191"/>
        </w:trPr>
        <w:tc>
          <w:tcPr>
            <w:tcW w:w="20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4"/>
                <w:szCs w:val="14"/>
                <w:color w:val="666666"/>
              </w:rPr>
              <w:t>In-Control</w:t>
            </w: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666666"/>
              </w:rPr>
              <w:t>—</w:t>
            </w:r>
          </w:p>
        </w:tc>
        <w:tc>
          <w:tcPr>
            <w:tcW w:w="18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666666"/>
              </w:rPr>
              <w:t>1,218,635</w:t>
            </w:r>
          </w:p>
        </w:tc>
        <w:tc>
          <w:tcPr>
            <w:tcW w:w="142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666666"/>
              </w:rPr>
              <w:t>—</w:t>
            </w:r>
          </w:p>
        </w:tc>
        <w:tc>
          <w:tcPr>
            <w:tcW w:w="112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666666"/>
              </w:rPr>
              <w:t>—</w:t>
            </w:r>
          </w:p>
        </w:tc>
        <w:tc>
          <w:tcPr>
            <w:tcW w:w="108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color w:val="666666"/>
                <w:w w:val="99"/>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666666"/>
              </w:rPr>
              <w:t>1,218,635</w:t>
            </w:r>
          </w:p>
        </w:tc>
      </w:tr>
    </w:tbl>
    <w:p>
      <w:pPr>
        <w:spacing w:after="0" w:line="221" w:lineRule="exact"/>
        <w:rPr>
          <w:sz w:val="20"/>
          <w:szCs w:val="20"/>
          <w:color w:val="auto"/>
        </w:rPr>
      </w:pPr>
    </w:p>
    <w:p>
      <w:pPr>
        <w:ind w:left="400" w:hanging="397"/>
        <w:spacing w:after="0" w:line="241" w:lineRule="auto"/>
        <w:tabs>
          <w:tab w:leader="none" w:pos="400" w:val="left"/>
        </w:tabs>
        <w:numPr>
          <w:ilvl w:val="0"/>
          <w:numId w:val="53"/>
        </w:numPr>
        <w:rPr>
          <w:rFonts w:ascii="Arial" w:cs="Arial" w:eastAsia="Arial" w:hAnsi="Arial"/>
          <w:sz w:val="14"/>
          <w:szCs w:val="14"/>
          <w:color w:val="666666"/>
        </w:rPr>
      </w:pPr>
      <w:r>
        <w:rPr>
          <w:rFonts w:ascii="Arial" w:cs="Arial" w:eastAsia="Arial" w:hAnsi="Arial"/>
          <w:sz w:val="14"/>
          <w:szCs w:val="14"/>
          <w:color w:val="666666"/>
        </w:rPr>
        <w:t>Each named executive officer is eligible for transition pay under our Transition Policy upon an involuntary termination equal to four months of base pay, plus one additional month for each year of service as an executive, up to a maximum of 12 months’ base pay.</w:t>
      </w:r>
    </w:p>
    <w:p>
      <w:pPr>
        <w:jc w:val="both"/>
        <w:ind w:left="400" w:hanging="397"/>
        <w:spacing w:after="0" w:line="245" w:lineRule="auto"/>
        <w:tabs>
          <w:tab w:leader="none" w:pos="400" w:val="left"/>
        </w:tabs>
        <w:numPr>
          <w:ilvl w:val="0"/>
          <w:numId w:val="53"/>
        </w:numPr>
        <w:rPr>
          <w:rFonts w:ascii="Arial" w:cs="Arial" w:eastAsia="Arial" w:hAnsi="Arial"/>
          <w:sz w:val="14"/>
          <w:szCs w:val="14"/>
          <w:color w:val="666666"/>
        </w:rPr>
      </w:pPr>
      <w:r>
        <w:rPr>
          <w:rFonts w:ascii="Arial" w:cs="Arial" w:eastAsia="Arial" w:hAnsi="Arial"/>
          <w:sz w:val="14"/>
          <w:szCs w:val="14"/>
          <w:color w:val="666666"/>
        </w:rPr>
        <w:t>This column includes the value of the equity with accelerated vesting calculated using $68.64, the closing fair market value of our common stock on March 31, 2020. With respect to the performance-based restricted stock units, this column assumes the named executive officer was involuntarily terminated on the date of the change in control. The accelerated vesting for a change in control is described in more detail under “Change in Control Protections.” In the event of death, all outstanding service-vesting options and time-based restricted stock units immediately vest. Upon certain qualifying retirement events, the performance-based restricted stock units will be treated as described below in footnote 11 to this table.</w:t>
      </w:r>
    </w:p>
    <w:p>
      <w:pPr>
        <w:spacing w:after="0" w:line="19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666666"/>
        </w:rPr>
        <w:t>46</w:t>
      </w:r>
    </w:p>
    <w:p>
      <w:pPr>
        <w:sectPr>
          <w:pgSz w:w="11900" w:h="16838" w:orient="portrait"/>
          <w:cols w:equalWidth="0" w:num="1">
            <w:col w:w="11100"/>
          </w:cols>
          <w:pgMar w:left="460" w:top="140" w:right="339" w:bottom="1440" w:gutter="0" w:footer="0" w:header="0"/>
        </w:sectPr>
      </w:pPr>
    </w:p>
    <w:bookmarkStart w:id="56" w:name="page57"/>
    <w:bookmarkEnd w:id="56"/>
    <w:p>
      <w:pPr>
        <w:ind w:left="400" w:hanging="397"/>
        <w:spacing w:after="0" w:line="241" w:lineRule="auto"/>
        <w:tabs>
          <w:tab w:leader="none" w:pos="400"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Each named executive officer has a $2 million life insurance policy. If the death was accidental, an additional $1.5 million would be paid. Decedent's survivors also receive one month’s base pay.</w:t>
      </w:r>
    </w:p>
    <w:p>
      <w:pPr>
        <w:jc w:val="both"/>
        <w:ind w:left="400" w:hanging="397"/>
        <w:spacing w:after="0" w:line="242" w:lineRule="auto"/>
        <w:tabs>
          <w:tab w:leader="none" w:pos="400"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Includes present value of disability insurance payments that cover up to 60% of base salary and bonus with a maximum benefit of $25,000 per month ($300,000 per year). The amounts in this column were calculated by valuing the benefit as a standard annuity benefit based on the incidence of disability, using assumptions consistent with FASB ASC 715-30 and 715-60 accounting for our other benefit programs and, for the assumption of a rate of disability, the 1977 Social Security Disability Index table.</w:t>
      </w:r>
    </w:p>
    <w:p>
      <w:pPr>
        <w:spacing w:after="0" w:line="160" w:lineRule="exact"/>
        <w:rPr>
          <w:rFonts w:ascii="Arial" w:cs="Arial" w:eastAsia="Arial" w:hAnsi="Arial"/>
          <w:sz w:val="14"/>
          <w:szCs w:val="14"/>
          <w:color w:val="666666"/>
        </w:rPr>
      </w:pPr>
    </w:p>
    <w:p>
      <w:pPr>
        <w:jc w:val="both"/>
        <w:ind w:left="400" w:hanging="397"/>
        <w:spacing w:after="0" w:line="241" w:lineRule="auto"/>
        <w:tabs>
          <w:tab w:leader="none" w:pos="400"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Amount includes actuarial present value of retiree medical benefits. The present value of accumulated benefits has been calculated in a manner consistent with our reporting of the Retired Officers’ Welfare Plan under FASB ASC 715-60, using the Accumulated Post-Retirement Benefit Obligation with an adjustment made to retirement age assumptions as required by SEC regulations.</w:t>
      </w:r>
    </w:p>
    <w:p>
      <w:pPr>
        <w:spacing w:after="0" w:line="1" w:lineRule="exact"/>
        <w:rPr>
          <w:rFonts w:ascii="Arial" w:cs="Arial" w:eastAsia="Arial" w:hAnsi="Arial"/>
          <w:sz w:val="14"/>
          <w:szCs w:val="14"/>
          <w:color w:val="666666"/>
        </w:rPr>
      </w:pPr>
    </w:p>
    <w:p>
      <w:pPr>
        <w:ind w:left="400" w:hanging="397"/>
        <w:spacing w:after="0"/>
        <w:tabs>
          <w:tab w:leader="none" w:pos="400"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Amount includes $30,000 outplacement assistance.</w:t>
      </w:r>
    </w:p>
    <w:p>
      <w:pPr>
        <w:spacing w:after="0" w:line="1" w:lineRule="exact"/>
        <w:rPr>
          <w:rFonts w:ascii="Arial" w:cs="Arial" w:eastAsia="Arial" w:hAnsi="Arial"/>
          <w:sz w:val="14"/>
          <w:szCs w:val="14"/>
          <w:color w:val="666666"/>
        </w:rPr>
      </w:pPr>
    </w:p>
    <w:p>
      <w:pPr>
        <w:jc w:val="both"/>
        <w:ind w:left="400" w:hanging="397"/>
        <w:spacing w:after="0" w:line="241" w:lineRule="auto"/>
        <w:tabs>
          <w:tab w:leader="none" w:pos="400"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These amounts represent the actuarial present value of retiree medical benefits which were calculated as described in footnote 5 above. Amounts in this column also include the actuarial present value of up to $4,000 per year for financial counseling assistance and were calculated with the same assumptions we use to disclose our Retired Officers’ Bonus Plan, consistent with FASB ASC 715-30, with an adjustment to the rate of retirement; the valuation is based on the discounted value of the full $4,000. The amount also includes a one-time retirement gift of $10,000, one-time reimbursement for $5,000 for retirement financial counseling, and depreciated value of bestowed office furniture.</w:t>
      </w:r>
    </w:p>
    <w:p>
      <w:pPr>
        <w:spacing w:after="0" w:line="1" w:lineRule="exact"/>
        <w:rPr>
          <w:rFonts w:ascii="Arial" w:cs="Arial" w:eastAsia="Arial" w:hAnsi="Arial"/>
          <w:sz w:val="14"/>
          <w:szCs w:val="14"/>
          <w:color w:val="666666"/>
        </w:rPr>
      </w:pPr>
    </w:p>
    <w:p>
      <w:pPr>
        <w:ind w:left="400" w:right="20" w:hanging="397"/>
        <w:spacing w:after="0" w:line="241" w:lineRule="auto"/>
        <w:tabs>
          <w:tab w:leader="none" w:pos="400"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Benefits under the Officers’ Retirement Plan. This amount has been calculated using the methodology and assumptions described in footnote 1 to the Pension Benefits Table above.</w:t>
      </w:r>
    </w:p>
    <w:p>
      <w:pPr>
        <w:ind w:left="400" w:hanging="397"/>
        <w:spacing w:after="0" w:line="241" w:lineRule="auto"/>
        <w:tabs>
          <w:tab w:leader="none" w:pos="400"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Reflects the present value of the guaranteed benefits and cash payment of the actuarial cost of the executive’s benefits under the executives’ retiree medical plan, assuming that the plan was terminated during the five years following a change in control.</w:t>
      </w:r>
    </w:p>
    <w:p>
      <w:pPr>
        <w:ind w:left="400" w:hanging="397"/>
        <w:spacing w:after="0"/>
        <w:tabs>
          <w:tab w:leader="none" w:pos="400"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Ms. Laben was not retirement eligible as an executive as of March 31, 2020.</w:t>
      </w:r>
    </w:p>
    <w:p>
      <w:pPr>
        <w:spacing w:after="0" w:line="1" w:lineRule="exact"/>
        <w:rPr>
          <w:rFonts w:ascii="Arial" w:cs="Arial" w:eastAsia="Arial" w:hAnsi="Arial"/>
          <w:sz w:val="14"/>
          <w:szCs w:val="14"/>
          <w:color w:val="666666"/>
        </w:rPr>
      </w:pPr>
    </w:p>
    <w:p>
      <w:pPr>
        <w:jc w:val="both"/>
        <w:ind w:left="400" w:hanging="397"/>
        <w:spacing w:after="0" w:line="248" w:lineRule="auto"/>
        <w:tabs>
          <w:tab w:leader="none" w:pos="400"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If the named executive officer’s employment terminated on or after March 31, 2020 by reason of a “qualifying permanent retirement” (as defined in the applicable award agreement), outstanding unvested performance-based restricted stock units will be eligible to continue to vest on the vesting date, subject to and based on actual achievement of the performance goals. The estimated value of the continued vesting would be $8,262,609, $3,097,037, $3,097,037, $1,181,294 and $1,218,635 for Mr. Rozanski, Mr. Howell, Ms. Dahut, Ms. Laben, and Ms. Penfield, respectively, calculated based on the closing fair market value of our common stock on March 31, 2020 and assuming for these purposes achievement of target performance levels. Upon a retirement that at any time is not considered a qualifying permanent retirement, the outstanding unvested performance-based restricted stock units will be forfeited.</w:t>
      </w:r>
    </w:p>
    <w:p>
      <w:pPr>
        <w:spacing w:after="0" w:line="200" w:lineRule="exact"/>
        <w:rPr>
          <w:sz w:val="20"/>
          <w:szCs w:val="20"/>
          <w:color w:val="auto"/>
        </w:rPr>
      </w:pPr>
    </w:p>
    <w:p>
      <w:pPr>
        <w:spacing w:after="0" w:line="32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666666"/>
        </w:rPr>
        <w:t>47</w:t>
      </w:r>
    </w:p>
    <w:p>
      <w:pPr>
        <w:sectPr>
          <w:pgSz w:w="11900" w:h="16838" w:orient="portrait"/>
          <w:cols w:equalWidth="0" w:num="1">
            <w:col w:w="11100"/>
          </w:cols>
          <w:pgMar w:left="460" w:top="360" w:right="339" w:bottom="1440" w:gutter="0" w:footer="0" w:header="0"/>
        </w:sectPr>
      </w:pPr>
    </w:p>
    <w:bookmarkStart w:id="57" w:name="page58"/>
    <w:bookmarkEnd w:id="57"/>
    <w:p>
      <w:pPr>
        <w:spacing w:after="0"/>
        <w:rPr>
          <w:sz w:val="20"/>
          <w:szCs w:val="20"/>
          <w:color w:val="auto"/>
        </w:rPr>
      </w:pPr>
      <w:r>
        <w:rPr>
          <w:rFonts w:ascii="Arial" w:cs="Arial" w:eastAsia="Arial" w:hAnsi="Arial"/>
          <w:sz w:val="20"/>
          <w:szCs w:val="20"/>
          <w:b w:val="1"/>
          <w:bCs w:val="1"/>
          <w:u w:val="single" w:color="auto"/>
          <w:color w:val="547BCC"/>
        </w:rPr>
        <w:t>Pay Ratio</w:t>
      </w:r>
    </w:p>
    <w:p>
      <w:pPr>
        <w:spacing w:after="0" w:line="253" w:lineRule="exact"/>
        <w:rPr>
          <w:sz w:val="20"/>
          <w:szCs w:val="20"/>
          <w:color w:val="auto"/>
        </w:rPr>
      </w:pPr>
    </w:p>
    <w:p>
      <w:pPr>
        <w:ind w:right="60" w:firstLine="324"/>
        <w:spacing w:after="0" w:line="243" w:lineRule="auto"/>
        <w:rPr>
          <w:sz w:val="20"/>
          <w:szCs w:val="20"/>
          <w:color w:val="auto"/>
        </w:rPr>
      </w:pPr>
      <w:r>
        <w:rPr>
          <w:rFonts w:ascii="Arial" w:cs="Arial" w:eastAsia="Arial" w:hAnsi="Arial"/>
          <w:sz w:val="20"/>
          <w:szCs w:val="20"/>
          <w:color w:val="666666"/>
        </w:rPr>
        <w:t>For fiscal year 2020, we used the same median employee that was identified in fiscal year 2019, because there has not been a change in our employee population or employee compensation arrangements that we believe would significantly change the pay ratio disclosure.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666666"/>
        </w:rPr>
        <w:t>In accordance with Section 953(b) of the Dodd-Frank Wall Street Reform and Consumer Protection Act (the "Dodd-Frank Act")</w:t>
      </w:r>
    </w:p>
    <w:p>
      <w:pPr>
        <w:spacing w:after="0"/>
        <w:rPr>
          <w:sz w:val="20"/>
          <w:szCs w:val="20"/>
          <w:color w:val="auto"/>
        </w:rPr>
      </w:pPr>
      <w:r>
        <w:rPr>
          <w:rFonts w:ascii="Arial" w:cs="Arial" w:eastAsia="Arial" w:hAnsi="Arial"/>
          <w:sz w:val="20"/>
          <w:szCs w:val="20"/>
          <w:color w:val="666666"/>
        </w:rPr>
        <w:t>and Item 402(u) of Regulation S-K, we are providing the following estimated information for fiscal year 2020:</w:t>
      </w:r>
    </w:p>
    <w:p>
      <w:pPr>
        <w:spacing w:after="0" w:line="229" w:lineRule="exact"/>
        <w:rPr>
          <w:sz w:val="20"/>
          <w:szCs w:val="20"/>
          <w:color w:val="auto"/>
        </w:rPr>
      </w:pPr>
    </w:p>
    <w:p>
      <w:pPr>
        <w:ind w:left="660" w:right="240" w:hanging="328"/>
        <w:spacing w:after="0" w:line="241" w:lineRule="auto"/>
        <w:tabs>
          <w:tab w:leader="none" w:pos="660" w:val="left"/>
        </w:tabs>
        <w:numPr>
          <w:ilvl w:val="0"/>
          <w:numId w:val="55"/>
        </w:numPr>
        <w:rPr>
          <w:rFonts w:ascii="Arial" w:cs="Arial" w:eastAsia="Arial" w:hAnsi="Arial"/>
          <w:sz w:val="20"/>
          <w:szCs w:val="20"/>
          <w:color w:val="666666"/>
        </w:rPr>
      </w:pPr>
      <w:r>
        <w:rPr>
          <w:rFonts w:ascii="Arial" w:cs="Arial" w:eastAsia="Arial" w:hAnsi="Arial"/>
          <w:sz w:val="20"/>
          <w:szCs w:val="20"/>
          <w:color w:val="666666"/>
        </w:rPr>
        <w:t>the total annual compensation of the median employee was approximately $126,696, which we calculated using the same methodology we used to determine the annual total compensation of our named executive officers for fiscal year 2019 (as set forth in the Summary Compensation Table of the Compensation Discussion and Analysis), and included base salary, employee referral bonuses, the company 401(k) plan match and the company paid portion of the medical and dental benefits;</w:t>
      </w:r>
    </w:p>
    <w:p>
      <w:pPr>
        <w:spacing w:after="0" w:line="222" w:lineRule="exact"/>
        <w:rPr>
          <w:rFonts w:ascii="Arial" w:cs="Arial" w:eastAsia="Arial" w:hAnsi="Arial"/>
          <w:sz w:val="20"/>
          <w:szCs w:val="20"/>
          <w:color w:val="666666"/>
        </w:rPr>
      </w:pPr>
    </w:p>
    <w:p>
      <w:pPr>
        <w:ind w:left="660" w:right="600" w:hanging="328"/>
        <w:spacing w:after="0" w:line="246" w:lineRule="auto"/>
        <w:tabs>
          <w:tab w:leader="none" w:pos="660" w:val="left"/>
        </w:tabs>
        <w:numPr>
          <w:ilvl w:val="0"/>
          <w:numId w:val="55"/>
        </w:numPr>
        <w:rPr>
          <w:rFonts w:ascii="Arial" w:cs="Arial" w:eastAsia="Arial" w:hAnsi="Arial"/>
          <w:sz w:val="20"/>
          <w:szCs w:val="20"/>
          <w:color w:val="666666"/>
        </w:rPr>
      </w:pPr>
      <w:r>
        <w:rPr>
          <w:rFonts w:ascii="Arial" w:cs="Arial" w:eastAsia="Arial" w:hAnsi="Arial"/>
          <w:sz w:val="20"/>
          <w:szCs w:val="20"/>
          <w:color w:val="666666"/>
        </w:rPr>
        <w:t>the annual total compensation of our CEO, as reported in the Summary Compensation Table of the Compensation Discussion and Analysis, was $8,095,433; and</w:t>
      </w:r>
    </w:p>
    <w:p>
      <w:pPr>
        <w:spacing w:after="0" w:line="217" w:lineRule="exact"/>
        <w:rPr>
          <w:rFonts w:ascii="Arial" w:cs="Arial" w:eastAsia="Arial" w:hAnsi="Arial"/>
          <w:sz w:val="20"/>
          <w:szCs w:val="20"/>
          <w:color w:val="666666"/>
        </w:rPr>
      </w:pPr>
    </w:p>
    <w:p>
      <w:pPr>
        <w:ind w:left="660" w:right="920" w:hanging="328"/>
        <w:spacing w:after="0" w:line="246" w:lineRule="auto"/>
        <w:tabs>
          <w:tab w:leader="none" w:pos="660" w:val="left"/>
        </w:tabs>
        <w:numPr>
          <w:ilvl w:val="0"/>
          <w:numId w:val="55"/>
        </w:numPr>
        <w:rPr>
          <w:rFonts w:ascii="Arial" w:cs="Arial" w:eastAsia="Arial" w:hAnsi="Arial"/>
          <w:sz w:val="20"/>
          <w:szCs w:val="20"/>
          <w:color w:val="666666"/>
        </w:rPr>
      </w:pPr>
      <w:r>
        <w:rPr>
          <w:rFonts w:ascii="Arial" w:cs="Arial" w:eastAsia="Arial" w:hAnsi="Arial"/>
          <w:sz w:val="20"/>
          <w:szCs w:val="20"/>
          <w:color w:val="666666"/>
        </w:rPr>
        <w:t>the ratio of the annual total compensation of our CEO to the median of the annual total compensation of all our employees (the "Pay Ratio") was approximately 64 to 1.</w:t>
      </w:r>
    </w:p>
    <w:p>
      <w:pPr>
        <w:spacing w:after="0" w:line="217" w:lineRule="exact"/>
        <w:rPr>
          <w:sz w:val="20"/>
          <w:szCs w:val="20"/>
          <w:color w:val="auto"/>
        </w:rPr>
      </w:pPr>
    </w:p>
    <w:p>
      <w:pPr>
        <w:ind w:firstLine="324"/>
        <w:spacing w:after="0" w:line="241" w:lineRule="auto"/>
        <w:rPr>
          <w:sz w:val="20"/>
          <w:szCs w:val="20"/>
          <w:color w:val="auto"/>
        </w:rPr>
      </w:pPr>
      <w:r>
        <w:rPr>
          <w:rFonts w:ascii="Arial" w:cs="Arial" w:eastAsia="Arial" w:hAnsi="Arial"/>
          <w:sz w:val="20"/>
          <w:szCs w:val="20"/>
          <w:color w:val="666666"/>
        </w:rPr>
        <w:t>The Pay Ratio is a reasonable estimate calculated in a matter consistent with Item 402(u) of Regulation S-K. Additionally, the rules for identifying the "median employee" and calculating the Pay Ratio allow companies to apply various methodologies and assumptions. As a result, the compensation for our median employee and the Pay Ratio reported by us should not be used as a comparison to the information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666666"/>
        </w:rPr>
        <w:t>48</w:t>
      </w:r>
    </w:p>
    <w:p>
      <w:pPr>
        <w:sectPr>
          <w:pgSz w:w="11900" w:h="16838" w:orient="portrait"/>
          <w:cols w:equalWidth="0" w:num="1">
            <w:col w:w="11240"/>
          </w:cols>
          <w:pgMar w:left="320" w:top="328" w:right="339" w:bottom="1440" w:gutter="0" w:footer="0" w:header="0"/>
        </w:sectPr>
      </w:pPr>
    </w:p>
    <w:bookmarkStart w:id="58" w:name="page59"/>
    <w:bookmarkEnd w:id="58"/>
    <w:p>
      <w:pPr>
        <w:ind w:left="280"/>
        <w:spacing w:after="0"/>
        <w:rPr>
          <w:sz w:val="20"/>
          <w:szCs w:val="20"/>
          <w:color w:val="auto"/>
        </w:rPr>
      </w:pPr>
      <w:r>
        <w:rPr>
          <w:rFonts w:ascii="Arial" w:cs="Arial" w:eastAsia="Arial" w:hAnsi="Arial"/>
          <w:sz w:val="31"/>
          <w:szCs w:val="31"/>
          <w:b w:val="1"/>
          <w:bCs w:val="1"/>
          <w:color w:val="547BCC"/>
        </w:rPr>
        <w:t>COMPENSATION COMMITTEE REPORT ON EXECUTIVE COMPENSATION</w:t>
      </w:r>
    </w:p>
    <w:p>
      <w:pPr>
        <w:spacing w:after="0" w:line="198"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666666"/>
        </w:rPr>
        <w:t>The Compensation Committee has reviewed and discussed the CD&amp;A included in this proxy statement with members of management, and based on such review and discussions, the Compensation Committee recommended to the Board that the CD&amp;A be included in this proxy statement.</w:t>
      </w:r>
    </w:p>
    <w:p>
      <w:pPr>
        <w:spacing w:after="0" w:line="152" w:lineRule="exact"/>
        <w:rPr>
          <w:sz w:val="20"/>
          <w:szCs w:val="20"/>
          <w:color w:val="auto"/>
        </w:rPr>
      </w:pPr>
    </w:p>
    <w:p>
      <w:pPr>
        <w:ind w:left="5740"/>
        <w:spacing w:after="0"/>
        <w:rPr>
          <w:sz w:val="20"/>
          <w:szCs w:val="20"/>
          <w:color w:val="auto"/>
        </w:rPr>
      </w:pPr>
      <w:r>
        <w:rPr>
          <w:rFonts w:ascii="Arial" w:cs="Arial" w:eastAsia="Arial" w:hAnsi="Arial"/>
          <w:sz w:val="20"/>
          <w:szCs w:val="20"/>
          <w:color w:val="666666"/>
        </w:rPr>
        <w:t>THE COMPENSATION COMMITTEE</w:t>
      </w:r>
    </w:p>
    <w:p>
      <w:pPr>
        <w:spacing w:after="0" w:line="161" w:lineRule="exact"/>
        <w:rPr>
          <w:sz w:val="20"/>
          <w:szCs w:val="20"/>
          <w:color w:val="auto"/>
        </w:rPr>
      </w:pPr>
    </w:p>
    <w:p>
      <w:pPr>
        <w:ind w:left="5740"/>
        <w:spacing w:after="0"/>
        <w:rPr>
          <w:sz w:val="20"/>
          <w:szCs w:val="20"/>
          <w:color w:val="auto"/>
        </w:rPr>
      </w:pPr>
      <w:r>
        <w:rPr>
          <w:rFonts w:ascii="Arial" w:cs="Arial" w:eastAsia="Arial" w:hAnsi="Arial"/>
          <w:sz w:val="20"/>
          <w:szCs w:val="20"/>
          <w:color w:val="666666"/>
        </w:rPr>
        <w:t>Gretchen W. McClain (Chair)</w:t>
      </w:r>
    </w:p>
    <w:p>
      <w:pPr>
        <w:ind w:left="5740"/>
        <w:spacing w:after="0"/>
        <w:rPr>
          <w:sz w:val="20"/>
          <w:szCs w:val="20"/>
          <w:color w:val="auto"/>
        </w:rPr>
      </w:pPr>
      <w:r>
        <w:rPr>
          <w:rFonts w:ascii="Arial" w:cs="Arial" w:eastAsia="Arial" w:hAnsi="Arial"/>
          <w:sz w:val="20"/>
          <w:szCs w:val="20"/>
          <w:color w:val="666666"/>
        </w:rPr>
        <w:t>Melody C. Barnes</w:t>
      </w:r>
    </w:p>
    <w:p>
      <w:pPr>
        <w:ind w:left="5740"/>
        <w:spacing w:after="0"/>
        <w:rPr>
          <w:sz w:val="20"/>
          <w:szCs w:val="20"/>
          <w:color w:val="auto"/>
        </w:rPr>
      </w:pPr>
      <w:r>
        <w:rPr>
          <w:rFonts w:ascii="Arial" w:cs="Arial" w:eastAsia="Arial" w:hAnsi="Arial"/>
          <w:sz w:val="20"/>
          <w:szCs w:val="20"/>
          <w:color w:val="666666"/>
        </w:rPr>
        <w:t>Peter Clare</w:t>
      </w:r>
    </w:p>
    <w:p>
      <w:pPr>
        <w:ind w:left="5740"/>
        <w:spacing w:after="0"/>
        <w:rPr>
          <w:sz w:val="20"/>
          <w:szCs w:val="20"/>
          <w:color w:val="auto"/>
        </w:rPr>
      </w:pPr>
      <w:r>
        <w:rPr>
          <w:rFonts w:ascii="Arial" w:cs="Arial" w:eastAsia="Arial" w:hAnsi="Arial"/>
          <w:sz w:val="20"/>
          <w:szCs w:val="20"/>
          <w:color w:val="666666"/>
        </w:rPr>
        <w:t>Michèle A. Flournoy</w:t>
      </w:r>
    </w:p>
    <w:p>
      <w:pPr>
        <w:ind w:left="5740"/>
        <w:spacing w:after="0"/>
        <w:rPr>
          <w:sz w:val="20"/>
          <w:szCs w:val="20"/>
          <w:color w:val="auto"/>
        </w:rPr>
      </w:pPr>
      <w:r>
        <w:rPr>
          <w:rFonts w:ascii="Arial" w:cs="Arial" w:eastAsia="Arial" w:hAnsi="Arial"/>
          <w:sz w:val="20"/>
          <w:szCs w:val="20"/>
          <w:color w:val="666666"/>
        </w:rPr>
        <w:t>Ian Fujiyama</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49</w:t>
      </w:r>
    </w:p>
    <w:p>
      <w:pPr>
        <w:sectPr>
          <w:pgSz w:w="11900" w:h="16838" w:orient="portrait"/>
          <w:cols w:equalWidth="0" w:num="1">
            <w:col w:w="11240"/>
          </w:cols>
          <w:pgMar w:left="320" w:top="540"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31"/>
          <w:szCs w:val="31"/>
          <w:b w:val="1"/>
          <w:bCs w:val="1"/>
          <w:color w:val="547BCC"/>
        </w:rPr>
        <w:t>AUDIT COMMITTEE REPORT</w:t>
      </w:r>
    </w:p>
    <w:p>
      <w:pPr>
        <w:spacing w:after="0" w:line="198"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The Audit Committee is composed of five directors identified below, each of whom is an independent director as defined by the applicable SEC rules and the NYSE listing standards. Four committee members, Mark E. Gaumond, Joan Amble, Ellen Jewett and Charles O. Rossotti, have been designated by the Board as “audit committee financial experts” under applicable SEC rules. For further description of each committee member’s background and expertise, please refer to the director qualification section of our proxy statement beginning on page six.</w:t>
      </w:r>
    </w:p>
    <w:p>
      <w:pPr>
        <w:spacing w:after="0" w:line="222" w:lineRule="exact"/>
        <w:rPr>
          <w:sz w:val="20"/>
          <w:szCs w:val="20"/>
          <w:color w:val="auto"/>
        </w:rPr>
      </w:pPr>
    </w:p>
    <w:p>
      <w:pPr>
        <w:ind w:right="100" w:firstLine="324"/>
        <w:spacing w:after="0"/>
        <w:rPr>
          <w:sz w:val="20"/>
          <w:szCs w:val="20"/>
          <w:color w:val="auto"/>
        </w:rPr>
      </w:pPr>
      <w:r>
        <w:rPr>
          <w:rFonts w:ascii="Arial" w:cs="Arial" w:eastAsia="Arial" w:hAnsi="Arial"/>
          <w:sz w:val="20"/>
          <w:szCs w:val="20"/>
          <w:color w:val="666666"/>
        </w:rPr>
        <w:t>The Audit Committee is responsible for assisting the Board in fulfilling its oversight responsibilities relating to, among other things, the Company’s accounting, auditing, and financial reporting processes, internal controls, compliance with legal and regulatory requirements and its code of ethics and risk management, as discussed more fully in the Audit Committee charter, a copy of which is available on our website, www.boozallen.com. In accordance with its charter, the Audit Committee appoints the Company’s independent registered public accounting firm, E&amp;Y, subject to stockholder ratification, and conducts an annual review of its performance. In addition, the Audit Committee pre-approves all audit and permissible non-audit services provided by E&amp;Y, and the fees for those services. The Audit Committee also oversees the Company’s internal audit function, including its annual audit plan, budget, and staffing. As part of its oversight role, the Audit Committee meets throughout the year, separately and together, with each of management, the Company's internal auditors, and E&amp;Y.</w:t>
      </w:r>
    </w:p>
    <w:p>
      <w:pPr>
        <w:spacing w:after="0" w:line="158"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Management has the primary responsibility for the Company's financial statements and accounting and reporting processes, including the systems of internal accounting control. E&amp;Y is responsible for performing an independent audit of the consolidated financial statements in accordance with the standards of the Public Company Accounting Oversight Board (“PCAOB”), and rendering opinions on whether the financial statements are in conformity with accounting principles generally accepted in the United States and the effectiveness of the Company’s internal control over financial reporting.</w:t>
      </w:r>
    </w:p>
    <w:p>
      <w:pPr>
        <w:spacing w:after="0" w:line="155"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The Audit Committee has reviewed and discussed with management of the Company and E&amp;Y, the audited consolidated financial statements of the Company for the fiscal year ended March 31, 2020 (the “Audited Financial Statements”), and their assessment of the effectiveness of internal control over financial reporting. The Audit Committee also reviewed any significant audit findings identified by E&amp;Y, and those identified by the Company's internal auditors as well as management's responses thereto. In addition, the Audit Committee discussed with E&amp;Y the matters required to be discussed by the applicable requirements of the PCAOB and the SEC.</w:t>
      </w:r>
    </w:p>
    <w:p>
      <w:pPr>
        <w:spacing w:after="0" w:line="159"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The Audit Committee has also: (i) considered whether non-audit services provided by E&amp;Y are compatible with its independence; (ii) received the written disclosures and the letter from E&amp;Y required by the applicable requirements of the PCAOB regarding E&amp;Y’s communications with the Audit Committee concerning independence; and (iii) discussed with E&amp;Y its independence.</w:t>
      </w:r>
    </w:p>
    <w:p>
      <w:pPr>
        <w:spacing w:after="0" w:line="15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666666"/>
        </w:rPr>
        <w:t>Based on the reviews and discussions described above, the Audit Committee recommended to the Board that the Audited Financial Statements be included in our Annual Report on Form 10-K for the fiscal year ended March 31, 2020 for filing with the SEC.</w:t>
      </w:r>
    </w:p>
    <w:p>
      <w:pPr>
        <w:spacing w:after="0" w:line="152" w:lineRule="exact"/>
        <w:rPr>
          <w:sz w:val="20"/>
          <w:szCs w:val="20"/>
          <w:color w:val="auto"/>
        </w:rPr>
      </w:pPr>
    </w:p>
    <w:p>
      <w:pPr>
        <w:ind w:left="5740"/>
        <w:spacing w:after="0"/>
        <w:rPr>
          <w:sz w:val="20"/>
          <w:szCs w:val="20"/>
          <w:color w:val="auto"/>
        </w:rPr>
      </w:pPr>
      <w:r>
        <w:rPr>
          <w:rFonts w:ascii="Arial" w:cs="Arial" w:eastAsia="Arial" w:hAnsi="Arial"/>
          <w:sz w:val="20"/>
          <w:szCs w:val="20"/>
          <w:color w:val="666666"/>
        </w:rPr>
        <w:t>THE AUDIT COMMITTEE</w:t>
      </w:r>
    </w:p>
    <w:p>
      <w:pPr>
        <w:spacing w:after="0" w:line="161" w:lineRule="exact"/>
        <w:rPr>
          <w:sz w:val="20"/>
          <w:szCs w:val="20"/>
          <w:color w:val="auto"/>
        </w:rPr>
      </w:pPr>
    </w:p>
    <w:p>
      <w:pPr>
        <w:ind w:left="5740"/>
        <w:spacing w:after="0"/>
        <w:rPr>
          <w:sz w:val="20"/>
          <w:szCs w:val="20"/>
          <w:color w:val="auto"/>
        </w:rPr>
      </w:pPr>
      <w:r>
        <w:rPr>
          <w:rFonts w:ascii="Arial" w:cs="Arial" w:eastAsia="Arial" w:hAnsi="Arial"/>
          <w:sz w:val="20"/>
          <w:szCs w:val="20"/>
          <w:color w:val="666666"/>
        </w:rPr>
        <w:t>Mark E. Gaumond (Chair)</w:t>
      </w:r>
    </w:p>
    <w:p>
      <w:pPr>
        <w:ind w:left="5740"/>
        <w:spacing w:after="0"/>
        <w:rPr>
          <w:sz w:val="20"/>
          <w:szCs w:val="20"/>
          <w:color w:val="auto"/>
        </w:rPr>
      </w:pPr>
      <w:r>
        <w:rPr>
          <w:rFonts w:ascii="Arial" w:cs="Arial" w:eastAsia="Arial" w:hAnsi="Arial"/>
          <w:sz w:val="20"/>
          <w:szCs w:val="20"/>
          <w:color w:val="666666"/>
        </w:rPr>
        <w:t>Joan Lordi C. Amble</w:t>
      </w:r>
    </w:p>
    <w:p>
      <w:pPr>
        <w:ind w:left="5740"/>
        <w:spacing w:after="0"/>
        <w:rPr>
          <w:sz w:val="20"/>
          <w:szCs w:val="20"/>
          <w:color w:val="auto"/>
        </w:rPr>
      </w:pPr>
      <w:r>
        <w:rPr>
          <w:rFonts w:ascii="Arial" w:cs="Arial" w:eastAsia="Arial" w:hAnsi="Arial"/>
          <w:sz w:val="20"/>
          <w:szCs w:val="20"/>
          <w:color w:val="666666"/>
        </w:rPr>
        <w:t>Ellen Jewett</w:t>
      </w:r>
    </w:p>
    <w:p>
      <w:pPr>
        <w:ind w:left="5740"/>
        <w:spacing w:after="0"/>
        <w:rPr>
          <w:sz w:val="20"/>
          <w:szCs w:val="20"/>
          <w:color w:val="auto"/>
        </w:rPr>
      </w:pPr>
      <w:r>
        <w:rPr>
          <w:rFonts w:ascii="Arial" w:cs="Arial" w:eastAsia="Arial" w:hAnsi="Arial"/>
          <w:sz w:val="20"/>
          <w:szCs w:val="20"/>
          <w:color w:val="666666"/>
        </w:rPr>
        <w:t>Arthur E. Johnson</w:t>
      </w:r>
    </w:p>
    <w:p>
      <w:pPr>
        <w:ind w:left="5740"/>
        <w:spacing w:after="0"/>
        <w:rPr>
          <w:sz w:val="20"/>
          <w:szCs w:val="20"/>
          <w:color w:val="auto"/>
        </w:rPr>
      </w:pPr>
      <w:r>
        <w:rPr>
          <w:rFonts w:ascii="Arial" w:cs="Arial" w:eastAsia="Arial" w:hAnsi="Arial"/>
          <w:sz w:val="20"/>
          <w:szCs w:val="20"/>
          <w:color w:val="666666"/>
        </w:rPr>
        <w:t>Charles O. Rossotti</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50</w:t>
      </w:r>
    </w:p>
    <w:p>
      <w:pPr>
        <w:sectPr>
          <w:pgSz w:w="11900" w:h="16838" w:orient="portrait"/>
          <w:cols w:equalWidth="0" w:num="1">
            <w:col w:w="11240"/>
          </w:cols>
          <w:pgMar w:left="320" w:top="324" w:right="339" w:bottom="1440" w:gutter="0" w:footer="0" w:header="0"/>
        </w:sectPr>
      </w:pPr>
    </w:p>
    <w:bookmarkStart w:id="60" w:name="page61"/>
    <w:bookmarkEnd w:id="60"/>
    <w:p>
      <w:pPr>
        <w:jc w:val="center"/>
        <w:spacing w:after="0" w:line="279" w:lineRule="auto"/>
        <w:rPr>
          <w:sz w:val="20"/>
          <w:szCs w:val="20"/>
          <w:color w:val="auto"/>
        </w:rPr>
      </w:pPr>
      <w:r>
        <w:rPr>
          <w:rFonts w:ascii="Arial" w:cs="Arial" w:eastAsia="Arial" w:hAnsi="Arial"/>
          <w:sz w:val="31"/>
          <w:szCs w:val="31"/>
          <w:b w:val="1"/>
          <w:bCs w:val="1"/>
          <w:color w:val="547BCC"/>
        </w:rPr>
        <w:t>PRE-APPROVAL OF SERVICES BY INDEPENDENT REGISTERED ACCOUNTING FIRM</w:t>
      </w:r>
    </w:p>
    <w:p>
      <w:pPr>
        <w:spacing w:after="0" w:line="90"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The Audit Committee pre-approves all audit, audit-related, tax, and other services performed by our independent auditors. The Audit Committee pre-approves specific categories of services up to pre-established fee thresholds. Unless the type of service had previously been pre-approved, the Audit Committee must approve that specific service before the independent auditors may perform it. In addition, separate approval is required if the amount of fees for any pre-approved category of service exceeds the fee thresholds established by the Audit Committee. The Audit Committee has delegated to the chair of the committee pre-approval authority with respect to permitted services, provided that the chair must report any pre-approval decisions to the Audit Committee at its next scheduled meeting. All fees described below were pre-approved by the Audit Committee.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51</w:t>
      </w:r>
    </w:p>
    <w:p>
      <w:pPr>
        <w:sectPr>
          <w:pgSz w:w="11900" w:h="16838" w:orient="portrait"/>
          <w:cols w:equalWidth="0" w:num="1">
            <w:col w:w="11240"/>
          </w:cols>
          <w:pgMar w:left="320" w:top="486" w:right="3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31"/>
          <w:szCs w:val="31"/>
          <w:b w:val="1"/>
          <w:bCs w:val="1"/>
          <w:color w:val="547BCC"/>
        </w:rPr>
        <w:t>INDEPENDENT REGISTERED PUBLIC ACCOUNTING FIRM FEES</w:t>
      </w:r>
    </w:p>
    <w:p>
      <w:pPr>
        <w:spacing w:after="0" w:line="198" w:lineRule="exact"/>
        <w:rPr>
          <w:sz w:val="20"/>
          <w:szCs w:val="20"/>
          <w:color w:val="auto"/>
        </w:rPr>
      </w:pPr>
    </w:p>
    <w:p>
      <w:pPr>
        <w:ind w:right="20" w:firstLine="324"/>
        <w:spacing w:after="0" w:line="246" w:lineRule="auto"/>
        <w:rPr>
          <w:sz w:val="20"/>
          <w:szCs w:val="20"/>
          <w:color w:val="auto"/>
        </w:rPr>
      </w:pPr>
      <w:r>
        <w:rPr>
          <w:rFonts w:ascii="Arial" w:cs="Arial" w:eastAsia="Arial" w:hAnsi="Arial"/>
          <w:sz w:val="20"/>
          <w:szCs w:val="20"/>
          <w:color w:val="5E5E61"/>
        </w:rPr>
        <w:t>The following table presents the Company’s fees for services performed by its principal accounting firm, E&amp;Y, during fiscal years 2020 and 2019.</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20" w:type="dxa"/>
            <w:vAlign w:val="bottom"/>
            <w:shd w:val="clear" w:color="auto" w:fill="D8D8D8"/>
          </w:tcPr>
          <w:p>
            <w:pPr>
              <w:spacing w:after="0"/>
              <w:rPr>
                <w:sz w:val="20"/>
                <w:szCs w:val="20"/>
                <w:color w:val="auto"/>
              </w:rPr>
            </w:pPr>
            <w:r>
              <w:rPr>
                <w:rFonts w:ascii="Arial" w:cs="Arial" w:eastAsia="Arial" w:hAnsi="Arial"/>
                <w:sz w:val="14"/>
                <w:szCs w:val="14"/>
                <w:b w:val="1"/>
                <w:bCs w:val="1"/>
                <w:color w:val="666666"/>
              </w:rPr>
              <w:t>(Amounts in thousands)</w:t>
            </w:r>
          </w:p>
        </w:tc>
        <w:tc>
          <w:tcPr>
            <w:tcW w:w="460" w:type="dxa"/>
            <w:vAlign w:val="bottom"/>
            <w:tcBorders>
              <w:bottom w:val="single" w:sz="8" w:color="666666"/>
            </w:tcBorders>
            <w:shd w:val="clear" w:color="auto" w:fill="D8D8D8"/>
          </w:tcPr>
          <w:p>
            <w:pPr>
              <w:spacing w:after="0"/>
              <w:rPr>
                <w:sz w:val="23"/>
                <w:szCs w:val="23"/>
                <w:color w:val="auto"/>
              </w:rPr>
            </w:pPr>
          </w:p>
        </w:tc>
        <w:tc>
          <w:tcPr>
            <w:tcW w:w="1500" w:type="dxa"/>
            <w:vAlign w:val="bottom"/>
            <w:tcBorders>
              <w:bottom w:val="single" w:sz="8" w:color="666666"/>
            </w:tcBorders>
            <w:shd w:val="clear" w:color="auto" w:fill="D8D8D8"/>
          </w:tcPr>
          <w:p>
            <w:pPr>
              <w:jc w:val="right"/>
              <w:ind w:right="748"/>
              <w:spacing w:after="0"/>
              <w:rPr>
                <w:sz w:val="20"/>
                <w:szCs w:val="20"/>
                <w:color w:val="auto"/>
              </w:rPr>
            </w:pPr>
            <w:r>
              <w:rPr>
                <w:rFonts w:ascii="Arial" w:cs="Arial" w:eastAsia="Arial" w:hAnsi="Arial"/>
                <w:sz w:val="14"/>
                <w:szCs w:val="14"/>
                <w:b w:val="1"/>
                <w:bCs w:val="1"/>
                <w:color w:val="666666"/>
              </w:rPr>
              <w:t>2020</w:t>
            </w:r>
          </w:p>
        </w:tc>
        <w:tc>
          <w:tcPr>
            <w:tcW w:w="100" w:type="dxa"/>
            <w:vAlign w:val="bottom"/>
            <w:shd w:val="clear" w:color="auto" w:fill="D8D8D8"/>
          </w:tcPr>
          <w:p>
            <w:pPr>
              <w:spacing w:after="0"/>
              <w:rPr>
                <w:sz w:val="23"/>
                <w:szCs w:val="23"/>
                <w:color w:val="auto"/>
              </w:rPr>
            </w:pPr>
          </w:p>
        </w:tc>
        <w:tc>
          <w:tcPr>
            <w:tcW w:w="440" w:type="dxa"/>
            <w:vAlign w:val="bottom"/>
            <w:tcBorders>
              <w:bottom w:val="single" w:sz="8" w:color="666666"/>
            </w:tcBorders>
            <w:shd w:val="clear" w:color="auto" w:fill="D8D8D8"/>
          </w:tcPr>
          <w:p>
            <w:pPr>
              <w:spacing w:after="0"/>
              <w:rPr>
                <w:sz w:val="23"/>
                <w:szCs w:val="23"/>
                <w:color w:val="auto"/>
              </w:rPr>
            </w:pPr>
          </w:p>
        </w:tc>
        <w:tc>
          <w:tcPr>
            <w:tcW w:w="1400" w:type="dxa"/>
            <w:vAlign w:val="bottom"/>
            <w:tcBorders>
              <w:bottom w:val="single" w:sz="8" w:color="666666"/>
            </w:tcBorders>
            <w:shd w:val="clear" w:color="auto" w:fill="D8D8D8"/>
          </w:tcPr>
          <w:p>
            <w:pPr>
              <w:jc w:val="right"/>
              <w:ind w:right="688"/>
              <w:spacing w:after="0"/>
              <w:rPr>
                <w:sz w:val="20"/>
                <w:szCs w:val="20"/>
                <w:color w:val="auto"/>
              </w:rPr>
            </w:pPr>
            <w:r>
              <w:rPr>
                <w:rFonts w:ascii="Arial" w:cs="Arial" w:eastAsia="Arial" w:hAnsi="Arial"/>
                <w:sz w:val="14"/>
                <w:szCs w:val="14"/>
                <w:b w:val="1"/>
                <w:bCs w:val="1"/>
                <w:color w:val="666666"/>
              </w:rPr>
              <w:t>2019</w:t>
            </w:r>
          </w:p>
        </w:tc>
      </w:tr>
      <w:tr>
        <w:trPr>
          <w:trHeight w:val="250"/>
        </w:trPr>
        <w:tc>
          <w:tcPr>
            <w:tcW w:w="7020" w:type="dxa"/>
            <w:vAlign w:val="bottom"/>
          </w:tcPr>
          <w:p>
            <w:pPr>
              <w:ind w:left="40"/>
              <w:spacing w:after="0" w:line="250" w:lineRule="exact"/>
              <w:rPr>
                <w:sz w:val="20"/>
                <w:szCs w:val="20"/>
                <w:color w:val="auto"/>
              </w:rPr>
            </w:pPr>
            <w:r>
              <w:rPr>
                <w:rFonts w:ascii="Arial" w:cs="Arial" w:eastAsia="Arial" w:hAnsi="Arial"/>
                <w:sz w:val="14"/>
                <w:szCs w:val="14"/>
                <w:color w:val="666666"/>
              </w:rPr>
              <w:t>Audit fees</w:t>
            </w:r>
            <w:r>
              <w:rPr>
                <w:rFonts w:ascii="Arial" w:cs="Arial" w:eastAsia="Arial" w:hAnsi="Arial"/>
                <w:sz w:val="23"/>
                <w:szCs w:val="23"/>
                <w:color w:val="666666"/>
                <w:vertAlign w:val="superscript"/>
              </w:rPr>
              <w:t>(1)</w:t>
            </w:r>
          </w:p>
        </w:tc>
        <w:tc>
          <w:tcPr>
            <w:tcW w:w="460" w:type="dxa"/>
            <w:vAlign w:val="bottom"/>
          </w:tcPr>
          <w:p>
            <w:pPr>
              <w:jc w:val="right"/>
              <w:ind w:right="288"/>
              <w:spacing w:after="0"/>
              <w:rPr>
                <w:sz w:val="20"/>
                <w:szCs w:val="20"/>
                <w:color w:val="auto"/>
              </w:rPr>
            </w:pPr>
            <w:r>
              <w:rPr>
                <w:rFonts w:ascii="Arial" w:cs="Arial" w:eastAsia="Arial" w:hAnsi="Arial"/>
                <w:sz w:val="14"/>
                <w:szCs w:val="14"/>
                <w:color w:val="666666"/>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666666"/>
              </w:rPr>
              <w:t>4,733</w:t>
            </w:r>
          </w:p>
        </w:tc>
        <w:tc>
          <w:tcPr>
            <w:tcW w:w="10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666666"/>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666666"/>
              </w:rPr>
              <w:t>4,172</w:t>
            </w:r>
          </w:p>
        </w:tc>
      </w:tr>
      <w:tr>
        <w:trPr>
          <w:trHeight w:val="270"/>
        </w:trPr>
        <w:tc>
          <w:tcPr>
            <w:tcW w:w="7020" w:type="dxa"/>
            <w:vAlign w:val="bottom"/>
            <w:shd w:val="clear" w:color="auto" w:fill="D8D8D8"/>
          </w:tcPr>
          <w:p>
            <w:pPr>
              <w:ind w:left="40"/>
              <w:spacing w:after="0"/>
              <w:rPr>
                <w:sz w:val="20"/>
                <w:szCs w:val="20"/>
                <w:color w:val="auto"/>
              </w:rPr>
            </w:pPr>
            <w:r>
              <w:rPr>
                <w:rFonts w:ascii="Arial" w:cs="Arial" w:eastAsia="Arial" w:hAnsi="Arial"/>
                <w:sz w:val="14"/>
                <w:szCs w:val="14"/>
                <w:color w:val="666666"/>
              </w:rPr>
              <w:t>Audit-related fees</w:t>
            </w:r>
            <w:r>
              <w:rPr>
                <w:rFonts w:ascii="Arial" w:cs="Arial" w:eastAsia="Arial" w:hAnsi="Arial"/>
                <w:sz w:val="23"/>
                <w:szCs w:val="23"/>
                <w:color w:val="666666"/>
                <w:vertAlign w:val="superscript"/>
              </w:rPr>
              <w:t>(2)</w:t>
            </w:r>
          </w:p>
        </w:tc>
        <w:tc>
          <w:tcPr>
            <w:tcW w:w="460" w:type="dxa"/>
            <w:vAlign w:val="bottom"/>
            <w:shd w:val="clear" w:color="auto" w:fill="D8D8D8"/>
          </w:tcPr>
          <w:p>
            <w:pPr>
              <w:spacing w:after="0"/>
              <w:rPr>
                <w:sz w:val="23"/>
                <w:szCs w:val="23"/>
                <w:color w:val="auto"/>
              </w:rPr>
            </w:pPr>
          </w:p>
        </w:tc>
        <w:tc>
          <w:tcPr>
            <w:tcW w:w="150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666666"/>
              </w:rPr>
              <w:t>545</w:t>
            </w:r>
          </w:p>
        </w:tc>
        <w:tc>
          <w:tcPr>
            <w:tcW w:w="100" w:type="dxa"/>
            <w:vAlign w:val="bottom"/>
            <w:shd w:val="clear" w:color="auto" w:fill="D8D8D8"/>
          </w:tcPr>
          <w:p>
            <w:pPr>
              <w:spacing w:after="0"/>
              <w:rPr>
                <w:sz w:val="23"/>
                <w:szCs w:val="23"/>
                <w:color w:val="auto"/>
              </w:rPr>
            </w:pPr>
          </w:p>
        </w:tc>
        <w:tc>
          <w:tcPr>
            <w:tcW w:w="440" w:type="dxa"/>
            <w:vAlign w:val="bottom"/>
            <w:shd w:val="clear" w:color="auto" w:fill="D8D8D8"/>
          </w:tcPr>
          <w:p>
            <w:pPr>
              <w:spacing w:after="0"/>
              <w:rPr>
                <w:sz w:val="23"/>
                <w:szCs w:val="23"/>
                <w:color w:val="auto"/>
              </w:rPr>
            </w:pPr>
          </w:p>
        </w:tc>
        <w:tc>
          <w:tcPr>
            <w:tcW w:w="140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666666"/>
              </w:rPr>
              <w:t>408</w:t>
            </w:r>
          </w:p>
        </w:tc>
      </w:tr>
      <w:tr>
        <w:trPr>
          <w:trHeight w:val="270"/>
        </w:trPr>
        <w:tc>
          <w:tcPr>
            <w:tcW w:w="7020" w:type="dxa"/>
            <w:vAlign w:val="bottom"/>
          </w:tcPr>
          <w:p>
            <w:pPr>
              <w:ind w:left="40"/>
              <w:spacing w:after="0"/>
              <w:rPr>
                <w:sz w:val="20"/>
                <w:szCs w:val="20"/>
                <w:color w:val="auto"/>
              </w:rPr>
            </w:pPr>
            <w:r>
              <w:rPr>
                <w:rFonts w:ascii="Arial" w:cs="Arial" w:eastAsia="Arial" w:hAnsi="Arial"/>
                <w:sz w:val="14"/>
                <w:szCs w:val="14"/>
                <w:color w:val="666666"/>
              </w:rPr>
              <w:t>Tax fees</w:t>
            </w:r>
            <w:r>
              <w:rPr>
                <w:rFonts w:ascii="Arial" w:cs="Arial" w:eastAsia="Arial" w:hAnsi="Arial"/>
                <w:sz w:val="23"/>
                <w:szCs w:val="23"/>
                <w:color w:val="666666"/>
                <w:vertAlign w:val="superscript"/>
              </w:rPr>
              <w:t>(3)</w:t>
            </w:r>
          </w:p>
        </w:tc>
        <w:tc>
          <w:tcPr>
            <w:tcW w:w="460" w:type="dxa"/>
            <w:vAlign w:val="bottom"/>
          </w:tcPr>
          <w:p>
            <w:pPr>
              <w:jc w:val="right"/>
              <w:ind w:right="288"/>
              <w:spacing w:after="0"/>
              <w:rPr>
                <w:sz w:val="20"/>
                <w:szCs w:val="20"/>
                <w:color w:val="auto"/>
              </w:rPr>
            </w:pPr>
            <w:r>
              <w:rPr>
                <w:rFonts w:ascii="Arial" w:cs="Arial" w:eastAsia="Arial" w:hAnsi="Arial"/>
                <w:sz w:val="14"/>
                <w:szCs w:val="14"/>
                <w:color w:val="666666"/>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666666"/>
              </w:rPr>
              <w:t>1,538</w:t>
            </w:r>
          </w:p>
        </w:tc>
        <w:tc>
          <w:tcPr>
            <w:tcW w:w="10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666666"/>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666666"/>
              </w:rPr>
              <w:t>1,352</w:t>
            </w:r>
          </w:p>
        </w:tc>
      </w:tr>
      <w:tr>
        <w:trPr>
          <w:trHeight w:val="270"/>
        </w:trPr>
        <w:tc>
          <w:tcPr>
            <w:tcW w:w="7020" w:type="dxa"/>
            <w:vAlign w:val="bottom"/>
            <w:tcBorders>
              <w:bottom w:val="single" w:sz="8" w:color="D8D8D8"/>
            </w:tcBorders>
            <w:shd w:val="clear" w:color="auto" w:fill="D8D8D8"/>
          </w:tcPr>
          <w:p>
            <w:pPr>
              <w:ind w:left="40"/>
              <w:spacing w:after="0" w:line="216" w:lineRule="exact"/>
              <w:rPr>
                <w:sz w:val="20"/>
                <w:szCs w:val="20"/>
                <w:color w:val="auto"/>
              </w:rPr>
            </w:pPr>
            <w:r>
              <w:rPr>
                <w:rFonts w:ascii="Arial" w:cs="Arial" w:eastAsia="Arial" w:hAnsi="Arial"/>
                <w:sz w:val="14"/>
                <w:szCs w:val="14"/>
                <w:color w:val="666666"/>
              </w:rPr>
              <w:t>All other fees</w:t>
            </w:r>
            <w:r>
              <w:rPr>
                <w:rFonts w:ascii="Arial" w:cs="Arial" w:eastAsia="Arial" w:hAnsi="Arial"/>
                <w:sz w:val="23"/>
                <w:szCs w:val="23"/>
                <w:color w:val="666666"/>
                <w:vertAlign w:val="superscript"/>
              </w:rPr>
              <w:t>(4)</w:t>
            </w:r>
          </w:p>
        </w:tc>
        <w:tc>
          <w:tcPr>
            <w:tcW w:w="460" w:type="dxa"/>
            <w:vAlign w:val="bottom"/>
            <w:tcBorders>
              <w:bottom w:val="single" w:sz="8" w:color="D8D8D8"/>
            </w:tcBorders>
            <w:shd w:val="clear" w:color="auto" w:fill="D8D8D8"/>
          </w:tcPr>
          <w:p>
            <w:pPr>
              <w:spacing w:after="0"/>
              <w:rPr>
                <w:sz w:val="23"/>
                <w:szCs w:val="23"/>
                <w:color w:val="auto"/>
              </w:rPr>
            </w:pPr>
          </w:p>
        </w:tc>
        <w:tc>
          <w:tcPr>
            <w:tcW w:w="1500" w:type="dxa"/>
            <w:vAlign w:val="bottom"/>
            <w:tcBorders>
              <w:bottom w:val="single" w:sz="8" w:color="D8D8D8"/>
            </w:tcBorders>
            <w:shd w:val="clear" w:color="auto" w:fill="D8D8D8"/>
          </w:tcPr>
          <w:p>
            <w:pPr>
              <w:jc w:val="right"/>
              <w:ind w:right="48"/>
              <w:spacing w:after="0"/>
              <w:rPr>
                <w:sz w:val="20"/>
                <w:szCs w:val="20"/>
                <w:color w:val="auto"/>
              </w:rPr>
            </w:pPr>
            <w:r>
              <w:rPr>
                <w:rFonts w:ascii="Arial" w:cs="Arial" w:eastAsia="Arial" w:hAnsi="Arial"/>
                <w:sz w:val="14"/>
                <w:szCs w:val="14"/>
                <w:color w:val="666666"/>
              </w:rPr>
              <w:t>183</w:t>
            </w:r>
          </w:p>
        </w:tc>
        <w:tc>
          <w:tcPr>
            <w:tcW w:w="100" w:type="dxa"/>
            <w:vAlign w:val="bottom"/>
            <w:tcBorders>
              <w:bottom w:val="single" w:sz="8" w:color="D8D8D8"/>
            </w:tcBorders>
            <w:shd w:val="clear" w:color="auto" w:fill="D8D8D8"/>
          </w:tcPr>
          <w:p>
            <w:pPr>
              <w:spacing w:after="0"/>
              <w:rPr>
                <w:sz w:val="23"/>
                <w:szCs w:val="23"/>
                <w:color w:val="auto"/>
              </w:rPr>
            </w:pPr>
          </w:p>
        </w:tc>
        <w:tc>
          <w:tcPr>
            <w:tcW w:w="440" w:type="dxa"/>
            <w:vAlign w:val="bottom"/>
            <w:tcBorders>
              <w:bottom w:val="single" w:sz="8" w:color="D8D8D8"/>
            </w:tcBorders>
            <w:shd w:val="clear" w:color="auto" w:fill="D8D8D8"/>
          </w:tcPr>
          <w:p>
            <w:pPr>
              <w:spacing w:after="0"/>
              <w:rPr>
                <w:sz w:val="23"/>
                <w:szCs w:val="23"/>
                <w:color w:val="auto"/>
              </w:rPr>
            </w:pPr>
          </w:p>
        </w:tc>
        <w:tc>
          <w:tcPr>
            <w:tcW w:w="1400" w:type="dxa"/>
            <w:vAlign w:val="bottom"/>
            <w:tcBorders>
              <w:bottom w:val="single" w:sz="8" w:color="D8D8D8"/>
            </w:tcBorders>
            <w:shd w:val="clear" w:color="auto" w:fill="D8D8D8"/>
          </w:tcPr>
          <w:p>
            <w:pPr>
              <w:jc w:val="right"/>
              <w:ind w:right="28"/>
              <w:spacing w:after="0"/>
              <w:rPr>
                <w:sz w:val="20"/>
                <w:szCs w:val="20"/>
                <w:color w:val="auto"/>
              </w:rPr>
            </w:pPr>
            <w:r>
              <w:rPr>
                <w:rFonts w:ascii="Arial" w:cs="Arial" w:eastAsia="Arial" w:hAnsi="Arial"/>
                <w:sz w:val="14"/>
                <w:szCs w:val="14"/>
                <w:color w:val="666666"/>
              </w:rPr>
              <w:t>—</w:t>
            </w:r>
          </w:p>
        </w:tc>
      </w:tr>
      <w:tr>
        <w:trPr>
          <w:trHeight w:val="224"/>
        </w:trPr>
        <w:tc>
          <w:tcPr>
            <w:tcW w:w="7020" w:type="dxa"/>
            <w:vAlign w:val="bottom"/>
          </w:tcPr>
          <w:p>
            <w:pPr>
              <w:ind w:left="40"/>
              <w:spacing w:after="0"/>
              <w:rPr>
                <w:sz w:val="20"/>
                <w:szCs w:val="20"/>
                <w:color w:val="auto"/>
              </w:rPr>
            </w:pPr>
            <w:r>
              <w:rPr>
                <w:rFonts w:ascii="Arial" w:cs="Arial" w:eastAsia="Arial" w:hAnsi="Arial"/>
                <w:sz w:val="14"/>
                <w:szCs w:val="14"/>
                <w:color w:val="666666"/>
              </w:rPr>
              <w:t>Total</w:t>
            </w:r>
          </w:p>
        </w:tc>
        <w:tc>
          <w:tcPr>
            <w:tcW w:w="460" w:type="dxa"/>
            <w:vAlign w:val="bottom"/>
            <w:tcBorders>
              <w:top w:val="single" w:sz="8" w:color="666666"/>
            </w:tcBorders>
          </w:tcPr>
          <w:p>
            <w:pPr>
              <w:jc w:val="right"/>
              <w:ind w:right="288"/>
              <w:spacing w:after="0"/>
              <w:rPr>
                <w:sz w:val="20"/>
                <w:szCs w:val="20"/>
                <w:color w:val="auto"/>
              </w:rPr>
            </w:pPr>
            <w:r>
              <w:rPr>
                <w:rFonts w:ascii="Arial" w:cs="Arial" w:eastAsia="Arial" w:hAnsi="Arial"/>
                <w:sz w:val="14"/>
                <w:szCs w:val="14"/>
                <w:color w:val="666666"/>
              </w:rPr>
              <w:t>$</w:t>
            </w:r>
          </w:p>
        </w:tc>
        <w:tc>
          <w:tcPr>
            <w:tcW w:w="1500" w:type="dxa"/>
            <w:vAlign w:val="bottom"/>
            <w:tcBorders>
              <w:top w:val="single" w:sz="8" w:color="666666"/>
            </w:tcBorders>
          </w:tcPr>
          <w:p>
            <w:pPr>
              <w:jc w:val="right"/>
              <w:ind w:right="48"/>
              <w:spacing w:after="0"/>
              <w:rPr>
                <w:sz w:val="20"/>
                <w:szCs w:val="20"/>
                <w:color w:val="auto"/>
              </w:rPr>
            </w:pPr>
            <w:r>
              <w:rPr>
                <w:rFonts w:ascii="Arial" w:cs="Arial" w:eastAsia="Arial" w:hAnsi="Arial"/>
                <w:sz w:val="14"/>
                <w:szCs w:val="14"/>
                <w:color w:val="666666"/>
              </w:rPr>
              <w:t>6,999</w:t>
            </w:r>
          </w:p>
        </w:tc>
        <w:tc>
          <w:tcPr>
            <w:tcW w:w="100" w:type="dxa"/>
            <w:vAlign w:val="bottom"/>
          </w:tcPr>
          <w:p>
            <w:pPr>
              <w:spacing w:after="0"/>
              <w:rPr>
                <w:sz w:val="19"/>
                <w:szCs w:val="19"/>
                <w:color w:val="auto"/>
              </w:rPr>
            </w:pPr>
          </w:p>
        </w:tc>
        <w:tc>
          <w:tcPr>
            <w:tcW w:w="440" w:type="dxa"/>
            <w:vAlign w:val="bottom"/>
            <w:tcBorders>
              <w:top w:val="single" w:sz="8" w:color="666666"/>
            </w:tcBorders>
          </w:tcPr>
          <w:p>
            <w:pPr>
              <w:jc w:val="right"/>
              <w:ind w:right="268"/>
              <w:spacing w:after="0"/>
              <w:rPr>
                <w:sz w:val="20"/>
                <w:szCs w:val="20"/>
                <w:color w:val="auto"/>
              </w:rPr>
            </w:pPr>
            <w:r>
              <w:rPr>
                <w:rFonts w:ascii="Arial" w:cs="Arial" w:eastAsia="Arial" w:hAnsi="Arial"/>
                <w:sz w:val="14"/>
                <w:szCs w:val="14"/>
                <w:color w:val="666666"/>
              </w:rPr>
              <w:t>$</w:t>
            </w:r>
          </w:p>
        </w:tc>
        <w:tc>
          <w:tcPr>
            <w:tcW w:w="1400" w:type="dxa"/>
            <w:vAlign w:val="bottom"/>
            <w:tcBorders>
              <w:top w:val="single" w:sz="8" w:color="666666"/>
            </w:tcBorders>
          </w:tcPr>
          <w:p>
            <w:pPr>
              <w:jc w:val="right"/>
              <w:ind w:right="28"/>
              <w:spacing w:after="0"/>
              <w:rPr>
                <w:sz w:val="20"/>
                <w:szCs w:val="20"/>
                <w:color w:val="auto"/>
              </w:rPr>
            </w:pPr>
            <w:r>
              <w:rPr>
                <w:rFonts w:ascii="Arial" w:cs="Arial" w:eastAsia="Arial" w:hAnsi="Arial"/>
                <w:sz w:val="14"/>
                <w:szCs w:val="14"/>
                <w:color w:val="666666"/>
              </w:rPr>
              <w:t>5,932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7620</wp:posOffset>
            </wp:positionV>
            <wp:extent cx="248602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86025" cy="26035"/>
                    </a:xfrm>
                    <a:prstGeom prst="rect">
                      <a:avLst/>
                    </a:prstGeom>
                    <a:noFill/>
                  </pic:spPr>
                </pic:pic>
              </a:graphicData>
            </a:graphic>
          </wp:anchor>
        </w:drawing>
      </w:r>
    </w:p>
    <w:p>
      <w:pPr>
        <w:spacing w:after="0" w:line="37" w:lineRule="exact"/>
        <w:rPr>
          <w:sz w:val="20"/>
          <w:szCs w:val="20"/>
          <w:color w:val="auto"/>
        </w:rPr>
      </w:pPr>
    </w:p>
    <w:p>
      <w:pPr>
        <w:ind w:left="540" w:hanging="316"/>
        <w:spacing w:after="0" w:line="241" w:lineRule="auto"/>
        <w:tabs>
          <w:tab w:leader="none" w:pos="540" w:val="left"/>
        </w:tabs>
        <w:numPr>
          <w:ilvl w:val="0"/>
          <w:numId w:val="56"/>
        </w:numPr>
        <w:rPr>
          <w:rFonts w:ascii="Arial" w:cs="Arial" w:eastAsia="Arial" w:hAnsi="Arial"/>
          <w:sz w:val="14"/>
          <w:szCs w:val="14"/>
          <w:color w:val="666666"/>
        </w:rPr>
      </w:pPr>
      <w:r>
        <w:rPr>
          <w:rFonts w:ascii="Arial" w:cs="Arial" w:eastAsia="Arial" w:hAnsi="Arial"/>
          <w:sz w:val="14"/>
          <w:szCs w:val="14"/>
          <w:color w:val="666666"/>
        </w:rPr>
        <w:t>Audit fees principally include those for services related to the audit and quarterly reviews of the Company’s consolidated financial statements and consultation on accounting matters.</w:t>
      </w:r>
    </w:p>
    <w:p>
      <w:pPr>
        <w:ind w:left="540" w:right="20" w:hanging="316"/>
        <w:spacing w:after="0" w:line="241" w:lineRule="auto"/>
        <w:tabs>
          <w:tab w:leader="none" w:pos="540" w:val="left"/>
        </w:tabs>
        <w:numPr>
          <w:ilvl w:val="0"/>
          <w:numId w:val="56"/>
        </w:numPr>
        <w:rPr>
          <w:rFonts w:ascii="Arial" w:cs="Arial" w:eastAsia="Arial" w:hAnsi="Arial"/>
          <w:sz w:val="14"/>
          <w:szCs w:val="14"/>
          <w:color w:val="666666"/>
        </w:rPr>
      </w:pPr>
      <w:r>
        <w:rPr>
          <w:rFonts w:ascii="Arial" w:cs="Arial" w:eastAsia="Arial" w:hAnsi="Arial"/>
          <w:sz w:val="14"/>
          <w:szCs w:val="14"/>
          <w:color w:val="666666"/>
        </w:rPr>
        <w:t>Audit-related fees principally include those for services related to accounting consultations in connection with the Company’s potential implementation and operation of its new financial management systems.</w:t>
      </w:r>
    </w:p>
    <w:p>
      <w:pPr>
        <w:ind w:left="540" w:hanging="316"/>
        <w:spacing w:after="0"/>
        <w:tabs>
          <w:tab w:leader="none" w:pos="540" w:val="left"/>
        </w:tabs>
        <w:numPr>
          <w:ilvl w:val="0"/>
          <w:numId w:val="56"/>
        </w:numPr>
        <w:rPr>
          <w:rFonts w:ascii="Arial" w:cs="Arial" w:eastAsia="Arial" w:hAnsi="Arial"/>
          <w:sz w:val="14"/>
          <w:szCs w:val="14"/>
          <w:color w:val="666666"/>
        </w:rPr>
      </w:pPr>
      <w:r>
        <w:rPr>
          <w:rFonts w:ascii="Arial" w:cs="Arial" w:eastAsia="Arial" w:hAnsi="Arial"/>
          <w:sz w:val="14"/>
          <w:szCs w:val="14"/>
          <w:color w:val="666666"/>
        </w:rPr>
        <w:t>Tax fees principally include domestic and foreign tax compliance and advisory services.</w:t>
      </w:r>
    </w:p>
    <w:p>
      <w:pPr>
        <w:spacing w:after="0" w:line="1" w:lineRule="exact"/>
        <w:rPr>
          <w:rFonts w:ascii="Arial" w:cs="Arial" w:eastAsia="Arial" w:hAnsi="Arial"/>
          <w:sz w:val="14"/>
          <w:szCs w:val="14"/>
          <w:color w:val="666666"/>
        </w:rPr>
      </w:pPr>
    </w:p>
    <w:p>
      <w:pPr>
        <w:ind w:left="540" w:hanging="316"/>
        <w:spacing w:after="0"/>
        <w:tabs>
          <w:tab w:leader="none" w:pos="540" w:val="left"/>
        </w:tabs>
        <w:numPr>
          <w:ilvl w:val="0"/>
          <w:numId w:val="56"/>
        </w:numPr>
        <w:rPr>
          <w:rFonts w:ascii="Arial" w:cs="Arial" w:eastAsia="Arial" w:hAnsi="Arial"/>
          <w:sz w:val="14"/>
          <w:szCs w:val="14"/>
          <w:color w:val="666666"/>
        </w:rPr>
      </w:pPr>
      <w:r>
        <w:rPr>
          <w:rFonts w:ascii="Arial" w:cs="Arial" w:eastAsia="Arial" w:hAnsi="Arial"/>
          <w:sz w:val="14"/>
          <w:szCs w:val="14"/>
          <w:color w:val="666666"/>
        </w:rPr>
        <w:t>All other fees principally include non-audit services related to our potential implementation and operation of new financial management systems.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666666"/>
        </w:rPr>
        <w:t>52</w:t>
      </w:r>
    </w:p>
    <w:p>
      <w:pPr>
        <w:sectPr>
          <w:pgSz w:w="11900" w:h="16838" w:orient="portrait"/>
          <w:cols w:equalWidth="0" w:num="1">
            <w:col w:w="11240"/>
          </w:cols>
          <w:pgMar w:left="320" w:top="486"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31"/>
          <w:szCs w:val="31"/>
          <w:b w:val="1"/>
          <w:bCs w:val="1"/>
          <w:color w:val="547BCC"/>
        </w:rPr>
        <w:t>PROPOSAL 2: RATIFICATION OF APPOINTMENT OF ACCOUNTANTS</w:t>
      </w:r>
    </w:p>
    <w:p>
      <w:pPr>
        <w:spacing w:after="0" w:line="198"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666666"/>
        </w:rPr>
        <w:t>The Audit Committee has appointed E&amp;Y as the independent auditors to perform an integrated audit of the Company for the fiscal year ending March 31, 2021. E&amp;Y served as our independent auditors for the fiscal year ended March 31, 2020. Stockholder approval of the appointment is not required.</w:t>
      </w:r>
    </w:p>
    <w:p>
      <w:pPr>
        <w:spacing w:after="0" w:line="152"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The Board believes that obtaining stockholder ratification of the appointment is a sound corporate governance practice. If the stockholders do not vote on an advisory basis in favor of E&amp;Y, the Audit Committee will reconsider whether to hire the firm and may retain E&amp;Y or hire another firm without resubmitting the matter for stockholders to approve. The Audit Committee retains the discretion at any time to appoint a different independent auditor.</w:t>
      </w:r>
    </w:p>
    <w:p>
      <w:pPr>
        <w:spacing w:after="0" w:line="15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666666"/>
        </w:rPr>
        <w:t>Representatives of E&amp;Y are expected to be present at the Annual Meeting, available to respond to appropriate questions, and will have the opportunity to make a statement if they desire.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422910</wp:posOffset>
            </wp:positionV>
            <wp:extent cx="5580380" cy="7029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803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340" w:right="1780"/>
        <w:spacing w:after="0" w:line="241" w:lineRule="auto"/>
        <w:rPr>
          <w:sz w:val="20"/>
          <w:szCs w:val="20"/>
          <w:color w:val="auto"/>
        </w:rPr>
      </w:pPr>
      <w:r>
        <w:rPr>
          <w:rFonts w:ascii="Arial" w:cs="Arial" w:eastAsia="Arial" w:hAnsi="Arial"/>
          <w:sz w:val="20"/>
          <w:szCs w:val="20"/>
          <w:b w:val="1"/>
          <w:bCs w:val="1"/>
          <w:i w:val="1"/>
          <w:iCs w:val="1"/>
          <w:color w:val="547BCC"/>
        </w:rPr>
        <w:t>The Board of Directors recommends a vote FOR ratification of the appointment of Ernst &amp; Young LLP as the independent registered public accounting firm for the Company for fiscal year 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53</w:t>
      </w:r>
    </w:p>
    <w:p>
      <w:pPr>
        <w:sectPr>
          <w:pgSz w:w="11900" w:h="16838" w:orient="portrait"/>
          <w:cols w:equalWidth="0" w:num="1">
            <w:col w:w="11240"/>
          </w:cols>
          <w:pgMar w:left="320" w:top="486"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31"/>
          <w:szCs w:val="31"/>
          <w:b w:val="1"/>
          <w:bCs w:val="1"/>
          <w:color w:val="547BCC"/>
        </w:rPr>
        <w:t>PROPOSAL 3: ADVISORY VOTE ON COMPANY'S EXECUTIVE</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31"/>
          <w:szCs w:val="31"/>
          <w:b w:val="1"/>
          <w:bCs w:val="1"/>
          <w:color w:val="547BCC"/>
        </w:rPr>
        <w:t>COMPENSATION</w:t>
      </w:r>
    </w:p>
    <w:p>
      <w:pPr>
        <w:spacing w:after="0" w:line="160"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As required by Section 14A of the Exchange Act, the Company is providing stockholders with a non-binding advisory vote on the compensation of our named executive officers, as disclosed in the CD&amp;A, the accompanying compensation tables, and the related narrative disclosure in this proxy statement. Although this vote is advisory, the Board and the Compensation Committee value the opinions of our stockholders and will review and consider the voting results when making future compensation decisions for our named executive officers.</w:t>
      </w:r>
    </w:p>
    <w:p>
      <w:pPr>
        <w:spacing w:after="0" w:line="155"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As described in detail under the CD&amp;A, our compensation programs are designed to attract, motivate, and retain executives of outstanding ability to meet and exceed the demands of our clients, focus management on optimizing stockholder value and fostering an ownership culture, create appropriate rewards for outstanding performance and penalties for underperformance, and provide competitive rewards that foster collaboration by rewarding executives for their contribution to our overall performance and financial success while determining and allocating incentives based on our performance as a whole in recognition of the spirit and culture of collaboration that has defined us throughout our history. Accordingly, the Board submits the following resolution for a stockholder vote at the 2020 Annual Meeting:</w:t>
      </w:r>
    </w:p>
    <w:p>
      <w:pPr>
        <w:spacing w:after="0" w:line="159"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666666"/>
        </w:rPr>
        <w:t>RESOLVED, that the stockholders approve, on an advisory basis, the compensation of the Company’s named executive officers as disclosed in the CD&amp;A, the accompanying compensation tables, and the related narrative disclosure in the Company’s proxy statement for the 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424815</wp:posOffset>
            </wp:positionV>
            <wp:extent cx="5580380" cy="7029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803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340" w:right="1660"/>
        <w:spacing w:after="0" w:line="241" w:lineRule="auto"/>
        <w:rPr>
          <w:sz w:val="20"/>
          <w:szCs w:val="20"/>
          <w:color w:val="auto"/>
        </w:rPr>
      </w:pPr>
      <w:r>
        <w:rPr>
          <w:rFonts w:ascii="Arial" w:cs="Arial" w:eastAsia="Arial" w:hAnsi="Arial"/>
          <w:sz w:val="20"/>
          <w:szCs w:val="20"/>
          <w:b w:val="1"/>
          <w:bCs w:val="1"/>
          <w:i w:val="1"/>
          <w:iCs w:val="1"/>
          <w:color w:val="547BCC"/>
        </w:rPr>
        <w:t>The Board of Directors recommends a vote FOR the approval, on an advisory basis, of the compensation of our named executive officers as disclosed in the Compensation Discussion &amp; Analysis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666666"/>
        </w:rPr>
        <w:t>54</w:t>
      </w:r>
    </w:p>
    <w:p>
      <w:pPr>
        <w:sectPr>
          <w:pgSz w:w="11900" w:h="16838" w:orient="portrait"/>
          <w:cols w:equalWidth="0" w:num="1">
            <w:col w:w="11240"/>
          </w:cols>
          <w:pgMar w:left="320" w:top="486" w:right="339" w:bottom="1440" w:gutter="0" w:footer="0" w:header="0"/>
        </w:sectPr>
      </w:pPr>
    </w:p>
    <w:bookmarkStart w:id="64" w:name="page65"/>
    <w:bookmarkEnd w:id="64"/>
    <w:p>
      <w:pPr>
        <w:jc w:val="center"/>
        <w:ind w:left="340" w:right="960"/>
        <w:spacing w:after="0" w:line="279" w:lineRule="auto"/>
        <w:rPr>
          <w:sz w:val="20"/>
          <w:szCs w:val="20"/>
          <w:color w:val="auto"/>
        </w:rPr>
      </w:pPr>
      <w:r>
        <w:rPr>
          <w:rFonts w:ascii="Arial" w:cs="Arial" w:eastAsia="Arial" w:hAnsi="Arial"/>
          <w:sz w:val="31"/>
          <w:szCs w:val="31"/>
          <w:b w:val="1"/>
          <w:bCs w:val="1"/>
          <w:color w:val="547BCC"/>
        </w:rPr>
        <w:t>PROPOSAL 4: ADOPTION OF FIFTH AMENDED AND RESTATED CERTIFICATE OF INCORPORATION</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The Proposed Amendment</w:t>
      </w:r>
    </w:p>
    <w:p>
      <w:pPr>
        <w:spacing w:after="0" w:line="186" w:lineRule="exact"/>
        <w:rPr>
          <w:sz w:val="20"/>
          <w:szCs w:val="20"/>
          <w:color w:val="auto"/>
        </w:rPr>
      </w:pPr>
    </w:p>
    <w:p>
      <w:pPr>
        <w:jc w:val="both"/>
        <w:ind w:right="20" w:firstLine="324"/>
        <w:spacing w:after="0" w:line="258" w:lineRule="auto"/>
        <w:rPr>
          <w:sz w:val="20"/>
          <w:szCs w:val="20"/>
          <w:color w:val="auto"/>
        </w:rPr>
      </w:pPr>
      <w:r>
        <w:rPr>
          <w:rFonts w:ascii="Arial" w:cs="Arial" w:eastAsia="Arial" w:hAnsi="Arial"/>
          <w:sz w:val="19"/>
          <w:szCs w:val="19"/>
          <w:color w:val="666666"/>
        </w:rPr>
        <w:t>Our Board has authorized, and recommends for approval, the adoption of the Fifth Amended and Restated Certificate of Incorporation to provide for (i) the phased elimination of our classified board structure and (ii) the removal of references to our former private equity sponsor, which no longer apply. In addition, the Company’s certificate of incorporation would be amended to specify that directors may be removed with or without cause, once the Board is unclassified (collectively, the “Amendments”).</w:t>
      </w:r>
    </w:p>
    <w:p>
      <w:pPr>
        <w:spacing w:after="0" w:line="141"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In order for the proposal to be approved, it must receive the affirmative vote of the holders of a majority of the outstanding shares of Class A common stock entitled to vote. If the Fifth Amended and Restated Certificate of Incorporation is approved, the change will become effective upon the filing of an amendment and restatement to the Company’s certificate of incorporation with the Secretary of State of the State of Delaware, in substantially the form of Appendix B attached hereto.</w:t>
      </w:r>
    </w:p>
    <w:p>
      <w:pPr>
        <w:spacing w:after="0" w:line="15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666666"/>
        </w:rPr>
        <w:t>If the Amendments are adopted, our amended and restated bylaws will also be amended to reflect the phased elimination of our classified Board structure and to similarly remove references to the Company’s prior private equity sponsor. Stockholder approval is not required for the proposed amendments to our bylaws.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Reasons for the Proposed Amendments</w:t>
      </w:r>
    </w:p>
    <w:p>
      <w:pPr>
        <w:spacing w:after="0" w:line="186"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Currently, under the Company’s Fourth Amended and Restated Certificate of Incorporation and Third Amended and Restated Bylaws, the members of our Board are classified into three classes (Class I - term expires in 2020, Class II - term expires in 2021, and Class III - term expires in 2022), one of which is elected at each annual meeting of stockholders to hold office for a three-year term. The Amendments, if approved by our stockholders, would provide that the directors (i) elected at or before this Annual Meeting of Stockholders will serve out their three-year terms and (ii) elected after this Annual Meeting of Stockholders will serve one-year terms. As a result, if the Amendments are adopted, the Company’s classified Board structure would be fully eliminated and all directors would be subject to annual election for one-year terms beginning with the Company’s 2023 Annual Meeting of Stockholders.</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9"/>
          <w:szCs w:val="19"/>
          <w:color w:val="666666"/>
        </w:rPr>
        <w:t>The Amendments would not change the Company’s current number of directors (which is twelve) or the Board’s authority to change that number and fill any vacancies, including vacancies that may be caused by newly created directorships. Pursuant to the Amendments, any director elected to fill a vacancy before the 2023 Annual Meeting of Stockholders will serve the remainder of the term of the director whom he or she is replacing or, in the case of a newly created directorship, for the remainder of the term for which he or she is elected, and until his or her successor is duly elected and qualified or until his or her earlier death, resignation, retirement, disqualification, or removal. Thereafter, a director elected to fill a vacancy would hold office until the next succeeding annual meeting of stockholders and until his or her successor has been elected and qualified or until his or her earlier death, resignation, retirement, disqualification, or removal. In addition, because Delaware law stipulates that directors serving on an unclassified board must be removable by stockholders either with or without cause, the Amendments provide that directors may be removed with or without cause, beginning with the 2023 Annual Meeting of Stockholders.</w:t>
      </w:r>
    </w:p>
    <w:p>
      <w:pPr>
        <w:spacing w:after="0" w:line="145"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The Company’s classified Board structure has been a fundamental element of our corporate governance and protective provisions since our initial public offering in 2010. Although the Board believes that a classified Board structure offers certain advantages, including continuity and stability, the Board is committed to good governance practices and realizes that in recent years, a number of companies have eliminated their classified board structures under the theory that the directors are more accountable to stockholders, and therefore more likely to act in the best interests of stockholders if they stand for election annually, as opposed to serving multiple-year terms.</w:t>
      </w:r>
    </w:p>
    <w:p>
      <w:pPr>
        <w:spacing w:after="0" w:line="159"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The Company’s Fourth Amended and Restated Certificate of Incorporation also includes certain direct and indirect references to our former private equity sponsor, The Carlyle Group, and its affiliate, Explorer Coinvest LLC (together, “Carlyle”), including provisions which are based on the date on which any “group” (as defined under Section 13(d)(3) of the Exchange Act) no longer beneficially owns more than a specified percentage of the Company’s outstanding</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55</w:t>
      </w:r>
    </w:p>
    <w:p>
      <w:pPr>
        <w:sectPr>
          <w:pgSz w:w="11900" w:h="16838" w:orient="portrait"/>
          <w:cols w:equalWidth="0" w:num="1">
            <w:col w:w="11240"/>
          </w:cols>
          <w:pgMar w:left="320" w:top="486" w:right="339" w:bottom="1440" w:gutter="0" w:footer="0" w:header="0"/>
        </w:sectPr>
      </w:pPr>
    </w:p>
    <w:bookmarkStart w:id="65" w:name="page66"/>
    <w:bookmarkEnd w:id="65"/>
    <w:p>
      <w:pPr>
        <w:jc w:val="both"/>
        <w:spacing w:after="0" w:line="241" w:lineRule="auto"/>
        <w:rPr>
          <w:sz w:val="20"/>
          <w:szCs w:val="20"/>
          <w:color w:val="auto"/>
        </w:rPr>
      </w:pPr>
      <w:r>
        <w:rPr>
          <w:rFonts w:ascii="Arial" w:cs="Arial" w:eastAsia="Arial" w:hAnsi="Arial"/>
          <w:sz w:val="20"/>
          <w:szCs w:val="20"/>
          <w:color w:val="666666"/>
        </w:rPr>
        <w:t>shares. Such provisions of the Company’s certificate of incorporation were adopted in connection with our initial public offering in 2010 and reflected Carlyle’s controlling interest in the Company at the time. However, on December 6, 2016, Carlyle disposed of its remaining shares of the Company’s Class A common stock and, since such date, no group has beneficially owned more than such specified percentages of the Company’s outstanding shares. As these provisions no longer, apply, the Board believes that the elimination of such provisions is in the best interests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Exclusive Forum Provision</w:t>
      </w:r>
    </w:p>
    <w:p>
      <w:pPr>
        <w:spacing w:after="0" w:line="18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666666"/>
        </w:rPr>
        <w:t>The Fifth Amended and Restated Certificate of Incorporation will require that the Court of Chancery of the State of Delaware will be the sole and exclusive forum for the following:</w:t>
      </w:r>
    </w:p>
    <w:p>
      <w:pPr>
        <w:spacing w:after="0" w:line="150" w:lineRule="exact"/>
        <w:rPr>
          <w:sz w:val="20"/>
          <w:szCs w:val="20"/>
          <w:color w:val="auto"/>
        </w:rPr>
      </w:pPr>
    </w:p>
    <w:p>
      <w:pPr>
        <w:ind w:left="720" w:hanging="388"/>
        <w:spacing w:after="0"/>
        <w:tabs>
          <w:tab w:leader="none" w:pos="720" w:val="left"/>
        </w:tabs>
        <w:numPr>
          <w:ilvl w:val="0"/>
          <w:numId w:val="57"/>
        </w:numPr>
        <w:rPr>
          <w:rFonts w:ascii="Arial" w:cs="Arial" w:eastAsia="Arial" w:hAnsi="Arial"/>
          <w:sz w:val="20"/>
          <w:szCs w:val="20"/>
          <w:color w:val="666666"/>
        </w:rPr>
      </w:pPr>
      <w:r>
        <w:rPr>
          <w:rFonts w:ascii="Arial" w:cs="Arial" w:eastAsia="Arial" w:hAnsi="Arial"/>
          <w:sz w:val="20"/>
          <w:szCs w:val="20"/>
          <w:color w:val="666666"/>
        </w:rPr>
        <w:t>any derivative action or proceeding brought on behalf of the Company;</w:t>
      </w:r>
    </w:p>
    <w:p>
      <w:pPr>
        <w:spacing w:after="0" w:line="148" w:lineRule="exact"/>
        <w:rPr>
          <w:rFonts w:ascii="Arial" w:cs="Arial" w:eastAsia="Arial" w:hAnsi="Arial"/>
          <w:sz w:val="20"/>
          <w:szCs w:val="20"/>
          <w:color w:val="666666"/>
        </w:rPr>
      </w:pPr>
    </w:p>
    <w:p>
      <w:pPr>
        <w:ind w:left="340" w:hanging="8"/>
        <w:spacing w:after="0" w:line="236" w:lineRule="auto"/>
        <w:tabs>
          <w:tab w:leader="none" w:pos="733" w:val="left"/>
        </w:tabs>
        <w:numPr>
          <w:ilvl w:val="0"/>
          <w:numId w:val="57"/>
        </w:numPr>
        <w:rPr>
          <w:rFonts w:ascii="Arial" w:cs="Arial" w:eastAsia="Arial" w:hAnsi="Arial"/>
          <w:sz w:val="20"/>
          <w:szCs w:val="20"/>
          <w:color w:val="666666"/>
        </w:rPr>
      </w:pPr>
      <w:r>
        <w:rPr>
          <w:rFonts w:ascii="Arial" w:cs="Arial" w:eastAsia="Arial" w:hAnsi="Arial"/>
          <w:sz w:val="20"/>
          <w:szCs w:val="20"/>
          <w:color w:val="666666"/>
        </w:rPr>
        <w:t>any action asserting a claim of breach of a fiduciary duty owed by any director, officer or other employee of the Company to the Company or the Company’s stockholders;</w:t>
      </w:r>
    </w:p>
    <w:p>
      <w:pPr>
        <w:spacing w:after="0" w:line="141" w:lineRule="exact"/>
        <w:rPr>
          <w:rFonts w:ascii="Arial" w:cs="Arial" w:eastAsia="Arial" w:hAnsi="Arial"/>
          <w:sz w:val="20"/>
          <w:szCs w:val="20"/>
          <w:color w:val="666666"/>
        </w:rPr>
      </w:pPr>
    </w:p>
    <w:p>
      <w:pPr>
        <w:ind w:left="340" w:hanging="8"/>
        <w:spacing w:after="0" w:line="236" w:lineRule="auto"/>
        <w:tabs>
          <w:tab w:leader="none" w:pos="733" w:val="left"/>
        </w:tabs>
        <w:numPr>
          <w:ilvl w:val="0"/>
          <w:numId w:val="57"/>
        </w:numPr>
        <w:rPr>
          <w:rFonts w:ascii="Arial" w:cs="Arial" w:eastAsia="Arial" w:hAnsi="Arial"/>
          <w:sz w:val="20"/>
          <w:szCs w:val="20"/>
          <w:color w:val="666666"/>
        </w:rPr>
      </w:pPr>
      <w:r>
        <w:rPr>
          <w:rFonts w:ascii="Arial" w:cs="Arial" w:eastAsia="Arial" w:hAnsi="Arial"/>
          <w:sz w:val="20"/>
          <w:szCs w:val="20"/>
          <w:color w:val="666666"/>
        </w:rPr>
        <w:t>any action asserting a claim against the Company arising pursuant to any provision of the Delaware General Corporation Law, the Company’s Fifth Amended and Restated Certificate of Incorporation or the Company’s bylaws; or</w:t>
      </w:r>
    </w:p>
    <w:p>
      <w:pPr>
        <w:spacing w:after="0" w:line="141" w:lineRule="exact"/>
        <w:rPr>
          <w:rFonts w:ascii="Arial" w:cs="Arial" w:eastAsia="Arial" w:hAnsi="Arial"/>
          <w:sz w:val="20"/>
          <w:szCs w:val="20"/>
          <w:color w:val="666666"/>
        </w:rPr>
      </w:pPr>
    </w:p>
    <w:p>
      <w:pPr>
        <w:ind w:left="720" w:hanging="388"/>
        <w:spacing w:after="0"/>
        <w:tabs>
          <w:tab w:leader="none" w:pos="720" w:val="left"/>
        </w:tabs>
        <w:numPr>
          <w:ilvl w:val="0"/>
          <w:numId w:val="57"/>
        </w:numPr>
        <w:rPr>
          <w:rFonts w:ascii="Arial" w:cs="Arial" w:eastAsia="Arial" w:hAnsi="Arial"/>
          <w:sz w:val="20"/>
          <w:szCs w:val="20"/>
          <w:color w:val="666666"/>
        </w:rPr>
      </w:pPr>
      <w:r>
        <w:rPr>
          <w:rFonts w:ascii="Arial" w:cs="Arial" w:eastAsia="Arial" w:hAnsi="Arial"/>
          <w:sz w:val="20"/>
          <w:szCs w:val="20"/>
          <w:color w:val="666666"/>
        </w:rPr>
        <w:t>any action asserting a claim against the Company governed by the internal affairs doctrine.</w:t>
      </w:r>
    </w:p>
    <w:p>
      <w:pPr>
        <w:spacing w:after="0" w:line="148"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Because the applicability of the exclusive forum provision is limited to the extent permitted by applicable law, we do not intend that the exclusive forum provision would apply to suits brought to enforce any duty or liability created by the Exchange Act or any other claim for which the federal courts have exclusive jurisdiction, and acknowledge that federal courts have concurrent jurisdiction over all suits brought to enforce any duty or liability created by the Securities Act. We note that there is uncertainty as to whether a court would enforce the provision and that investors cannot waive compliance with the federal securities laws and the rules and regulations thereunder.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47BCC"/>
        </w:rPr>
        <w:t>Required Vote</w:t>
      </w:r>
    </w:p>
    <w:p>
      <w:pPr>
        <w:spacing w:after="0" w:line="18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666666"/>
        </w:rPr>
        <w:t>Approval of this proposal requires the affirmative vote of the holders of a majority of the outstanding shares of Class A common stock entitled to vote. As a result, abstentions and broker non-votes will have the same effect as negative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431800</wp:posOffset>
            </wp:positionV>
            <wp:extent cx="5580380" cy="7029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803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340" w:right="2080"/>
        <w:spacing w:after="0" w:line="241" w:lineRule="auto"/>
        <w:rPr>
          <w:sz w:val="20"/>
          <w:szCs w:val="20"/>
          <w:color w:val="auto"/>
        </w:rPr>
      </w:pPr>
      <w:r>
        <w:rPr>
          <w:rFonts w:ascii="Arial" w:cs="Arial" w:eastAsia="Arial" w:hAnsi="Arial"/>
          <w:sz w:val="20"/>
          <w:szCs w:val="20"/>
          <w:b w:val="1"/>
          <w:bCs w:val="1"/>
          <w:i w:val="1"/>
          <w:iCs w:val="1"/>
          <w:color w:val="547BCC"/>
        </w:rPr>
        <w:t>The Board of Directors recommends a vote FOR the approval of the Fifth Amended and Restated Certificate of Incorporation to, among other things, eliminate the classification of the Company's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56</w:t>
      </w:r>
    </w:p>
    <w:p>
      <w:pPr>
        <w:sectPr>
          <w:pgSz w:w="11900" w:h="16838" w:orient="portrait"/>
          <w:cols w:equalWidth="0" w:num="1">
            <w:col w:w="11240"/>
          </w:cols>
          <w:pgMar w:left="320" w:top="514"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31"/>
          <w:szCs w:val="31"/>
          <w:b w:val="1"/>
          <w:bCs w:val="1"/>
          <w:color w:val="547BCC"/>
        </w:rPr>
        <w:t>OTHER BUSINESS</w:t>
      </w:r>
    </w:p>
    <w:p>
      <w:pPr>
        <w:spacing w:after="0" w:line="198"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The Board is not aware of any other matters to be presented at the Annual Meeting. If any other matter proper for action at the meeting should be presented, the holders of the accompanying proxy will vote the shares represented by the proxy on such matter in accordance with their best judgment. If any matter not proper for action at the meeting should be presented, the holders of the proxy will vote against consideration of the matter or the proposed action.</w:t>
      </w:r>
    </w:p>
    <w:p>
      <w:pPr>
        <w:spacing w:after="0" w:line="200" w:lineRule="exact"/>
        <w:rPr>
          <w:sz w:val="20"/>
          <w:szCs w:val="20"/>
          <w:color w:val="auto"/>
        </w:rPr>
      </w:pPr>
    </w:p>
    <w:p>
      <w:pPr>
        <w:spacing w:after="0" w:line="348" w:lineRule="exact"/>
        <w:rPr>
          <w:sz w:val="20"/>
          <w:szCs w:val="20"/>
          <w:color w:val="auto"/>
        </w:rPr>
      </w:pPr>
    </w:p>
    <w:p>
      <w:pPr>
        <w:ind w:left="5740"/>
        <w:spacing w:after="0"/>
        <w:rPr>
          <w:sz w:val="20"/>
          <w:szCs w:val="20"/>
          <w:color w:val="auto"/>
        </w:rPr>
      </w:pPr>
      <w:r>
        <w:rPr>
          <w:rFonts w:ascii="Arial" w:cs="Arial" w:eastAsia="Arial" w:hAnsi="Arial"/>
          <w:sz w:val="20"/>
          <w:szCs w:val="20"/>
          <w:color w:val="666666"/>
        </w:rPr>
        <w:t>By order of the Board of Directors,</w:t>
      </w:r>
    </w:p>
    <w:p>
      <w:pPr>
        <w:spacing w:after="0" w:line="161" w:lineRule="exact"/>
        <w:rPr>
          <w:sz w:val="20"/>
          <w:szCs w:val="20"/>
          <w:color w:val="auto"/>
        </w:rPr>
      </w:pPr>
    </w:p>
    <w:p>
      <w:pPr>
        <w:ind w:left="5740"/>
        <w:spacing w:after="0"/>
        <w:rPr>
          <w:sz w:val="20"/>
          <w:szCs w:val="20"/>
          <w:color w:val="auto"/>
        </w:rPr>
      </w:pPr>
      <w:r>
        <w:rPr>
          <w:rFonts w:ascii="Arial" w:cs="Arial" w:eastAsia="Arial" w:hAnsi="Arial"/>
          <w:sz w:val="20"/>
          <w:szCs w:val="20"/>
          <w:color w:val="666666"/>
        </w:rPr>
        <w:t>Jacob D. Bernstein</w:t>
      </w:r>
    </w:p>
    <w:p>
      <w:pPr>
        <w:ind w:left="5740"/>
        <w:spacing w:after="0"/>
        <w:rPr>
          <w:sz w:val="20"/>
          <w:szCs w:val="20"/>
          <w:color w:val="auto"/>
        </w:rPr>
      </w:pPr>
      <w:r>
        <w:rPr>
          <w:rFonts w:ascii="Arial" w:cs="Arial" w:eastAsia="Arial" w:hAnsi="Arial"/>
          <w:sz w:val="20"/>
          <w:szCs w:val="20"/>
          <w:color w:val="666666"/>
        </w:rPr>
        <w:t>Secretary</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666666"/>
        </w:rPr>
        <w:t>McLean, Virginia</w:t>
      </w:r>
    </w:p>
    <w:p>
      <w:pPr>
        <w:spacing w:after="0"/>
        <w:rPr>
          <w:sz w:val="20"/>
          <w:szCs w:val="20"/>
          <w:color w:val="auto"/>
        </w:rPr>
      </w:pPr>
      <w:r>
        <w:rPr>
          <w:rFonts w:ascii="Arial" w:cs="Arial" w:eastAsia="Arial" w:hAnsi="Arial"/>
          <w:sz w:val="20"/>
          <w:szCs w:val="20"/>
          <w:color w:val="666666"/>
        </w:rPr>
        <w:t>June 29, 2020</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57</w:t>
      </w:r>
    </w:p>
    <w:p>
      <w:pPr>
        <w:sectPr>
          <w:pgSz w:w="11900" w:h="16838" w:orient="portrait"/>
          <w:cols w:equalWidth="0" w:num="1">
            <w:col w:w="11240"/>
          </w:cols>
          <w:pgMar w:left="320" w:top="324" w:right="339" w:bottom="1440" w:gutter="0" w:footer="0" w:header="0"/>
        </w:sectPr>
      </w:pPr>
    </w:p>
    <w:bookmarkStart w:id="67" w:name="page68"/>
    <w:bookmarkEnd w:id="67"/>
    <w:p>
      <w:pPr>
        <w:jc w:val="center"/>
        <w:ind w:left="340" w:right="640"/>
        <w:spacing w:after="0" w:line="279" w:lineRule="auto"/>
        <w:rPr>
          <w:sz w:val="20"/>
          <w:szCs w:val="20"/>
          <w:color w:val="auto"/>
        </w:rPr>
      </w:pPr>
      <w:r>
        <w:rPr>
          <w:rFonts w:ascii="Arial" w:cs="Arial" w:eastAsia="Arial" w:hAnsi="Arial"/>
          <w:sz w:val="31"/>
          <w:szCs w:val="31"/>
          <w:b w:val="1"/>
          <w:bCs w:val="1"/>
          <w:color w:val="547BCC"/>
        </w:rPr>
        <w:t>IMPORTANT INFORMATION ABOUT ANNUAL MEETING AND PROXY PROCEDURES</w:t>
      </w:r>
    </w:p>
    <w:p>
      <w:pPr>
        <w:spacing w:after="0" w:line="90" w:lineRule="exact"/>
        <w:rPr>
          <w:sz w:val="20"/>
          <w:szCs w:val="20"/>
          <w:color w:val="auto"/>
        </w:rPr>
      </w:pPr>
    </w:p>
    <w:p>
      <w:pPr>
        <w:ind w:firstLine="324"/>
        <w:spacing w:after="0" w:line="246" w:lineRule="auto"/>
        <w:rPr>
          <w:sz w:val="20"/>
          <w:szCs w:val="20"/>
          <w:color w:val="auto"/>
        </w:rPr>
      </w:pPr>
      <w:r>
        <w:rPr>
          <w:rFonts w:ascii="Arial" w:cs="Arial" w:eastAsia="Arial" w:hAnsi="Arial"/>
          <w:sz w:val="20"/>
          <w:szCs w:val="20"/>
          <w:color w:val="666666"/>
        </w:rPr>
        <w:t>The Board is soliciting proxies to be used at the Annual Meeting of Stockholders to be held virtually on July 29, 2020, beginning at 8:00 a.m. (EDT) at www.virtualshareholdermeeting.com/BAH2020.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547BCC"/>
        </w:rPr>
        <w:t>Why am I receiving these proxy materials?</w:t>
      </w:r>
    </w:p>
    <w:p>
      <w:pPr>
        <w:spacing w:after="0" w:line="235" w:lineRule="exact"/>
        <w:rPr>
          <w:sz w:val="20"/>
          <w:szCs w:val="20"/>
          <w:color w:val="auto"/>
        </w:rPr>
      </w:pPr>
    </w:p>
    <w:p>
      <w:pPr>
        <w:ind w:right="60" w:firstLine="324"/>
        <w:spacing w:after="0"/>
        <w:rPr>
          <w:sz w:val="20"/>
          <w:szCs w:val="20"/>
          <w:color w:val="auto"/>
        </w:rPr>
      </w:pPr>
      <w:r>
        <w:rPr>
          <w:rFonts w:ascii="Arial" w:cs="Arial" w:eastAsia="Arial" w:hAnsi="Arial"/>
          <w:sz w:val="20"/>
          <w:szCs w:val="20"/>
          <w:color w:val="666666"/>
        </w:rPr>
        <w:t>You have received these proxy materials because our Board is soliciting your proxy to vote your shares at the Annual Meeting. As a stockholder, you are invited to attend the Annual Meeting and are requested to vote on the items of business described in this proxy statement. This proxy statement includes information that we are required to provide to you under SEC rules and describes issues on which we would like you to vote at our Annual Meeting of Stockholders. It also gives you information on these issues so that you can make an informed decision. The proxy materials include our proxy statement for the Annual Meeting, our annual report to stockholders, which includes our Annual Report on Form 10-K for the year ended March 31, 2020 and the proxy card, or a voting instruction card, for the Annual Meeting.</w:t>
      </w:r>
    </w:p>
    <w:p>
      <w:pPr>
        <w:spacing w:after="0" w:line="226" w:lineRule="exact"/>
        <w:rPr>
          <w:sz w:val="20"/>
          <w:szCs w:val="20"/>
          <w:color w:val="auto"/>
        </w:rPr>
      </w:pPr>
    </w:p>
    <w:p>
      <w:pPr>
        <w:ind w:right="660" w:firstLine="324"/>
        <w:spacing w:after="0" w:line="246" w:lineRule="auto"/>
        <w:rPr>
          <w:sz w:val="20"/>
          <w:szCs w:val="20"/>
          <w:color w:val="auto"/>
        </w:rPr>
      </w:pPr>
      <w:r>
        <w:rPr>
          <w:rFonts w:ascii="Arial" w:cs="Arial" w:eastAsia="Arial" w:hAnsi="Arial"/>
          <w:sz w:val="20"/>
          <w:szCs w:val="20"/>
          <w:color w:val="666666"/>
        </w:rPr>
        <w:t>Our Board has made this proxy statement and proxy card available to you on the Internet because you own shares of Class A common stock of the Company.</w:t>
      </w:r>
    </w:p>
    <w:p>
      <w:pPr>
        <w:spacing w:after="0" w:line="217" w:lineRule="exact"/>
        <w:rPr>
          <w:sz w:val="20"/>
          <w:szCs w:val="20"/>
          <w:color w:val="auto"/>
        </w:rPr>
      </w:pPr>
    </w:p>
    <w:p>
      <w:pPr>
        <w:ind w:right="20" w:firstLine="324"/>
        <w:spacing w:after="0"/>
        <w:rPr>
          <w:sz w:val="20"/>
          <w:szCs w:val="20"/>
          <w:color w:val="auto"/>
        </w:rPr>
      </w:pPr>
      <w:r>
        <w:rPr>
          <w:rFonts w:ascii="Arial" w:cs="Arial" w:eastAsia="Arial" w:hAnsi="Arial"/>
          <w:sz w:val="20"/>
          <w:szCs w:val="20"/>
          <w:color w:val="666666"/>
        </w:rPr>
        <w:t>If you submit a proxy by using the Internet, by calling or by signing and returning the proxy card, you will appoint Horacio D. Rozanski, President and Chief Executive Officer, and Nancy J. Laben, Executive Vice President and Chief Legal Officer (with full power of substitution) as your representatives at the Annual Meeting. He or she will vote your shares at the Annual Meeting as you have instructed them or, if an issue that is not on the proxy card comes up for vote, in accordance with his or her best judgment. By submitting a proxy, you can ensure your shares will be voted whether or not you attend the Annual Meeting. Even if you plan to attend the Annual Meeting, we encourage you to submit a proxy in advance by using the Internet, by calling or by signing and returning your proxy card. If you vote by Internet or by calling, you do not need to return your proxy card.</w:t>
      </w:r>
    </w:p>
    <w:p>
      <w:pPr>
        <w:spacing w:after="0" w:line="211" w:lineRule="exact"/>
        <w:rPr>
          <w:sz w:val="20"/>
          <w:szCs w:val="20"/>
          <w:color w:val="auto"/>
        </w:rPr>
      </w:pPr>
    </w:p>
    <w:p>
      <w:pPr>
        <w:ind w:right="260"/>
        <w:spacing w:after="0" w:line="274" w:lineRule="auto"/>
        <w:rPr>
          <w:sz w:val="20"/>
          <w:szCs w:val="20"/>
          <w:color w:val="auto"/>
        </w:rPr>
      </w:pPr>
      <w:r>
        <w:rPr>
          <w:rFonts w:ascii="Arial" w:cs="Arial" w:eastAsia="Arial" w:hAnsi="Arial"/>
          <w:sz w:val="22"/>
          <w:szCs w:val="22"/>
          <w:b w:val="1"/>
          <w:bCs w:val="1"/>
          <w:color w:val="547BCC"/>
        </w:rPr>
        <w:t>Why did I receive a full set of proxy materials in the mail instead of a Notice of Internet Availability of Proxy Materials?</w:t>
      </w:r>
    </w:p>
    <w:p>
      <w:pPr>
        <w:spacing w:after="0" w:line="207" w:lineRule="exact"/>
        <w:rPr>
          <w:sz w:val="20"/>
          <w:szCs w:val="20"/>
          <w:color w:val="auto"/>
        </w:rPr>
      </w:pPr>
    </w:p>
    <w:p>
      <w:pPr>
        <w:ind w:right="40" w:firstLine="324"/>
        <w:spacing w:after="0"/>
        <w:rPr>
          <w:sz w:val="20"/>
          <w:szCs w:val="20"/>
          <w:color w:val="auto"/>
        </w:rPr>
      </w:pPr>
      <w:r>
        <w:rPr>
          <w:rFonts w:ascii="Arial" w:cs="Arial" w:eastAsia="Arial" w:hAnsi="Arial"/>
          <w:sz w:val="20"/>
          <w:szCs w:val="20"/>
          <w:color w:val="666666"/>
        </w:rPr>
        <w:t>Pursuant to rules promulgated by the Securities and Exchange Commission, we are permitted to select between two options for making proxy materials available to our stockholders. Although in the past we have selected the notice only option and mailed a Notice of Internet Availability of Proxy Materials instead of a printed set of proxy materials, this year we have elected to provide access to our proxy materials both by sending you this full set of proxy materials, including a proxy card, and by notifying you of the availability of our proxy materials on the Internet. Our proxy materials and our 2020 Annual Report are available are also available via the Internet at www.proxyvote.com, which may be accessed using the control number located on each proxy card. We may decide not to use the “full set delivery” option in the future; however, should we choose not to use the “full set delivery” option, you will still have the right to request a free set of proxy materials in printed form by mail or electronically by mail.</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547BCC"/>
        </w:rPr>
        <w:t>How can I sign up for the electronic proxy delivery service?</w:t>
      </w:r>
    </w:p>
    <w:p>
      <w:pPr>
        <w:spacing w:after="0" w:line="248"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Instead of receiving future proxy materials in the mail, you can elect to receive an email that provides a link to our future proxy materials on the Internet. The proxy card or the instructions that accompanied your proxy materials will contain instructions on how to request electronic delivery of future proxy materials. Choosing to receive your future proxy materials by email will eliminate the cost of printing and mailing documents and will reduce the associated environmental impact.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58</w:t>
      </w:r>
    </w:p>
    <w:p>
      <w:pPr>
        <w:sectPr>
          <w:pgSz w:w="11900" w:h="16838" w:orient="portrait"/>
          <w:cols w:equalWidth="0" w:num="1">
            <w:col w:w="11240"/>
          </w:cols>
          <w:pgMar w:left="320" w:top="324" w:right="339" w:bottom="1440" w:gutter="0" w:footer="0" w:header="0"/>
        </w:sectPr>
      </w:pPr>
    </w:p>
    <w:bookmarkStart w:id="68" w:name="page69"/>
    <w:bookmarkEnd w:id="68"/>
    <w:p>
      <w:pPr>
        <w:spacing w:after="0"/>
        <w:rPr>
          <w:sz w:val="20"/>
          <w:szCs w:val="20"/>
          <w:color w:val="auto"/>
        </w:rPr>
      </w:pPr>
      <w:r>
        <w:rPr>
          <w:rFonts w:ascii="Arial" w:cs="Arial" w:eastAsia="Arial" w:hAnsi="Arial"/>
          <w:sz w:val="22"/>
          <w:szCs w:val="22"/>
          <w:b w:val="1"/>
          <w:bCs w:val="1"/>
          <w:color w:val="547BCC"/>
        </w:rPr>
        <w:t>Why is the Company holding a virtual Annual Meeting?</w:t>
      </w:r>
    </w:p>
    <w:p>
      <w:pPr>
        <w:spacing w:after="0" w:line="248"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20"/>
          <w:szCs w:val="20"/>
          <w:color w:val="666666"/>
        </w:rPr>
        <w:t>In light of the COVID-19 pandemic, for the safety and well-being of our stockholders, Board of Directors and employees, we have determined that we will hold the Annual Meeting in a virtual only format, with no physical in-person meeting.</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547BCC"/>
        </w:rPr>
        <w:t>How do I attend and participate in the virtual Annual Meeting?</w:t>
      </w:r>
    </w:p>
    <w:p>
      <w:pPr>
        <w:spacing w:after="0" w:line="27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20"/>
          <w:szCs w:val="20"/>
          <w:color w:val="666666"/>
        </w:rPr>
        <w:t>You will be able to virtually attend the Annual Meeting by visiting www.virtualshareholdermeeting.com/BAH2020. To participate in the Annual Meeting, you will need the control number located on your proxy card or the instructions that accompanied your proxy materials. The Annual Meeting will begin promptly at 8:00 a.m. Eastern Time on July 29, 2020. We encourage you to access the virtual meeting website prior to the start time. Online check-in will begin at 7:45 a.m. Eastern Time, and you should allow ample time to ensure your ability to access the meeting.</w:t>
      </w:r>
    </w:p>
    <w:p>
      <w:pPr>
        <w:spacing w:after="0" w:line="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666666"/>
        </w:rPr>
        <w:t>You may submit a question at any time during the meeting by visiting www.virtualshareholdermeeting.com/BAH2020. The Chair of the meeting has broad authority to conduct the Annual Meeting in an orderly manner, including establishing rules of conduct. A copy of the rules of conduct will be available online at the Annual Meeting.</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547BCC"/>
        </w:rPr>
        <w:t>Who is entitled to vote at the Annual Meeting?</w:t>
      </w:r>
    </w:p>
    <w:p>
      <w:pPr>
        <w:spacing w:after="0" w:line="23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666666"/>
        </w:rPr>
        <w:t>Holders of the Company’s Class A common stock are entitled to vote at the Annual Meeting. The Board has established the record date for the Annual Meeting as June 8, 2020. Only holders of record of the Company’s Class A common stock on the record date are entitled to receive notice of the meeting and to vote at the meeting.</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547BCC"/>
        </w:rPr>
        <w:t>How many shares must be present to hold the Annual Meeting?</w:t>
      </w:r>
    </w:p>
    <w:p>
      <w:pPr>
        <w:spacing w:after="0" w:line="235" w:lineRule="exact"/>
        <w:rPr>
          <w:sz w:val="20"/>
          <w:szCs w:val="20"/>
          <w:color w:val="auto"/>
        </w:rPr>
      </w:pPr>
    </w:p>
    <w:p>
      <w:pPr>
        <w:ind w:right="120" w:firstLine="324"/>
        <w:spacing w:after="0" w:line="241" w:lineRule="auto"/>
        <w:rPr>
          <w:sz w:val="20"/>
          <w:szCs w:val="20"/>
          <w:color w:val="auto"/>
        </w:rPr>
      </w:pPr>
      <w:r>
        <w:rPr>
          <w:rFonts w:ascii="Arial" w:cs="Arial" w:eastAsia="Arial" w:hAnsi="Arial"/>
          <w:sz w:val="20"/>
          <w:szCs w:val="20"/>
          <w:color w:val="666666"/>
        </w:rPr>
        <w:t>In order for us to lawfully conduct business at the Annual Meeting, the holders of stock representing a majority of the voting power of all shares issued and outstanding and entitled to vote at the meeting must be present in person at the Annual Meeting or represented by proxy. This is referred to as a quorum. Stockholders who attend the Annual Meeting online at www.virtualshareholdermeeting.com/BAH2020 will be deemed to be in person attendees for purposes of determining if a quorum has been met. If a quorum is present, we can hold the Annual Meeting and conduct business.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547BCC"/>
        </w:rPr>
        <w:t>How many shares may I vote?</w:t>
      </w:r>
    </w:p>
    <w:p>
      <w:pPr>
        <w:spacing w:after="0" w:line="235" w:lineRule="exact"/>
        <w:rPr>
          <w:sz w:val="20"/>
          <w:szCs w:val="20"/>
          <w:color w:val="auto"/>
        </w:rPr>
      </w:pPr>
    </w:p>
    <w:p>
      <w:pPr>
        <w:ind w:firstLine="324"/>
        <w:spacing w:after="0" w:line="246" w:lineRule="auto"/>
        <w:rPr>
          <w:sz w:val="20"/>
          <w:szCs w:val="20"/>
          <w:color w:val="auto"/>
        </w:rPr>
      </w:pPr>
      <w:r>
        <w:rPr>
          <w:rFonts w:ascii="Arial" w:cs="Arial" w:eastAsia="Arial" w:hAnsi="Arial"/>
          <w:sz w:val="20"/>
          <w:szCs w:val="20"/>
          <w:color w:val="666666"/>
        </w:rPr>
        <w:t>On June 8, 2020, 138,171,629 shares of our Class A common stock were outstanding. Each share of Class A common stock is entitled to one vote, and stockholders do not have the right to cumulate their votes for the election of directors.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59</w:t>
      </w:r>
    </w:p>
    <w:p>
      <w:pPr>
        <w:sectPr>
          <w:pgSz w:w="11900" w:h="16838" w:orient="portrait"/>
          <w:cols w:equalWidth="0" w:num="1">
            <w:col w:w="11240"/>
          </w:cols>
          <w:pgMar w:left="320" w:top="566" w:right="339" w:bottom="1440" w:gutter="0" w:footer="0" w:header="0"/>
        </w:sectPr>
      </w:pPr>
    </w:p>
    <w:bookmarkStart w:id="69" w:name="page70"/>
    <w:bookmarkEnd w:id="69"/>
    <w:p>
      <w:pPr>
        <w:spacing w:after="0"/>
        <w:rPr>
          <w:sz w:val="20"/>
          <w:szCs w:val="20"/>
          <w:color w:val="auto"/>
        </w:rPr>
      </w:pPr>
      <w:r>
        <w:rPr>
          <w:rFonts w:ascii="Arial" w:cs="Arial" w:eastAsia="Arial" w:hAnsi="Arial"/>
          <w:sz w:val="22"/>
          <w:szCs w:val="22"/>
          <w:b w:val="1"/>
          <w:bCs w:val="1"/>
          <w:color w:val="547BCC"/>
        </w:rPr>
        <w:t>What am I voting on and what are the Board’s recommendations?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shd w:val="clear" w:color="auto" w:fill="D7D7D7"/>
          </w:tcPr>
          <w:p>
            <w:pPr>
              <w:spacing w:after="0"/>
              <w:rPr>
                <w:sz w:val="17"/>
                <w:szCs w:val="17"/>
                <w:color w:val="auto"/>
              </w:rPr>
            </w:pPr>
          </w:p>
        </w:tc>
        <w:tc>
          <w:tcPr>
            <w:tcW w:w="5600" w:type="dxa"/>
            <w:vAlign w:val="bottom"/>
            <w:shd w:val="clear" w:color="auto" w:fill="D7D7D7"/>
          </w:tcPr>
          <w:p>
            <w:pPr>
              <w:spacing w:after="0"/>
              <w:rPr>
                <w:sz w:val="17"/>
                <w:szCs w:val="17"/>
                <w:color w:val="auto"/>
              </w:rPr>
            </w:pPr>
          </w:p>
        </w:tc>
        <w:tc>
          <w:tcPr>
            <w:tcW w:w="2260" w:type="dxa"/>
            <w:vAlign w:val="bottom"/>
            <w:shd w:val="clear" w:color="auto" w:fill="D7D7D7"/>
          </w:tcPr>
          <w:p>
            <w:pPr>
              <w:jc w:val="center"/>
              <w:ind w:right="70"/>
              <w:spacing w:after="0"/>
              <w:rPr>
                <w:sz w:val="20"/>
                <w:szCs w:val="20"/>
                <w:color w:val="auto"/>
              </w:rPr>
            </w:pPr>
            <w:r>
              <w:rPr>
                <w:rFonts w:ascii="Arial" w:cs="Arial" w:eastAsia="Arial" w:hAnsi="Arial"/>
                <w:sz w:val="18"/>
                <w:szCs w:val="18"/>
                <w:b w:val="1"/>
                <w:bCs w:val="1"/>
                <w:color w:val="547BCC"/>
                <w:w w:val="98"/>
              </w:rPr>
              <w:t>Board's Voting</w:t>
            </w:r>
          </w:p>
        </w:tc>
        <w:tc>
          <w:tcPr>
            <w:tcW w:w="2320" w:type="dxa"/>
            <w:vAlign w:val="bottom"/>
            <w:shd w:val="clear" w:color="auto" w:fill="D7D7D7"/>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shd w:val="clear" w:color="auto" w:fill="D7D7D7"/>
          </w:tcPr>
          <w:p>
            <w:pPr>
              <w:jc w:val="center"/>
              <w:ind w:left="10"/>
              <w:spacing w:after="0"/>
              <w:rPr>
                <w:sz w:val="20"/>
                <w:szCs w:val="20"/>
                <w:color w:val="auto"/>
              </w:rPr>
            </w:pPr>
            <w:r>
              <w:rPr>
                <w:rFonts w:ascii="Arial" w:cs="Arial" w:eastAsia="Arial" w:hAnsi="Arial"/>
                <w:sz w:val="18"/>
                <w:szCs w:val="18"/>
                <w:b w:val="1"/>
                <w:bCs w:val="1"/>
                <w:color w:val="547BCC"/>
                <w:w w:val="98"/>
              </w:rPr>
              <w:t>Proposal</w:t>
            </w:r>
          </w:p>
        </w:tc>
        <w:tc>
          <w:tcPr>
            <w:tcW w:w="5600" w:type="dxa"/>
            <w:vAlign w:val="bottom"/>
            <w:tcBorders>
              <w:bottom w:val="single" w:sz="8" w:color="auto"/>
            </w:tcBorders>
            <w:shd w:val="clear" w:color="auto" w:fill="D7D7D7"/>
          </w:tcPr>
          <w:p>
            <w:pPr>
              <w:ind w:left="2340"/>
              <w:spacing w:after="0"/>
              <w:rPr>
                <w:sz w:val="20"/>
                <w:szCs w:val="20"/>
                <w:color w:val="auto"/>
              </w:rPr>
            </w:pPr>
            <w:r>
              <w:rPr>
                <w:rFonts w:ascii="Arial" w:cs="Arial" w:eastAsia="Arial" w:hAnsi="Arial"/>
                <w:sz w:val="18"/>
                <w:szCs w:val="18"/>
                <w:b w:val="1"/>
                <w:bCs w:val="1"/>
                <w:color w:val="547BCC"/>
              </w:rPr>
              <w:t>Description</w:t>
            </w:r>
          </w:p>
        </w:tc>
        <w:tc>
          <w:tcPr>
            <w:tcW w:w="2260" w:type="dxa"/>
            <w:vAlign w:val="bottom"/>
            <w:tcBorders>
              <w:bottom w:val="single" w:sz="8" w:color="auto"/>
            </w:tcBorders>
            <w:shd w:val="clear" w:color="auto" w:fill="D7D7D7"/>
          </w:tcPr>
          <w:p>
            <w:pPr>
              <w:jc w:val="center"/>
              <w:ind w:right="90"/>
              <w:spacing w:after="0"/>
              <w:rPr>
                <w:sz w:val="20"/>
                <w:szCs w:val="20"/>
                <w:color w:val="auto"/>
              </w:rPr>
            </w:pPr>
            <w:r>
              <w:rPr>
                <w:rFonts w:ascii="Arial" w:cs="Arial" w:eastAsia="Arial" w:hAnsi="Arial"/>
                <w:sz w:val="18"/>
                <w:szCs w:val="18"/>
                <w:b w:val="1"/>
                <w:bCs w:val="1"/>
                <w:color w:val="547BCC"/>
              </w:rPr>
              <w:t>Recommendation</w:t>
            </w:r>
          </w:p>
        </w:tc>
        <w:tc>
          <w:tcPr>
            <w:tcW w:w="2320" w:type="dxa"/>
            <w:vAlign w:val="bottom"/>
            <w:tcBorders>
              <w:bottom w:val="single" w:sz="8" w:color="auto"/>
            </w:tcBorders>
            <w:shd w:val="clear" w:color="auto" w:fill="D7D7D7"/>
          </w:tcPr>
          <w:p>
            <w:pPr>
              <w:ind w:left="400"/>
              <w:spacing w:after="0"/>
              <w:rPr>
                <w:sz w:val="20"/>
                <w:szCs w:val="20"/>
                <w:color w:val="auto"/>
              </w:rPr>
            </w:pPr>
            <w:r>
              <w:rPr>
                <w:rFonts w:ascii="Arial" w:cs="Arial" w:eastAsia="Arial" w:hAnsi="Arial"/>
                <w:sz w:val="18"/>
                <w:szCs w:val="18"/>
                <w:b w:val="1"/>
                <w:bCs w:val="1"/>
                <w:color w:val="547BCC"/>
              </w:rPr>
              <w:t>Page Reference</w:t>
            </w:r>
          </w:p>
        </w:tc>
        <w:tc>
          <w:tcPr>
            <w:tcW w:w="0" w:type="dxa"/>
            <w:vAlign w:val="bottom"/>
          </w:tcPr>
          <w:p>
            <w:pPr>
              <w:spacing w:after="0"/>
              <w:rPr>
                <w:sz w:val="1"/>
                <w:szCs w:val="1"/>
                <w:color w:val="auto"/>
              </w:rPr>
            </w:pPr>
          </w:p>
        </w:tc>
      </w:tr>
      <w:tr>
        <w:trPr>
          <w:trHeight w:val="265"/>
        </w:trPr>
        <w:tc>
          <w:tcPr>
            <w:tcW w:w="10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666666"/>
              </w:rPr>
              <w:t>No. 1</w:t>
            </w:r>
          </w:p>
        </w:tc>
        <w:tc>
          <w:tcPr>
            <w:tcW w:w="5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666666"/>
              </w:rPr>
              <w:t>Election of three director nominees</w:t>
            </w:r>
          </w:p>
        </w:tc>
        <w:tc>
          <w:tcPr>
            <w:tcW w:w="2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666666"/>
              </w:rPr>
              <w:t>FOR each nominee</w:t>
            </w:r>
          </w:p>
        </w:tc>
        <w:tc>
          <w:tcPr>
            <w:tcW w:w="2320" w:type="dxa"/>
            <w:vAlign w:val="bottom"/>
            <w:tcBorders>
              <w:bottom w:val="single" w:sz="8" w:color="auto"/>
            </w:tcBorders>
          </w:tcPr>
          <w:p>
            <w:pPr>
              <w:jc w:val="center"/>
              <w:ind w:right="63"/>
              <w:spacing w:after="0"/>
              <w:rPr>
                <w:sz w:val="20"/>
                <w:szCs w:val="20"/>
                <w:color w:val="auto"/>
              </w:rPr>
            </w:pPr>
            <w:r>
              <w:rPr>
                <w:rFonts w:ascii="Arial" w:cs="Arial" w:eastAsia="Arial" w:hAnsi="Arial"/>
                <w:sz w:val="20"/>
                <w:szCs w:val="20"/>
                <w:color w:val="666666"/>
              </w:rPr>
              <w:t>6</w:t>
            </w:r>
          </w:p>
        </w:tc>
        <w:tc>
          <w:tcPr>
            <w:tcW w:w="0" w:type="dxa"/>
            <w:vAlign w:val="bottom"/>
          </w:tcPr>
          <w:p>
            <w:pPr>
              <w:spacing w:after="0"/>
              <w:rPr>
                <w:sz w:val="1"/>
                <w:szCs w:val="1"/>
                <w:color w:val="auto"/>
              </w:rPr>
            </w:pPr>
          </w:p>
        </w:tc>
      </w:tr>
      <w:tr>
        <w:trPr>
          <w:trHeight w:val="227"/>
        </w:trPr>
        <w:tc>
          <w:tcPr>
            <w:tcW w:w="1060" w:type="dxa"/>
            <w:vAlign w:val="bottom"/>
            <w:vMerge w:val="restart"/>
            <w:shd w:val="clear" w:color="auto" w:fill="D7D7D7"/>
          </w:tcPr>
          <w:p>
            <w:pPr>
              <w:jc w:val="center"/>
              <w:ind w:left="10"/>
              <w:spacing w:after="0"/>
              <w:rPr>
                <w:sz w:val="20"/>
                <w:szCs w:val="20"/>
                <w:color w:val="auto"/>
              </w:rPr>
            </w:pPr>
            <w:r>
              <w:rPr>
                <w:rFonts w:ascii="Arial" w:cs="Arial" w:eastAsia="Arial" w:hAnsi="Arial"/>
                <w:sz w:val="18"/>
                <w:szCs w:val="18"/>
                <w:color w:val="666666"/>
              </w:rPr>
              <w:t>No. 2</w:t>
            </w:r>
          </w:p>
        </w:tc>
        <w:tc>
          <w:tcPr>
            <w:tcW w:w="5600" w:type="dxa"/>
            <w:vAlign w:val="bottom"/>
            <w:shd w:val="clear" w:color="auto" w:fill="D7D7D7"/>
          </w:tcPr>
          <w:p>
            <w:pPr>
              <w:ind w:left="100"/>
              <w:spacing w:after="0"/>
              <w:rPr>
                <w:sz w:val="20"/>
                <w:szCs w:val="20"/>
                <w:color w:val="auto"/>
              </w:rPr>
            </w:pPr>
            <w:r>
              <w:rPr>
                <w:rFonts w:ascii="Arial" w:cs="Arial" w:eastAsia="Arial" w:hAnsi="Arial"/>
                <w:sz w:val="18"/>
                <w:szCs w:val="18"/>
                <w:color w:val="666666"/>
              </w:rPr>
              <w:t>Ratification of appointment of E&amp;Y as the Company's independent</w:t>
            </w:r>
          </w:p>
        </w:tc>
        <w:tc>
          <w:tcPr>
            <w:tcW w:w="2260" w:type="dxa"/>
            <w:vAlign w:val="bottom"/>
            <w:vMerge w:val="restart"/>
            <w:shd w:val="clear" w:color="auto" w:fill="D7D7D7"/>
          </w:tcPr>
          <w:p>
            <w:pPr>
              <w:jc w:val="center"/>
              <w:ind w:right="70"/>
              <w:spacing w:after="0"/>
              <w:rPr>
                <w:sz w:val="20"/>
                <w:szCs w:val="20"/>
                <w:color w:val="auto"/>
              </w:rPr>
            </w:pPr>
            <w:r>
              <w:rPr>
                <w:rFonts w:ascii="Arial" w:cs="Arial" w:eastAsia="Arial" w:hAnsi="Arial"/>
                <w:sz w:val="18"/>
                <w:szCs w:val="18"/>
                <w:b w:val="1"/>
                <w:bCs w:val="1"/>
                <w:color w:val="666666"/>
                <w:w w:val="99"/>
              </w:rPr>
              <w:t>FOR</w:t>
            </w:r>
          </w:p>
        </w:tc>
        <w:tc>
          <w:tcPr>
            <w:tcW w:w="2320" w:type="dxa"/>
            <w:vAlign w:val="bottom"/>
            <w:vMerge w:val="restart"/>
            <w:shd w:val="clear" w:color="auto" w:fill="D7D7D7"/>
          </w:tcPr>
          <w:p>
            <w:pPr>
              <w:jc w:val="center"/>
              <w:ind w:right="43"/>
              <w:spacing w:after="0"/>
              <w:rPr>
                <w:sz w:val="20"/>
                <w:szCs w:val="20"/>
                <w:color w:val="auto"/>
              </w:rPr>
            </w:pPr>
            <w:r>
              <w:rPr>
                <w:rFonts w:ascii="Arial" w:cs="Arial" w:eastAsia="Arial" w:hAnsi="Arial"/>
                <w:sz w:val="20"/>
                <w:szCs w:val="20"/>
                <w:color w:val="666666"/>
                <w:w w:val="98"/>
              </w:rPr>
              <w:t>53</w:t>
            </w:r>
          </w:p>
        </w:tc>
        <w:tc>
          <w:tcPr>
            <w:tcW w:w="0" w:type="dxa"/>
            <w:vAlign w:val="bottom"/>
          </w:tcPr>
          <w:p>
            <w:pPr>
              <w:spacing w:after="0"/>
              <w:rPr>
                <w:sz w:val="1"/>
                <w:szCs w:val="1"/>
                <w:color w:val="auto"/>
              </w:rPr>
            </w:pPr>
          </w:p>
        </w:tc>
      </w:tr>
      <w:tr>
        <w:trPr>
          <w:trHeight w:val="126"/>
        </w:trPr>
        <w:tc>
          <w:tcPr>
            <w:tcW w:w="1060" w:type="dxa"/>
            <w:vAlign w:val="bottom"/>
            <w:vMerge w:val="continue"/>
            <w:shd w:val="clear" w:color="auto" w:fill="D7D7D7"/>
          </w:tcPr>
          <w:p>
            <w:pPr>
              <w:spacing w:after="0"/>
              <w:rPr>
                <w:sz w:val="10"/>
                <w:szCs w:val="10"/>
                <w:color w:val="auto"/>
              </w:rPr>
            </w:pPr>
          </w:p>
        </w:tc>
        <w:tc>
          <w:tcPr>
            <w:tcW w:w="5600" w:type="dxa"/>
            <w:vAlign w:val="bottom"/>
            <w:vMerge w:val="restart"/>
            <w:shd w:val="clear" w:color="auto" w:fill="D7D7D7"/>
          </w:tcPr>
          <w:p>
            <w:pPr>
              <w:ind w:left="100"/>
              <w:spacing w:after="0"/>
              <w:rPr>
                <w:sz w:val="20"/>
                <w:szCs w:val="20"/>
                <w:color w:val="auto"/>
              </w:rPr>
            </w:pPr>
            <w:r>
              <w:rPr>
                <w:rFonts w:ascii="Arial" w:cs="Arial" w:eastAsia="Arial" w:hAnsi="Arial"/>
                <w:sz w:val="18"/>
                <w:szCs w:val="18"/>
                <w:color w:val="666666"/>
              </w:rPr>
              <w:t>registered accounting firm for fiscal 2021</w:t>
            </w:r>
          </w:p>
        </w:tc>
        <w:tc>
          <w:tcPr>
            <w:tcW w:w="2260" w:type="dxa"/>
            <w:vAlign w:val="bottom"/>
            <w:vMerge w:val="continue"/>
            <w:shd w:val="clear" w:color="auto" w:fill="D7D7D7"/>
          </w:tcPr>
          <w:p>
            <w:pPr>
              <w:spacing w:after="0"/>
              <w:rPr>
                <w:sz w:val="10"/>
                <w:szCs w:val="10"/>
                <w:color w:val="auto"/>
              </w:rPr>
            </w:pPr>
          </w:p>
        </w:tc>
        <w:tc>
          <w:tcPr>
            <w:tcW w:w="2320" w:type="dxa"/>
            <w:vAlign w:val="bottom"/>
            <w:vMerge w:val="continue"/>
            <w:shd w:val="clear" w:color="auto" w:fill="D7D7D7"/>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060" w:type="dxa"/>
            <w:vAlign w:val="bottom"/>
            <w:tcBorders>
              <w:bottom w:val="single" w:sz="8" w:color="auto"/>
            </w:tcBorders>
            <w:shd w:val="clear" w:color="auto" w:fill="D7D7D7"/>
          </w:tcPr>
          <w:p>
            <w:pPr>
              <w:spacing w:after="0"/>
              <w:rPr>
                <w:sz w:val="8"/>
                <w:szCs w:val="8"/>
                <w:color w:val="auto"/>
              </w:rPr>
            </w:pPr>
          </w:p>
        </w:tc>
        <w:tc>
          <w:tcPr>
            <w:tcW w:w="5600" w:type="dxa"/>
            <w:vAlign w:val="bottom"/>
            <w:tcBorders>
              <w:bottom w:val="single" w:sz="8" w:color="auto"/>
            </w:tcBorders>
            <w:vMerge w:val="continue"/>
            <w:shd w:val="clear" w:color="auto" w:fill="D7D7D7"/>
          </w:tcPr>
          <w:p>
            <w:pPr>
              <w:spacing w:after="0"/>
              <w:rPr>
                <w:sz w:val="8"/>
                <w:szCs w:val="8"/>
                <w:color w:val="auto"/>
              </w:rPr>
            </w:pPr>
          </w:p>
        </w:tc>
        <w:tc>
          <w:tcPr>
            <w:tcW w:w="2260" w:type="dxa"/>
            <w:vAlign w:val="bottom"/>
            <w:tcBorders>
              <w:bottom w:val="single" w:sz="8" w:color="auto"/>
            </w:tcBorders>
            <w:shd w:val="clear" w:color="auto" w:fill="D7D7D7"/>
          </w:tcPr>
          <w:p>
            <w:pPr>
              <w:spacing w:after="0"/>
              <w:rPr>
                <w:sz w:val="8"/>
                <w:szCs w:val="8"/>
                <w:color w:val="auto"/>
              </w:rPr>
            </w:pPr>
          </w:p>
        </w:tc>
        <w:tc>
          <w:tcPr>
            <w:tcW w:w="2320" w:type="dxa"/>
            <w:vAlign w:val="bottom"/>
            <w:tcBorders>
              <w:bottom w:val="single" w:sz="8" w:color="auto"/>
            </w:tcBorders>
            <w:shd w:val="clear" w:color="auto" w:fill="D7D7D7"/>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060" w:type="dxa"/>
            <w:vAlign w:val="bottom"/>
          </w:tcPr>
          <w:p>
            <w:pPr>
              <w:spacing w:after="0"/>
              <w:rPr>
                <w:sz w:val="19"/>
                <w:szCs w:val="19"/>
                <w:color w:val="auto"/>
              </w:rPr>
            </w:pPr>
          </w:p>
        </w:tc>
        <w:tc>
          <w:tcPr>
            <w:tcW w:w="5600" w:type="dxa"/>
            <w:vAlign w:val="bottom"/>
          </w:tcPr>
          <w:p>
            <w:pPr>
              <w:ind w:left="100"/>
              <w:spacing w:after="0"/>
              <w:rPr>
                <w:sz w:val="20"/>
                <w:szCs w:val="20"/>
                <w:color w:val="auto"/>
              </w:rPr>
            </w:pPr>
            <w:r>
              <w:rPr>
                <w:rFonts w:ascii="Arial" w:cs="Arial" w:eastAsia="Arial" w:hAnsi="Arial"/>
                <w:sz w:val="18"/>
                <w:szCs w:val="18"/>
                <w:color w:val="666666"/>
              </w:rPr>
              <w:t>A non-binding advisory vote on the compensation program for the</w:t>
            </w:r>
          </w:p>
        </w:tc>
        <w:tc>
          <w:tcPr>
            <w:tcW w:w="22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666666"/>
                <w:w w:val="99"/>
              </w:rPr>
              <w:t>FOR</w:t>
            </w:r>
          </w:p>
        </w:tc>
        <w:tc>
          <w:tcPr>
            <w:tcW w:w="2320" w:type="dxa"/>
            <w:vAlign w:val="bottom"/>
            <w:vMerge w:val="restart"/>
          </w:tcPr>
          <w:p>
            <w:pPr>
              <w:jc w:val="center"/>
              <w:ind w:right="43"/>
              <w:spacing w:after="0"/>
              <w:rPr>
                <w:sz w:val="20"/>
                <w:szCs w:val="20"/>
                <w:color w:val="auto"/>
              </w:rPr>
            </w:pPr>
            <w:r>
              <w:rPr>
                <w:rFonts w:ascii="Arial" w:cs="Arial" w:eastAsia="Arial" w:hAnsi="Arial"/>
                <w:sz w:val="20"/>
                <w:szCs w:val="20"/>
                <w:color w:val="666666"/>
                <w:w w:val="98"/>
              </w:rPr>
              <w:t>54</w:t>
            </w:r>
          </w:p>
        </w:tc>
        <w:tc>
          <w:tcPr>
            <w:tcW w:w="0" w:type="dxa"/>
            <w:vAlign w:val="bottom"/>
          </w:tcPr>
          <w:p>
            <w:pPr>
              <w:spacing w:after="0"/>
              <w:rPr>
                <w:sz w:val="1"/>
                <w:szCs w:val="1"/>
                <w:color w:val="auto"/>
              </w:rPr>
            </w:pPr>
          </w:p>
        </w:tc>
      </w:tr>
      <w:tr>
        <w:trPr>
          <w:trHeight w:val="126"/>
        </w:trPr>
        <w:tc>
          <w:tcPr>
            <w:tcW w:w="1060" w:type="dxa"/>
            <w:vAlign w:val="bottom"/>
            <w:vMerge w:val="restart"/>
          </w:tcPr>
          <w:p>
            <w:pPr>
              <w:jc w:val="center"/>
              <w:ind w:left="10"/>
              <w:spacing w:after="0" w:line="202" w:lineRule="exact"/>
              <w:rPr>
                <w:sz w:val="20"/>
                <w:szCs w:val="20"/>
                <w:color w:val="auto"/>
              </w:rPr>
            </w:pPr>
            <w:r>
              <w:rPr>
                <w:rFonts w:ascii="Arial" w:cs="Arial" w:eastAsia="Arial" w:hAnsi="Arial"/>
                <w:sz w:val="18"/>
                <w:szCs w:val="18"/>
                <w:color w:val="666666"/>
              </w:rPr>
              <w:t>No. 3</w:t>
            </w:r>
          </w:p>
        </w:tc>
        <w:tc>
          <w:tcPr>
            <w:tcW w:w="5600" w:type="dxa"/>
            <w:vAlign w:val="bottom"/>
            <w:vMerge w:val="restart"/>
          </w:tcPr>
          <w:p>
            <w:pPr>
              <w:ind w:left="100"/>
              <w:spacing w:after="0" w:line="202" w:lineRule="exact"/>
              <w:rPr>
                <w:sz w:val="20"/>
                <w:szCs w:val="20"/>
                <w:color w:val="auto"/>
              </w:rPr>
            </w:pPr>
            <w:r>
              <w:rPr>
                <w:rFonts w:ascii="Arial" w:cs="Arial" w:eastAsia="Arial" w:hAnsi="Arial"/>
                <w:sz w:val="18"/>
                <w:szCs w:val="18"/>
                <w:color w:val="666666"/>
              </w:rPr>
              <w:t>Company’s named executive officers, as disclosed in the CD&amp;A of</w:t>
            </w:r>
          </w:p>
        </w:tc>
        <w:tc>
          <w:tcPr>
            <w:tcW w:w="226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60" w:type="dxa"/>
            <w:vAlign w:val="bottom"/>
            <w:vMerge w:val="continue"/>
          </w:tcPr>
          <w:p>
            <w:pPr>
              <w:spacing w:after="0"/>
              <w:rPr>
                <w:sz w:val="6"/>
                <w:szCs w:val="6"/>
                <w:color w:val="auto"/>
              </w:rPr>
            </w:pPr>
          </w:p>
        </w:tc>
        <w:tc>
          <w:tcPr>
            <w:tcW w:w="5600" w:type="dxa"/>
            <w:vAlign w:val="bottom"/>
            <w:vMerge w:val="continue"/>
          </w:tcPr>
          <w:p>
            <w:pPr>
              <w:spacing w:after="0"/>
              <w:rPr>
                <w:sz w:val="6"/>
                <w:szCs w:val="6"/>
                <w:color w:val="auto"/>
              </w:rPr>
            </w:pPr>
          </w:p>
        </w:tc>
        <w:tc>
          <w:tcPr>
            <w:tcW w:w="2260" w:type="dxa"/>
            <w:vAlign w:val="bottom"/>
            <w:vMerge w:val="continue"/>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060" w:type="dxa"/>
            <w:vAlign w:val="bottom"/>
            <w:tcBorders>
              <w:bottom w:val="single" w:sz="8" w:color="auto"/>
            </w:tcBorders>
          </w:tcPr>
          <w:p>
            <w:pPr>
              <w:spacing w:after="0"/>
              <w:rPr>
                <w:sz w:val="19"/>
                <w:szCs w:val="19"/>
                <w:color w:val="auto"/>
              </w:rPr>
            </w:pPr>
          </w:p>
        </w:tc>
        <w:tc>
          <w:tcPr>
            <w:tcW w:w="5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666666"/>
              </w:rPr>
              <w:t>the proxy statement</w:t>
            </w:r>
          </w:p>
        </w:tc>
        <w:tc>
          <w:tcPr>
            <w:tcW w:w="22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60" w:type="dxa"/>
            <w:vAlign w:val="bottom"/>
            <w:shd w:val="clear" w:color="auto" w:fill="D7D7D7"/>
          </w:tcPr>
          <w:p>
            <w:pPr>
              <w:spacing w:after="0"/>
              <w:rPr>
                <w:sz w:val="19"/>
                <w:szCs w:val="19"/>
                <w:color w:val="auto"/>
              </w:rPr>
            </w:pPr>
          </w:p>
        </w:tc>
        <w:tc>
          <w:tcPr>
            <w:tcW w:w="5600" w:type="dxa"/>
            <w:vAlign w:val="bottom"/>
            <w:shd w:val="clear" w:color="auto" w:fill="D7D7D7"/>
          </w:tcPr>
          <w:p>
            <w:pPr>
              <w:ind w:left="100"/>
              <w:spacing w:after="0"/>
              <w:rPr>
                <w:sz w:val="20"/>
                <w:szCs w:val="20"/>
                <w:color w:val="auto"/>
              </w:rPr>
            </w:pPr>
            <w:r>
              <w:rPr>
                <w:rFonts w:ascii="Arial" w:cs="Arial" w:eastAsia="Arial" w:hAnsi="Arial"/>
                <w:sz w:val="18"/>
                <w:szCs w:val="18"/>
                <w:color w:val="666666"/>
              </w:rPr>
              <w:t>Approval of the adoption of the Fifth Amended and Restated</w:t>
            </w:r>
          </w:p>
        </w:tc>
        <w:tc>
          <w:tcPr>
            <w:tcW w:w="2260" w:type="dxa"/>
            <w:vAlign w:val="bottom"/>
            <w:vMerge w:val="restart"/>
            <w:shd w:val="clear" w:color="auto" w:fill="D7D7D7"/>
          </w:tcPr>
          <w:p>
            <w:pPr>
              <w:jc w:val="center"/>
              <w:ind w:right="70"/>
              <w:spacing w:after="0"/>
              <w:rPr>
                <w:sz w:val="20"/>
                <w:szCs w:val="20"/>
                <w:color w:val="auto"/>
              </w:rPr>
            </w:pPr>
            <w:r>
              <w:rPr>
                <w:rFonts w:ascii="Arial" w:cs="Arial" w:eastAsia="Arial" w:hAnsi="Arial"/>
                <w:sz w:val="18"/>
                <w:szCs w:val="18"/>
                <w:b w:val="1"/>
                <w:bCs w:val="1"/>
                <w:color w:val="666666"/>
                <w:w w:val="99"/>
              </w:rPr>
              <w:t>FOR</w:t>
            </w:r>
          </w:p>
        </w:tc>
        <w:tc>
          <w:tcPr>
            <w:tcW w:w="2320" w:type="dxa"/>
            <w:vAlign w:val="bottom"/>
            <w:vMerge w:val="restart"/>
            <w:shd w:val="clear" w:color="auto" w:fill="D7D7D7"/>
          </w:tcPr>
          <w:p>
            <w:pPr>
              <w:jc w:val="center"/>
              <w:ind w:right="43"/>
              <w:spacing w:after="0"/>
              <w:rPr>
                <w:sz w:val="20"/>
                <w:szCs w:val="20"/>
                <w:color w:val="auto"/>
              </w:rPr>
            </w:pPr>
            <w:r>
              <w:rPr>
                <w:rFonts w:ascii="Arial" w:cs="Arial" w:eastAsia="Arial" w:hAnsi="Arial"/>
                <w:sz w:val="20"/>
                <w:szCs w:val="20"/>
                <w:color w:val="666666"/>
                <w:w w:val="98"/>
              </w:rPr>
              <w:t>55</w:t>
            </w:r>
          </w:p>
        </w:tc>
        <w:tc>
          <w:tcPr>
            <w:tcW w:w="0" w:type="dxa"/>
            <w:vAlign w:val="bottom"/>
          </w:tcPr>
          <w:p>
            <w:pPr>
              <w:spacing w:after="0"/>
              <w:rPr>
                <w:sz w:val="1"/>
                <w:szCs w:val="1"/>
                <w:color w:val="auto"/>
              </w:rPr>
            </w:pPr>
          </w:p>
        </w:tc>
      </w:tr>
      <w:tr>
        <w:trPr>
          <w:trHeight w:val="203"/>
        </w:trPr>
        <w:tc>
          <w:tcPr>
            <w:tcW w:w="1060" w:type="dxa"/>
            <w:vAlign w:val="bottom"/>
            <w:vMerge w:val="restart"/>
            <w:shd w:val="clear" w:color="auto" w:fill="D7D7D7"/>
          </w:tcPr>
          <w:p>
            <w:pPr>
              <w:jc w:val="center"/>
              <w:ind w:left="10"/>
              <w:spacing w:after="0"/>
              <w:rPr>
                <w:sz w:val="20"/>
                <w:szCs w:val="20"/>
                <w:color w:val="auto"/>
              </w:rPr>
            </w:pPr>
            <w:r>
              <w:rPr>
                <w:rFonts w:ascii="Arial" w:cs="Arial" w:eastAsia="Arial" w:hAnsi="Arial"/>
                <w:sz w:val="18"/>
                <w:szCs w:val="18"/>
                <w:color w:val="666666"/>
              </w:rPr>
              <w:t>No. 4</w:t>
            </w:r>
          </w:p>
        </w:tc>
        <w:tc>
          <w:tcPr>
            <w:tcW w:w="5600" w:type="dxa"/>
            <w:vAlign w:val="bottom"/>
            <w:shd w:val="clear" w:color="auto" w:fill="D7D7D7"/>
          </w:tcPr>
          <w:p>
            <w:pPr>
              <w:ind w:left="100"/>
              <w:spacing w:after="0" w:line="202" w:lineRule="exact"/>
              <w:rPr>
                <w:sz w:val="20"/>
                <w:szCs w:val="20"/>
                <w:color w:val="auto"/>
              </w:rPr>
            </w:pPr>
            <w:r>
              <w:rPr>
                <w:rFonts w:ascii="Arial" w:cs="Arial" w:eastAsia="Arial" w:hAnsi="Arial"/>
                <w:sz w:val="18"/>
                <w:szCs w:val="18"/>
                <w:color w:val="666666"/>
              </w:rPr>
              <w:t>Certificate of Incorporation to, among other things, eliminate the</w:t>
            </w:r>
          </w:p>
        </w:tc>
        <w:tc>
          <w:tcPr>
            <w:tcW w:w="2260" w:type="dxa"/>
            <w:vAlign w:val="bottom"/>
            <w:vMerge w:val="continue"/>
            <w:shd w:val="clear" w:color="auto" w:fill="D7D7D7"/>
          </w:tcPr>
          <w:p>
            <w:pPr>
              <w:spacing w:after="0"/>
              <w:rPr>
                <w:sz w:val="17"/>
                <w:szCs w:val="17"/>
                <w:color w:val="auto"/>
              </w:rPr>
            </w:pPr>
          </w:p>
        </w:tc>
        <w:tc>
          <w:tcPr>
            <w:tcW w:w="2320" w:type="dxa"/>
            <w:vAlign w:val="bottom"/>
            <w:vMerge w:val="continue"/>
            <w:shd w:val="clear" w:color="auto" w:fill="D7D7D7"/>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060" w:type="dxa"/>
            <w:vAlign w:val="bottom"/>
            <w:vMerge w:val="continue"/>
            <w:shd w:val="clear" w:color="auto" w:fill="D7D7D7"/>
          </w:tcPr>
          <w:p>
            <w:pPr>
              <w:spacing w:after="0"/>
              <w:rPr>
                <w:sz w:val="9"/>
                <w:szCs w:val="9"/>
                <w:color w:val="auto"/>
              </w:rPr>
            </w:pPr>
          </w:p>
        </w:tc>
        <w:tc>
          <w:tcPr>
            <w:tcW w:w="5600" w:type="dxa"/>
            <w:vAlign w:val="bottom"/>
            <w:vMerge w:val="restart"/>
            <w:shd w:val="clear" w:color="auto" w:fill="D7D7D7"/>
          </w:tcPr>
          <w:p>
            <w:pPr>
              <w:ind w:left="100"/>
              <w:spacing w:after="0"/>
              <w:rPr>
                <w:sz w:val="20"/>
                <w:szCs w:val="20"/>
                <w:color w:val="auto"/>
              </w:rPr>
            </w:pPr>
            <w:r>
              <w:rPr>
                <w:rFonts w:ascii="Arial" w:cs="Arial" w:eastAsia="Arial" w:hAnsi="Arial"/>
                <w:sz w:val="18"/>
                <w:szCs w:val="18"/>
                <w:color w:val="666666"/>
              </w:rPr>
              <w:t>classification of the Board of Directors</w:t>
            </w:r>
          </w:p>
        </w:tc>
        <w:tc>
          <w:tcPr>
            <w:tcW w:w="2260" w:type="dxa"/>
            <w:vAlign w:val="bottom"/>
            <w:shd w:val="clear" w:color="auto" w:fill="D7D7D7"/>
          </w:tcPr>
          <w:p>
            <w:pPr>
              <w:spacing w:after="0"/>
              <w:rPr>
                <w:sz w:val="9"/>
                <w:szCs w:val="9"/>
                <w:color w:val="auto"/>
              </w:rPr>
            </w:pPr>
          </w:p>
        </w:tc>
        <w:tc>
          <w:tcPr>
            <w:tcW w:w="2320" w:type="dxa"/>
            <w:vAlign w:val="bottom"/>
            <w:shd w:val="clear" w:color="auto" w:fill="D7D7D7"/>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shd w:val="clear" w:color="auto" w:fill="D7D7D7"/>
          </w:tcPr>
          <w:p>
            <w:pPr>
              <w:spacing w:after="0"/>
              <w:rPr>
                <w:sz w:val="9"/>
                <w:szCs w:val="9"/>
                <w:color w:val="auto"/>
              </w:rPr>
            </w:pPr>
          </w:p>
        </w:tc>
        <w:tc>
          <w:tcPr>
            <w:tcW w:w="5600" w:type="dxa"/>
            <w:vAlign w:val="bottom"/>
            <w:vMerge w:val="continue"/>
            <w:shd w:val="clear" w:color="auto" w:fill="D7D7D7"/>
          </w:tcPr>
          <w:p>
            <w:pPr>
              <w:spacing w:after="0"/>
              <w:rPr>
                <w:sz w:val="9"/>
                <w:szCs w:val="9"/>
                <w:color w:val="auto"/>
              </w:rPr>
            </w:pPr>
          </w:p>
        </w:tc>
        <w:tc>
          <w:tcPr>
            <w:tcW w:w="2260" w:type="dxa"/>
            <w:vAlign w:val="bottom"/>
            <w:shd w:val="clear" w:color="auto" w:fill="D7D7D7"/>
          </w:tcPr>
          <w:p>
            <w:pPr>
              <w:spacing w:after="0"/>
              <w:rPr>
                <w:sz w:val="9"/>
                <w:szCs w:val="9"/>
                <w:color w:val="auto"/>
              </w:rPr>
            </w:pPr>
          </w:p>
        </w:tc>
        <w:tc>
          <w:tcPr>
            <w:tcW w:w="2320" w:type="dxa"/>
            <w:vAlign w:val="bottom"/>
            <w:shd w:val="clear" w:color="auto" w:fill="D7D7D7"/>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60" w:type="dxa"/>
            <w:vAlign w:val="bottom"/>
            <w:tcBorders>
              <w:bottom w:val="single" w:sz="8" w:color="auto"/>
            </w:tcBorders>
            <w:shd w:val="clear" w:color="auto" w:fill="D7D7D7"/>
          </w:tcPr>
          <w:p>
            <w:pPr>
              <w:spacing w:after="0"/>
              <w:rPr>
                <w:sz w:val="18"/>
                <w:szCs w:val="18"/>
                <w:color w:val="auto"/>
              </w:rPr>
            </w:pPr>
          </w:p>
        </w:tc>
        <w:tc>
          <w:tcPr>
            <w:tcW w:w="5600" w:type="dxa"/>
            <w:vAlign w:val="bottom"/>
            <w:tcBorders>
              <w:bottom w:val="single" w:sz="8" w:color="auto"/>
            </w:tcBorders>
            <w:shd w:val="clear" w:color="auto" w:fill="D7D7D7"/>
          </w:tcPr>
          <w:p>
            <w:pPr>
              <w:spacing w:after="0"/>
              <w:rPr>
                <w:sz w:val="18"/>
                <w:szCs w:val="18"/>
                <w:color w:val="auto"/>
              </w:rPr>
            </w:pPr>
          </w:p>
        </w:tc>
        <w:tc>
          <w:tcPr>
            <w:tcW w:w="2260" w:type="dxa"/>
            <w:vAlign w:val="bottom"/>
            <w:tcBorders>
              <w:bottom w:val="single" w:sz="8" w:color="auto"/>
            </w:tcBorders>
            <w:shd w:val="clear" w:color="auto" w:fill="D7D7D7"/>
          </w:tcPr>
          <w:p>
            <w:pPr>
              <w:spacing w:after="0"/>
              <w:rPr>
                <w:sz w:val="18"/>
                <w:szCs w:val="18"/>
                <w:color w:val="auto"/>
              </w:rPr>
            </w:pPr>
          </w:p>
        </w:tc>
        <w:tc>
          <w:tcPr>
            <w:tcW w:w="2320" w:type="dxa"/>
            <w:vAlign w:val="bottom"/>
            <w:tcBorders>
              <w:bottom w:val="single" w:sz="8" w:color="auto"/>
            </w:tcBorders>
            <w:shd w:val="clear" w:color="auto" w:fill="D7D7D7"/>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547BCC"/>
        </w:rPr>
        <w:t>What is the difference between holding shares as a stockholder of record and as a beneficial owner?</w:t>
      </w:r>
    </w:p>
    <w:p>
      <w:pPr>
        <w:spacing w:after="0" w:line="23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666666"/>
        </w:rPr>
        <w:t>If your shares are registered directly in your name with the Company’s registrar and transfer agent, Computershare, you are considered a “stockholder of record” with respect to those shares. In this case, we mailed the proxy materials and our annual report to you directly.</w:t>
      </w:r>
    </w:p>
    <w:p>
      <w:pPr>
        <w:spacing w:after="0" w:line="219"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If your shares are held in a brokerage account or bank, you are considered the “beneficial owner” of those shares, which are held in “street name.” In this case, the proxy materials and our annual report were forwarded to you by your broker or bank. As the beneficial owner, you have the right to direct your broker or bank how to vote your shares by following the voting instructions included in the mailing.</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547BCC"/>
        </w:rPr>
        <w:t>What is the procedure for voting?</w:t>
      </w:r>
    </w:p>
    <w:p>
      <w:pPr>
        <w:spacing w:after="0" w:line="23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20"/>
          <w:szCs w:val="20"/>
          <w:color w:val="666666"/>
        </w:rPr>
        <w:t>If you are a stockholder of record of Class A common stock, you can vote your shares at the Annual Meeting by attending the virtual meeting using the control number located on your proxy card or the instructions that accompanied your proxy materials and submitting an electronic ballot, or you can give a proxy to be voted at the Annual Meeting in one of three ways:</w:t>
      </w:r>
    </w:p>
    <w:p>
      <w:pPr>
        <w:spacing w:after="0" w:line="1" w:lineRule="exact"/>
        <w:rPr>
          <w:sz w:val="20"/>
          <w:szCs w:val="20"/>
          <w:color w:val="auto"/>
        </w:rPr>
      </w:pPr>
    </w:p>
    <w:p>
      <w:pPr>
        <w:jc w:val="both"/>
        <w:ind w:firstLine="8"/>
        <w:spacing w:after="0" w:line="243" w:lineRule="auto"/>
        <w:tabs>
          <w:tab w:leader="none" w:pos="316" w:val="left"/>
        </w:tabs>
        <w:numPr>
          <w:ilvl w:val="0"/>
          <w:numId w:val="58"/>
        </w:numPr>
        <w:rPr>
          <w:rFonts w:ascii="Arial" w:cs="Arial" w:eastAsia="Arial" w:hAnsi="Arial"/>
          <w:sz w:val="20"/>
          <w:szCs w:val="20"/>
          <w:color w:val="666666"/>
        </w:rPr>
      </w:pPr>
      <w:r>
        <w:rPr>
          <w:rFonts w:ascii="Arial" w:cs="Arial" w:eastAsia="Arial" w:hAnsi="Arial"/>
          <w:sz w:val="20"/>
          <w:szCs w:val="20"/>
          <w:color w:val="666666"/>
        </w:rPr>
        <w:t>over the telephone by calling a toll-free number provided on the enclosed proxy card, (2) electronically via the Internet as described in the enclosed proxy card, or (3) date, sign, and complete the proxy card and return it in the enclosed envelope, which requires no postage stamp if mailed in the United States.</w:t>
      </w:r>
    </w:p>
    <w:p>
      <w:pPr>
        <w:spacing w:after="0" w:line="219"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If you are a beneficial owner of Class A common stock, you must obtain a proxy, executed in your favor, from the stockholder of record to be able to vote virtually at the Annual Meeting. You can vote your shares at the Annual Meeting by attending the virtual meeting using the control number located on your proxy card or the instructions that accompanied your proxy materials and submitting an electronic ballot, or you can give a proxy to be voted at the Annual Meeting in one of three ways: (1) over the telephone by calling a toll-free number provided on the enclosed proxy card, (2) electronically via the Internet as described in the enclosed proxy card, or (3) date, sign, and complete the proxy card and return it in the enclosed envelope, which requires no postage stamp if mailed in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547BCC"/>
        </w:rPr>
        <w:t>Can I change my proxy?</w:t>
      </w:r>
    </w:p>
    <w:p>
      <w:pPr>
        <w:spacing w:after="0" w:line="248"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You may revoke your proxy before it is voted at the Annual Meeting by delivering a signed revocation letter to the Secretary of the Company at 8283 Greensboro Drive, McLean, Virginia 22102 or by submitting a new proxy, dated later than your first proxy, in one of the ways described in the answer to the previous question. If you are virtually attending the Annual Meeting, you may revoke your proxy by virtually attending the Annual Meeting and voting during the Annual Meeting. Virtual attendance at the Annual Meeting will not by itself revoke a proxy.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60</w:t>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Arial" w:cs="Arial" w:eastAsia="Arial" w:hAnsi="Arial"/>
          <w:sz w:val="22"/>
          <w:szCs w:val="22"/>
          <w:b w:val="1"/>
          <w:bCs w:val="1"/>
          <w:color w:val="547BCC"/>
        </w:rPr>
        <w:t>Can other matters be decided at the Annual Meeting?</w:t>
      </w:r>
    </w:p>
    <w:p>
      <w:pPr>
        <w:spacing w:after="0" w:line="235"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The Board is not aware of any other matters to be presented at the Annual Meeting. If any other matter proper for action at the meeting should be presented, the holders of the accompanying proxy will vote the shares represented by the proxy on such matter in accordance with their best judgment. If any matter not proper for action at the meeting should be presented, the holders of the proxy will vote against consideration of the matter or the proposed action.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547BCC"/>
        </w:rPr>
        <w:t>What is the vote required for each proposal?</w:t>
      </w:r>
    </w:p>
    <w:p>
      <w:pPr>
        <w:spacing w:after="0" w:line="235"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For proposal 1, each of the directors shall be elected by a majority of the votes validly cast at the Annual Meeting. For proposals 2 and 3, approval of the proposal requires the affirmative vote of a majority of the shares entitled to vote at the Annual Meeting represented either in person or by proxy at the Annual Meeting. For proposal 4, approval requires the affirmative vote of the holders of a majority of the outstanding shares of Class A common stock entitled to vote.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547BCC"/>
        </w:rPr>
        <w:t>What if I am a stockholder of record and do not provide voting instructions when returning a proxy?</w:t>
      </w:r>
    </w:p>
    <w:p>
      <w:pPr>
        <w:spacing w:after="0" w:line="235"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666666"/>
        </w:rPr>
        <w:t>Stockholders should specify their choice for each matter on the proxy card. Proxies that are signed and returned but do not contain voting instructions will be voted:</w:t>
      </w:r>
    </w:p>
    <w:p>
      <w:pPr>
        <w:spacing w:after="0" w:line="217"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20"/>
          <w:szCs w:val="20"/>
          <w:color w:val="666666"/>
        </w:rPr>
      </w:pPr>
      <w:r>
        <w:rPr>
          <w:rFonts w:ascii="Arial" w:cs="Arial" w:eastAsia="Arial" w:hAnsi="Arial"/>
          <w:sz w:val="20"/>
          <w:szCs w:val="20"/>
          <w:color w:val="666666"/>
        </w:rPr>
        <w:t>FOR the election of all director nominees as set forth in this proxy statement;</w:t>
      </w:r>
    </w:p>
    <w:p>
      <w:pPr>
        <w:ind w:left="660" w:hanging="328"/>
        <w:spacing w:after="0"/>
        <w:tabs>
          <w:tab w:leader="none" w:pos="660" w:val="left"/>
        </w:tabs>
        <w:numPr>
          <w:ilvl w:val="0"/>
          <w:numId w:val="59"/>
        </w:numPr>
        <w:rPr>
          <w:rFonts w:ascii="Arial" w:cs="Arial" w:eastAsia="Arial" w:hAnsi="Arial"/>
          <w:sz w:val="19"/>
          <w:szCs w:val="19"/>
          <w:color w:val="666666"/>
        </w:rPr>
      </w:pPr>
      <w:r>
        <w:rPr>
          <w:rFonts w:ascii="Arial" w:cs="Arial" w:eastAsia="Arial" w:hAnsi="Arial"/>
          <w:sz w:val="19"/>
          <w:szCs w:val="19"/>
          <w:color w:val="666666"/>
        </w:rPr>
        <w:t>FOR the ratification of the appointment of E&amp;Y as the Company's independent registered accounting firm for fiscal 2021;</w:t>
      </w:r>
    </w:p>
    <w:p>
      <w:pPr>
        <w:spacing w:after="0" w:line="11" w:lineRule="exact"/>
        <w:rPr>
          <w:rFonts w:ascii="Arial" w:cs="Arial" w:eastAsia="Arial" w:hAnsi="Arial"/>
          <w:sz w:val="19"/>
          <w:szCs w:val="19"/>
          <w:color w:val="666666"/>
        </w:rPr>
      </w:pPr>
    </w:p>
    <w:p>
      <w:pPr>
        <w:ind w:left="660" w:hanging="328"/>
        <w:spacing w:after="0"/>
        <w:tabs>
          <w:tab w:leader="none" w:pos="660" w:val="left"/>
        </w:tabs>
        <w:numPr>
          <w:ilvl w:val="0"/>
          <w:numId w:val="59"/>
        </w:numPr>
        <w:rPr>
          <w:rFonts w:ascii="Arial" w:cs="Arial" w:eastAsia="Arial" w:hAnsi="Arial"/>
          <w:sz w:val="20"/>
          <w:szCs w:val="20"/>
          <w:color w:val="666666"/>
        </w:rPr>
      </w:pPr>
      <w:r>
        <w:rPr>
          <w:rFonts w:ascii="Arial" w:cs="Arial" w:eastAsia="Arial" w:hAnsi="Arial"/>
          <w:sz w:val="20"/>
          <w:szCs w:val="20"/>
          <w:color w:val="666666"/>
        </w:rPr>
        <w:t>FOR the approval, on a non-binding, advisory basis, of the compensation of our named executive officers; and</w:t>
      </w:r>
    </w:p>
    <w:p>
      <w:pPr>
        <w:ind w:left="660" w:right="20" w:hanging="328"/>
        <w:spacing w:after="0" w:line="246" w:lineRule="auto"/>
        <w:tabs>
          <w:tab w:leader="none" w:pos="660" w:val="left"/>
        </w:tabs>
        <w:numPr>
          <w:ilvl w:val="0"/>
          <w:numId w:val="59"/>
        </w:numPr>
        <w:rPr>
          <w:rFonts w:ascii="Arial" w:cs="Arial" w:eastAsia="Arial" w:hAnsi="Arial"/>
          <w:sz w:val="20"/>
          <w:szCs w:val="20"/>
          <w:color w:val="666666"/>
        </w:rPr>
      </w:pPr>
      <w:r>
        <w:rPr>
          <w:rFonts w:ascii="Arial" w:cs="Arial" w:eastAsia="Arial" w:hAnsi="Arial"/>
          <w:sz w:val="20"/>
          <w:szCs w:val="20"/>
          <w:color w:val="666666"/>
        </w:rPr>
        <w:t>FOR the approval of the adoption of the Fifth Amended and Restated Certificate of Incorporation to, among other things, eliminate the classification of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547BCC"/>
        </w:rPr>
        <w:t>What if I am a beneficial owner and do not give voting instructions to my broker?</w:t>
      </w:r>
    </w:p>
    <w:p>
      <w:pPr>
        <w:spacing w:after="0" w:line="235"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If your shares are held by a broker in “street name,” your brokerage firm may vote your shares on certain “routine” matters if you do not provide voting instructions. The ratification of an independent registered public accounting firm is an example of a routine matter. If you do not provide voting instructions, your brokerage firm may either vote your shares on routine matters or leave your shares unvoted. When a brokerage firm votes its customers' shares on a routine matter without receiving voting instructions, these shares are counted both for establishing a quorum to conduct business at the meeting and in determining the number of shares voted for or against the routine matter. A brokerage firm cannot vote your shares on non-routine matters, such as the election of directors, advisory vote on executive compensation and approval of the Fifth Amended and Restated Certificate of Incorporation. If your brokerage firm has not received voting instructions on a non-routine matter, these shares will be considered “broker non-votes” to the extent that the brokerage firm submits a proxy.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547BCC"/>
        </w:rPr>
        <w:t>How are abstentions and broker non-votes counted?</w:t>
      </w:r>
    </w:p>
    <w:p>
      <w:pPr>
        <w:spacing w:after="0" w:line="235" w:lineRule="exact"/>
        <w:rPr>
          <w:sz w:val="20"/>
          <w:szCs w:val="20"/>
          <w:color w:val="auto"/>
        </w:rPr>
      </w:pPr>
    </w:p>
    <w:p>
      <w:pPr>
        <w:ind w:right="740" w:firstLine="324"/>
        <w:spacing w:after="0" w:line="243" w:lineRule="auto"/>
        <w:rPr>
          <w:sz w:val="20"/>
          <w:szCs w:val="20"/>
          <w:color w:val="auto"/>
        </w:rPr>
      </w:pPr>
      <w:r>
        <w:rPr>
          <w:rFonts w:ascii="Arial" w:cs="Arial" w:eastAsia="Arial" w:hAnsi="Arial"/>
          <w:sz w:val="20"/>
          <w:szCs w:val="20"/>
          <w:color w:val="666666"/>
        </w:rPr>
        <w:t>Abstentions will be treated as present for purposes of determining a quorum but will not be included in vote totals. Abstentions will have the effect of a vote “against” each of the proposals, other than for the election of directors whereby abstentions will not affect the outcome.</w:t>
      </w:r>
    </w:p>
    <w:p>
      <w:pPr>
        <w:spacing w:after="0" w:line="219" w:lineRule="exact"/>
        <w:rPr>
          <w:sz w:val="20"/>
          <w:szCs w:val="20"/>
          <w:color w:val="auto"/>
        </w:rPr>
      </w:pPr>
    </w:p>
    <w:p>
      <w:pPr>
        <w:ind w:right="60" w:firstLine="324"/>
        <w:spacing w:after="0" w:line="241" w:lineRule="auto"/>
        <w:rPr>
          <w:sz w:val="20"/>
          <w:szCs w:val="20"/>
          <w:color w:val="auto"/>
        </w:rPr>
      </w:pPr>
      <w:r>
        <w:rPr>
          <w:rFonts w:ascii="Arial" w:cs="Arial" w:eastAsia="Arial" w:hAnsi="Arial"/>
          <w:sz w:val="20"/>
          <w:szCs w:val="20"/>
          <w:color w:val="666666"/>
        </w:rPr>
        <w:t>Broker non-votes are counted for purposes of establishing a quorum. Broker non-votes will have no effect on the outcome of the non-routine proposals except for the approval of the Fifth Amended and Restated Certificate of Incorporation whereby a broker non-vote would have the effect of a vote "against" the proposal. For the routine proposal, the ratification of an independent registered public accounting firm, discretionary voting by a broker is permitted.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61</w:t>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Arial" w:cs="Arial" w:eastAsia="Arial" w:hAnsi="Arial"/>
          <w:sz w:val="22"/>
          <w:szCs w:val="22"/>
          <w:b w:val="1"/>
          <w:bCs w:val="1"/>
          <w:color w:val="547BCC"/>
        </w:rPr>
        <w:t>Who will count the votes?</w:t>
      </w:r>
    </w:p>
    <w:p>
      <w:pPr>
        <w:spacing w:after="0" w:line="2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666666"/>
        </w:rPr>
        <w:t>A representative from Broadridge Financial Services will tabulate the votes and the results will be certified by the inspector of election.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547BCC"/>
        </w:rPr>
        <w:t>Who will bear the costs of soliciting votes for the Annual Meeting?</w:t>
      </w:r>
    </w:p>
    <w:p>
      <w:pPr>
        <w:spacing w:after="0" w:line="181"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666666"/>
        </w:rPr>
        <w:t>We will bear all costs of soliciting proxies. Pursuant to rules adopted by the SEC, we have elected to deliver a full set of proxy materials to you and make the proxy materials available via the Internet at www.proxyvote.com, which may be accessed using the control number located on each proxy card. We have retained the services of Morrow Sodali LLC to assist in the solicitation of proxies for the Annual Meeting. The estimated cost of such services is $12,500, plus reasonable out-of-pocket expenses incurred in the process of soliciting proxies.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547BCC"/>
        </w:rPr>
        <w:t>When will the Company announce the voting results?</w:t>
      </w:r>
    </w:p>
    <w:p>
      <w:pPr>
        <w:spacing w:after="0" w:line="235" w:lineRule="exact"/>
        <w:rPr>
          <w:sz w:val="20"/>
          <w:szCs w:val="20"/>
          <w:color w:val="auto"/>
        </w:rPr>
      </w:pPr>
    </w:p>
    <w:p>
      <w:pPr>
        <w:ind w:right="440" w:firstLine="324"/>
        <w:spacing w:after="0" w:line="246" w:lineRule="auto"/>
        <w:rPr>
          <w:sz w:val="20"/>
          <w:szCs w:val="20"/>
          <w:color w:val="auto"/>
        </w:rPr>
      </w:pPr>
      <w:r>
        <w:rPr>
          <w:rFonts w:ascii="Arial" w:cs="Arial" w:eastAsia="Arial" w:hAnsi="Arial"/>
          <w:sz w:val="20"/>
          <w:szCs w:val="20"/>
          <w:color w:val="666666"/>
        </w:rPr>
        <w:t>The preliminary voting results will be announced at the Annual Meeting. The Company will report the final results on our website and in a Current Report on Form 8-K filed with the SEC.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547BCC"/>
        </w:rPr>
        <w:t>Can I receive a copy of the Annual Report?</w:t>
      </w:r>
    </w:p>
    <w:p>
      <w:pPr>
        <w:spacing w:after="0" w:line="23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666666"/>
        </w:rPr>
        <w:t>The annual report of the Company on Form 10-K for the fiscal year ended March 31, 2020 is being furnished concurrently with this proxy statement to persons who were stockholders of record as of June 8, 2020, the record date for the Annual Meeting.</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547BCC"/>
        </w:rPr>
        <w:t>What is “householding” and how does it affect me?</w:t>
      </w:r>
    </w:p>
    <w:p>
      <w:pPr>
        <w:spacing w:after="0" w:line="235"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In some cases, stockholders holding their shares in a brokerage or bank account who share the same surname and address and have not given contrary instructions are receiving only one copy of our annual report on Form 10-K and this proxy statement. This reduces the volume of duplicate information received at your household and helps to reduce costs. If you would like to have additional copies of these documents mailed to you, please write or call our Secretary at 8283 Greensboro Drive, McLean, Virginia 22102, telephone: (703) 902-5000. If you want to receive separate copies of the proxy statement, annual report to stockholders, or Notice of Internet Availability of Proxy Materials, as applicable, in the future, or if you are receiving multiple copies and would like to receive only one copy per household, you should contact your bank, broker, or other nominee record holder.</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547BCC"/>
        </w:rPr>
        <w:t>How do I submit a proposal for action at the annual of meeting of stockholders in 2021?</w:t>
      </w:r>
    </w:p>
    <w:p>
      <w:pPr>
        <w:spacing w:after="0" w:line="23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666666"/>
        </w:rPr>
        <w:t>Under applicable SEC rules and regulations, the Company will review for inclusion in next year’s proxy statement stockholder proposals received by March 1, 2021. Proposals should be sent to the Secretary of the Company at 8283 Greensboro Drive, McLean, Virginia 22102.</w:t>
      </w:r>
    </w:p>
    <w:p>
      <w:pPr>
        <w:spacing w:after="0" w:line="219" w:lineRule="exact"/>
        <w:rPr>
          <w:sz w:val="20"/>
          <w:szCs w:val="20"/>
          <w:color w:val="auto"/>
        </w:rPr>
      </w:pPr>
    </w:p>
    <w:p>
      <w:pPr>
        <w:jc w:val="both"/>
        <w:ind w:firstLine="324"/>
        <w:spacing w:after="0"/>
        <w:rPr>
          <w:sz w:val="20"/>
          <w:szCs w:val="20"/>
          <w:color w:val="auto"/>
        </w:rPr>
      </w:pPr>
      <w:r>
        <w:rPr>
          <w:rFonts w:ascii="Arial" w:cs="Arial" w:eastAsia="Arial" w:hAnsi="Arial"/>
          <w:sz w:val="20"/>
          <w:szCs w:val="20"/>
          <w:color w:val="666666"/>
        </w:rPr>
        <w:t>Pursuant to our third amended and restated bylaws, stockholder proposals not included in next year’s proxy statement may be brought before the 2021 Annual Meeting of Stockholders by a stockholder of the Company who is entitled to vote at the meeting, who has given a written notice to the Secretary of the Company at 8283 Greensboro Drive, McLean, Virginia 22102 containing certain information specified in the bylaws and who was a stockholder of record at the time such notice was given. Such notice must be delivered to or mailed and received at the address in the preceding paragraph no earlier than March 31, 2021 and no later than April 30, 2021, except that if the date of the 2021 Annual Meeting of Stockholders is changed, and the meeting is held before June 29, 2021 or after October 7, 2021, such notice must be delivered at the address in the preceding paragraph no earlier than 120 days prior to the new date of such annual meeting and not later than the close of business on the later of (i) the ninetieth day prior to the new date of such annual meeting and (ii) the tenth day following the day on which a public announcement of the new date of such annual meeting is first made.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62</w:t>
      </w:r>
    </w:p>
    <w:p>
      <w:pPr>
        <w:sectPr>
          <w:pgSz w:w="11900" w:h="16838" w:orient="portrait"/>
          <w:cols w:equalWidth="0" w:num="1">
            <w:col w:w="11240"/>
          </w:cols>
          <w:pgMar w:left="320" w:top="337"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20"/>
          <w:szCs w:val="20"/>
          <w:b w:val="1"/>
          <w:bCs w:val="1"/>
          <w:u w:val="single" w:color="auto"/>
          <w:color w:val="547BCC"/>
        </w:rPr>
        <w:t>Appendix A</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547BCC"/>
        </w:rPr>
        <w:t>Non-GAAP Measures</w:t>
      </w:r>
    </w:p>
    <w:p>
      <w:pPr>
        <w:spacing w:after="0" w:line="105" w:lineRule="exact"/>
        <w:rPr>
          <w:sz w:val="20"/>
          <w:szCs w:val="20"/>
          <w:color w:val="auto"/>
        </w:rPr>
      </w:pPr>
    </w:p>
    <w:p>
      <w:pPr>
        <w:ind w:right="20" w:firstLine="324"/>
        <w:spacing w:after="0" w:line="252" w:lineRule="auto"/>
        <w:rPr>
          <w:sz w:val="20"/>
          <w:szCs w:val="20"/>
          <w:color w:val="auto"/>
        </w:rPr>
      </w:pPr>
      <w:r>
        <w:rPr>
          <w:rFonts w:ascii="Arial" w:cs="Arial" w:eastAsia="Arial" w:hAnsi="Arial"/>
          <w:sz w:val="19"/>
          <w:szCs w:val="19"/>
          <w:color w:val="666666"/>
        </w:rPr>
        <w:t>We publicly disclose certain non-GAAP financial measurements, including Revenue, Excluding Billable Expenses,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net income to Adjusted EBITDA, Adjusted EBITDA Margin on Revenue, Adjusted EBITDA Margin on Revenue, Excluding Billable Expenses, Adjusted Net Income, and Adjusted Diluted EPS, and net cash provided by operating activities to Free Cash Flow, and the explanatory footnotes regarding those adjustments, each as defined under GAAP, (ii) use Revenue, Excluding Billable Expenses, Adjusted EBITDA, Adjusted EBITDA Margin on Revenue, Adjusted EBITDA Margin on Revenue, Excluding Billable Expenses, Adjusted Net Income, and Adjusted Diluted EPS in addition to, and not as an alternative to, revenue, net income or diluted EPS, as measures of operating results, and (iii) use Free Cash Flow in addition to, and not as an alternative to, net cash provided by operating activities as a measure of liquidity, each as defined under GAAP. We have defined the aforementioned non-GAAP measures as follows:</w:t>
      </w:r>
    </w:p>
    <w:p>
      <w:pPr>
        <w:spacing w:after="0" w:line="246" w:lineRule="exact"/>
        <w:rPr>
          <w:sz w:val="20"/>
          <w:szCs w:val="20"/>
          <w:color w:val="auto"/>
        </w:rPr>
      </w:pPr>
    </w:p>
    <w:p>
      <w:pPr>
        <w:jc w:val="both"/>
        <w:ind w:left="660" w:hanging="328"/>
        <w:spacing w:after="0" w:line="241" w:lineRule="auto"/>
        <w:tabs>
          <w:tab w:leader="none" w:pos="660" w:val="left"/>
        </w:tabs>
        <w:numPr>
          <w:ilvl w:val="0"/>
          <w:numId w:val="60"/>
        </w:numPr>
        <w:rPr>
          <w:rFonts w:ascii="Arial" w:cs="Arial" w:eastAsia="Arial" w:hAnsi="Arial"/>
          <w:sz w:val="20"/>
          <w:szCs w:val="20"/>
          <w:color w:val="666666"/>
        </w:rPr>
      </w:pPr>
      <w:r>
        <w:rPr>
          <w:rFonts w:ascii="Arial" w:cs="Arial" w:eastAsia="Arial" w:hAnsi="Arial"/>
          <w:sz w:val="20"/>
          <w:szCs w:val="20"/>
          <w:color w:val="666666"/>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156" w:lineRule="exact"/>
        <w:rPr>
          <w:rFonts w:ascii="Arial" w:cs="Arial" w:eastAsia="Arial" w:hAnsi="Arial"/>
          <w:sz w:val="20"/>
          <w:szCs w:val="20"/>
          <w:color w:val="666666"/>
        </w:rPr>
      </w:pPr>
    </w:p>
    <w:p>
      <w:pPr>
        <w:jc w:val="both"/>
        <w:ind w:left="660" w:hanging="328"/>
        <w:spacing w:after="0"/>
        <w:tabs>
          <w:tab w:leader="none" w:pos="660" w:val="left"/>
        </w:tabs>
        <w:numPr>
          <w:ilvl w:val="0"/>
          <w:numId w:val="60"/>
        </w:numPr>
        <w:rPr>
          <w:rFonts w:ascii="Arial" w:cs="Arial" w:eastAsia="Arial" w:hAnsi="Arial"/>
          <w:sz w:val="20"/>
          <w:szCs w:val="20"/>
          <w:color w:val="666666"/>
        </w:rPr>
      </w:pPr>
      <w:r>
        <w:rPr>
          <w:rFonts w:ascii="Arial" w:cs="Arial" w:eastAsia="Arial" w:hAnsi="Arial"/>
          <w:sz w:val="20"/>
          <w:szCs w:val="20"/>
          <w:color w:val="666666"/>
        </w:rPr>
        <w:t>"Adjusted EBITDA" represents net income before income taxes, net interest and other expense and depreciation and amortization and before certain other items, including transaction costs, fees, losses, and expenses, including fees associated with debt prepayments and supplemental employee benefits due to the COVID-19 outbreak.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A - 1</w:t>
      </w:r>
    </w:p>
    <w:p>
      <w:pPr>
        <w:sectPr>
          <w:pgSz w:w="11900" w:h="16838" w:orient="portrait"/>
          <w:cols w:equalWidth="0" w:num="1">
            <w:col w:w="11240"/>
          </w:cols>
          <w:pgMar w:left="320" w:top="544" w:right="339" w:bottom="1440" w:gutter="0" w:footer="0" w:header="0"/>
        </w:sectPr>
      </w:pPr>
    </w:p>
    <w:bookmarkStart w:id="73" w:name="page74"/>
    <w:bookmarkEnd w:id="73"/>
    <w:p>
      <w:pPr>
        <w:jc w:val="both"/>
        <w:ind w:left="328" w:hanging="328"/>
        <w:spacing w:after="0"/>
        <w:tabs>
          <w:tab w:leader="none" w:pos="328" w:val="left"/>
        </w:tabs>
        <w:numPr>
          <w:ilvl w:val="0"/>
          <w:numId w:val="61"/>
        </w:numPr>
        <w:rPr>
          <w:rFonts w:ascii="Arial" w:cs="Arial" w:eastAsia="Arial" w:hAnsi="Arial"/>
          <w:sz w:val="20"/>
          <w:szCs w:val="20"/>
          <w:color w:val="666666"/>
        </w:rPr>
      </w:pPr>
      <w:r>
        <w:rPr>
          <w:rFonts w:ascii="Arial" w:cs="Arial" w:eastAsia="Arial" w:hAnsi="Arial"/>
          <w:sz w:val="20"/>
          <w:szCs w:val="20"/>
          <w:color w:val="666666"/>
        </w:rPr>
        <w:t>"Adjusted Net Income," as presented herein, represents net income before: (i) transaction costs, fees, losses, and expenses, including fees associated with debt prepayments, (ii) supplemental employee benefits due to the COVID-19 outbreak, (iii) tax credits, net of reserves for uncertain tax positions, (iv) amortization or write-off of debt issuance costs and write-off of original issue discount, (v) release of income tax reserves, and (vi) re-measurement of deferred tax assets and liabilities as a result of the 2017 Tax Act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net income excluding the impact of the re-measurement of the Company's deferred tax assets and liabilities as a result of the 2017 Tax Act as an important indicator of performance consistent with the manner in which management measures and forecasts the Company's performance and the way in which management is incentivized to perform. Adjusted Net Income, as presented herein, differs from that included in the Company’s filings with the Securities and Exchange Commission, as described further below.</w:t>
      </w:r>
    </w:p>
    <w:p>
      <w:pPr>
        <w:spacing w:after="0" w:line="155" w:lineRule="exact"/>
        <w:rPr>
          <w:rFonts w:ascii="Arial" w:cs="Arial" w:eastAsia="Arial" w:hAnsi="Arial"/>
          <w:sz w:val="20"/>
          <w:szCs w:val="20"/>
          <w:color w:val="666666"/>
        </w:rPr>
      </w:pPr>
    </w:p>
    <w:p>
      <w:pPr>
        <w:jc w:val="both"/>
        <w:ind w:left="328" w:hanging="328"/>
        <w:spacing w:after="0" w:line="241" w:lineRule="auto"/>
        <w:tabs>
          <w:tab w:leader="none" w:pos="328" w:val="left"/>
        </w:tabs>
        <w:numPr>
          <w:ilvl w:val="0"/>
          <w:numId w:val="61"/>
        </w:numPr>
        <w:rPr>
          <w:rFonts w:ascii="Arial" w:cs="Arial" w:eastAsia="Arial" w:hAnsi="Arial"/>
          <w:sz w:val="20"/>
          <w:szCs w:val="20"/>
          <w:color w:val="666666"/>
        </w:rPr>
      </w:pPr>
      <w:r>
        <w:rPr>
          <w:rFonts w:ascii="Arial" w:cs="Arial" w:eastAsia="Arial" w:hAnsi="Arial"/>
          <w:sz w:val="20"/>
          <w:szCs w:val="20"/>
          <w:color w:val="666666"/>
        </w:rPr>
        <w:t>“Adjusted Diluted EPS,” as presented herein, represents diluted EPS calculated using Adjusted Net Income, as presented herein, as opposed to net income. Additionally, Adjusted Diluted EPS does not contemplate any adjustments to net income as required under the two-class method as disclosed in the footnotes to the consolidated financial statements. Adjusted Diluted EPS, as presented herein, differs from that included in the Company’s filings with the Securities and Exchange Commission, as described further below.</w:t>
      </w:r>
    </w:p>
    <w:p>
      <w:pPr>
        <w:spacing w:after="0" w:line="154" w:lineRule="exact"/>
        <w:rPr>
          <w:rFonts w:ascii="Arial" w:cs="Arial" w:eastAsia="Arial" w:hAnsi="Arial"/>
          <w:sz w:val="20"/>
          <w:szCs w:val="20"/>
          <w:color w:val="666666"/>
        </w:rPr>
      </w:pPr>
    </w:p>
    <w:p>
      <w:pPr>
        <w:ind w:left="328" w:hanging="328"/>
        <w:spacing w:after="0" w:line="246" w:lineRule="auto"/>
        <w:tabs>
          <w:tab w:leader="none" w:pos="328" w:val="left"/>
        </w:tabs>
        <w:numPr>
          <w:ilvl w:val="0"/>
          <w:numId w:val="61"/>
        </w:numPr>
        <w:rPr>
          <w:rFonts w:ascii="Arial" w:cs="Arial" w:eastAsia="Arial" w:hAnsi="Arial"/>
          <w:sz w:val="20"/>
          <w:szCs w:val="20"/>
          <w:color w:val="666666"/>
        </w:rPr>
      </w:pPr>
      <w:r>
        <w:rPr>
          <w:rFonts w:ascii="Arial" w:cs="Arial" w:eastAsia="Arial" w:hAnsi="Arial"/>
          <w:sz w:val="20"/>
          <w:szCs w:val="20"/>
          <w:color w:val="666666"/>
        </w:rPr>
        <w:t>“Free Cash Flow” represents the net cash generated from operating activities less the impact of purchases of property, equipment and software.</w:t>
      </w:r>
    </w:p>
    <w:p>
      <w:pPr>
        <w:spacing w:after="0" w:line="200" w:lineRule="exact"/>
        <w:rPr>
          <w:sz w:val="20"/>
          <w:szCs w:val="20"/>
          <w:color w:val="auto"/>
        </w:rPr>
      </w:pPr>
    </w:p>
    <w:p>
      <w:pPr>
        <w:spacing w:after="0" w:line="23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666666"/>
        </w:rPr>
        <w:t>A - 2</w:t>
      </w:r>
    </w:p>
    <w:p>
      <w:pPr>
        <w:sectPr>
          <w:pgSz w:w="11900" w:h="16838" w:orient="portrait"/>
          <w:cols w:equalWidth="0" w:num="1">
            <w:col w:w="10908"/>
          </w:cols>
          <w:pgMar w:left="652" w:top="514" w:right="339" w:bottom="1440" w:gutter="0" w:footer="0" w:header="0"/>
        </w:sectPr>
      </w:pPr>
    </w:p>
    <w:bookmarkStart w:id="74" w:name="page75"/>
    <w:bookmarkEnd w:id="74"/>
    <w:p>
      <w:pPr>
        <w:jc w:val="both"/>
        <w:ind w:firstLine="405"/>
        <w:spacing w:after="0" w:line="243" w:lineRule="auto"/>
        <w:rPr>
          <w:sz w:val="20"/>
          <w:szCs w:val="20"/>
          <w:color w:val="auto"/>
        </w:rPr>
      </w:pPr>
      <w:r>
        <w:rPr>
          <w:rFonts w:ascii="Arial" w:cs="Arial" w:eastAsia="Arial" w:hAnsi="Arial"/>
          <w:sz w:val="20"/>
          <w:szCs w:val="20"/>
          <w:color w:val="666666"/>
        </w:rPr>
        <w:t>Below is a reconciliation of Revenue, Excluding Billable Expenses,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666666"/>
              </w:rPr>
              <w:t>Fiscal Year Ended March 31,</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120" w:type="dxa"/>
            <w:vAlign w:val="bottom"/>
          </w:tcPr>
          <w:p>
            <w:pPr>
              <w:ind w:left="40"/>
              <w:spacing w:after="0"/>
              <w:rPr>
                <w:sz w:val="20"/>
                <w:szCs w:val="20"/>
                <w:color w:val="auto"/>
              </w:rPr>
            </w:pPr>
            <w:r>
              <w:rPr>
                <w:rFonts w:ascii="Arial" w:cs="Arial" w:eastAsia="Arial" w:hAnsi="Arial"/>
                <w:sz w:val="14"/>
                <w:szCs w:val="14"/>
                <w:b w:val="1"/>
                <w:bCs w:val="1"/>
                <w:color w:val="666666"/>
              </w:rPr>
              <w:t>(Amounts in thousands, except share and per share data)</w:t>
            </w: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666666"/>
              </w:rPr>
              <w:t>2020</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666666"/>
              </w:rPr>
              <w:t>2019</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666666"/>
              </w:rPr>
              <w:t>2018</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666666"/>
              </w:rPr>
              <w:t>(Unaudited)</w:t>
            </w: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12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666666"/>
              </w:rPr>
              <w:t>Revenue, Excluding Billable Expenses (a)</w:t>
            </w: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120" w:type="dxa"/>
            <w:vAlign w:val="bottom"/>
          </w:tcPr>
          <w:p>
            <w:pPr>
              <w:ind w:left="380"/>
              <w:spacing w:after="0"/>
              <w:rPr>
                <w:sz w:val="20"/>
                <w:szCs w:val="20"/>
                <w:color w:val="auto"/>
              </w:rPr>
            </w:pPr>
            <w:r>
              <w:rPr>
                <w:rFonts w:ascii="Arial" w:cs="Arial" w:eastAsia="Arial" w:hAnsi="Arial"/>
                <w:sz w:val="14"/>
                <w:szCs w:val="14"/>
                <w:color w:val="666666"/>
              </w:rPr>
              <w:t>Revenue</w:t>
            </w: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666666"/>
              </w:rPr>
              <w:t>$</w:t>
            </w: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666666"/>
              </w:rPr>
              <w:t>7,463,841</w:t>
            </w:r>
          </w:p>
        </w:tc>
        <w:tc>
          <w:tcPr>
            <w:tcW w:w="44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666666"/>
              </w:rPr>
              <w:t>$</w:t>
            </w:r>
          </w:p>
        </w:tc>
        <w:tc>
          <w:tcPr>
            <w:tcW w:w="1560" w:type="dxa"/>
            <w:vAlign w:val="bottom"/>
            <w:vMerge w:val="restart"/>
          </w:tcPr>
          <w:p>
            <w:pPr>
              <w:jc w:val="right"/>
              <w:ind w:right="88"/>
              <w:spacing w:after="0"/>
              <w:rPr>
                <w:sz w:val="20"/>
                <w:szCs w:val="20"/>
                <w:color w:val="auto"/>
              </w:rPr>
            </w:pPr>
            <w:r>
              <w:rPr>
                <w:rFonts w:ascii="Arial" w:cs="Arial" w:eastAsia="Arial" w:hAnsi="Arial"/>
                <w:sz w:val="14"/>
                <w:szCs w:val="14"/>
                <w:color w:val="666666"/>
              </w:rPr>
              <w:t>6,704,037</w:t>
            </w:r>
          </w:p>
        </w:tc>
        <w:tc>
          <w:tcPr>
            <w:tcW w:w="120" w:type="dxa"/>
            <w:vAlign w:val="bottom"/>
          </w:tcPr>
          <w:p>
            <w:pPr>
              <w:spacing w:after="0"/>
              <w:rPr>
                <w:sz w:val="17"/>
                <w:szCs w:val="17"/>
                <w:color w:val="auto"/>
              </w:rPr>
            </w:pP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666666"/>
              </w:rPr>
              <w:t>$</w:t>
            </w: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666666"/>
              </w:rPr>
              <w:t>6,167,600</w:t>
            </w:r>
          </w:p>
        </w:tc>
        <w:tc>
          <w:tcPr>
            <w:tcW w:w="0" w:type="dxa"/>
            <w:vAlign w:val="bottom"/>
          </w:tcPr>
          <w:p>
            <w:pPr>
              <w:spacing w:after="0"/>
              <w:rPr>
                <w:sz w:val="1"/>
                <w:szCs w:val="1"/>
                <w:color w:val="auto"/>
              </w:rPr>
            </w:pPr>
          </w:p>
        </w:tc>
      </w:tr>
      <w:tr>
        <w:trPr>
          <w:trHeight w:val="60"/>
        </w:trPr>
        <w:tc>
          <w:tcPr>
            <w:tcW w:w="51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380"/>
              <w:spacing w:after="0"/>
              <w:rPr>
                <w:sz w:val="20"/>
                <w:szCs w:val="20"/>
                <w:color w:val="auto"/>
              </w:rPr>
            </w:pPr>
            <w:r>
              <w:rPr>
                <w:rFonts w:ascii="Arial" w:cs="Arial" w:eastAsia="Arial" w:hAnsi="Arial"/>
                <w:sz w:val="14"/>
                <w:szCs w:val="14"/>
                <w:color w:val="666666"/>
              </w:rPr>
              <w:t>Billable Expenses</w:t>
            </w:r>
          </w:p>
        </w:tc>
        <w:tc>
          <w:tcPr>
            <w:tcW w:w="44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2,298,413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2,004,664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1,861,312</w:t>
            </w:r>
          </w:p>
        </w:tc>
        <w:tc>
          <w:tcPr>
            <w:tcW w:w="0" w:type="dxa"/>
            <w:vAlign w:val="bottom"/>
          </w:tcPr>
          <w:p>
            <w:pPr>
              <w:spacing w:after="0"/>
              <w:rPr>
                <w:sz w:val="1"/>
                <w:szCs w:val="1"/>
                <w:color w:val="auto"/>
              </w:rPr>
            </w:pPr>
          </w:p>
        </w:tc>
      </w:tr>
      <w:tr>
        <w:trPr>
          <w:trHeight w:val="66"/>
        </w:trPr>
        <w:tc>
          <w:tcPr>
            <w:tcW w:w="5120" w:type="dxa"/>
            <w:vAlign w:val="bottom"/>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14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5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14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12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666666"/>
              </w:rPr>
              <w:t>Revenue, Excluding Billable Expenses</w:t>
            </w:r>
          </w:p>
        </w:tc>
        <w:tc>
          <w:tcPr>
            <w:tcW w:w="4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666666"/>
              </w:rPr>
              <w:t>5,165,428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666666"/>
              </w:rPr>
              <w:t>4,699,373</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666666"/>
              </w:rPr>
              <w:t>4,306,288</w:t>
            </w:r>
          </w:p>
        </w:tc>
        <w:tc>
          <w:tcPr>
            <w:tcW w:w="0" w:type="dxa"/>
            <w:vAlign w:val="bottom"/>
          </w:tcPr>
          <w:p>
            <w:pPr>
              <w:spacing w:after="0"/>
              <w:rPr>
                <w:sz w:val="1"/>
                <w:szCs w:val="1"/>
                <w:color w:val="auto"/>
              </w:rPr>
            </w:pPr>
          </w:p>
        </w:tc>
      </w:tr>
      <w:tr>
        <w:trPr>
          <w:trHeight w:val="137"/>
        </w:trPr>
        <w:tc>
          <w:tcPr>
            <w:tcW w:w="5120" w:type="dxa"/>
            <w:vAlign w:val="bottom"/>
            <w:shd w:val="clear" w:color="auto" w:fill="CCEEFF"/>
          </w:tcPr>
          <w:p>
            <w:pPr>
              <w:ind w:left="40"/>
              <w:spacing w:after="0" w:line="137" w:lineRule="exact"/>
              <w:rPr>
                <w:sz w:val="20"/>
                <w:szCs w:val="20"/>
                <w:color w:val="auto"/>
              </w:rPr>
            </w:pPr>
            <w:r>
              <w:rPr>
                <w:rFonts w:ascii="Arial" w:cs="Arial" w:eastAsia="Arial" w:hAnsi="Arial"/>
                <w:sz w:val="14"/>
                <w:szCs w:val="14"/>
                <w:b w:val="1"/>
                <w:bCs w:val="1"/>
                <w:i w:val="1"/>
                <w:iCs w:val="1"/>
                <w:color w:val="666666"/>
              </w:rPr>
              <w:t>EBITDA, Adjusted EBITDA, Adjusted EBITDA Margin on Revenue &amp;</w:t>
            </w:r>
          </w:p>
        </w:tc>
        <w:tc>
          <w:tcPr>
            <w:tcW w:w="4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666666"/>
              </w:rPr>
              <w:t>Adjusted EBITDA Margin on Revenue, Excluding Billable Expenses</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20" w:type="dxa"/>
            <w:vAlign w:val="bottom"/>
          </w:tcPr>
          <w:p>
            <w:pPr>
              <w:ind w:left="380"/>
              <w:spacing w:after="0"/>
              <w:rPr>
                <w:sz w:val="20"/>
                <w:szCs w:val="20"/>
                <w:color w:val="auto"/>
              </w:rPr>
            </w:pPr>
            <w:r>
              <w:rPr>
                <w:rFonts w:ascii="Arial" w:cs="Arial" w:eastAsia="Arial" w:hAnsi="Arial"/>
                <w:sz w:val="14"/>
                <w:szCs w:val="14"/>
                <w:color w:val="666666"/>
              </w:rPr>
              <w:t>Net income</w:t>
            </w: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666666"/>
              </w:rPr>
              <w:t>$</w:t>
            </w: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666666"/>
              </w:rPr>
              <w:t>482,603</w:t>
            </w:r>
          </w:p>
        </w:tc>
        <w:tc>
          <w:tcPr>
            <w:tcW w:w="44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666666"/>
              </w:rPr>
              <w:t>$</w:t>
            </w:r>
          </w:p>
        </w:tc>
        <w:tc>
          <w:tcPr>
            <w:tcW w:w="1560" w:type="dxa"/>
            <w:vAlign w:val="bottom"/>
            <w:vMerge w:val="restart"/>
          </w:tcPr>
          <w:p>
            <w:pPr>
              <w:jc w:val="right"/>
              <w:ind w:right="88"/>
              <w:spacing w:after="0"/>
              <w:rPr>
                <w:sz w:val="20"/>
                <w:szCs w:val="20"/>
                <w:color w:val="auto"/>
              </w:rPr>
            </w:pPr>
            <w:r>
              <w:rPr>
                <w:rFonts w:ascii="Arial" w:cs="Arial" w:eastAsia="Arial" w:hAnsi="Arial"/>
                <w:sz w:val="14"/>
                <w:szCs w:val="14"/>
                <w:color w:val="666666"/>
              </w:rPr>
              <w:t>418,529</w:t>
            </w:r>
          </w:p>
        </w:tc>
        <w:tc>
          <w:tcPr>
            <w:tcW w:w="120" w:type="dxa"/>
            <w:vAlign w:val="bottom"/>
          </w:tcPr>
          <w:p>
            <w:pPr>
              <w:spacing w:after="0"/>
              <w:rPr>
                <w:sz w:val="17"/>
                <w:szCs w:val="17"/>
                <w:color w:val="auto"/>
              </w:rPr>
            </w:pP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666666"/>
              </w:rPr>
              <w:t>$</w:t>
            </w: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666666"/>
              </w:rPr>
              <w:t>301,692</w:t>
            </w:r>
          </w:p>
        </w:tc>
        <w:tc>
          <w:tcPr>
            <w:tcW w:w="0" w:type="dxa"/>
            <w:vAlign w:val="bottom"/>
          </w:tcPr>
          <w:p>
            <w:pPr>
              <w:spacing w:after="0"/>
              <w:rPr>
                <w:sz w:val="1"/>
                <w:szCs w:val="1"/>
                <w:color w:val="auto"/>
              </w:rPr>
            </w:pPr>
          </w:p>
        </w:tc>
      </w:tr>
      <w:tr>
        <w:trPr>
          <w:trHeight w:val="60"/>
        </w:trPr>
        <w:tc>
          <w:tcPr>
            <w:tcW w:w="51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380"/>
              <w:spacing w:after="0"/>
              <w:rPr>
                <w:sz w:val="20"/>
                <w:szCs w:val="20"/>
                <w:color w:val="auto"/>
              </w:rPr>
            </w:pPr>
            <w:r>
              <w:rPr>
                <w:rFonts w:ascii="Arial" w:cs="Arial" w:eastAsia="Arial" w:hAnsi="Arial"/>
                <w:sz w:val="14"/>
                <w:szCs w:val="14"/>
                <w:color w:val="666666"/>
              </w:rPr>
              <w:t>Income tax (benefit) expense</w:t>
            </w:r>
          </w:p>
        </w:tc>
        <w:tc>
          <w:tcPr>
            <w:tcW w:w="44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96,831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96,874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128,344</w:t>
            </w:r>
          </w:p>
        </w:tc>
        <w:tc>
          <w:tcPr>
            <w:tcW w:w="0" w:type="dxa"/>
            <w:vAlign w:val="bottom"/>
          </w:tcPr>
          <w:p>
            <w:pPr>
              <w:spacing w:after="0"/>
              <w:rPr>
                <w:sz w:val="1"/>
                <w:szCs w:val="1"/>
                <w:color w:val="auto"/>
              </w:rPr>
            </w:pPr>
          </w:p>
        </w:tc>
      </w:tr>
      <w:tr>
        <w:trPr>
          <w:trHeight w:val="66"/>
        </w:trPr>
        <w:tc>
          <w:tcPr>
            <w:tcW w:w="5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120" w:type="dxa"/>
            <w:vAlign w:val="bottom"/>
          </w:tcPr>
          <w:p>
            <w:pPr>
              <w:ind w:left="380"/>
              <w:spacing w:after="0"/>
              <w:rPr>
                <w:sz w:val="20"/>
                <w:szCs w:val="20"/>
                <w:color w:val="auto"/>
              </w:rPr>
            </w:pPr>
            <w:r>
              <w:rPr>
                <w:rFonts w:ascii="Arial" w:cs="Arial" w:eastAsia="Arial" w:hAnsi="Arial"/>
                <w:sz w:val="14"/>
                <w:szCs w:val="14"/>
                <w:color w:val="666666"/>
              </w:rPr>
              <w:t>Interest and other, net (b)</w:t>
            </w:r>
          </w:p>
        </w:tc>
        <w:tc>
          <w:tcPr>
            <w:tcW w:w="440" w:type="dxa"/>
            <w:vAlign w:val="bottom"/>
          </w:tcPr>
          <w:p>
            <w:pPr>
              <w:spacing w:after="0"/>
              <w:rPr>
                <w:sz w:val="17"/>
                <w:szCs w:val="17"/>
                <w:color w:val="auto"/>
              </w:rPr>
            </w:pP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666666"/>
              </w:rPr>
              <w:t>89,768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vMerge w:val="restart"/>
          </w:tcPr>
          <w:p>
            <w:pPr>
              <w:jc w:val="right"/>
              <w:ind w:right="88"/>
              <w:spacing w:after="0"/>
              <w:rPr>
                <w:sz w:val="20"/>
                <w:szCs w:val="20"/>
                <w:color w:val="auto"/>
              </w:rPr>
            </w:pPr>
            <w:r>
              <w:rPr>
                <w:rFonts w:ascii="Arial" w:cs="Arial" w:eastAsia="Arial" w:hAnsi="Arial"/>
                <w:sz w:val="14"/>
                <w:szCs w:val="14"/>
                <w:color w:val="666666"/>
              </w:rPr>
              <w:t>86,991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666666"/>
              </w:rPr>
              <w:t>89,687</w:t>
            </w:r>
          </w:p>
        </w:tc>
        <w:tc>
          <w:tcPr>
            <w:tcW w:w="0" w:type="dxa"/>
            <w:vAlign w:val="bottom"/>
          </w:tcPr>
          <w:p>
            <w:pPr>
              <w:spacing w:after="0"/>
              <w:rPr>
                <w:sz w:val="1"/>
                <w:szCs w:val="1"/>
                <w:color w:val="auto"/>
              </w:rPr>
            </w:pPr>
          </w:p>
        </w:tc>
      </w:tr>
      <w:tr>
        <w:trPr>
          <w:trHeight w:val="60"/>
        </w:trPr>
        <w:tc>
          <w:tcPr>
            <w:tcW w:w="5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380"/>
              <w:spacing w:after="0"/>
              <w:rPr>
                <w:sz w:val="20"/>
                <w:szCs w:val="20"/>
                <w:color w:val="auto"/>
              </w:rPr>
            </w:pPr>
            <w:r>
              <w:rPr>
                <w:rFonts w:ascii="Arial" w:cs="Arial" w:eastAsia="Arial" w:hAnsi="Arial"/>
                <w:sz w:val="14"/>
                <w:szCs w:val="14"/>
                <w:color w:val="666666"/>
              </w:rPr>
              <w:t>Depreciation and amortization</w:t>
            </w:r>
          </w:p>
        </w:tc>
        <w:tc>
          <w:tcPr>
            <w:tcW w:w="44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81,081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68,575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64,756</w:t>
            </w:r>
          </w:p>
        </w:tc>
        <w:tc>
          <w:tcPr>
            <w:tcW w:w="0" w:type="dxa"/>
            <w:vAlign w:val="bottom"/>
          </w:tcPr>
          <w:p>
            <w:pPr>
              <w:spacing w:after="0"/>
              <w:rPr>
                <w:sz w:val="1"/>
                <w:szCs w:val="1"/>
                <w:color w:val="auto"/>
              </w:rPr>
            </w:pPr>
          </w:p>
        </w:tc>
      </w:tr>
      <w:tr>
        <w:trPr>
          <w:trHeight w:val="66"/>
        </w:trPr>
        <w:tc>
          <w:tcPr>
            <w:tcW w:w="5120" w:type="dxa"/>
            <w:vAlign w:val="bottom"/>
            <w:shd w:val="clear" w:color="auto" w:fill="CCEEFF"/>
          </w:tcPr>
          <w:p>
            <w:pPr>
              <w:spacing w:after="0"/>
              <w:rPr>
                <w:sz w:val="5"/>
                <w:szCs w:val="5"/>
                <w:color w:val="auto"/>
              </w:rPr>
            </w:pPr>
          </w:p>
        </w:tc>
        <w:tc>
          <w:tcPr>
            <w:tcW w:w="440" w:type="dxa"/>
            <w:vAlign w:val="bottom"/>
            <w:tcBorders>
              <w:bottom w:val="single" w:sz="8" w:color="666666"/>
            </w:tcBorders>
            <w:shd w:val="clear" w:color="auto" w:fill="CCEEFF"/>
          </w:tcPr>
          <w:p>
            <w:pPr>
              <w:spacing w:after="0"/>
              <w:rPr>
                <w:sz w:val="5"/>
                <w:szCs w:val="5"/>
                <w:color w:val="auto"/>
              </w:rPr>
            </w:pPr>
          </w:p>
        </w:tc>
        <w:tc>
          <w:tcPr>
            <w:tcW w:w="1460" w:type="dxa"/>
            <w:vAlign w:val="bottom"/>
            <w:tcBorders>
              <w:bottom w:val="single" w:sz="8" w:color="666666"/>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666666"/>
            </w:tcBorders>
            <w:shd w:val="clear" w:color="auto" w:fill="CCEEFF"/>
          </w:tcPr>
          <w:p>
            <w:pPr>
              <w:spacing w:after="0"/>
              <w:rPr>
                <w:sz w:val="5"/>
                <w:szCs w:val="5"/>
                <w:color w:val="auto"/>
              </w:rPr>
            </w:pPr>
          </w:p>
        </w:tc>
        <w:tc>
          <w:tcPr>
            <w:tcW w:w="1560" w:type="dxa"/>
            <w:vAlign w:val="bottom"/>
            <w:tcBorders>
              <w:bottom w:val="single" w:sz="8" w:color="666666"/>
            </w:tcBorders>
            <w:vMerge w:val="continue"/>
            <w:shd w:val="clear" w:color="auto" w:fill="CCEEFF"/>
          </w:tcPr>
          <w:p>
            <w:pPr>
              <w:spacing w:after="0"/>
              <w:rPr>
                <w:sz w:val="5"/>
                <w:szCs w:val="5"/>
                <w:color w:val="auto"/>
              </w:rPr>
            </w:pPr>
          </w:p>
        </w:tc>
        <w:tc>
          <w:tcPr>
            <w:tcW w:w="120" w:type="dxa"/>
            <w:vAlign w:val="bottom"/>
            <w:tcBorders>
              <w:bottom w:val="single" w:sz="8" w:color="666666"/>
            </w:tcBorders>
            <w:shd w:val="clear" w:color="auto" w:fill="CCEEFF"/>
          </w:tcPr>
          <w:p>
            <w:pPr>
              <w:spacing w:after="0"/>
              <w:rPr>
                <w:sz w:val="5"/>
                <w:szCs w:val="5"/>
                <w:color w:val="auto"/>
              </w:rPr>
            </w:pPr>
          </w:p>
        </w:tc>
        <w:tc>
          <w:tcPr>
            <w:tcW w:w="440" w:type="dxa"/>
            <w:vAlign w:val="bottom"/>
            <w:tcBorders>
              <w:bottom w:val="single" w:sz="8" w:color="666666"/>
            </w:tcBorders>
            <w:shd w:val="clear" w:color="auto" w:fill="CCEEFF"/>
          </w:tcPr>
          <w:p>
            <w:pPr>
              <w:spacing w:after="0"/>
              <w:rPr>
                <w:sz w:val="5"/>
                <w:szCs w:val="5"/>
                <w:color w:val="auto"/>
              </w:rPr>
            </w:pPr>
          </w:p>
        </w:tc>
        <w:tc>
          <w:tcPr>
            <w:tcW w:w="1460" w:type="dxa"/>
            <w:vAlign w:val="bottom"/>
            <w:tcBorders>
              <w:bottom w:val="single" w:sz="8" w:color="666666"/>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120" w:type="dxa"/>
            <w:vAlign w:val="bottom"/>
          </w:tcPr>
          <w:p>
            <w:pPr>
              <w:ind w:left="720"/>
              <w:spacing w:after="0"/>
              <w:rPr>
                <w:sz w:val="20"/>
                <w:szCs w:val="20"/>
                <w:color w:val="auto"/>
              </w:rPr>
            </w:pPr>
            <w:r>
              <w:rPr>
                <w:rFonts w:ascii="Arial" w:cs="Arial" w:eastAsia="Arial" w:hAnsi="Arial"/>
                <w:sz w:val="14"/>
                <w:szCs w:val="14"/>
                <w:color w:val="666666"/>
              </w:rPr>
              <w:t>EBITDA</w:t>
            </w:r>
          </w:p>
        </w:tc>
        <w:tc>
          <w:tcPr>
            <w:tcW w:w="440" w:type="dxa"/>
            <w:vAlign w:val="bottom"/>
          </w:tcPr>
          <w:p>
            <w:pPr>
              <w:spacing w:after="0"/>
              <w:rPr>
                <w:sz w:val="16"/>
                <w:szCs w:val="16"/>
                <w:color w:val="auto"/>
              </w:rPr>
            </w:pP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666666"/>
              </w:rPr>
              <w:t>750,283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vMerge w:val="restart"/>
          </w:tcPr>
          <w:p>
            <w:pPr>
              <w:jc w:val="right"/>
              <w:ind w:right="88"/>
              <w:spacing w:after="0"/>
              <w:rPr>
                <w:sz w:val="20"/>
                <w:szCs w:val="20"/>
                <w:color w:val="auto"/>
              </w:rPr>
            </w:pPr>
            <w:r>
              <w:rPr>
                <w:rFonts w:ascii="Arial" w:cs="Arial" w:eastAsia="Arial" w:hAnsi="Arial"/>
                <w:sz w:val="14"/>
                <w:szCs w:val="14"/>
                <w:color w:val="666666"/>
              </w:rPr>
              <w:t>670,969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666666"/>
              </w:rPr>
              <w:t>584,479</w:t>
            </w:r>
          </w:p>
        </w:tc>
        <w:tc>
          <w:tcPr>
            <w:tcW w:w="0" w:type="dxa"/>
            <w:vAlign w:val="bottom"/>
          </w:tcPr>
          <w:p>
            <w:pPr>
              <w:spacing w:after="0"/>
              <w:rPr>
                <w:sz w:val="1"/>
                <w:szCs w:val="1"/>
                <w:color w:val="auto"/>
              </w:rPr>
            </w:pPr>
          </w:p>
        </w:tc>
      </w:tr>
      <w:tr>
        <w:trPr>
          <w:trHeight w:val="73"/>
        </w:trPr>
        <w:tc>
          <w:tcPr>
            <w:tcW w:w="5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380"/>
              <w:spacing w:after="0"/>
              <w:rPr>
                <w:sz w:val="20"/>
                <w:szCs w:val="20"/>
                <w:color w:val="auto"/>
              </w:rPr>
            </w:pPr>
            <w:r>
              <w:rPr>
                <w:rFonts w:ascii="Arial" w:cs="Arial" w:eastAsia="Arial" w:hAnsi="Arial"/>
                <w:sz w:val="14"/>
                <w:szCs w:val="14"/>
                <w:color w:val="666666"/>
              </w:rPr>
              <w:t>Transaction expenses (c)</w:t>
            </w:r>
          </w:p>
        </w:tc>
        <w:tc>
          <w:tcPr>
            <w:tcW w:w="44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1,069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3,660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w:t>
            </w:r>
          </w:p>
        </w:tc>
        <w:tc>
          <w:tcPr>
            <w:tcW w:w="0" w:type="dxa"/>
            <w:vAlign w:val="bottom"/>
          </w:tcPr>
          <w:p>
            <w:pPr>
              <w:spacing w:after="0"/>
              <w:rPr>
                <w:sz w:val="1"/>
                <w:szCs w:val="1"/>
                <w:color w:val="auto"/>
              </w:rPr>
            </w:pPr>
          </w:p>
        </w:tc>
      </w:tr>
      <w:tr>
        <w:trPr>
          <w:trHeight w:val="66"/>
        </w:trPr>
        <w:tc>
          <w:tcPr>
            <w:tcW w:w="5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120" w:type="dxa"/>
            <w:vAlign w:val="bottom"/>
          </w:tcPr>
          <w:p>
            <w:pPr>
              <w:ind w:left="380"/>
              <w:spacing w:after="0"/>
              <w:rPr>
                <w:sz w:val="20"/>
                <w:szCs w:val="20"/>
                <w:color w:val="auto"/>
              </w:rPr>
            </w:pPr>
            <w:r>
              <w:rPr>
                <w:rFonts w:ascii="Arial" w:cs="Arial" w:eastAsia="Arial" w:hAnsi="Arial"/>
                <w:sz w:val="14"/>
                <w:szCs w:val="14"/>
                <w:color w:val="666666"/>
              </w:rPr>
              <w:t>COVID-19 supplemental employee benefits (d)</w:t>
            </w: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666666"/>
              </w:rPr>
              <w:t>$</w:t>
            </w: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666666"/>
              </w:rPr>
              <w:t>2,722</w:t>
            </w:r>
          </w:p>
        </w:tc>
        <w:tc>
          <w:tcPr>
            <w:tcW w:w="100" w:type="dxa"/>
            <w:vAlign w:val="bottom"/>
            <w:vMerge w:val="restart"/>
          </w:tcPr>
          <w:p>
            <w:pPr>
              <w:spacing w:after="0"/>
              <w:rPr>
                <w:sz w:val="17"/>
                <w:szCs w:val="17"/>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666666"/>
              </w:rPr>
              <w:t>$</w:t>
            </w:r>
          </w:p>
        </w:tc>
        <w:tc>
          <w:tcPr>
            <w:tcW w:w="1560" w:type="dxa"/>
            <w:vAlign w:val="bottom"/>
            <w:vMerge w:val="restart"/>
          </w:tcPr>
          <w:p>
            <w:pPr>
              <w:jc w:val="right"/>
              <w:ind w:right="88"/>
              <w:spacing w:after="0"/>
              <w:rPr>
                <w:sz w:val="20"/>
                <w:szCs w:val="20"/>
                <w:color w:val="auto"/>
              </w:rPr>
            </w:pPr>
            <w:r>
              <w:rPr>
                <w:rFonts w:ascii="Arial" w:cs="Arial" w:eastAsia="Arial" w:hAnsi="Arial"/>
                <w:sz w:val="14"/>
                <w:szCs w:val="14"/>
                <w:color w:val="666666"/>
              </w:rPr>
              <w:t>—</w:t>
            </w:r>
          </w:p>
        </w:tc>
        <w:tc>
          <w:tcPr>
            <w:tcW w:w="120" w:type="dxa"/>
            <w:vAlign w:val="bottom"/>
            <w:vMerge w:val="restart"/>
          </w:tcPr>
          <w:p>
            <w:pPr>
              <w:spacing w:after="0"/>
              <w:rPr>
                <w:sz w:val="17"/>
                <w:szCs w:val="17"/>
                <w:color w:val="auto"/>
              </w:rPr>
            </w:pP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666666"/>
              </w:rPr>
              <w:t>$</w:t>
            </w: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666666"/>
              </w:rPr>
              <w:t>—</w:t>
            </w:r>
          </w:p>
        </w:tc>
        <w:tc>
          <w:tcPr>
            <w:tcW w:w="0" w:type="dxa"/>
            <w:vAlign w:val="bottom"/>
          </w:tcPr>
          <w:p>
            <w:pPr>
              <w:spacing w:after="0"/>
              <w:rPr>
                <w:sz w:val="1"/>
                <w:szCs w:val="1"/>
                <w:color w:val="auto"/>
              </w:rPr>
            </w:pPr>
          </w:p>
        </w:tc>
      </w:tr>
      <w:tr>
        <w:trPr>
          <w:trHeight w:val="60"/>
        </w:trPr>
        <w:tc>
          <w:tcPr>
            <w:tcW w:w="5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14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5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666666"/>
            </w:tcBorders>
            <w:vMerge w:val="continue"/>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14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120" w:type="dxa"/>
            <w:vAlign w:val="bottom"/>
            <w:shd w:val="clear" w:color="auto" w:fill="CCEEFF"/>
          </w:tcPr>
          <w:p>
            <w:pPr>
              <w:ind w:left="720"/>
              <w:spacing w:after="0"/>
              <w:rPr>
                <w:sz w:val="20"/>
                <w:szCs w:val="20"/>
                <w:color w:val="auto"/>
              </w:rPr>
            </w:pPr>
            <w:r>
              <w:rPr>
                <w:rFonts w:ascii="Arial" w:cs="Arial" w:eastAsia="Arial" w:hAnsi="Arial"/>
                <w:sz w:val="14"/>
                <w:szCs w:val="14"/>
                <w:color w:val="666666"/>
              </w:rPr>
              <w:t>Adjusted EBITDA</w:t>
            </w:r>
          </w:p>
        </w:tc>
        <w:tc>
          <w:tcPr>
            <w:tcW w:w="44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666666"/>
              </w:rPr>
              <w:t>$</w:t>
            </w:r>
          </w:p>
        </w:tc>
        <w:tc>
          <w:tcPr>
            <w:tcW w:w="14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754,074</w:t>
            </w:r>
          </w:p>
        </w:tc>
        <w:tc>
          <w:tcPr>
            <w:tcW w:w="440" w:type="dxa"/>
            <w:vAlign w:val="bottom"/>
            <w:gridSpan w:val="2"/>
            <w:vMerge w:val="restart"/>
            <w:shd w:val="clear" w:color="auto" w:fill="CCEEFF"/>
          </w:tcPr>
          <w:p>
            <w:pPr>
              <w:jc w:val="right"/>
              <w:ind w:right="168"/>
              <w:spacing w:after="0"/>
              <w:rPr>
                <w:sz w:val="20"/>
                <w:szCs w:val="20"/>
                <w:color w:val="auto"/>
              </w:rPr>
            </w:pPr>
            <w:r>
              <w:rPr>
                <w:rFonts w:ascii="Arial" w:cs="Arial" w:eastAsia="Arial" w:hAnsi="Arial"/>
                <w:sz w:val="14"/>
                <w:szCs w:val="14"/>
                <w:color w:val="666666"/>
              </w:rPr>
              <w:t>$</w:t>
            </w:r>
          </w:p>
        </w:tc>
        <w:tc>
          <w:tcPr>
            <w:tcW w:w="15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674,629</w:t>
            </w:r>
          </w:p>
        </w:tc>
        <w:tc>
          <w:tcPr>
            <w:tcW w:w="120" w:type="dxa"/>
            <w:vAlign w:val="bottom"/>
            <w:shd w:val="clear" w:color="auto" w:fill="CCEEFF"/>
          </w:tcPr>
          <w:p>
            <w:pPr>
              <w:spacing w:after="0"/>
              <w:rPr>
                <w:sz w:val="16"/>
                <w:szCs w:val="16"/>
                <w:color w:val="auto"/>
              </w:rPr>
            </w:pPr>
          </w:p>
        </w:tc>
        <w:tc>
          <w:tcPr>
            <w:tcW w:w="44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666666"/>
              </w:rPr>
              <w:t>$</w:t>
            </w:r>
          </w:p>
        </w:tc>
        <w:tc>
          <w:tcPr>
            <w:tcW w:w="14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584,479</w:t>
            </w:r>
          </w:p>
        </w:tc>
        <w:tc>
          <w:tcPr>
            <w:tcW w:w="0" w:type="dxa"/>
            <w:vAlign w:val="bottom"/>
          </w:tcPr>
          <w:p>
            <w:pPr>
              <w:spacing w:after="0"/>
              <w:rPr>
                <w:sz w:val="1"/>
                <w:szCs w:val="1"/>
                <w:color w:val="auto"/>
              </w:rPr>
            </w:pPr>
          </w:p>
        </w:tc>
      </w:tr>
      <w:tr>
        <w:trPr>
          <w:trHeight w:val="100"/>
        </w:trPr>
        <w:tc>
          <w:tcPr>
            <w:tcW w:w="5120" w:type="dxa"/>
            <w:vAlign w:val="bottom"/>
            <w:shd w:val="clear" w:color="auto" w:fill="CCEEFF"/>
          </w:tcPr>
          <w:p>
            <w:pPr>
              <w:spacing w:after="0"/>
              <w:rPr>
                <w:sz w:val="8"/>
                <w:szCs w:val="8"/>
                <w:color w:val="auto"/>
              </w:rPr>
            </w:pPr>
          </w:p>
        </w:tc>
        <w:tc>
          <w:tcPr>
            <w:tcW w:w="440" w:type="dxa"/>
            <w:vAlign w:val="bottom"/>
            <w:vMerge w:val="continue"/>
            <w:shd w:val="clear" w:color="auto" w:fill="CCEEFF"/>
          </w:tcPr>
          <w:p>
            <w:pPr>
              <w:spacing w:after="0"/>
              <w:rPr>
                <w:sz w:val="8"/>
                <w:szCs w:val="8"/>
                <w:color w:val="auto"/>
              </w:rPr>
            </w:pPr>
          </w:p>
        </w:tc>
        <w:tc>
          <w:tcPr>
            <w:tcW w:w="1460" w:type="dxa"/>
            <w:vAlign w:val="bottom"/>
            <w:vMerge w:val="continue"/>
            <w:shd w:val="clear" w:color="auto" w:fill="CCEEFF"/>
          </w:tcPr>
          <w:p>
            <w:pPr>
              <w:spacing w:after="0"/>
              <w:rPr>
                <w:sz w:val="8"/>
                <w:szCs w:val="8"/>
                <w:color w:val="auto"/>
              </w:rPr>
            </w:pPr>
          </w:p>
        </w:tc>
        <w:tc>
          <w:tcPr>
            <w:tcW w:w="440" w:type="dxa"/>
            <w:vAlign w:val="bottom"/>
            <w:gridSpan w:val="2"/>
            <w:vMerge w:val="continue"/>
            <w:shd w:val="clear" w:color="auto" w:fill="CCEEFF"/>
          </w:tcPr>
          <w:p>
            <w:pPr>
              <w:spacing w:after="0"/>
              <w:rPr>
                <w:sz w:val="8"/>
                <w:szCs w:val="8"/>
                <w:color w:val="auto"/>
              </w:rPr>
            </w:pPr>
          </w:p>
        </w:tc>
        <w:tc>
          <w:tcPr>
            <w:tcW w:w="15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vMerge w:val="continue"/>
            <w:shd w:val="clear" w:color="auto" w:fill="CCEEFF"/>
          </w:tcPr>
          <w:p>
            <w:pPr>
              <w:spacing w:after="0"/>
              <w:rPr>
                <w:sz w:val="8"/>
                <w:szCs w:val="8"/>
                <w:color w:val="auto"/>
              </w:rPr>
            </w:pPr>
          </w:p>
        </w:tc>
        <w:tc>
          <w:tcPr>
            <w:tcW w:w="14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5120" w:type="dxa"/>
            <w:vAlign w:val="bottom"/>
            <w:tcBorders>
              <w:top w:val="single" w:sz="8" w:color="CCEEFF"/>
            </w:tcBorders>
          </w:tcPr>
          <w:p>
            <w:pPr>
              <w:ind w:left="720"/>
              <w:spacing w:after="0"/>
              <w:rPr>
                <w:sz w:val="20"/>
                <w:szCs w:val="20"/>
                <w:color w:val="auto"/>
              </w:rPr>
            </w:pPr>
            <w:r>
              <w:rPr>
                <w:rFonts w:ascii="Arial" w:cs="Arial" w:eastAsia="Arial" w:hAnsi="Arial"/>
                <w:sz w:val="14"/>
                <w:szCs w:val="14"/>
                <w:color w:val="666666"/>
              </w:rPr>
              <w:t>Adjusted EBITDA Margin on Revenue</w:t>
            </w:r>
          </w:p>
        </w:tc>
        <w:tc>
          <w:tcPr>
            <w:tcW w:w="4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666666"/>
              </w:rPr>
              <w:t>10.1%</w:t>
            </w: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666666"/>
              </w:rPr>
              <w:t>10.1%</w:t>
            </w:r>
          </w:p>
        </w:tc>
        <w:tc>
          <w:tcPr>
            <w:tcW w:w="120" w:type="dxa"/>
            <w:vAlign w:val="bottom"/>
            <w:tcBorders>
              <w:top w:val="single" w:sz="8" w:color="666666"/>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666666"/>
              </w:rPr>
              <w:t>9.5%</w:t>
            </w:r>
          </w:p>
        </w:tc>
        <w:tc>
          <w:tcPr>
            <w:tcW w:w="0" w:type="dxa"/>
            <w:vAlign w:val="bottom"/>
          </w:tcPr>
          <w:p>
            <w:pPr>
              <w:spacing w:after="0"/>
              <w:rPr>
                <w:sz w:val="1"/>
                <w:szCs w:val="1"/>
                <w:color w:val="auto"/>
              </w:rPr>
            </w:pPr>
          </w:p>
        </w:tc>
      </w:tr>
      <w:tr>
        <w:trPr>
          <w:trHeight w:val="73"/>
        </w:trPr>
        <w:tc>
          <w:tcPr>
            <w:tcW w:w="5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ind w:left="720"/>
              <w:spacing w:after="0"/>
              <w:rPr>
                <w:sz w:val="20"/>
                <w:szCs w:val="20"/>
                <w:color w:val="auto"/>
              </w:rPr>
            </w:pPr>
            <w:r>
              <w:rPr>
                <w:rFonts w:ascii="Arial" w:cs="Arial" w:eastAsia="Arial" w:hAnsi="Arial"/>
                <w:sz w:val="14"/>
                <w:szCs w:val="14"/>
                <w:color w:val="666666"/>
              </w:rPr>
              <w:t>Adjusted EBITDA Margin on Revenue, Excluding Billable</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20" w:type="dxa"/>
            <w:vAlign w:val="bottom"/>
            <w:shd w:val="clear" w:color="auto" w:fill="CCEEFF"/>
          </w:tcPr>
          <w:p>
            <w:pPr>
              <w:ind w:left="720"/>
              <w:spacing w:after="0"/>
              <w:rPr>
                <w:sz w:val="20"/>
                <w:szCs w:val="20"/>
                <w:color w:val="auto"/>
              </w:rPr>
            </w:pPr>
            <w:r>
              <w:rPr>
                <w:rFonts w:ascii="Arial" w:cs="Arial" w:eastAsia="Arial" w:hAnsi="Arial"/>
                <w:sz w:val="14"/>
                <w:szCs w:val="14"/>
                <w:color w:val="666666"/>
              </w:rPr>
              <w:t>Expenses</w:t>
            </w: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666666"/>
              </w:rPr>
              <w:t>14.6%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666666"/>
              </w:rPr>
              <w:t>14.4%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666666"/>
              </w:rPr>
              <w:t>13.6%</w:t>
            </w:r>
          </w:p>
        </w:tc>
        <w:tc>
          <w:tcPr>
            <w:tcW w:w="0" w:type="dxa"/>
            <w:vAlign w:val="bottom"/>
          </w:tcPr>
          <w:p>
            <w:pPr>
              <w:spacing w:after="0"/>
              <w:rPr>
                <w:sz w:val="1"/>
                <w:szCs w:val="1"/>
                <w:color w:val="auto"/>
              </w:rPr>
            </w:pPr>
          </w:p>
        </w:tc>
      </w:tr>
      <w:tr>
        <w:trPr>
          <w:trHeight w:val="204"/>
        </w:trPr>
        <w:tc>
          <w:tcPr>
            <w:tcW w:w="5120" w:type="dxa"/>
            <w:vAlign w:val="bottom"/>
          </w:tcPr>
          <w:p>
            <w:pPr>
              <w:ind w:left="40"/>
              <w:spacing w:after="0"/>
              <w:rPr>
                <w:sz w:val="20"/>
                <w:szCs w:val="20"/>
                <w:color w:val="auto"/>
              </w:rPr>
            </w:pPr>
            <w:r>
              <w:rPr>
                <w:rFonts w:ascii="Arial" w:cs="Arial" w:eastAsia="Arial" w:hAnsi="Arial"/>
                <w:sz w:val="14"/>
                <w:szCs w:val="14"/>
                <w:b w:val="1"/>
                <w:bCs w:val="1"/>
                <w:i w:val="1"/>
                <w:iCs w:val="1"/>
                <w:color w:val="666666"/>
              </w:rPr>
              <w:t>Adjusted Net Income</w:t>
            </w: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5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120" w:type="dxa"/>
            <w:vAlign w:val="bottom"/>
            <w:shd w:val="clear" w:color="auto" w:fill="CCEEFF"/>
          </w:tcPr>
          <w:p>
            <w:pPr>
              <w:ind w:left="380"/>
              <w:spacing w:after="0"/>
              <w:rPr>
                <w:sz w:val="20"/>
                <w:szCs w:val="20"/>
                <w:color w:val="auto"/>
              </w:rPr>
            </w:pPr>
            <w:r>
              <w:rPr>
                <w:rFonts w:ascii="Arial" w:cs="Arial" w:eastAsia="Arial" w:hAnsi="Arial"/>
                <w:sz w:val="14"/>
                <w:szCs w:val="14"/>
                <w:color w:val="666666"/>
              </w:rPr>
              <w:t>Net income</w:t>
            </w:r>
          </w:p>
        </w:tc>
        <w:tc>
          <w:tcPr>
            <w:tcW w:w="44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482,603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418,529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301,692</w:t>
            </w:r>
          </w:p>
        </w:tc>
        <w:tc>
          <w:tcPr>
            <w:tcW w:w="0" w:type="dxa"/>
            <w:vAlign w:val="bottom"/>
          </w:tcPr>
          <w:p>
            <w:pPr>
              <w:spacing w:after="0"/>
              <w:rPr>
                <w:sz w:val="1"/>
                <w:szCs w:val="1"/>
                <w:color w:val="auto"/>
              </w:rPr>
            </w:pPr>
          </w:p>
        </w:tc>
      </w:tr>
      <w:tr>
        <w:trPr>
          <w:trHeight w:val="66"/>
        </w:trPr>
        <w:tc>
          <w:tcPr>
            <w:tcW w:w="5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120" w:type="dxa"/>
            <w:vAlign w:val="bottom"/>
          </w:tcPr>
          <w:p>
            <w:pPr>
              <w:ind w:left="380"/>
              <w:spacing w:after="0"/>
              <w:rPr>
                <w:sz w:val="20"/>
                <w:szCs w:val="20"/>
                <w:color w:val="auto"/>
              </w:rPr>
            </w:pPr>
            <w:r>
              <w:rPr>
                <w:rFonts w:ascii="Arial" w:cs="Arial" w:eastAsia="Arial" w:hAnsi="Arial"/>
                <w:sz w:val="14"/>
                <w:szCs w:val="14"/>
                <w:color w:val="666666"/>
              </w:rPr>
              <w:t>Transaction expenses (d)</w:t>
            </w:r>
          </w:p>
        </w:tc>
        <w:tc>
          <w:tcPr>
            <w:tcW w:w="440" w:type="dxa"/>
            <w:vAlign w:val="bottom"/>
          </w:tcPr>
          <w:p>
            <w:pPr>
              <w:spacing w:after="0"/>
              <w:rPr>
                <w:sz w:val="17"/>
                <w:szCs w:val="17"/>
                <w:color w:val="auto"/>
              </w:rPr>
            </w:pP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666666"/>
              </w:rPr>
              <w:t>1,069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vMerge w:val="restart"/>
          </w:tcPr>
          <w:p>
            <w:pPr>
              <w:jc w:val="right"/>
              <w:ind w:right="88"/>
              <w:spacing w:after="0"/>
              <w:rPr>
                <w:sz w:val="20"/>
                <w:szCs w:val="20"/>
                <w:color w:val="auto"/>
              </w:rPr>
            </w:pPr>
            <w:r>
              <w:rPr>
                <w:rFonts w:ascii="Arial" w:cs="Arial" w:eastAsia="Arial" w:hAnsi="Arial"/>
                <w:sz w:val="14"/>
                <w:szCs w:val="14"/>
                <w:color w:val="666666"/>
              </w:rPr>
              <w:t>3,660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666666"/>
              </w:rPr>
              <w:t>—</w:t>
            </w:r>
          </w:p>
        </w:tc>
        <w:tc>
          <w:tcPr>
            <w:tcW w:w="0" w:type="dxa"/>
            <w:vAlign w:val="bottom"/>
          </w:tcPr>
          <w:p>
            <w:pPr>
              <w:spacing w:after="0"/>
              <w:rPr>
                <w:sz w:val="1"/>
                <w:szCs w:val="1"/>
                <w:color w:val="auto"/>
              </w:rPr>
            </w:pPr>
          </w:p>
        </w:tc>
      </w:tr>
      <w:tr>
        <w:trPr>
          <w:trHeight w:val="60"/>
        </w:trPr>
        <w:tc>
          <w:tcPr>
            <w:tcW w:w="5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380"/>
              <w:spacing w:after="0"/>
              <w:rPr>
                <w:sz w:val="20"/>
                <w:szCs w:val="20"/>
                <w:color w:val="auto"/>
              </w:rPr>
            </w:pPr>
            <w:r>
              <w:rPr>
                <w:rFonts w:ascii="Arial" w:cs="Arial" w:eastAsia="Arial" w:hAnsi="Arial"/>
                <w:sz w:val="14"/>
                <w:szCs w:val="14"/>
                <w:color w:val="666666"/>
              </w:rPr>
              <w:t>COVID-19 supplemental employee benefits (d)</w:t>
            </w:r>
          </w:p>
        </w:tc>
        <w:tc>
          <w:tcPr>
            <w:tcW w:w="44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2,722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666666"/>
              </w:rPr>
              <w:t>—</w:t>
            </w:r>
          </w:p>
        </w:tc>
        <w:tc>
          <w:tcPr>
            <w:tcW w:w="44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w:t>
            </w:r>
          </w:p>
        </w:tc>
        <w:tc>
          <w:tcPr>
            <w:tcW w:w="0" w:type="dxa"/>
            <w:vAlign w:val="bottom"/>
          </w:tcPr>
          <w:p>
            <w:pPr>
              <w:spacing w:after="0"/>
              <w:rPr>
                <w:sz w:val="1"/>
                <w:szCs w:val="1"/>
                <w:color w:val="auto"/>
              </w:rPr>
            </w:pPr>
          </w:p>
        </w:tc>
      </w:tr>
      <w:tr>
        <w:trPr>
          <w:trHeight w:val="66"/>
        </w:trPr>
        <w:tc>
          <w:tcPr>
            <w:tcW w:w="5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80" w:type="dxa"/>
            <w:vAlign w:val="bottom"/>
            <w:gridSpan w:val="2"/>
            <w:vMerge w:val="continue"/>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120" w:type="dxa"/>
            <w:vAlign w:val="bottom"/>
          </w:tcPr>
          <w:p>
            <w:pPr>
              <w:ind w:left="380"/>
              <w:spacing w:after="0"/>
              <w:rPr>
                <w:sz w:val="20"/>
                <w:szCs w:val="20"/>
                <w:color w:val="auto"/>
              </w:rPr>
            </w:pPr>
            <w:r>
              <w:rPr>
                <w:rFonts w:ascii="Arial" w:cs="Arial" w:eastAsia="Arial" w:hAnsi="Arial"/>
                <w:sz w:val="14"/>
                <w:szCs w:val="14"/>
                <w:color w:val="666666"/>
              </w:rPr>
              <w:t>Research and development tax credits (e)</w:t>
            </w:r>
          </w:p>
        </w:tc>
        <w:tc>
          <w:tcPr>
            <w:tcW w:w="440" w:type="dxa"/>
            <w:vAlign w:val="bottom"/>
          </w:tcPr>
          <w:p>
            <w:pPr>
              <w:spacing w:after="0"/>
              <w:rPr>
                <w:sz w:val="17"/>
                <w:szCs w:val="17"/>
                <w:color w:val="auto"/>
              </w:rPr>
            </w:pP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color w:val="666666"/>
              </w:rPr>
              <w:t>(38,395)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666666"/>
              </w:rPr>
              <w:t>—</w:t>
            </w:r>
          </w:p>
        </w:tc>
        <w:tc>
          <w:tcPr>
            <w:tcW w:w="440" w:type="dxa"/>
            <w:vAlign w:val="bottom"/>
          </w:tcPr>
          <w:p>
            <w:pPr>
              <w:spacing w:after="0"/>
              <w:rPr>
                <w:sz w:val="17"/>
                <w:szCs w:val="17"/>
                <w:color w:val="auto"/>
              </w:rPr>
            </w:pP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666666"/>
              </w:rPr>
              <w:t>—</w:t>
            </w:r>
          </w:p>
        </w:tc>
        <w:tc>
          <w:tcPr>
            <w:tcW w:w="0" w:type="dxa"/>
            <w:vAlign w:val="bottom"/>
          </w:tcPr>
          <w:p>
            <w:pPr>
              <w:spacing w:after="0"/>
              <w:rPr>
                <w:sz w:val="1"/>
                <w:szCs w:val="1"/>
                <w:color w:val="auto"/>
              </w:rPr>
            </w:pPr>
          </w:p>
        </w:tc>
      </w:tr>
      <w:tr>
        <w:trPr>
          <w:trHeight w:val="60"/>
        </w:trPr>
        <w:tc>
          <w:tcPr>
            <w:tcW w:w="5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380"/>
              <w:spacing w:after="0"/>
              <w:rPr>
                <w:sz w:val="20"/>
                <w:szCs w:val="20"/>
                <w:color w:val="auto"/>
              </w:rPr>
            </w:pPr>
            <w:r>
              <w:rPr>
                <w:rFonts w:ascii="Arial" w:cs="Arial" w:eastAsia="Arial" w:hAnsi="Arial"/>
                <w:sz w:val="14"/>
                <w:szCs w:val="14"/>
                <w:color w:val="666666"/>
              </w:rPr>
              <w:t>Release of income tax reserves (f)</w:t>
            </w:r>
          </w:p>
        </w:tc>
        <w:tc>
          <w:tcPr>
            <w:tcW w:w="44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666666"/>
              </w:rPr>
              <w:t>(68)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666666"/>
              </w:rPr>
              <w:t>(462)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w:t>
            </w:r>
          </w:p>
        </w:tc>
        <w:tc>
          <w:tcPr>
            <w:tcW w:w="0" w:type="dxa"/>
            <w:vAlign w:val="bottom"/>
          </w:tcPr>
          <w:p>
            <w:pPr>
              <w:spacing w:after="0"/>
              <w:rPr>
                <w:sz w:val="1"/>
                <w:szCs w:val="1"/>
                <w:color w:val="auto"/>
              </w:rPr>
            </w:pPr>
          </w:p>
        </w:tc>
      </w:tr>
      <w:tr>
        <w:trPr>
          <w:trHeight w:val="66"/>
        </w:trPr>
        <w:tc>
          <w:tcPr>
            <w:tcW w:w="5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120" w:type="dxa"/>
            <w:vAlign w:val="bottom"/>
          </w:tcPr>
          <w:p>
            <w:pPr>
              <w:ind w:left="380"/>
              <w:spacing w:after="0"/>
              <w:rPr>
                <w:sz w:val="20"/>
                <w:szCs w:val="20"/>
                <w:color w:val="auto"/>
              </w:rPr>
            </w:pPr>
            <w:r>
              <w:rPr>
                <w:rFonts w:ascii="Arial" w:cs="Arial" w:eastAsia="Arial" w:hAnsi="Arial"/>
                <w:sz w:val="14"/>
                <w:szCs w:val="14"/>
                <w:color w:val="666666"/>
              </w:rPr>
              <w:t>Re-measurement of deferred tax assets/liabilities (g)</w:t>
            </w:r>
          </w:p>
        </w:tc>
        <w:tc>
          <w:tcPr>
            <w:tcW w:w="440" w:type="dxa"/>
            <w:vAlign w:val="bottom"/>
          </w:tcPr>
          <w:p>
            <w:pPr>
              <w:spacing w:after="0"/>
              <w:rPr>
                <w:sz w:val="17"/>
                <w:szCs w:val="17"/>
                <w:color w:val="auto"/>
              </w:rPr>
            </w:pP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666666"/>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vMerge w:val="restart"/>
          </w:tcPr>
          <w:p>
            <w:pPr>
              <w:jc w:val="right"/>
              <w:ind w:right="28"/>
              <w:spacing w:after="0"/>
              <w:rPr>
                <w:sz w:val="20"/>
                <w:szCs w:val="20"/>
                <w:color w:val="auto"/>
              </w:rPr>
            </w:pPr>
            <w:r>
              <w:rPr>
                <w:rFonts w:ascii="Arial" w:cs="Arial" w:eastAsia="Arial" w:hAnsi="Arial"/>
                <w:sz w:val="14"/>
                <w:szCs w:val="14"/>
                <w:color w:val="666666"/>
              </w:rPr>
              <w:t>(27,908)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color w:val="666666"/>
              </w:rPr>
              <w:t>(9,107)</w:t>
            </w:r>
          </w:p>
        </w:tc>
        <w:tc>
          <w:tcPr>
            <w:tcW w:w="0" w:type="dxa"/>
            <w:vAlign w:val="bottom"/>
          </w:tcPr>
          <w:p>
            <w:pPr>
              <w:spacing w:after="0"/>
              <w:rPr>
                <w:sz w:val="1"/>
                <w:szCs w:val="1"/>
                <w:color w:val="auto"/>
              </w:rPr>
            </w:pPr>
          </w:p>
        </w:tc>
      </w:tr>
      <w:tr>
        <w:trPr>
          <w:trHeight w:val="60"/>
        </w:trPr>
        <w:tc>
          <w:tcPr>
            <w:tcW w:w="5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ind w:left="380"/>
              <w:spacing w:after="0"/>
              <w:rPr>
                <w:sz w:val="20"/>
                <w:szCs w:val="20"/>
                <w:color w:val="auto"/>
              </w:rPr>
            </w:pPr>
            <w:r>
              <w:rPr>
                <w:rFonts w:ascii="Arial" w:cs="Arial" w:eastAsia="Arial" w:hAnsi="Arial"/>
                <w:sz w:val="14"/>
                <w:szCs w:val="14"/>
                <w:color w:val="666666"/>
              </w:rPr>
              <w:t>Amortization or write-off of debt issuance costs and write-off of original</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20" w:type="dxa"/>
            <w:vAlign w:val="bottom"/>
            <w:shd w:val="clear" w:color="auto" w:fill="CCEEFF"/>
          </w:tcPr>
          <w:p>
            <w:pPr>
              <w:ind w:left="380"/>
              <w:spacing w:after="0"/>
              <w:rPr>
                <w:sz w:val="20"/>
                <w:szCs w:val="20"/>
                <w:color w:val="auto"/>
              </w:rPr>
            </w:pPr>
            <w:r>
              <w:rPr>
                <w:rFonts w:ascii="Arial" w:cs="Arial" w:eastAsia="Arial" w:hAnsi="Arial"/>
                <w:sz w:val="14"/>
                <w:szCs w:val="14"/>
                <w:color w:val="666666"/>
              </w:rPr>
              <w:t>issue discount</w:t>
            </w: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666666"/>
              </w:rPr>
              <w:t>2,395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666666"/>
              </w:rPr>
              <w:t>2,920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666666"/>
              </w:rPr>
              <w:t>2,655</w:t>
            </w:r>
          </w:p>
        </w:tc>
        <w:tc>
          <w:tcPr>
            <w:tcW w:w="0" w:type="dxa"/>
            <w:vAlign w:val="bottom"/>
          </w:tcPr>
          <w:p>
            <w:pPr>
              <w:spacing w:after="0"/>
              <w:rPr>
                <w:sz w:val="1"/>
                <w:szCs w:val="1"/>
                <w:color w:val="auto"/>
              </w:rPr>
            </w:pPr>
          </w:p>
        </w:tc>
      </w:tr>
      <w:tr>
        <w:trPr>
          <w:trHeight w:val="204"/>
        </w:trPr>
        <w:tc>
          <w:tcPr>
            <w:tcW w:w="5120" w:type="dxa"/>
            <w:vAlign w:val="bottom"/>
          </w:tcPr>
          <w:p>
            <w:pPr>
              <w:ind w:left="380"/>
              <w:spacing w:after="0"/>
              <w:rPr>
                <w:sz w:val="20"/>
                <w:szCs w:val="20"/>
                <w:color w:val="auto"/>
              </w:rPr>
            </w:pPr>
            <w:r>
              <w:rPr>
                <w:rFonts w:ascii="Arial" w:cs="Arial" w:eastAsia="Arial" w:hAnsi="Arial"/>
                <w:sz w:val="14"/>
                <w:szCs w:val="14"/>
                <w:color w:val="666666"/>
              </w:rPr>
              <w:t>Adjustments for tax effect (h)</w:t>
            </w:r>
          </w:p>
        </w:tc>
        <w:tc>
          <w:tcPr>
            <w:tcW w:w="440" w:type="dxa"/>
            <w:vAlign w:val="bottom"/>
          </w:tcPr>
          <w:p>
            <w:pPr>
              <w:spacing w:after="0"/>
              <w:rPr>
                <w:sz w:val="17"/>
                <w:szCs w:val="17"/>
                <w:color w:val="auto"/>
              </w:rPr>
            </w:pP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color w:val="666666"/>
              </w:rPr>
              <w:t>(1,608)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vMerge w:val="restart"/>
          </w:tcPr>
          <w:p>
            <w:pPr>
              <w:jc w:val="right"/>
              <w:ind w:right="28"/>
              <w:spacing w:after="0"/>
              <w:rPr>
                <w:sz w:val="20"/>
                <w:szCs w:val="20"/>
                <w:color w:val="auto"/>
              </w:rPr>
            </w:pPr>
            <w:r>
              <w:rPr>
                <w:rFonts w:ascii="Arial" w:cs="Arial" w:eastAsia="Arial" w:hAnsi="Arial"/>
                <w:sz w:val="14"/>
                <w:szCs w:val="14"/>
                <w:color w:val="666666"/>
              </w:rPr>
              <w:t>(1,711)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color w:val="666666"/>
              </w:rPr>
              <w:t>(969)</w:t>
            </w:r>
          </w:p>
        </w:tc>
        <w:tc>
          <w:tcPr>
            <w:tcW w:w="0" w:type="dxa"/>
            <w:vAlign w:val="bottom"/>
          </w:tcPr>
          <w:p>
            <w:pPr>
              <w:spacing w:after="0"/>
              <w:rPr>
                <w:sz w:val="1"/>
                <w:szCs w:val="1"/>
                <w:color w:val="auto"/>
              </w:rPr>
            </w:pPr>
          </w:p>
        </w:tc>
      </w:tr>
      <w:tr>
        <w:trPr>
          <w:trHeight w:val="60"/>
        </w:trPr>
        <w:tc>
          <w:tcPr>
            <w:tcW w:w="5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666666"/>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120" w:type="dxa"/>
            <w:vAlign w:val="bottom"/>
            <w:shd w:val="clear" w:color="auto" w:fill="CCEEFF"/>
          </w:tcPr>
          <w:p>
            <w:pPr>
              <w:ind w:left="720"/>
              <w:spacing w:after="0"/>
              <w:rPr>
                <w:sz w:val="20"/>
                <w:szCs w:val="20"/>
                <w:color w:val="auto"/>
              </w:rPr>
            </w:pPr>
            <w:r>
              <w:rPr>
                <w:rFonts w:ascii="Arial" w:cs="Arial" w:eastAsia="Arial" w:hAnsi="Arial"/>
                <w:sz w:val="14"/>
                <w:szCs w:val="14"/>
                <w:color w:val="666666"/>
              </w:rPr>
              <w:t>Adjusted Net Income</w:t>
            </w:r>
          </w:p>
        </w:tc>
        <w:tc>
          <w:tcPr>
            <w:tcW w:w="44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666666"/>
              </w:rPr>
              <w:t>$</w:t>
            </w:r>
          </w:p>
        </w:tc>
        <w:tc>
          <w:tcPr>
            <w:tcW w:w="14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448,718</w:t>
            </w:r>
          </w:p>
        </w:tc>
        <w:tc>
          <w:tcPr>
            <w:tcW w:w="440" w:type="dxa"/>
            <w:vAlign w:val="bottom"/>
            <w:gridSpan w:val="2"/>
            <w:vMerge w:val="restart"/>
            <w:shd w:val="clear" w:color="auto" w:fill="CCEEFF"/>
          </w:tcPr>
          <w:p>
            <w:pPr>
              <w:jc w:val="right"/>
              <w:ind w:right="168"/>
              <w:spacing w:after="0"/>
              <w:rPr>
                <w:sz w:val="20"/>
                <w:szCs w:val="20"/>
                <w:color w:val="auto"/>
              </w:rPr>
            </w:pPr>
            <w:r>
              <w:rPr>
                <w:rFonts w:ascii="Arial" w:cs="Arial" w:eastAsia="Arial" w:hAnsi="Arial"/>
                <w:sz w:val="14"/>
                <w:szCs w:val="14"/>
                <w:color w:val="666666"/>
              </w:rPr>
              <w:t>$</w:t>
            </w:r>
          </w:p>
        </w:tc>
        <w:tc>
          <w:tcPr>
            <w:tcW w:w="15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395,028</w:t>
            </w:r>
          </w:p>
        </w:tc>
        <w:tc>
          <w:tcPr>
            <w:tcW w:w="120" w:type="dxa"/>
            <w:vAlign w:val="bottom"/>
            <w:shd w:val="clear" w:color="auto" w:fill="CCEEFF"/>
          </w:tcPr>
          <w:p>
            <w:pPr>
              <w:spacing w:after="0"/>
              <w:rPr>
                <w:sz w:val="16"/>
                <w:szCs w:val="16"/>
                <w:color w:val="auto"/>
              </w:rPr>
            </w:pPr>
          </w:p>
        </w:tc>
        <w:tc>
          <w:tcPr>
            <w:tcW w:w="44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666666"/>
              </w:rPr>
              <w:t>$</w:t>
            </w:r>
          </w:p>
        </w:tc>
        <w:tc>
          <w:tcPr>
            <w:tcW w:w="14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294,271</w:t>
            </w:r>
          </w:p>
        </w:tc>
        <w:tc>
          <w:tcPr>
            <w:tcW w:w="0" w:type="dxa"/>
            <w:vAlign w:val="bottom"/>
          </w:tcPr>
          <w:p>
            <w:pPr>
              <w:spacing w:after="0"/>
              <w:rPr>
                <w:sz w:val="1"/>
                <w:szCs w:val="1"/>
                <w:color w:val="auto"/>
              </w:rPr>
            </w:pPr>
          </w:p>
        </w:tc>
      </w:tr>
      <w:tr>
        <w:trPr>
          <w:trHeight w:val="100"/>
        </w:trPr>
        <w:tc>
          <w:tcPr>
            <w:tcW w:w="5120" w:type="dxa"/>
            <w:vAlign w:val="bottom"/>
            <w:shd w:val="clear" w:color="auto" w:fill="CCEEFF"/>
          </w:tcPr>
          <w:p>
            <w:pPr>
              <w:spacing w:after="0"/>
              <w:rPr>
                <w:sz w:val="8"/>
                <w:szCs w:val="8"/>
                <w:color w:val="auto"/>
              </w:rPr>
            </w:pPr>
          </w:p>
        </w:tc>
        <w:tc>
          <w:tcPr>
            <w:tcW w:w="440" w:type="dxa"/>
            <w:vAlign w:val="bottom"/>
            <w:vMerge w:val="continue"/>
            <w:shd w:val="clear" w:color="auto" w:fill="CCEEFF"/>
          </w:tcPr>
          <w:p>
            <w:pPr>
              <w:spacing w:after="0"/>
              <w:rPr>
                <w:sz w:val="8"/>
                <w:szCs w:val="8"/>
                <w:color w:val="auto"/>
              </w:rPr>
            </w:pPr>
          </w:p>
        </w:tc>
        <w:tc>
          <w:tcPr>
            <w:tcW w:w="1460" w:type="dxa"/>
            <w:vAlign w:val="bottom"/>
            <w:vMerge w:val="continue"/>
            <w:shd w:val="clear" w:color="auto" w:fill="CCEEFF"/>
          </w:tcPr>
          <w:p>
            <w:pPr>
              <w:spacing w:after="0"/>
              <w:rPr>
                <w:sz w:val="8"/>
                <w:szCs w:val="8"/>
                <w:color w:val="auto"/>
              </w:rPr>
            </w:pPr>
          </w:p>
        </w:tc>
        <w:tc>
          <w:tcPr>
            <w:tcW w:w="440" w:type="dxa"/>
            <w:vAlign w:val="bottom"/>
            <w:gridSpan w:val="2"/>
            <w:vMerge w:val="continue"/>
            <w:shd w:val="clear" w:color="auto" w:fill="CCEEFF"/>
          </w:tcPr>
          <w:p>
            <w:pPr>
              <w:spacing w:after="0"/>
              <w:rPr>
                <w:sz w:val="8"/>
                <w:szCs w:val="8"/>
                <w:color w:val="auto"/>
              </w:rPr>
            </w:pPr>
          </w:p>
        </w:tc>
        <w:tc>
          <w:tcPr>
            <w:tcW w:w="15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vMerge w:val="continue"/>
            <w:shd w:val="clear" w:color="auto" w:fill="CCEEFF"/>
          </w:tcPr>
          <w:p>
            <w:pPr>
              <w:spacing w:after="0"/>
              <w:rPr>
                <w:sz w:val="8"/>
                <w:szCs w:val="8"/>
                <w:color w:val="auto"/>
              </w:rPr>
            </w:pPr>
          </w:p>
        </w:tc>
        <w:tc>
          <w:tcPr>
            <w:tcW w:w="14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5120" w:type="dxa"/>
            <w:vAlign w:val="bottom"/>
            <w:tcBorders>
              <w:top w:val="single" w:sz="8" w:color="CCEEFF"/>
            </w:tcBorders>
          </w:tcPr>
          <w:p>
            <w:pPr>
              <w:ind w:left="40"/>
              <w:spacing w:after="0"/>
              <w:rPr>
                <w:sz w:val="20"/>
                <w:szCs w:val="20"/>
                <w:color w:val="auto"/>
              </w:rPr>
            </w:pPr>
            <w:r>
              <w:rPr>
                <w:rFonts w:ascii="Arial" w:cs="Arial" w:eastAsia="Arial" w:hAnsi="Arial"/>
                <w:sz w:val="14"/>
                <w:szCs w:val="14"/>
                <w:b w:val="1"/>
                <w:bCs w:val="1"/>
                <w:i w:val="1"/>
                <w:iCs w:val="1"/>
                <w:color w:val="666666"/>
              </w:rPr>
              <w:t>Adjusted Diluted Earnings Per Share (i)</w:t>
            </w:r>
          </w:p>
        </w:tc>
        <w:tc>
          <w:tcPr>
            <w:tcW w:w="4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20" w:type="dxa"/>
            <w:vAlign w:val="bottom"/>
            <w:tcBorders>
              <w:top w:val="single" w:sz="8" w:color="666666"/>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5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5120" w:type="dxa"/>
            <w:vAlign w:val="bottom"/>
            <w:shd w:val="clear" w:color="auto" w:fill="CCEEFF"/>
          </w:tcPr>
          <w:p>
            <w:pPr>
              <w:ind w:left="380"/>
              <w:spacing w:after="0"/>
              <w:rPr>
                <w:sz w:val="20"/>
                <w:szCs w:val="20"/>
                <w:color w:val="auto"/>
              </w:rPr>
            </w:pPr>
            <w:r>
              <w:rPr>
                <w:rFonts w:ascii="Arial" w:cs="Arial" w:eastAsia="Arial" w:hAnsi="Arial"/>
                <w:sz w:val="14"/>
                <w:szCs w:val="14"/>
                <w:color w:val="666666"/>
              </w:rPr>
              <w:t>Weighted-average number of diluted shares outstanding</w:t>
            </w:r>
          </w:p>
        </w:tc>
        <w:tc>
          <w:tcPr>
            <w:tcW w:w="44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141,238,135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143,156,176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666666"/>
              </w:rPr>
              <w:t>147,750,022</w:t>
            </w:r>
          </w:p>
        </w:tc>
        <w:tc>
          <w:tcPr>
            <w:tcW w:w="0" w:type="dxa"/>
            <w:vAlign w:val="bottom"/>
          </w:tcPr>
          <w:p>
            <w:pPr>
              <w:spacing w:after="0"/>
              <w:rPr>
                <w:sz w:val="1"/>
                <w:szCs w:val="1"/>
                <w:color w:val="auto"/>
              </w:rPr>
            </w:pPr>
          </w:p>
        </w:tc>
      </w:tr>
      <w:tr>
        <w:trPr>
          <w:trHeight w:val="66"/>
        </w:trPr>
        <w:tc>
          <w:tcPr>
            <w:tcW w:w="5120" w:type="dxa"/>
            <w:vAlign w:val="bottom"/>
            <w:shd w:val="clear" w:color="auto" w:fill="CCEEFF"/>
          </w:tcPr>
          <w:p>
            <w:pPr>
              <w:spacing w:after="0"/>
              <w:rPr>
                <w:sz w:val="5"/>
                <w:szCs w:val="5"/>
                <w:color w:val="auto"/>
              </w:rPr>
            </w:pPr>
          </w:p>
        </w:tc>
        <w:tc>
          <w:tcPr>
            <w:tcW w:w="440" w:type="dxa"/>
            <w:vAlign w:val="bottom"/>
            <w:tcBorders>
              <w:bottom w:val="single" w:sz="8" w:color="666666"/>
            </w:tcBorders>
            <w:shd w:val="clear" w:color="auto" w:fill="CCEEFF"/>
          </w:tcPr>
          <w:p>
            <w:pPr>
              <w:spacing w:after="0"/>
              <w:rPr>
                <w:sz w:val="5"/>
                <w:szCs w:val="5"/>
                <w:color w:val="auto"/>
              </w:rPr>
            </w:pPr>
          </w:p>
        </w:tc>
        <w:tc>
          <w:tcPr>
            <w:tcW w:w="1460" w:type="dxa"/>
            <w:vAlign w:val="bottom"/>
            <w:tcBorders>
              <w:bottom w:val="single" w:sz="8" w:color="666666"/>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666666"/>
            </w:tcBorders>
            <w:shd w:val="clear" w:color="auto" w:fill="CCEEFF"/>
          </w:tcPr>
          <w:p>
            <w:pPr>
              <w:spacing w:after="0"/>
              <w:rPr>
                <w:sz w:val="5"/>
                <w:szCs w:val="5"/>
                <w:color w:val="auto"/>
              </w:rPr>
            </w:pPr>
          </w:p>
        </w:tc>
        <w:tc>
          <w:tcPr>
            <w:tcW w:w="1560" w:type="dxa"/>
            <w:vAlign w:val="bottom"/>
            <w:tcBorders>
              <w:bottom w:val="single" w:sz="8" w:color="666666"/>
            </w:tcBorders>
            <w:vMerge w:val="continue"/>
            <w:shd w:val="clear" w:color="auto" w:fill="CCEEFF"/>
          </w:tcPr>
          <w:p>
            <w:pPr>
              <w:spacing w:after="0"/>
              <w:rPr>
                <w:sz w:val="5"/>
                <w:szCs w:val="5"/>
                <w:color w:val="auto"/>
              </w:rPr>
            </w:pPr>
          </w:p>
        </w:tc>
        <w:tc>
          <w:tcPr>
            <w:tcW w:w="120" w:type="dxa"/>
            <w:vAlign w:val="bottom"/>
            <w:tcBorders>
              <w:bottom w:val="single" w:sz="8" w:color="666666"/>
            </w:tcBorders>
            <w:shd w:val="clear" w:color="auto" w:fill="CCEEFF"/>
          </w:tcPr>
          <w:p>
            <w:pPr>
              <w:spacing w:after="0"/>
              <w:rPr>
                <w:sz w:val="5"/>
                <w:szCs w:val="5"/>
                <w:color w:val="auto"/>
              </w:rPr>
            </w:pPr>
          </w:p>
        </w:tc>
        <w:tc>
          <w:tcPr>
            <w:tcW w:w="440" w:type="dxa"/>
            <w:vAlign w:val="bottom"/>
            <w:tcBorders>
              <w:bottom w:val="single" w:sz="8" w:color="666666"/>
            </w:tcBorders>
            <w:shd w:val="clear" w:color="auto" w:fill="CCEEFF"/>
          </w:tcPr>
          <w:p>
            <w:pPr>
              <w:spacing w:after="0"/>
              <w:rPr>
                <w:sz w:val="5"/>
                <w:szCs w:val="5"/>
                <w:color w:val="auto"/>
              </w:rPr>
            </w:pPr>
          </w:p>
        </w:tc>
        <w:tc>
          <w:tcPr>
            <w:tcW w:w="1460" w:type="dxa"/>
            <w:vAlign w:val="bottom"/>
            <w:tcBorders>
              <w:bottom w:val="single" w:sz="8" w:color="666666"/>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120" w:type="dxa"/>
            <w:vAlign w:val="bottom"/>
          </w:tcPr>
          <w:p>
            <w:pPr>
              <w:ind w:left="380"/>
              <w:spacing w:after="0"/>
              <w:rPr>
                <w:sz w:val="20"/>
                <w:szCs w:val="20"/>
                <w:color w:val="auto"/>
              </w:rPr>
            </w:pPr>
            <w:r>
              <w:rPr>
                <w:rFonts w:ascii="Arial" w:cs="Arial" w:eastAsia="Arial" w:hAnsi="Arial"/>
                <w:sz w:val="14"/>
                <w:szCs w:val="14"/>
                <w:color w:val="666666"/>
              </w:rPr>
              <w:t>Adjusted Net Income Per Diluted Share (j)</w:t>
            </w: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666666"/>
              </w:rPr>
              <w:t>$</w:t>
            </w: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666666"/>
              </w:rPr>
              <w:t>3.18</w:t>
            </w:r>
          </w:p>
        </w:tc>
        <w:tc>
          <w:tcPr>
            <w:tcW w:w="44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666666"/>
              </w:rPr>
              <w:t>$</w:t>
            </w:r>
          </w:p>
        </w:tc>
        <w:tc>
          <w:tcPr>
            <w:tcW w:w="1560" w:type="dxa"/>
            <w:vAlign w:val="bottom"/>
            <w:vMerge w:val="restart"/>
          </w:tcPr>
          <w:p>
            <w:pPr>
              <w:jc w:val="right"/>
              <w:ind w:right="88"/>
              <w:spacing w:after="0"/>
              <w:rPr>
                <w:sz w:val="20"/>
                <w:szCs w:val="20"/>
                <w:color w:val="auto"/>
              </w:rPr>
            </w:pPr>
            <w:r>
              <w:rPr>
                <w:rFonts w:ascii="Arial" w:cs="Arial" w:eastAsia="Arial" w:hAnsi="Arial"/>
                <w:sz w:val="14"/>
                <w:szCs w:val="14"/>
                <w:color w:val="666666"/>
              </w:rPr>
              <w:t>2.76</w:t>
            </w:r>
          </w:p>
        </w:tc>
        <w:tc>
          <w:tcPr>
            <w:tcW w:w="120" w:type="dxa"/>
            <w:vAlign w:val="bottom"/>
          </w:tcPr>
          <w:p>
            <w:pPr>
              <w:spacing w:after="0"/>
              <w:rPr>
                <w:sz w:val="16"/>
                <w:szCs w:val="16"/>
                <w:color w:val="auto"/>
              </w:rPr>
            </w:pP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666666"/>
              </w:rPr>
              <w:t>$</w:t>
            </w: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666666"/>
              </w:rPr>
              <w:t>1.99</w:t>
            </w:r>
          </w:p>
        </w:tc>
        <w:tc>
          <w:tcPr>
            <w:tcW w:w="0" w:type="dxa"/>
            <w:vAlign w:val="bottom"/>
          </w:tcPr>
          <w:p>
            <w:pPr>
              <w:spacing w:after="0"/>
              <w:rPr>
                <w:sz w:val="1"/>
                <w:szCs w:val="1"/>
                <w:color w:val="auto"/>
              </w:rPr>
            </w:pPr>
          </w:p>
        </w:tc>
      </w:tr>
      <w:tr>
        <w:trPr>
          <w:trHeight w:val="114"/>
        </w:trPr>
        <w:tc>
          <w:tcPr>
            <w:tcW w:w="51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i w:val="1"/>
                <w:iCs w:val="1"/>
                <w:color w:val="666666"/>
              </w:rPr>
              <w:t>Free Cash Flow</w:t>
            </w:r>
          </w:p>
        </w:tc>
        <w:tc>
          <w:tcPr>
            <w:tcW w:w="440" w:type="dxa"/>
            <w:vAlign w:val="bottom"/>
            <w:tcBorders>
              <w:top w:val="single" w:sz="8" w:color="666666"/>
            </w:tcBorders>
            <w:shd w:val="clear" w:color="auto" w:fill="CCEEFF"/>
          </w:tcPr>
          <w:p>
            <w:pPr>
              <w:spacing w:after="0"/>
              <w:rPr>
                <w:sz w:val="14"/>
                <w:szCs w:val="14"/>
                <w:color w:val="auto"/>
              </w:rPr>
            </w:pPr>
          </w:p>
        </w:tc>
        <w:tc>
          <w:tcPr>
            <w:tcW w:w="1460" w:type="dxa"/>
            <w:vAlign w:val="bottom"/>
            <w:tcBorders>
              <w:top w:val="single" w:sz="8" w:color="666666"/>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666666"/>
            </w:tcBorders>
            <w:shd w:val="clear" w:color="auto" w:fill="CCEEFF"/>
          </w:tcPr>
          <w:p>
            <w:pPr>
              <w:spacing w:after="0"/>
              <w:rPr>
                <w:sz w:val="14"/>
                <w:szCs w:val="14"/>
                <w:color w:val="auto"/>
              </w:rPr>
            </w:pPr>
          </w:p>
        </w:tc>
        <w:tc>
          <w:tcPr>
            <w:tcW w:w="1560" w:type="dxa"/>
            <w:vAlign w:val="bottom"/>
            <w:tcBorders>
              <w:top w:val="single" w:sz="8" w:color="666666"/>
            </w:tcBorders>
            <w:shd w:val="clear" w:color="auto" w:fill="CCEEFF"/>
          </w:tcPr>
          <w:p>
            <w:pPr>
              <w:spacing w:after="0"/>
              <w:rPr>
                <w:sz w:val="14"/>
                <w:szCs w:val="14"/>
                <w:color w:val="auto"/>
              </w:rPr>
            </w:pPr>
          </w:p>
        </w:tc>
        <w:tc>
          <w:tcPr>
            <w:tcW w:w="120" w:type="dxa"/>
            <w:vAlign w:val="bottom"/>
            <w:tcBorders>
              <w:top w:val="single" w:sz="8" w:color="666666"/>
            </w:tcBorders>
            <w:shd w:val="clear" w:color="auto" w:fill="CCEEFF"/>
          </w:tcPr>
          <w:p>
            <w:pPr>
              <w:spacing w:after="0"/>
              <w:rPr>
                <w:sz w:val="14"/>
                <w:szCs w:val="14"/>
                <w:color w:val="auto"/>
              </w:rPr>
            </w:pPr>
          </w:p>
        </w:tc>
        <w:tc>
          <w:tcPr>
            <w:tcW w:w="440" w:type="dxa"/>
            <w:vAlign w:val="bottom"/>
            <w:tcBorders>
              <w:top w:val="single" w:sz="8" w:color="666666"/>
            </w:tcBorders>
            <w:shd w:val="clear" w:color="auto" w:fill="CCEEFF"/>
          </w:tcPr>
          <w:p>
            <w:pPr>
              <w:spacing w:after="0"/>
              <w:rPr>
                <w:sz w:val="14"/>
                <w:szCs w:val="14"/>
                <w:color w:val="auto"/>
              </w:rPr>
            </w:pPr>
          </w:p>
        </w:tc>
        <w:tc>
          <w:tcPr>
            <w:tcW w:w="1460" w:type="dxa"/>
            <w:vAlign w:val="bottom"/>
            <w:tcBorders>
              <w:top w:val="single" w:sz="8" w:color="666666"/>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5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5120" w:type="dxa"/>
            <w:vAlign w:val="bottom"/>
          </w:tcPr>
          <w:p>
            <w:pPr>
              <w:ind w:left="380"/>
              <w:spacing w:after="0"/>
              <w:rPr>
                <w:sz w:val="20"/>
                <w:szCs w:val="20"/>
                <w:color w:val="auto"/>
              </w:rPr>
            </w:pPr>
            <w:r>
              <w:rPr>
                <w:rFonts w:ascii="Arial" w:cs="Arial" w:eastAsia="Arial" w:hAnsi="Arial"/>
                <w:sz w:val="14"/>
                <w:szCs w:val="14"/>
                <w:color w:val="666666"/>
              </w:rPr>
              <w:t>Net cash provided by operating activities</w:t>
            </w: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666666"/>
              </w:rPr>
              <w:t>$</w:t>
            </w: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666666"/>
              </w:rPr>
              <w:t>551,428</w:t>
            </w:r>
          </w:p>
        </w:tc>
        <w:tc>
          <w:tcPr>
            <w:tcW w:w="44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666666"/>
              </w:rPr>
              <w:t>$</w:t>
            </w:r>
          </w:p>
        </w:tc>
        <w:tc>
          <w:tcPr>
            <w:tcW w:w="1560" w:type="dxa"/>
            <w:vAlign w:val="bottom"/>
            <w:vMerge w:val="restart"/>
          </w:tcPr>
          <w:p>
            <w:pPr>
              <w:jc w:val="right"/>
              <w:ind w:right="88"/>
              <w:spacing w:after="0"/>
              <w:rPr>
                <w:sz w:val="20"/>
                <w:szCs w:val="20"/>
                <w:color w:val="auto"/>
              </w:rPr>
            </w:pPr>
            <w:r>
              <w:rPr>
                <w:rFonts w:ascii="Arial" w:cs="Arial" w:eastAsia="Arial" w:hAnsi="Arial"/>
                <w:sz w:val="14"/>
                <w:szCs w:val="14"/>
                <w:color w:val="666666"/>
              </w:rPr>
              <w:t>499,610</w:t>
            </w:r>
          </w:p>
        </w:tc>
        <w:tc>
          <w:tcPr>
            <w:tcW w:w="120" w:type="dxa"/>
            <w:vAlign w:val="bottom"/>
          </w:tcPr>
          <w:p>
            <w:pPr>
              <w:spacing w:after="0"/>
              <w:rPr>
                <w:sz w:val="17"/>
                <w:szCs w:val="17"/>
                <w:color w:val="auto"/>
              </w:rPr>
            </w:pP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666666"/>
              </w:rPr>
              <w:t>$</w:t>
            </w: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666666"/>
              </w:rPr>
              <w:t>369,143</w:t>
            </w:r>
          </w:p>
        </w:tc>
        <w:tc>
          <w:tcPr>
            <w:tcW w:w="0" w:type="dxa"/>
            <w:vAlign w:val="bottom"/>
          </w:tcPr>
          <w:p>
            <w:pPr>
              <w:spacing w:after="0"/>
              <w:rPr>
                <w:sz w:val="1"/>
                <w:szCs w:val="1"/>
                <w:color w:val="auto"/>
              </w:rPr>
            </w:pPr>
          </w:p>
        </w:tc>
      </w:tr>
      <w:tr>
        <w:trPr>
          <w:trHeight w:val="60"/>
        </w:trPr>
        <w:tc>
          <w:tcPr>
            <w:tcW w:w="51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380"/>
              <w:spacing w:after="0"/>
              <w:rPr>
                <w:sz w:val="20"/>
                <w:szCs w:val="20"/>
                <w:color w:val="auto"/>
              </w:rPr>
            </w:pPr>
            <w:r>
              <w:rPr>
                <w:rFonts w:ascii="Arial" w:cs="Arial" w:eastAsia="Arial" w:hAnsi="Arial"/>
                <w:sz w:val="14"/>
                <w:szCs w:val="14"/>
                <w:color w:val="666666"/>
              </w:rPr>
              <w:t>Less: Purchases of property and equipment</w:t>
            </w:r>
          </w:p>
        </w:tc>
        <w:tc>
          <w:tcPr>
            <w:tcW w:w="44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666666"/>
              </w:rPr>
              <w:t>(128,079)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666666"/>
              </w:rPr>
              <w:t>(94,681)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666666"/>
              </w:rPr>
              <w:t>(78,437)</w:t>
            </w:r>
          </w:p>
        </w:tc>
        <w:tc>
          <w:tcPr>
            <w:tcW w:w="0" w:type="dxa"/>
            <w:vAlign w:val="bottom"/>
          </w:tcPr>
          <w:p>
            <w:pPr>
              <w:spacing w:after="0"/>
              <w:rPr>
                <w:sz w:val="1"/>
                <w:szCs w:val="1"/>
                <w:color w:val="auto"/>
              </w:rPr>
            </w:pPr>
          </w:p>
        </w:tc>
      </w:tr>
      <w:tr>
        <w:trPr>
          <w:trHeight w:val="66"/>
        </w:trPr>
        <w:tc>
          <w:tcPr>
            <w:tcW w:w="5120" w:type="dxa"/>
            <w:vAlign w:val="bottom"/>
            <w:shd w:val="clear" w:color="auto" w:fill="CCEEFF"/>
          </w:tcPr>
          <w:p>
            <w:pPr>
              <w:spacing w:after="0"/>
              <w:rPr>
                <w:sz w:val="5"/>
                <w:szCs w:val="5"/>
                <w:color w:val="auto"/>
              </w:rPr>
            </w:pPr>
          </w:p>
        </w:tc>
        <w:tc>
          <w:tcPr>
            <w:tcW w:w="440" w:type="dxa"/>
            <w:vAlign w:val="bottom"/>
            <w:tcBorders>
              <w:bottom w:val="single" w:sz="8" w:color="666666"/>
            </w:tcBorders>
            <w:shd w:val="clear" w:color="auto" w:fill="CCEEFF"/>
          </w:tcPr>
          <w:p>
            <w:pPr>
              <w:spacing w:after="0"/>
              <w:rPr>
                <w:sz w:val="5"/>
                <w:szCs w:val="5"/>
                <w:color w:val="auto"/>
              </w:rPr>
            </w:pPr>
          </w:p>
        </w:tc>
        <w:tc>
          <w:tcPr>
            <w:tcW w:w="1460" w:type="dxa"/>
            <w:vAlign w:val="bottom"/>
            <w:tcBorders>
              <w:bottom w:val="single" w:sz="8" w:color="666666"/>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666666"/>
            </w:tcBorders>
            <w:shd w:val="clear" w:color="auto" w:fill="CCEEFF"/>
          </w:tcPr>
          <w:p>
            <w:pPr>
              <w:spacing w:after="0"/>
              <w:rPr>
                <w:sz w:val="5"/>
                <w:szCs w:val="5"/>
                <w:color w:val="auto"/>
              </w:rPr>
            </w:pPr>
          </w:p>
        </w:tc>
        <w:tc>
          <w:tcPr>
            <w:tcW w:w="1560" w:type="dxa"/>
            <w:vAlign w:val="bottom"/>
            <w:tcBorders>
              <w:bottom w:val="single" w:sz="8" w:color="666666"/>
            </w:tcBorders>
            <w:vMerge w:val="continue"/>
            <w:shd w:val="clear" w:color="auto" w:fill="CCEEFF"/>
          </w:tcPr>
          <w:p>
            <w:pPr>
              <w:spacing w:after="0"/>
              <w:rPr>
                <w:sz w:val="5"/>
                <w:szCs w:val="5"/>
                <w:color w:val="auto"/>
              </w:rPr>
            </w:pPr>
          </w:p>
        </w:tc>
        <w:tc>
          <w:tcPr>
            <w:tcW w:w="120" w:type="dxa"/>
            <w:vAlign w:val="bottom"/>
            <w:tcBorders>
              <w:bottom w:val="single" w:sz="8" w:color="666666"/>
            </w:tcBorders>
            <w:shd w:val="clear" w:color="auto" w:fill="CCEEFF"/>
          </w:tcPr>
          <w:p>
            <w:pPr>
              <w:spacing w:after="0"/>
              <w:rPr>
                <w:sz w:val="5"/>
                <w:szCs w:val="5"/>
                <w:color w:val="auto"/>
              </w:rPr>
            </w:pPr>
          </w:p>
        </w:tc>
        <w:tc>
          <w:tcPr>
            <w:tcW w:w="440" w:type="dxa"/>
            <w:vAlign w:val="bottom"/>
            <w:tcBorders>
              <w:bottom w:val="single" w:sz="8" w:color="666666"/>
            </w:tcBorders>
            <w:shd w:val="clear" w:color="auto" w:fill="CCEEFF"/>
          </w:tcPr>
          <w:p>
            <w:pPr>
              <w:spacing w:after="0"/>
              <w:rPr>
                <w:sz w:val="5"/>
                <w:szCs w:val="5"/>
                <w:color w:val="auto"/>
              </w:rPr>
            </w:pPr>
          </w:p>
        </w:tc>
        <w:tc>
          <w:tcPr>
            <w:tcW w:w="1460" w:type="dxa"/>
            <w:vAlign w:val="bottom"/>
            <w:tcBorders>
              <w:bottom w:val="single" w:sz="8" w:color="666666"/>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120" w:type="dxa"/>
            <w:vAlign w:val="bottom"/>
          </w:tcPr>
          <w:p>
            <w:pPr>
              <w:ind w:left="720"/>
              <w:spacing w:after="0"/>
              <w:rPr>
                <w:sz w:val="20"/>
                <w:szCs w:val="20"/>
                <w:color w:val="auto"/>
              </w:rPr>
            </w:pPr>
            <w:r>
              <w:rPr>
                <w:rFonts w:ascii="Arial" w:cs="Arial" w:eastAsia="Arial" w:hAnsi="Arial"/>
                <w:sz w:val="14"/>
                <w:szCs w:val="14"/>
                <w:color w:val="666666"/>
              </w:rPr>
              <w:t>Free Cash Flow</w:t>
            </w: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666666"/>
              </w:rPr>
              <w:t>$</w:t>
            </w: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666666"/>
              </w:rPr>
              <w:t>423,349</w:t>
            </w:r>
          </w:p>
        </w:tc>
        <w:tc>
          <w:tcPr>
            <w:tcW w:w="44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666666"/>
              </w:rPr>
              <w:t>$</w:t>
            </w:r>
          </w:p>
        </w:tc>
        <w:tc>
          <w:tcPr>
            <w:tcW w:w="1560" w:type="dxa"/>
            <w:vAlign w:val="bottom"/>
            <w:vMerge w:val="restart"/>
          </w:tcPr>
          <w:p>
            <w:pPr>
              <w:jc w:val="right"/>
              <w:ind w:right="88"/>
              <w:spacing w:after="0"/>
              <w:rPr>
                <w:sz w:val="20"/>
                <w:szCs w:val="20"/>
                <w:color w:val="auto"/>
              </w:rPr>
            </w:pPr>
            <w:r>
              <w:rPr>
                <w:rFonts w:ascii="Arial" w:cs="Arial" w:eastAsia="Arial" w:hAnsi="Arial"/>
                <w:sz w:val="14"/>
                <w:szCs w:val="14"/>
                <w:color w:val="666666"/>
              </w:rPr>
              <w:t>404,929</w:t>
            </w:r>
          </w:p>
        </w:tc>
        <w:tc>
          <w:tcPr>
            <w:tcW w:w="120" w:type="dxa"/>
            <w:vAlign w:val="bottom"/>
          </w:tcPr>
          <w:p>
            <w:pPr>
              <w:spacing w:after="0"/>
              <w:rPr>
                <w:sz w:val="16"/>
                <w:szCs w:val="16"/>
                <w:color w:val="auto"/>
              </w:rPr>
            </w:pP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666666"/>
              </w:rPr>
              <w:t>$</w:t>
            </w: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666666"/>
              </w:rPr>
              <w:t>290,706</w:t>
            </w:r>
          </w:p>
        </w:tc>
        <w:tc>
          <w:tcPr>
            <w:tcW w:w="0" w:type="dxa"/>
            <w:vAlign w:val="bottom"/>
          </w:tcPr>
          <w:p>
            <w:pPr>
              <w:spacing w:after="0"/>
              <w:rPr>
                <w:sz w:val="1"/>
                <w:szCs w:val="1"/>
                <w:color w:val="auto"/>
              </w:rPr>
            </w:pPr>
          </w:p>
        </w:tc>
      </w:tr>
      <w:tr>
        <w:trPr>
          <w:trHeight w:val="73"/>
        </w:trPr>
        <w:tc>
          <w:tcPr>
            <w:tcW w:w="5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40" w:type="dxa"/>
            <w:vAlign w:val="bottom"/>
            <w:tcBorders>
              <w:top w:val="single" w:sz="8" w:color="666666"/>
              <w:bottom w:val="single" w:sz="8" w:color="666666"/>
            </w:tcBorders>
          </w:tcPr>
          <w:p>
            <w:pPr>
              <w:spacing w:after="0" w:line="20" w:lineRule="exact"/>
              <w:rPr>
                <w:sz w:val="1"/>
                <w:szCs w:val="1"/>
                <w:color w:val="auto"/>
              </w:rPr>
            </w:pPr>
          </w:p>
        </w:tc>
        <w:tc>
          <w:tcPr>
            <w:tcW w:w="1460" w:type="dxa"/>
            <w:vAlign w:val="bottom"/>
            <w:tcBorders>
              <w:top w:val="single" w:sz="8" w:color="666666"/>
              <w:bottom w:val="single" w:sz="8" w:color="66666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666666"/>
              <w:bottom w:val="single" w:sz="8" w:color="666666"/>
            </w:tcBorders>
          </w:tcPr>
          <w:p>
            <w:pPr>
              <w:spacing w:after="0" w:line="20" w:lineRule="exact"/>
              <w:rPr>
                <w:sz w:val="1"/>
                <w:szCs w:val="1"/>
                <w:color w:val="auto"/>
              </w:rPr>
            </w:pPr>
          </w:p>
        </w:tc>
        <w:tc>
          <w:tcPr>
            <w:tcW w:w="1560" w:type="dxa"/>
            <w:vAlign w:val="bottom"/>
            <w:tcBorders>
              <w:top w:val="single" w:sz="8" w:color="666666"/>
              <w:bottom w:val="single" w:sz="8" w:color="666666"/>
            </w:tcBorders>
          </w:tcPr>
          <w:p>
            <w:pPr>
              <w:spacing w:after="0" w:line="20" w:lineRule="exact"/>
              <w:rPr>
                <w:sz w:val="1"/>
                <w:szCs w:val="1"/>
                <w:color w:val="auto"/>
              </w:rPr>
            </w:pPr>
          </w:p>
        </w:tc>
        <w:tc>
          <w:tcPr>
            <w:tcW w:w="120" w:type="dxa"/>
            <w:vAlign w:val="bottom"/>
            <w:tcBorders>
              <w:top w:val="single" w:sz="8" w:color="666666"/>
              <w:bottom w:val="single" w:sz="8" w:color="666666"/>
            </w:tcBorders>
          </w:tcPr>
          <w:p>
            <w:pPr>
              <w:spacing w:after="0" w:line="20" w:lineRule="exact"/>
              <w:rPr>
                <w:sz w:val="1"/>
                <w:szCs w:val="1"/>
                <w:color w:val="auto"/>
              </w:rPr>
            </w:pPr>
          </w:p>
        </w:tc>
        <w:tc>
          <w:tcPr>
            <w:tcW w:w="440" w:type="dxa"/>
            <w:vAlign w:val="bottom"/>
            <w:tcBorders>
              <w:top w:val="single" w:sz="8" w:color="666666"/>
              <w:bottom w:val="single" w:sz="8" w:color="666666"/>
            </w:tcBorders>
          </w:tcPr>
          <w:p>
            <w:pPr>
              <w:spacing w:after="0" w:line="20" w:lineRule="exact"/>
              <w:rPr>
                <w:sz w:val="1"/>
                <w:szCs w:val="1"/>
                <w:color w:val="auto"/>
              </w:rPr>
            </w:pPr>
          </w:p>
        </w:tc>
        <w:tc>
          <w:tcPr>
            <w:tcW w:w="1460" w:type="dxa"/>
            <w:vAlign w:val="bottom"/>
            <w:tcBorders>
              <w:top w:val="single" w:sz="8" w:color="666666"/>
              <w:bottom w:val="single" w:sz="8" w:color="66666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580" w:right="440" w:hanging="329"/>
        <w:spacing w:after="0" w:line="241" w:lineRule="auto"/>
        <w:tabs>
          <w:tab w:leader="none" w:pos="580" w:val="left"/>
        </w:tabs>
        <w:numPr>
          <w:ilvl w:val="0"/>
          <w:numId w:val="62"/>
        </w:numPr>
        <w:rPr>
          <w:rFonts w:ascii="Arial" w:cs="Arial" w:eastAsia="Arial" w:hAnsi="Arial"/>
          <w:sz w:val="14"/>
          <w:szCs w:val="14"/>
          <w:color w:val="666666"/>
        </w:rPr>
      </w:pPr>
      <w:r>
        <w:rPr>
          <w:rFonts w:ascii="Arial" w:cs="Arial" w:eastAsia="Arial" w:hAnsi="Arial"/>
          <w:sz w:val="14"/>
          <w:szCs w:val="14"/>
          <w:color w:val="666666"/>
        </w:rPr>
        <w:t>For purposes of the fiscal year 2018- fiscal year 2020 period applicable to the performance-based RSU awards granted in May 2017, VAR (which is equivalent to Revenue, Excluding Billable Expenses) results for fiscal year 2018 were adjusted from those included in the Company’s filings with the Securities and Exchange Commission to exclude the impact of the adoption of ASC 606.</w:t>
      </w:r>
    </w:p>
    <w:p>
      <w:pPr>
        <w:spacing w:after="0" w:line="1" w:lineRule="exact"/>
        <w:rPr>
          <w:rFonts w:ascii="Arial" w:cs="Arial" w:eastAsia="Arial" w:hAnsi="Arial"/>
          <w:sz w:val="14"/>
          <w:szCs w:val="14"/>
          <w:color w:val="666666"/>
        </w:rPr>
      </w:pPr>
    </w:p>
    <w:p>
      <w:pPr>
        <w:ind w:left="580" w:hanging="329"/>
        <w:spacing w:after="0"/>
        <w:tabs>
          <w:tab w:leader="none" w:pos="580" w:val="left"/>
        </w:tabs>
        <w:numPr>
          <w:ilvl w:val="0"/>
          <w:numId w:val="62"/>
        </w:numPr>
        <w:rPr>
          <w:rFonts w:ascii="Arial" w:cs="Arial" w:eastAsia="Arial" w:hAnsi="Arial"/>
          <w:sz w:val="14"/>
          <w:szCs w:val="14"/>
          <w:color w:val="666666"/>
        </w:rPr>
      </w:pPr>
      <w:r>
        <w:rPr>
          <w:rFonts w:ascii="Arial" w:cs="Arial" w:eastAsia="Arial" w:hAnsi="Arial"/>
          <w:sz w:val="14"/>
          <w:szCs w:val="14"/>
          <w:color w:val="666666"/>
        </w:rPr>
        <w:t>Reflects the combination of Interest expense and Other income (expense), net from the consolidated statement of operations.</w:t>
      </w:r>
    </w:p>
    <w:p>
      <w:pPr>
        <w:spacing w:after="0" w:line="1" w:lineRule="exact"/>
        <w:rPr>
          <w:rFonts w:ascii="Arial" w:cs="Arial" w:eastAsia="Arial" w:hAnsi="Arial"/>
          <w:sz w:val="14"/>
          <w:szCs w:val="14"/>
          <w:color w:val="666666"/>
        </w:rPr>
      </w:pPr>
    </w:p>
    <w:p>
      <w:pPr>
        <w:ind w:left="580" w:right="140" w:hanging="329"/>
        <w:spacing w:after="0" w:line="241" w:lineRule="auto"/>
        <w:tabs>
          <w:tab w:leader="none" w:pos="580" w:val="left"/>
        </w:tabs>
        <w:numPr>
          <w:ilvl w:val="0"/>
          <w:numId w:val="62"/>
        </w:numPr>
        <w:rPr>
          <w:rFonts w:ascii="Arial" w:cs="Arial" w:eastAsia="Arial" w:hAnsi="Arial"/>
          <w:sz w:val="14"/>
          <w:szCs w:val="14"/>
          <w:color w:val="666666"/>
        </w:rPr>
      </w:pPr>
      <w:r>
        <w:rPr>
          <w:rFonts w:ascii="Arial" w:cs="Arial" w:eastAsia="Arial" w:hAnsi="Arial"/>
          <w:sz w:val="14"/>
          <w:szCs w:val="14"/>
          <w:color w:val="666666"/>
        </w:rPr>
        <w:t>Fiscal year 2020 and fiscal year 2019 reflect debt refinancing costs incurred in connection with the refinancing transactions consummated on November 26, 2019 and July 23, 2018, respectively.</w:t>
      </w:r>
    </w:p>
    <w:p>
      <w:pPr>
        <w:ind w:left="580" w:hanging="329"/>
        <w:spacing w:after="0"/>
        <w:tabs>
          <w:tab w:leader="none" w:pos="580" w:val="left"/>
        </w:tabs>
        <w:numPr>
          <w:ilvl w:val="0"/>
          <w:numId w:val="62"/>
        </w:numPr>
        <w:rPr>
          <w:rFonts w:ascii="Arial" w:cs="Arial" w:eastAsia="Arial" w:hAnsi="Arial"/>
          <w:sz w:val="14"/>
          <w:szCs w:val="14"/>
          <w:color w:val="666666"/>
        </w:rPr>
      </w:pPr>
      <w:r>
        <w:rPr>
          <w:rFonts w:ascii="Arial" w:cs="Arial" w:eastAsia="Arial" w:hAnsi="Arial"/>
          <w:sz w:val="14"/>
          <w:szCs w:val="14"/>
          <w:color w:val="666666"/>
        </w:rPr>
        <w:t>Represents the supplemental contribution to employees' dependent care FSA accounts in response to the COVID-19 outbreak.</w:t>
      </w:r>
    </w:p>
    <w:p>
      <w:pPr>
        <w:spacing w:after="0" w:line="1" w:lineRule="exact"/>
        <w:rPr>
          <w:rFonts w:ascii="Arial" w:cs="Arial" w:eastAsia="Arial" w:hAnsi="Arial"/>
          <w:sz w:val="14"/>
          <w:szCs w:val="14"/>
          <w:color w:val="666666"/>
        </w:rPr>
      </w:pPr>
    </w:p>
    <w:p>
      <w:pPr>
        <w:ind w:left="580" w:right="100" w:hanging="329"/>
        <w:spacing w:after="0" w:line="241" w:lineRule="auto"/>
        <w:tabs>
          <w:tab w:leader="none" w:pos="580" w:val="left"/>
        </w:tabs>
        <w:numPr>
          <w:ilvl w:val="0"/>
          <w:numId w:val="62"/>
        </w:numPr>
        <w:rPr>
          <w:rFonts w:ascii="Arial" w:cs="Arial" w:eastAsia="Arial" w:hAnsi="Arial"/>
          <w:sz w:val="14"/>
          <w:szCs w:val="14"/>
          <w:color w:val="666666"/>
        </w:rPr>
      </w:pPr>
      <w:r>
        <w:rPr>
          <w:rFonts w:ascii="Arial" w:cs="Arial" w:eastAsia="Arial" w:hAnsi="Arial"/>
          <w:sz w:val="14"/>
          <w:szCs w:val="14"/>
          <w:color w:val="666666"/>
        </w:rPr>
        <w:t>Reflects tax credits, net of reserves for uncertain tax positions, recognized in fiscal 2020 related to an increase in research and development credits available for fiscal years 2016 to 2020.</w:t>
      </w:r>
    </w:p>
    <w:p>
      <w:pPr>
        <w:ind w:left="580" w:hanging="329"/>
        <w:spacing w:after="0"/>
        <w:tabs>
          <w:tab w:leader="none" w:pos="580" w:val="left"/>
        </w:tabs>
        <w:numPr>
          <w:ilvl w:val="0"/>
          <w:numId w:val="62"/>
        </w:numPr>
        <w:rPr>
          <w:rFonts w:ascii="Arial" w:cs="Arial" w:eastAsia="Arial" w:hAnsi="Arial"/>
          <w:sz w:val="14"/>
          <w:szCs w:val="14"/>
          <w:color w:val="666666"/>
        </w:rPr>
      </w:pPr>
      <w:r>
        <w:rPr>
          <w:rFonts w:ascii="Arial" w:cs="Arial" w:eastAsia="Arial" w:hAnsi="Arial"/>
          <w:sz w:val="14"/>
          <w:szCs w:val="14"/>
          <w:color w:val="666666"/>
        </w:rPr>
        <w:t>Release of pre-acquisition income tax reserves assumed by the Company in connection with the Carlyle Acquisition.</w:t>
      </w:r>
    </w:p>
    <w:p>
      <w:pPr>
        <w:spacing w:after="0" w:line="1" w:lineRule="exact"/>
        <w:rPr>
          <w:rFonts w:ascii="Arial" w:cs="Arial" w:eastAsia="Arial" w:hAnsi="Arial"/>
          <w:sz w:val="14"/>
          <w:szCs w:val="14"/>
          <w:color w:val="666666"/>
        </w:rPr>
      </w:pPr>
    </w:p>
    <w:p>
      <w:pPr>
        <w:ind w:left="580" w:right="20" w:hanging="329"/>
        <w:spacing w:after="0" w:line="241" w:lineRule="auto"/>
        <w:tabs>
          <w:tab w:leader="none" w:pos="580" w:val="left"/>
        </w:tabs>
        <w:numPr>
          <w:ilvl w:val="0"/>
          <w:numId w:val="62"/>
        </w:numPr>
        <w:rPr>
          <w:rFonts w:ascii="Arial" w:cs="Arial" w:eastAsia="Arial" w:hAnsi="Arial"/>
          <w:sz w:val="14"/>
          <w:szCs w:val="14"/>
          <w:color w:val="666666"/>
        </w:rPr>
      </w:pPr>
      <w:r>
        <w:rPr>
          <w:rFonts w:ascii="Arial" w:cs="Arial" w:eastAsia="Arial" w:hAnsi="Arial"/>
          <w:sz w:val="14"/>
          <w:szCs w:val="14"/>
          <w:color w:val="666666"/>
        </w:rPr>
        <w:t>Reflects the adjustments made to the provisional income tax benefit associated with the re-measurement of the Company's deferred tax assets and liabilities as a result of the 2017 Tax Act.</w:t>
      </w:r>
    </w:p>
    <w:p>
      <w:pPr>
        <w:ind w:left="580" w:right="320" w:hanging="329"/>
        <w:spacing w:after="0" w:line="241" w:lineRule="auto"/>
        <w:tabs>
          <w:tab w:leader="none" w:pos="580" w:val="left"/>
        </w:tabs>
        <w:numPr>
          <w:ilvl w:val="0"/>
          <w:numId w:val="62"/>
        </w:numPr>
        <w:rPr>
          <w:rFonts w:ascii="Arial" w:cs="Arial" w:eastAsia="Arial" w:hAnsi="Arial"/>
          <w:sz w:val="14"/>
          <w:szCs w:val="14"/>
          <w:color w:val="666666"/>
        </w:rPr>
      </w:pPr>
      <w:r>
        <w:rPr>
          <w:rFonts w:ascii="Arial" w:cs="Arial" w:eastAsia="Arial" w:hAnsi="Arial"/>
          <w:sz w:val="14"/>
          <w:szCs w:val="14"/>
          <w:color w:val="666666"/>
        </w:rPr>
        <w:t>With the enactment of the 2017 Tax Act, the fiscal 2018 adjustment is reflected using assumed effective tax rate of 36.5%, whereas fiscal year 2019 and 2020 adjustments are reflected using an effective tax rate of 26%. These rates approximate the blended federal and state tax rates for fiscal years 2018, 2019 and 2020, respectively, and consistently exclude the impact of other tax credits and incentive benefits realized.</w:t>
      </w:r>
    </w:p>
    <w:p>
      <w:pPr>
        <w:spacing w:after="0" w:line="1" w:lineRule="exact"/>
        <w:rPr>
          <w:rFonts w:ascii="Arial" w:cs="Arial" w:eastAsia="Arial" w:hAnsi="Arial"/>
          <w:sz w:val="14"/>
          <w:szCs w:val="14"/>
          <w:color w:val="666666"/>
        </w:rPr>
      </w:pPr>
    </w:p>
    <w:p>
      <w:pPr>
        <w:ind w:left="580" w:right="20" w:hanging="329"/>
        <w:spacing w:after="0" w:line="278" w:lineRule="auto"/>
        <w:tabs>
          <w:tab w:leader="none" w:pos="580" w:val="left"/>
        </w:tabs>
        <w:numPr>
          <w:ilvl w:val="0"/>
          <w:numId w:val="62"/>
        </w:numPr>
        <w:rPr>
          <w:rFonts w:ascii="Arial" w:cs="Arial" w:eastAsia="Arial" w:hAnsi="Arial"/>
          <w:sz w:val="14"/>
          <w:szCs w:val="14"/>
          <w:color w:val="666666"/>
        </w:rPr>
      </w:pPr>
      <w:r>
        <w:rPr>
          <w:rFonts w:ascii="Arial" w:cs="Arial" w:eastAsia="Arial" w:hAnsi="Arial"/>
          <w:sz w:val="14"/>
          <w:szCs w:val="14"/>
          <w:color w:val="666666"/>
        </w:rPr>
        <w:t>Excludes an adjustment of approximately $1.6 million, $1.8 million, and $1.9 million of net earnings for fiscal years 2020, 2019, and 2018, respectively, associated with the application of the two-class method for computing diluted earnings per share.</w:t>
      </w:r>
    </w:p>
    <w:p>
      <w:pPr>
        <w:sectPr>
          <w:pgSz w:w="11900" w:h="16838" w:orient="portrait"/>
          <w:cols w:equalWidth="0" w:num="1">
            <w:col w:w="11240"/>
          </w:cols>
          <w:pgMar w:left="320" w:top="352" w:right="3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666666"/>
        </w:rPr>
        <w:t>A - 3</w:t>
      </w:r>
    </w:p>
    <w:p>
      <w:pPr>
        <w:sectPr>
          <w:pgSz w:w="11900" w:h="16838" w:orient="portrait"/>
          <w:cols w:equalWidth="0" w:num="1">
            <w:col w:w="11240"/>
          </w:cols>
          <w:pgMar w:left="320" w:top="352" w:right="339" w:bottom="1440" w:gutter="0" w:footer="0" w:header="0"/>
          <w:type w:val="continuous"/>
        </w:sectPr>
      </w:pPr>
    </w:p>
    <w:bookmarkStart w:id="75" w:name="page76"/>
    <w:bookmarkEnd w:id="75"/>
    <w:p>
      <w:pPr>
        <w:jc w:val="center"/>
        <w:ind w:right="-39"/>
        <w:spacing w:after="0"/>
        <w:rPr>
          <w:sz w:val="20"/>
          <w:szCs w:val="20"/>
          <w:color w:val="auto"/>
        </w:rPr>
      </w:pPr>
      <w:r>
        <w:rPr>
          <w:rFonts w:ascii="Arial" w:cs="Arial" w:eastAsia="Arial" w:hAnsi="Arial"/>
          <w:sz w:val="20"/>
          <w:szCs w:val="20"/>
          <w:b w:val="1"/>
          <w:bCs w:val="1"/>
          <w:u w:val="single" w:color="auto"/>
          <w:color w:val="547BCC"/>
        </w:rPr>
        <w:t>Appendix B</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666666"/>
        </w:rPr>
        <w:t>FIFTH AMENDED AND RESTATED</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666666"/>
        </w:rPr>
        <w:t>CERTIFICATE OF INCORPORATION</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666666"/>
        </w:rPr>
        <w:t>OF</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666666"/>
        </w:rPr>
        <w:t>BOOZ ALLEN HAMILTON HOLDING CORPORATION</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666666"/>
        </w:rPr>
        <w:t>FIRST</w:t>
      </w:r>
      <w:r>
        <w:rPr>
          <w:rFonts w:ascii="Arial" w:cs="Arial" w:eastAsia="Arial" w:hAnsi="Arial"/>
          <w:sz w:val="20"/>
          <w:szCs w:val="20"/>
          <w:color w:val="666666"/>
        </w:rPr>
        <w:t xml:space="preserve">. </w:t>
      </w:r>
      <w:r>
        <w:rPr>
          <w:rFonts w:ascii="Arial" w:cs="Arial" w:eastAsia="Arial" w:hAnsi="Arial"/>
          <w:sz w:val="20"/>
          <w:szCs w:val="20"/>
          <w:i w:val="1"/>
          <w:iCs w:val="1"/>
          <w:color w:val="666666"/>
        </w:rPr>
        <w:t>Name</w:t>
      </w:r>
      <w:r>
        <w:rPr>
          <w:rFonts w:ascii="Arial" w:cs="Arial" w:eastAsia="Arial" w:hAnsi="Arial"/>
          <w:sz w:val="20"/>
          <w:szCs w:val="20"/>
          <w:color w:val="666666"/>
        </w:rPr>
        <w:t>. The name of the Corporation is Booz Allen Hamilton Holding Corporation (the “Corporation”).</w:t>
      </w:r>
    </w:p>
    <w:p>
      <w:pPr>
        <w:spacing w:after="0" w:line="324" w:lineRule="exact"/>
        <w:rPr>
          <w:sz w:val="20"/>
          <w:szCs w:val="20"/>
          <w:color w:val="auto"/>
        </w:rPr>
      </w:pPr>
    </w:p>
    <w:p>
      <w:pPr>
        <w:ind w:right="60" w:firstLine="648"/>
        <w:spacing w:after="0" w:line="310" w:lineRule="auto"/>
        <w:rPr>
          <w:sz w:val="20"/>
          <w:szCs w:val="20"/>
          <w:color w:val="auto"/>
        </w:rPr>
      </w:pPr>
      <w:r>
        <w:rPr>
          <w:rFonts w:ascii="Arial" w:cs="Arial" w:eastAsia="Arial" w:hAnsi="Arial"/>
          <w:sz w:val="20"/>
          <w:szCs w:val="20"/>
          <w:u w:val="single" w:color="auto"/>
          <w:color w:val="666666"/>
        </w:rPr>
        <w:t>SECOND</w:t>
      </w:r>
      <w:r>
        <w:rPr>
          <w:rFonts w:ascii="Arial" w:cs="Arial" w:eastAsia="Arial" w:hAnsi="Arial"/>
          <w:sz w:val="20"/>
          <w:szCs w:val="20"/>
          <w:i w:val="1"/>
          <w:iCs w:val="1"/>
          <w:color w:val="666666"/>
        </w:rPr>
        <w:t>. Registered Office</w:t>
      </w:r>
      <w:r>
        <w:rPr>
          <w:rFonts w:ascii="Arial" w:cs="Arial" w:eastAsia="Arial" w:hAnsi="Arial"/>
          <w:sz w:val="20"/>
          <w:szCs w:val="20"/>
          <w:color w:val="666666"/>
        </w:rPr>
        <w:t>. The Corporation’s registered office in the State of Delaware is located at Corporation Trust Center, 1209 Orange Street in the City of Wilmington, County of New Castle 19801. The name of its registered agent at such address is The Corporation Trust Company.</w:t>
      </w:r>
    </w:p>
    <w:p>
      <w:pPr>
        <w:spacing w:after="0" w:line="337" w:lineRule="exact"/>
        <w:rPr>
          <w:sz w:val="20"/>
          <w:szCs w:val="20"/>
          <w:color w:val="auto"/>
        </w:rPr>
      </w:pPr>
    </w:p>
    <w:p>
      <w:pPr>
        <w:ind w:right="60" w:firstLine="648"/>
        <w:spacing w:after="0" w:line="324" w:lineRule="auto"/>
        <w:rPr>
          <w:sz w:val="20"/>
          <w:szCs w:val="20"/>
          <w:color w:val="auto"/>
        </w:rPr>
      </w:pPr>
      <w:r>
        <w:rPr>
          <w:rFonts w:ascii="Arial" w:cs="Arial" w:eastAsia="Arial" w:hAnsi="Arial"/>
          <w:sz w:val="20"/>
          <w:szCs w:val="20"/>
          <w:u w:val="single" w:color="auto"/>
          <w:color w:val="666666"/>
        </w:rPr>
        <w:t>THIRD</w:t>
      </w:r>
      <w:r>
        <w:rPr>
          <w:rFonts w:ascii="Arial" w:cs="Arial" w:eastAsia="Arial" w:hAnsi="Arial"/>
          <w:sz w:val="20"/>
          <w:szCs w:val="20"/>
          <w:color w:val="666666"/>
        </w:rPr>
        <w:t xml:space="preserve">. </w:t>
      </w:r>
      <w:r>
        <w:rPr>
          <w:rFonts w:ascii="Arial" w:cs="Arial" w:eastAsia="Arial" w:hAnsi="Arial"/>
          <w:sz w:val="20"/>
          <w:szCs w:val="20"/>
          <w:i w:val="1"/>
          <w:iCs w:val="1"/>
          <w:color w:val="666666"/>
        </w:rPr>
        <w:t>Purpose</w:t>
      </w:r>
      <w:r>
        <w:rPr>
          <w:rFonts w:ascii="Arial" w:cs="Arial" w:eastAsia="Arial" w:hAnsi="Arial"/>
          <w:sz w:val="20"/>
          <w:szCs w:val="20"/>
          <w:color w:val="666666"/>
        </w:rPr>
        <w:t>. The purpose of the Corporation is to engage in any lawful act or activity for which corporations may be organized under the General Corporation Law of the State of Delaware.</w:t>
      </w:r>
    </w:p>
    <w:p>
      <w:pPr>
        <w:spacing w:after="0" w:line="324" w:lineRule="exact"/>
        <w:rPr>
          <w:sz w:val="20"/>
          <w:szCs w:val="20"/>
          <w:color w:val="auto"/>
        </w:rPr>
      </w:pPr>
    </w:p>
    <w:p>
      <w:pPr>
        <w:ind w:right="140" w:firstLine="648"/>
        <w:spacing w:after="0" w:line="324" w:lineRule="auto"/>
        <w:rPr>
          <w:sz w:val="20"/>
          <w:szCs w:val="20"/>
          <w:color w:val="auto"/>
        </w:rPr>
      </w:pPr>
      <w:r>
        <w:rPr>
          <w:rFonts w:ascii="Arial" w:cs="Arial" w:eastAsia="Arial" w:hAnsi="Arial"/>
          <w:sz w:val="20"/>
          <w:szCs w:val="20"/>
          <w:u w:val="single" w:color="auto"/>
          <w:color w:val="666666"/>
        </w:rPr>
        <w:t>FOURTH</w:t>
      </w:r>
      <w:r>
        <w:rPr>
          <w:rFonts w:ascii="Arial" w:cs="Arial" w:eastAsia="Arial" w:hAnsi="Arial"/>
          <w:sz w:val="20"/>
          <w:szCs w:val="20"/>
          <w:color w:val="666666"/>
        </w:rPr>
        <w:t xml:space="preserve">. </w:t>
      </w:r>
      <w:r>
        <w:rPr>
          <w:rFonts w:ascii="Arial" w:cs="Arial" w:eastAsia="Arial" w:hAnsi="Arial"/>
          <w:sz w:val="20"/>
          <w:szCs w:val="20"/>
          <w:i w:val="1"/>
          <w:iCs w:val="1"/>
          <w:color w:val="666666"/>
        </w:rPr>
        <w:t>Capital Stock</w:t>
      </w:r>
      <w:r>
        <w:rPr>
          <w:rFonts w:ascii="Arial" w:cs="Arial" w:eastAsia="Arial" w:hAnsi="Arial"/>
          <w:sz w:val="20"/>
          <w:szCs w:val="20"/>
          <w:color w:val="666666"/>
        </w:rPr>
        <w:t>. The total number of shares of capital stock which the Corporation shall have authority to issue is 654,000,000, consisting of:</w:t>
      </w:r>
    </w:p>
    <w:p>
      <w:pPr>
        <w:spacing w:after="0" w:line="344" w:lineRule="exact"/>
        <w:rPr>
          <w:sz w:val="20"/>
          <w:szCs w:val="20"/>
          <w:color w:val="auto"/>
        </w:rPr>
      </w:pPr>
    </w:p>
    <w:p>
      <w:pPr>
        <w:ind w:left="1100" w:hanging="444"/>
        <w:spacing w:after="0"/>
        <w:tabs>
          <w:tab w:leader="none" w:pos="1100" w:val="left"/>
        </w:tabs>
        <w:numPr>
          <w:ilvl w:val="0"/>
          <w:numId w:val="63"/>
        </w:numPr>
        <w:rPr>
          <w:rFonts w:ascii="Arial" w:cs="Arial" w:eastAsia="Arial" w:hAnsi="Arial"/>
          <w:sz w:val="20"/>
          <w:szCs w:val="20"/>
          <w:color w:val="666666"/>
        </w:rPr>
      </w:pPr>
      <w:r>
        <w:rPr>
          <w:rFonts w:ascii="Arial" w:cs="Arial" w:eastAsia="Arial" w:hAnsi="Arial"/>
          <w:sz w:val="20"/>
          <w:szCs w:val="20"/>
          <w:color w:val="666666"/>
        </w:rPr>
        <w:t>600,000,000 shares of Class A Common Stock, par value $0.01 per share; and</w:t>
      </w:r>
    </w:p>
    <w:p>
      <w:pPr>
        <w:spacing w:after="0" w:line="200" w:lineRule="exact"/>
        <w:rPr>
          <w:rFonts w:ascii="Arial" w:cs="Arial" w:eastAsia="Arial" w:hAnsi="Arial"/>
          <w:sz w:val="20"/>
          <w:szCs w:val="20"/>
          <w:color w:val="666666"/>
        </w:rPr>
      </w:pPr>
    </w:p>
    <w:p>
      <w:pPr>
        <w:spacing w:after="0" w:line="231" w:lineRule="exact"/>
        <w:rPr>
          <w:rFonts w:ascii="Arial" w:cs="Arial" w:eastAsia="Arial" w:hAnsi="Arial"/>
          <w:sz w:val="20"/>
          <w:szCs w:val="20"/>
          <w:color w:val="666666"/>
        </w:rPr>
      </w:pPr>
    </w:p>
    <w:p>
      <w:pPr>
        <w:ind w:left="1100" w:hanging="444"/>
        <w:spacing w:after="0"/>
        <w:tabs>
          <w:tab w:leader="none" w:pos="1100" w:val="left"/>
        </w:tabs>
        <w:numPr>
          <w:ilvl w:val="0"/>
          <w:numId w:val="63"/>
        </w:numPr>
        <w:rPr>
          <w:rFonts w:ascii="Arial" w:cs="Arial" w:eastAsia="Arial" w:hAnsi="Arial"/>
          <w:sz w:val="20"/>
          <w:szCs w:val="20"/>
          <w:color w:val="666666"/>
        </w:rPr>
      </w:pPr>
      <w:r>
        <w:rPr>
          <w:rFonts w:ascii="Arial" w:cs="Arial" w:eastAsia="Arial" w:hAnsi="Arial"/>
          <w:sz w:val="20"/>
          <w:szCs w:val="20"/>
          <w:color w:val="666666"/>
        </w:rPr>
        <w:t>54,000,000 shares of Preferred Stock, par value $0.01 per share.</w:t>
      </w:r>
    </w:p>
    <w:p>
      <w:pPr>
        <w:spacing w:after="0" w:line="200" w:lineRule="exact"/>
        <w:rPr>
          <w:sz w:val="20"/>
          <w:szCs w:val="20"/>
          <w:color w:val="auto"/>
        </w:rPr>
      </w:pPr>
    </w:p>
    <w:p>
      <w:pPr>
        <w:spacing w:after="0" w:line="232" w:lineRule="exact"/>
        <w:rPr>
          <w:sz w:val="20"/>
          <w:szCs w:val="20"/>
          <w:color w:val="auto"/>
        </w:rPr>
      </w:pPr>
    </w:p>
    <w:p>
      <w:pPr>
        <w:ind w:right="400"/>
        <w:spacing w:after="0" w:line="303" w:lineRule="auto"/>
        <w:rPr>
          <w:sz w:val="20"/>
          <w:szCs w:val="20"/>
          <w:color w:val="auto"/>
        </w:rPr>
      </w:pPr>
      <w:r>
        <w:rPr>
          <w:rFonts w:ascii="Arial" w:cs="Arial" w:eastAsia="Arial" w:hAnsi="Arial"/>
          <w:sz w:val="20"/>
          <w:szCs w:val="20"/>
          <w:color w:val="666666"/>
        </w:rPr>
        <w:t>The stock described in subparagraph (a) above is hereinafter referred to as the “</w:t>
      </w:r>
      <w:r>
        <w:rPr>
          <w:rFonts w:ascii="Arial" w:cs="Arial" w:eastAsia="Arial" w:hAnsi="Arial"/>
          <w:sz w:val="20"/>
          <w:szCs w:val="20"/>
          <w:u w:val="single" w:color="auto"/>
          <w:color w:val="666666"/>
        </w:rPr>
        <w:t>Common Stock</w:t>
      </w:r>
      <w:r>
        <w:rPr>
          <w:rFonts w:ascii="Arial" w:cs="Arial" w:eastAsia="Arial" w:hAnsi="Arial"/>
          <w:sz w:val="20"/>
          <w:szCs w:val="20"/>
          <w:color w:val="666666"/>
        </w:rPr>
        <w:t>” and the stock described in subparagraph (b) above is hereinafter referred to as the “</w:t>
      </w:r>
      <w:r>
        <w:rPr>
          <w:rFonts w:ascii="Arial" w:cs="Arial" w:eastAsia="Arial" w:hAnsi="Arial"/>
          <w:sz w:val="20"/>
          <w:szCs w:val="20"/>
          <w:u w:val="single" w:color="auto"/>
          <w:color w:val="666666"/>
        </w:rPr>
        <w:t>Preferred Stock</w:t>
      </w:r>
      <w:r>
        <w:rPr>
          <w:rFonts w:ascii="Arial" w:cs="Arial" w:eastAsia="Arial" w:hAnsi="Arial"/>
          <w:sz w:val="20"/>
          <w:szCs w:val="20"/>
          <w:color w:val="666666"/>
        </w:rPr>
        <w:t>”.</w:t>
      </w:r>
    </w:p>
    <w:p>
      <w:pPr>
        <w:spacing w:after="0" w:line="344"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666666"/>
        </w:rPr>
        <w:t>FIFTH</w:t>
      </w:r>
      <w:r>
        <w:rPr>
          <w:rFonts w:ascii="Arial" w:cs="Arial" w:eastAsia="Arial" w:hAnsi="Arial"/>
          <w:sz w:val="20"/>
          <w:szCs w:val="20"/>
          <w:color w:val="666666"/>
        </w:rPr>
        <w:t xml:space="preserve">. </w:t>
      </w:r>
      <w:r>
        <w:rPr>
          <w:rFonts w:ascii="Arial" w:cs="Arial" w:eastAsia="Arial" w:hAnsi="Arial"/>
          <w:sz w:val="20"/>
          <w:szCs w:val="20"/>
          <w:i w:val="1"/>
          <w:iCs w:val="1"/>
          <w:color w:val="666666"/>
        </w:rPr>
        <w:t>Common Stock.</w:t>
      </w:r>
      <w:r>
        <w:rPr>
          <w:rFonts w:ascii="Arial" w:cs="Arial" w:eastAsia="Arial" w:hAnsi="Arial"/>
          <w:sz w:val="20"/>
          <w:szCs w:val="20"/>
          <w:color w:val="666666"/>
        </w:rPr>
        <w:t xml:space="preserve"> The Common Stock shall have the following rights, powers and preferences:</w:t>
      </w:r>
    </w:p>
    <w:p>
      <w:pPr>
        <w:spacing w:after="0" w:line="200" w:lineRule="exact"/>
        <w:rPr>
          <w:sz w:val="20"/>
          <w:szCs w:val="20"/>
          <w:color w:val="auto"/>
        </w:rPr>
      </w:pPr>
    </w:p>
    <w:p>
      <w:pPr>
        <w:spacing w:after="0" w:line="252" w:lineRule="exact"/>
        <w:rPr>
          <w:sz w:val="20"/>
          <w:szCs w:val="20"/>
          <w:color w:val="auto"/>
        </w:rPr>
      </w:pPr>
    </w:p>
    <w:p>
      <w:pPr>
        <w:ind w:left="660" w:right="160" w:firstLine="644"/>
        <w:spacing w:after="0" w:line="297" w:lineRule="auto"/>
        <w:tabs>
          <w:tab w:leader="none" w:pos="1749" w:val="left"/>
        </w:tabs>
        <w:numPr>
          <w:ilvl w:val="0"/>
          <w:numId w:val="64"/>
        </w:numPr>
        <w:rPr>
          <w:rFonts w:ascii="Arial" w:cs="Arial" w:eastAsia="Arial" w:hAnsi="Arial"/>
          <w:sz w:val="20"/>
          <w:szCs w:val="20"/>
          <w:color w:val="666666"/>
        </w:rPr>
      </w:pPr>
      <w:r>
        <w:rPr>
          <w:rFonts w:ascii="Arial" w:cs="Arial" w:eastAsia="Arial" w:hAnsi="Arial"/>
          <w:sz w:val="20"/>
          <w:szCs w:val="20"/>
          <w:u w:val="single" w:color="auto"/>
          <w:color w:val="666666"/>
        </w:rPr>
        <w:t>Voting Rights of Common Stock</w:t>
      </w:r>
      <w:r>
        <w:rPr>
          <w:rFonts w:ascii="Arial" w:cs="Arial" w:eastAsia="Arial" w:hAnsi="Arial"/>
          <w:sz w:val="20"/>
          <w:szCs w:val="20"/>
          <w:color w:val="666666"/>
        </w:rPr>
        <w:t>. Except as otherwise provided by (i) the General Corporation Law of the State of Delaware, or (ii) Article Sixth or any resolution of the Board of Directors fixing the relative powers (including voting powers, if any), preferences and rights of any series of Preferred Stock, and the qualifications, limitations or restrictions thereof, the entire voting power of the shares of the Corporation for the election of directors and for all other purposes shall be vested exclusively in the Common Stock.</w:t>
      </w:r>
    </w:p>
    <w:p>
      <w:pPr>
        <w:spacing w:after="0" w:line="372" w:lineRule="exact"/>
        <w:rPr>
          <w:rFonts w:ascii="Arial" w:cs="Arial" w:eastAsia="Arial" w:hAnsi="Arial"/>
          <w:sz w:val="20"/>
          <w:szCs w:val="20"/>
          <w:color w:val="666666"/>
        </w:rPr>
      </w:pPr>
    </w:p>
    <w:p>
      <w:pPr>
        <w:ind w:left="660" w:firstLine="644"/>
        <w:spacing w:after="0" w:line="296" w:lineRule="auto"/>
        <w:tabs>
          <w:tab w:leader="none" w:pos="1749" w:val="left"/>
        </w:tabs>
        <w:numPr>
          <w:ilvl w:val="0"/>
          <w:numId w:val="64"/>
        </w:numPr>
        <w:rPr>
          <w:rFonts w:ascii="Arial" w:cs="Arial" w:eastAsia="Arial" w:hAnsi="Arial"/>
          <w:sz w:val="20"/>
          <w:szCs w:val="20"/>
          <w:color w:val="666666"/>
        </w:rPr>
      </w:pPr>
      <w:r>
        <w:rPr>
          <w:rFonts w:ascii="Arial" w:cs="Arial" w:eastAsia="Arial" w:hAnsi="Arial"/>
          <w:sz w:val="20"/>
          <w:szCs w:val="20"/>
          <w:u w:val="single" w:color="auto"/>
          <w:color w:val="666666"/>
        </w:rPr>
        <w:t>Dividend and Liquidation Rights of Common Stock</w:t>
      </w:r>
      <w:r>
        <w:rPr>
          <w:rFonts w:ascii="Arial" w:cs="Arial" w:eastAsia="Arial" w:hAnsi="Arial"/>
          <w:sz w:val="20"/>
          <w:szCs w:val="20"/>
          <w:color w:val="666666"/>
        </w:rPr>
        <w:t>. Except as otherwise provided by (x) the General Corporation Law of the State of Delaware, or (y) Article Sixth or any resolution of the Board of Directors fixing the relative powers (including voting powers, if any), preferences and rights of any series of Preferred Stock, and the qualifications, limitations or restrictions thereof, (i) each share of Common Stock shall be entitled to participate equally in all dividends or other distributions declared on and payable with respect to the Common Stock, (ii) each share of Common Stock shall be entitled to share ratably, in proportion to its par value, until such time as there shall have been distributed an amount equal to each share’s par value, in the distribution of assets of the Corporation in the event of any voluntary or involuntary liquidation, dissolution or winding up of the affairs of the Corporation, or upon any distribution of all or substantially all of the assets of the Corporation, and (iii) each share of Common Stock shall be entitled to share equally in the distribution of assets of the Corporation remaining after the distribution described in clause (ii) above in the event of any voluntary or involuntary liquidation,</w:t>
      </w:r>
    </w:p>
    <w:p>
      <w:pPr>
        <w:sectPr>
          <w:pgSz w:w="11900" w:h="16838" w:orient="portrait"/>
          <w:cols w:equalWidth="0" w:num="1">
            <w:col w:w="11200"/>
          </w:cols>
          <w:pgMar w:left="320" w:top="328" w:right="379" w:bottom="1440" w:gutter="0" w:footer="0" w:header="0"/>
        </w:sect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666666"/>
        </w:rPr>
        <w:t>B - 1</w:t>
      </w:r>
    </w:p>
    <w:p>
      <w:pPr>
        <w:sectPr>
          <w:pgSz w:w="11900" w:h="16838" w:orient="portrait"/>
          <w:cols w:equalWidth="0" w:num="1">
            <w:col w:w="11200"/>
          </w:cols>
          <w:pgMar w:left="320" w:top="328" w:right="379" w:bottom="1440" w:gutter="0" w:footer="0" w:header="0"/>
          <w:type w:val="continuous"/>
        </w:sectPr>
      </w:pPr>
    </w:p>
    <w:bookmarkStart w:id="76" w:name="page77"/>
    <w:bookmarkEnd w:id="76"/>
    <w:p>
      <w:pPr>
        <w:ind w:left="660" w:right="180"/>
        <w:spacing w:after="0" w:line="299" w:lineRule="auto"/>
        <w:rPr>
          <w:sz w:val="20"/>
          <w:szCs w:val="20"/>
          <w:color w:val="auto"/>
        </w:rPr>
      </w:pPr>
      <w:r>
        <w:rPr>
          <w:rFonts w:ascii="Arial" w:cs="Arial" w:eastAsia="Arial" w:hAnsi="Arial"/>
          <w:sz w:val="20"/>
          <w:szCs w:val="20"/>
          <w:color w:val="666666"/>
        </w:rPr>
        <w:t>dissolution or winding up of the affairs of the Corporation, or upon any distribution of all or substantially all of the assets of the Corporation. Upon any merger, recapitalization or like transaction, each share of Common Stock shall receive either the same consideration as each other such share.</w:t>
      </w:r>
    </w:p>
    <w:p>
      <w:pPr>
        <w:spacing w:after="0" w:line="349" w:lineRule="exact"/>
        <w:rPr>
          <w:sz w:val="20"/>
          <w:szCs w:val="20"/>
          <w:color w:val="auto"/>
        </w:rPr>
      </w:pPr>
    </w:p>
    <w:p>
      <w:pPr>
        <w:ind w:firstLine="648"/>
        <w:spacing w:after="0" w:line="299" w:lineRule="auto"/>
        <w:rPr>
          <w:sz w:val="20"/>
          <w:szCs w:val="20"/>
          <w:color w:val="auto"/>
        </w:rPr>
      </w:pPr>
      <w:r>
        <w:rPr>
          <w:rFonts w:ascii="Arial" w:cs="Arial" w:eastAsia="Arial" w:hAnsi="Arial"/>
          <w:sz w:val="20"/>
          <w:szCs w:val="20"/>
          <w:u w:val="single" w:color="auto"/>
          <w:color w:val="666666"/>
        </w:rPr>
        <w:t>SIXTH</w:t>
      </w:r>
      <w:r>
        <w:rPr>
          <w:rFonts w:ascii="Arial" w:cs="Arial" w:eastAsia="Arial" w:hAnsi="Arial"/>
          <w:sz w:val="20"/>
          <w:szCs w:val="20"/>
          <w:color w:val="666666"/>
        </w:rPr>
        <w:t xml:space="preserve">. </w:t>
      </w:r>
      <w:r>
        <w:rPr>
          <w:rFonts w:ascii="Arial" w:cs="Arial" w:eastAsia="Arial" w:hAnsi="Arial"/>
          <w:sz w:val="20"/>
          <w:szCs w:val="20"/>
          <w:i w:val="1"/>
          <w:iCs w:val="1"/>
          <w:color w:val="666666"/>
        </w:rPr>
        <w:t>Preferred Stock</w:t>
      </w:r>
      <w:r>
        <w:rPr>
          <w:rFonts w:ascii="Arial" w:cs="Arial" w:eastAsia="Arial" w:hAnsi="Arial"/>
          <w:sz w:val="20"/>
          <w:szCs w:val="20"/>
          <w:color w:val="666666"/>
        </w:rPr>
        <w:t>. The Preferred Stock may be issued, from time to time, in one or more series as authorized by the Board of Directors. Prior to issuance of a series of Preferred Stock, the Board of Directors by resolution shall designate that series to distinguish it from other series and classes of stock of the Corporation, shall specify the number of shares to be included in the series, and shall fix the voting powers (full, limited or no voting powers) and the designations, preferences and relative participating, optional or other special rights of that series, and the qualifications limitations or restrictions thereof, including, without limitation any dividend rights and redemption, sinking fund and conversion rights. Subject to the express terms of any other series of Preferred Stock outstanding at the time, the Board of Directors may increase or decrease the number of shares or alter the designation or classify or reclassify any unissued shares of a particular series of Preferred Stock by fixing or altering in any one or more respects from time to time before issuing the shares any terms, rights, restrictions and qualifications of the shares.</w:t>
      </w:r>
    </w:p>
    <w:p>
      <w:pPr>
        <w:spacing w:after="0" w:line="348" w:lineRule="exact"/>
        <w:rPr>
          <w:sz w:val="20"/>
          <w:szCs w:val="20"/>
          <w:color w:val="auto"/>
        </w:rPr>
      </w:pPr>
    </w:p>
    <w:p>
      <w:pPr>
        <w:ind w:right="140" w:firstLine="648"/>
        <w:spacing w:after="0" w:line="310" w:lineRule="auto"/>
        <w:rPr>
          <w:sz w:val="20"/>
          <w:szCs w:val="20"/>
          <w:color w:val="auto"/>
        </w:rPr>
      </w:pPr>
      <w:r>
        <w:rPr>
          <w:rFonts w:ascii="Arial" w:cs="Arial" w:eastAsia="Arial" w:hAnsi="Arial"/>
          <w:sz w:val="20"/>
          <w:szCs w:val="20"/>
          <w:u w:val="single" w:color="auto"/>
          <w:color w:val="666666"/>
        </w:rPr>
        <w:t>SEVENTH</w:t>
      </w:r>
      <w:r>
        <w:rPr>
          <w:rFonts w:ascii="Arial" w:cs="Arial" w:eastAsia="Arial" w:hAnsi="Arial"/>
          <w:sz w:val="20"/>
          <w:szCs w:val="20"/>
          <w:i w:val="1"/>
          <w:iCs w:val="1"/>
          <w:color w:val="666666"/>
        </w:rPr>
        <w:t>. Management of Corporation</w:t>
      </w:r>
      <w:r>
        <w:rPr>
          <w:rFonts w:ascii="Arial" w:cs="Arial" w:eastAsia="Arial" w:hAnsi="Arial"/>
          <w:sz w:val="20"/>
          <w:szCs w:val="20"/>
          <w:color w:val="666666"/>
        </w:rPr>
        <w:t>. The following provisions are inserted for the management of the business and for the conduct of the affairs of the Corporation and for the purpose of creating, defining, limiting and regulating the powers of the Corporation and its directors and stockholders:</w:t>
      </w:r>
    </w:p>
    <w:p>
      <w:pPr>
        <w:spacing w:after="0" w:line="357" w:lineRule="exact"/>
        <w:rPr>
          <w:sz w:val="20"/>
          <w:szCs w:val="20"/>
          <w:color w:val="auto"/>
        </w:rPr>
      </w:pPr>
    </w:p>
    <w:p>
      <w:pPr>
        <w:ind w:left="660" w:right="40" w:firstLine="644"/>
        <w:spacing w:after="0" w:line="313" w:lineRule="auto"/>
        <w:tabs>
          <w:tab w:leader="none" w:pos="1730" w:val="left"/>
        </w:tabs>
        <w:numPr>
          <w:ilvl w:val="0"/>
          <w:numId w:val="65"/>
        </w:numPr>
        <w:rPr>
          <w:rFonts w:ascii="Arial" w:cs="Arial" w:eastAsia="Arial" w:hAnsi="Arial"/>
          <w:sz w:val="19"/>
          <w:szCs w:val="19"/>
          <w:color w:val="666666"/>
        </w:rPr>
      </w:pPr>
      <w:r>
        <w:rPr>
          <w:rFonts w:ascii="Arial" w:cs="Arial" w:eastAsia="Arial" w:hAnsi="Arial"/>
          <w:sz w:val="19"/>
          <w:szCs w:val="19"/>
          <w:color w:val="666666"/>
        </w:rPr>
        <w:t>Prior to the annual meeting of the stockholders to be held in 2023, each director elected to the Board of Directors shall serve the remainder of the term for which such director was elected, such that: (i) each director elected at the annual meeting of stockholders held in 2020 shall be elected for a term expiring at the annual meeting of stockholders to be held in 2023; (ii) each director whose term expires at the annual meeting of stockholders to be held in 2021 shall be elected for a term expiring at the annual meeting of stockholders to be held in 2022; and (iii) each director whose term expires at the annual meeting of stockholders to be held in 2022 shall be elected for a term expiring at the annual meeting of stockholders to be held in 2023. Commencing with the annual meeting of stockholders to be held in 2023, the Board of Directors will no longer be classified under Section 141(d) of the General Corporation Law of the State of Delaware and directors shall be elected for one-year terms expiring at the next succeeding annual meeting of stockholders. Each director shall hold office until his or her term expires and his or her successor is duly elected and qualified, or until such director’s earlier death, resignation, retirement, disqualification or removal.</w:t>
      </w:r>
    </w:p>
    <w:p>
      <w:pPr>
        <w:spacing w:after="0" w:line="362" w:lineRule="exact"/>
        <w:rPr>
          <w:rFonts w:ascii="Arial" w:cs="Arial" w:eastAsia="Arial" w:hAnsi="Arial"/>
          <w:sz w:val="19"/>
          <w:szCs w:val="19"/>
          <w:color w:val="666666"/>
        </w:rPr>
      </w:pPr>
    </w:p>
    <w:p>
      <w:pPr>
        <w:ind w:left="660" w:right="120" w:firstLine="644"/>
        <w:spacing w:after="0" w:line="299" w:lineRule="auto"/>
        <w:tabs>
          <w:tab w:leader="none" w:pos="1770" w:val="left"/>
        </w:tabs>
        <w:numPr>
          <w:ilvl w:val="0"/>
          <w:numId w:val="65"/>
        </w:numPr>
        <w:rPr>
          <w:rFonts w:ascii="Arial" w:cs="Arial" w:eastAsia="Arial" w:hAnsi="Arial"/>
          <w:sz w:val="20"/>
          <w:szCs w:val="20"/>
          <w:color w:val="666666"/>
        </w:rPr>
      </w:pPr>
      <w:r>
        <w:rPr>
          <w:rFonts w:ascii="Arial" w:cs="Arial" w:eastAsia="Arial" w:hAnsi="Arial"/>
          <w:sz w:val="20"/>
          <w:szCs w:val="20"/>
          <w:color w:val="666666"/>
        </w:rPr>
        <w:t>Subject to any special rights of any holders of any class or series of Preferred Stock to elect directors, the precise number of directors of the Corporation shall be fixed, and may be altered from time to time, only by resolution of the Board of Directors.</w:t>
      </w:r>
    </w:p>
    <w:p>
      <w:pPr>
        <w:spacing w:after="0" w:line="368" w:lineRule="exact"/>
        <w:rPr>
          <w:rFonts w:ascii="Arial" w:cs="Arial" w:eastAsia="Arial" w:hAnsi="Arial"/>
          <w:sz w:val="20"/>
          <w:szCs w:val="20"/>
          <w:color w:val="666666"/>
        </w:rPr>
      </w:pPr>
    </w:p>
    <w:p>
      <w:pPr>
        <w:jc w:val="both"/>
        <w:ind w:left="660" w:right="220" w:firstLine="644"/>
        <w:spacing w:after="0" w:line="299" w:lineRule="auto"/>
        <w:tabs>
          <w:tab w:leader="none" w:pos="1759" w:val="left"/>
        </w:tabs>
        <w:numPr>
          <w:ilvl w:val="0"/>
          <w:numId w:val="65"/>
        </w:numPr>
        <w:rPr>
          <w:rFonts w:ascii="Arial" w:cs="Arial" w:eastAsia="Arial" w:hAnsi="Arial"/>
          <w:sz w:val="20"/>
          <w:szCs w:val="20"/>
          <w:color w:val="666666"/>
        </w:rPr>
      </w:pPr>
      <w:r>
        <w:rPr>
          <w:rFonts w:ascii="Arial" w:cs="Arial" w:eastAsia="Arial" w:hAnsi="Arial"/>
          <w:sz w:val="20"/>
          <w:szCs w:val="20"/>
          <w:color w:val="666666"/>
        </w:rPr>
        <w:t>Subject to this Article Seventh, the election of directors may be conducted in any manner approved by the person presiding at a meeting of the stockholders or the directors, as the case may be, at the time when the election is held and need not be by written ballot.</w:t>
      </w:r>
    </w:p>
    <w:p>
      <w:pPr>
        <w:spacing w:after="0" w:line="368" w:lineRule="exact"/>
        <w:rPr>
          <w:rFonts w:ascii="Arial" w:cs="Arial" w:eastAsia="Arial" w:hAnsi="Arial"/>
          <w:sz w:val="20"/>
          <w:szCs w:val="20"/>
          <w:color w:val="666666"/>
        </w:rPr>
      </w:pPr>
    </w:p>
    <w:p>
      <w:pPr>
        <w:ind w:left="660" w:right="40" w:firstLine="644"/>
        <w:spacing w:after="0" w:line="298" w:lineRule="auto"/>
        <w:tabs>
          <w:tab w:leader="none" w:pos="1770" w:val="left"/>
        </w:tabs>
        <w:numPr>
          <w:ilvl w:val="0"/>
          <w:numId w:val="65"/>
        </w:numPr>
        <w:rPr>
          <w:rFonts w:ascii="Arial" w:cs="Arial" w:eastAsia="Arial" w:hAnsi="Arial"/>
          <w:sz w:val="20"/>
          <w:szCs w:val="20"/>
          <w:color w:val="666666"/>
        </w:rPr>
      </w:pPr>
      <w:r>
        <w:rPr>
          <w:rFonts w:ascii="Arial" w:cs="Arial" w:eastAsia="Arial" w:hAnsi="Arial"/>
          <w:sz w:val="20"/>
          <w:szCs w:val="20"/>
          <w:color w:val="666666"/>
        </w:rPr>
        <w:t>Subject to any rights of the holders of shares of any class or series of Preferred Stock, if any, to elect additional directors under specified circumstances, (i) until the election of directors at the annual meeting of stockholders to be held in 2023, a director may be removed from office only for cause and only by the affirmative vote of holders of at least a majority of the votes to which all the stockholders</w:t>
      </w:r>
    </w:p>
    <w:p>
      <w:pPr>
        <w:sectPr>
          <w:pgSz w:w="11900" w:h="16838" w:orient="portrait"/>
          <w:cols w:equalWidth="0" w:num="1">
            <w:col w:w="11220"/>
          </w:cols>
          <w:pgMar w:left="320" w:top="595" w:right="359" w:bottom="1440" w:gutter="0" w:footer="0" w:header="0"/>
        </w:sect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666666"/>
        </w:rPr>
        <w:t>B - 2</w:t>
      </w:r>
    </w:p>
    <w:p>
      <w:pPr>
        <w:sectPr>
          <w:pgSz w:w="11900" w:h="16838" w:orient="portrait"/>
          <w:cols w:equalWidth="0" w:num="1">
            <w:col w:w="11220"/>
          </w:cols>
          <w:pgMar w:left="320" w:top="595" w:right="359" w:bottom="1440" w:gutter="0" w:footer="0" w:header="0"/>
          <w:type w:val="continuous"/>
        </w:sectPr>
      </w:pPr>
    </w:p>
    <w:bookmarkStart w:id="77" w:name="page78"/>
    <w:bookmarkEnd w:id="77"/>
    <w:p>
      <w:pPr>
        <w:jc w:val="both"/>
        <w:spacing w:after="0" w:line="299" w:lineRule="auto"/>
        <w:rPr>
          <w:sz w:val="20"/>
          <w:szCs w:val="20"/>
          <w:color w:val="auto"/>
        </w:rPr>
      </w:pPr>
      <w:r>
        <w:rPr>
          <w:rFonts w:ascii="Arial" w:cs="Arial" w:eastAsia="Arial" w:hAnsi="Arial"/>
          <w:sz w:val="20"/>
          <w:szCs w:val="20"/>
          <w:color w:val="666666"/>
        </w:rPr>
        <w:t>of the Corporation would be entitled to cast in any election of directors and (ii) thereafter, a director may be removed from office at any time, either for or without cause, by the affirmative vote of holders of at least a majority of the votes to which all the stockholders of the Corporation would be entitled to cast in any election of directors.</w:t>
      </w:r>
    </w:p>
    <w:p>
      <w:pPr>
        <w:spacing w:after="0" w:line="369" w:lineRule="exact"/>
        <w:rPr>
          <w:sz w:val="20"/>
          <w:szCs w:val="20"/>
          <w:color w:val="auto"/>
        </w:rPr>
      </w:pPr>
    </w:p>
    <w:p>
      <w:pPr>
        <w:ind w:right="40" w:firstLine="644"/>
        <w:spacing w:after="0" w:line="296" w:lineRule="auto"/>
        <w:tabs>
          <w:tab w:leader="none" w:pos="1110" w:val="left"/>
        </w:tabs>
        <w:numPr>
          <w:ilvl w:val="0"/>
          <w:numId w:val="66"/>
        </w:numPr>
        <w:rPr>
          <w:rFonts w:ascii="Arial" w:cs="Arial" w:eastAsia="Arial" w:hAnsi="Arial"/>
          <w:sz w:val="20"/>
          <w:szCs w:val="20"/>
          <w:color w:val="666666"/>
        </w:rPr>
      </w:pPr>
      <w:r>
        <w:rPr>
          <w:rFonts w:ascii="Arial" w:cs="Arial" w:eastAsia="Arial" w:hAnsi="Arial"/>
          <w:sz w:val="20"/>
          <w:szCs w:val="20"/>
          <w:color w:val="666666"/>
        </w:rPr>
        <w:t>Subject to any rights of the holders of shares of any class or series of Preferred Stock, if any, to elect additional directors under specified circumstances, and except as otherwise provided by law, any vacancy in the Board of Directors that results from an increase in the number of directors, from the death, disability, resignation, disqualification, removal of any director or from any other cause shall be filled solely by a majority of the total number of directors then in office, even if less than a quorum, or by a sole remaining director. Until the election of directors at the annual meeting of stockholders to be held in 2023, a director elected to fill a vacancy or a newly created directorship shall hold office for the remainder of the term of his or her predecessor or, in the case of a newly created directorship, for the remainder of the term of the class of directors to which he or she is elected and until his or her successor has been elected and qualified or until his or her death, disability, resignation, disqualification or removal. Thereafter, a director elected to fill a vacancy or a newly created directorship shall hold office until the next succeeding annual meeting of stockholders and until his or her successor has been elected and qualified or until his or her death, disability, resignation, disqualification or removal.</w:t>
      </w:r>
    </w:p>
    <w:p>
      <w:pPr>
        <w:spacing w:after="0" w:line="376" w:lineRule="exact"/>
        <w:rPr>
          <w:rFonts w:ascii="Arial" w:cs="Arial" w:eastAsia="Arial" w:hAnsi="Arial"/>
          <w:sz w:val="20"/>
          <w:szCs w:val="20"/>
          <w:color w:val="666666"/>
        </w:rPr>
      </w:pPr>
    </w:p>
    <w:p>
      <w:pPr>
        <w:ind w:right="140" w:firstLine="644"/>
        <w:spacing w:after="0" w:line="299" w:lineRule="auto"/>
        <w:tabs>
          <w:tab w:leader="none" w:pos="1044" w:val="left"/>
        </w:tabs>
        <w:numPr>
          <w:ilvl w:val="0"/>
          <w:numId w:val="66"/>
        </w:numPr>
        <w:rPr>
          <w:rFonts w:ascii="Arial" w:cs="Arial" w:eastAsia="Arial" w:hAnsi="Arial"/>
          <w:sz w:val="20"/>
          <w:szCs w:val="20"/>
          <w:color w:val="666666"/>
        </w:rPr>
      </w:pPr>
      <w:r>
        <w:rPr>
          <w:rFonts w:ascii="Arial" w:cs="Arial" w:eastAsia="Arial" w:hAnsi="Arial"/>
          <w:sz w:val="20"/>
          <w:szCs w:val="20"/>
          <w:color w:val="666666"/>
        </w:rPr>
        <w:t>All corporate powers and authority of the Corporation (except as at the time otherwise provided by law, by this Fifth Amended and Restated Certificate of Incorporation or by the Bylaws of the Corporation) shall be vested in and exercised by the Board of Directors.</w:t>
      </w:r>
    </w:p>
    <w:p>
      <w:pPr>
        <w:spacing w:after="0" w:line="368" w:lineRule="exact"/>
        <w:rPr>
          <w:rFonts w:ascii="Arial" w:cs="Arial" w:eastAsia="Arial" w:hAnsi="Arial"/>
          <w:sz w:val="20"/>
          <w:szCs w:val="20"/>
          <w:color w:val="666666"/>
        </w:rPr>
      </w:pPr>
    </w:p>
    <w:p>
      <w:pPr>
        <w:ind w:right="660" w:firstLine="644"/>
        <w:spacing w:after="0" w:line="299" w:lineRule="auto"/>
        <w:tabs>
          <w:tab w:leader="none" w:pos="1106" w:val="left"/>
        </w:tabs>
        <w:numPr>
          <w:ilvl w:val="0"/>
          <w:numId w:val="66"/>
        </w:numPr>
        <w:rPr>
          <w:rFonts w:ascii="Arial" w:cs="Arial" w:eastAsia="Arial" w:hAnsi="Arial"/>
          <w:sz w:val="20"/>
          <w:szCs w:val="20"/>
          <w:color w:val="666666"/>
        </w:rPr>
      </w:pPr>
      <w:r>
        <w:rPr>
          <w:rFonts w:ascii="Arial" w:cs="Arial" w:eastAsia="Arial" w:hAnsi="Arial"/>
          <w:sz w:val="20"/>
          <w:szCs w:val="20"/>
          <w:color w:val="666666"/>
        </w:rPr>
        <w:t>The Board of Directors shall have the power without the consent or vote of the stockholders to adopt, amend, alter or repeal the Bylaws of the Corporation, except to the extent that this Fifth Amended and Restated Certificate of Incorporation otherwise provide.</w:t>
      </w:r>
    </w:p>
    <w:p>
      <w:pPr>
        <w:spacing w:after="0" w:line="368" w:lineRule="exact"/>
        <w:rPr>
          <w:rFonts w:ascii="Arial" w:cs="Arial" w:eastAsia="Arial" w:hAnsi="Arial"/>
          <w:sz w:val="20"/>
          <w:szCs w:val="20"/>
          <w:color w:val="666666"/>
        </w:rPr>
      </w:pPr>
    </w:p>
    <w:p>
      <w:pPr>
        <w:ind w:firstLine="644"/>
        <w:spacing w:after="0" w:line="313" w:lineRule="auto"/>
        <w:tabs>
          <w:tab w:leader="none" w:pos="1110" w:val="left"/>
        </w:tabs>
        <w:numPr>
          <w:ilvl w:val="0"/>
          <w:numId w:val="66"/>
        </w:numPr>
        <w:rPr>
          <w:rFonts w:ascii="Arial" w:cs="Arial" w:eastAsia="Arial" w:hAnsi="Arial"/>
          <w:sz w:val="19"/>
          <w:szCs w:val="19"/>
          <w:color w:val="666666"/>
        </w:rPr>
      </w:pPr>
      <w:r>
        <w:rPr>
          <w:rFonts w:ascii="Arial" w:cs="Arial" w:eastAsia="Arial" w:hAnsi="Arial"/>
          <w:sz w:val="19"/>
          <w:szCs w:val="19"/>
          <w:color w:val="666666"/>
        </w:rPr>
        <w:t xml:space="preserve">No director of the Corporation shall be liable to the Corporation or its stockholders for monetary damages for breach of his or her fiduciary duty as a director, </w:t>
      </w:r>
      <w:r>
        <w:rPr>
          <w:rFonts w:ascii="Arial" w:cs="Arial" w:eastAsia="Arial" w:hAnsi="Arial"/>
          <w:sz w:val="19"/>
          <w:szCs w:val="19"/>
          <w:u w:val="single" w:color="auto"/>
          <w:color w:val="666666"/>
        </w:rPr>
        <w:t>provided</w:t>
      </w:r>
      <w:r>
        <w:rPr>
          <w:rFonts w:ascii="Arial" w:cs="Arial" w:eastAsia="Arial" w:hAnsi="Arial"/>
          <w:sz w:val="19"/>
          <w:szCs w:val="19"/>
          <w:color w:val="666666"/>
        </w:rPr>
        <w:t xml:space="preserve"> that nothing contained in this Article Seventh shall eliminate or limit the liability of a director (i) for any breach of the director’s duty of loyalty to the Corporation or its stockholders, (ii) for acts or omissions not in good faith or which involve intentional misconduct or a knowing violation of the law, (iii) under Section 174 of the General Corporation Law of the State of Delaware or (iv) for any transaction from which the director derived an improper personal benefit. If the General Corporation Law of the State of Delaware is amended after the filing of this Fifth Amended and Restated Certificate of Incorporation to authorize corporate action further eliminating or limiting the personal liability of directors, then the liability of a director of the Corporation shall be eliminated or limited to the fullest extent permitted by the General Corporation Law of the State of Delaware, as so amended.</w:t>
      </w:r>
    </w:p>
    <w:p>
      <w:pPr>
        <w:spacing w:after="0" w:line="365" w:lineRule="exact"/>
        <w:rPr>
          <w:rFonts w:ascii="Arial" w:cs="Arial" w:eastAsia="Arial" w:hAnsi="Arial"/>
          <w:sz w:val="19"/>
          <w:szCs w:val="19"/>
          <w:color w:val="666666"/>
        </w:rPr>
      </w:pPr>
    </w:p>
    <w:p>
      <w:pPr>
        <w:ind w:right="40" w:firstLine="644"/>
        <w:spacing w:after="0" w:line="297" w:lineRule="auto"/>
        <w:tabs>
          <w:tab w:leader="none" w:pos="1040" w:val="left"/>
        </w:tabs>
        <w:numPr>
          <w:ilvl w:val="0"/>
          <w:numId w:val="66"/>
        </w:numPr>
        <w:rPr>
          <w:rFonts w:ascii="Arial" w:cs="Arial" w:eastAsia="Arial" w:hAnsi="Arial"/>
          <w:sz w:val="20"/>
          <w:szCs w:val="20"/>
          <w:color w:val="666666"/>
        </w:rPr>
      </w:pPr>
      <w:r>
        <w:rPr>
          <w:rFonts w:ascii="Arial" w:cs="Arial" w:eastAsia="Arial" w:hAnsi="Arial"/>
          <w:sz w:val="20"/>
          <w:szCs w:val="20"/>
          <w:color w:val="666666"/>
        </w:rPr>
        <w:t>The Corporation shall, through its Bylaws or otherwise, indemnify to the fullest extent permitted under the General Corporation Law of the State of Delaware, as it now exists or as amended from time to time, any person who is or was a director or officer of the Corporation or its subsidiaries. The Corporation may, by action of its Board of Directors, provide rights to indemnification and to advancement of expenses to such other employees or agents of the Corporation or its subsidiaries to such extent and to such effect as the Board of Directors shall determine to be appropriate and authorized by Delaware Law.</w:t>
      </w:r>
    </w:p>
    <w:p>
      <w:pPr>
        <w:spacing w:after="0" w:line="347" w:lineRule="exact"/>
        <w:rPr>
          <w:sz w:val="20"/>
          <w:szCs w:val="20"/>
          <w:color w:val="auto"/>
        </w:rPr>
      </w:pPr>
    </w:p>
    <w:p>
      <w:pPr>
        <w:ind w:left="4780"/>
        <w:spacing w:after="0"/>
        <w:rPr>
          <w:sz w:val="20"/>
          <w:szCs w:val="20"/>
          <w:color w:val="auto"/>
        </w:rPr>
      </w:pPr>
      <w:r>
        <w:rPr>
          <w:rFonts w:ascii="Arial" w:cs="Arial" w:eastAsia="Arial" w:hAnsi="Arial"/>
          <w:sz w:val="18"/>
          <w:szCs w:val="18"/>
          <w:color w:val="666666"/>
        </w:rPr>
        <w:t>B - 3</w:t>
      </w:r>
    </w:p>
    <w:p>
      <w:pPr>
        <w:sectPr>
          <w:pgSz w:w="11900" w:h="16838" w:orient="portrait"/>
          <w:cols w:equalWidth="0" w:num="1">
            <w:col w:w="10580"/>
          </w:cols>
          <w:pgMar w:left="980" w:top="595" w:right="339" w:bottom="1440" w:gutter="0" w:footer="0" w:header="0"/>
        </w:sectPr>
      </w:pPr>
    </w:p>
    <w:bookmarkStart w:id="78" w:name="page79"/>
    <w:bookmarkEnd w:id="78"/>
    <w:p>
      <w:pPr>
        <w:ind w:right="40" w:firstLine="648"/>
        <w:spacing w:after="0" w:line="325" w:lineRule="auto"/>
        <w:rPr>
          <w:sz w:val="20"/>
          <w:szCs w:val="20"/>
          <w:color w:val="auto"/>
        </w:rPr>
      </w:pPr>
      <w:r>
        <w:rPr>
          <w:rFonts w:ascii="Arial" w:cs="Arial" w:eastAsia="Arial" w:hAnsi="Arial"/>
          <w:sz w:val="19"/>
          <w:szCs w:val="19"/>
          <w:u w:val="single" w:color="auto"/>
          <w:color w:val="666666"/>
        </w:rPr>
        <w:t>EIGHTH</w:t>
      </w:r>
      <w:r>
        <w:rPr>
          <w:rFonts w:ascii="Arial" w:cs="Arial" w:eastAsia="Arial" w:hAnsi="Arial"/>
          <w:sz w:val="19"/>
          <w:szCs w:val="19"/>
          <w:color w:val="666666"/>
        </w:rPr>
        <w:t xml:space="preserve">. </w:t>
      </w:r>
      <w:r>
        <w:rPr>
          <w:rFonts w:ascii="Arial" w:cs="Arial" w:eastAsia="Arial" w:hAnsi="Arial"/>
          <w:sz w:val="19"/>
          <w:szCs w:val="19"/>
          <w:i w:val="1"/>
          <w:iCs w:val="1"/>
          <w:color w:val="666666"/>
        </w:rPr>
        <w:t>Stockholder Action by Written Consent</w:t>
      </w:r>
      <w:r>
        <w:rPr>
          <w:rFonts w:ascii="Arial" w:cs="Arial" w:eastAsia="Arial" w:hAnsi="Arial"/>
          <w:sz w:val="19"/>
          <w:szCs w:val="19"/>
          <w:color w:val="666666"/>
        </w:rPr>
        <w:t>. Any action required or permitted to be taken at any annual or special meeting of stockholders of the Corporation may be taken only upon the vote of the stockholders at an annual or special meeting duly called and may not be taken by written consent of the stockholders. The Bylaws may establish procedures regulating the submission by stockholders of nominations and proposals for consideration at meetings of stockholders of the Corporation.</w:t>
      </w:r>
    </w:p>
    <w:p>
      <w:pPr>
        <w:spacing w:after="0" w:line="329" w:lineRule="exact"/>
        <w:rPr>
          <w:sz w:val="20"/>
          <w:szCs w:val="20"/>
          <w:color w:val="auto"/>
        </w:rPr>
      </w:pPr>
    </w:p>
    <w:p>
      <w:pPr>
        <w:ind w:right="80" w:firstLine="648"/>
        <w:spacing w:after="0" w:line="305" w:lineRule="auto"/>
        <w:rPr>
          <w:sz w:val="20"/>
          <w:szCs w:val="20"/>
          <w:color w:val="auto"/>
        </w:rPr>
      </w:pPr>
      <w:r>
        <w:rPr>
          <w:rFonts w:ascii="Arial" w:cs="Arial" w:eastAsia="Arial" w:hAnsi="Arial"/>
          <w:sz w:val="20"/>
          <w:szCs w:val="20"/>
          <w:u w:val="single" w:color="auto"/>
          <w:color w:val="666666"/>
        </w:rPr>
        <w:t>NINTH</w:t>
      </w:r>
      <w:r>
        <w:rPr>
          <w:rFonts w:ascii="Arial" w:cs="Arial" w:eastAsia="Arial" w:hAnsi="Arial"/>
          <w:sz w:val="20"/>
          <w:szCs w:val="20"/>
          <w:color w:val="666666"/>
        </w:rPr>
        <w:t xml:space="preserve">. </w:t>
      </w:r>
      <w:r>
        <w:rPr>
          <w:rFonts w:ascii="Arial" w:cs="Arial" w:eastAsia="Arial" w:hAnsi="Arial"/>
          <w:sz w:val="20"/>
          <w:szCs w:val="20"/>
          <w:i w:val="1"/>
          <w:iCs w:val="1"/>
          <w:color w:val="666666"/>
        </w:rPr>
        <w:t>Special Meetings</w:t>
      </w:r>
      <w:r>
        <w:rPr>
          <w:rFonts w:ascii="Arial" w:cs="Arial" w:eastAsia="Arial" w:hAnsi="Arial"/>
          <w:sz w:val="20"/>
          <w:szCs w:val="20"/>
          <w:color w:val="666666"/>
        </w:rPr>
        <w:t>. A special meeting of the stockholders of the Corporation for any purpose or purposes may be called only by or at the direction of the Board of Directors pursuant to a resolution adopted by a majority of the total number of directors then in office and any right of the stockholders of the Corporation to call a special meeting of the stockholders is specifically denied.</w:t>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666666"/>
        </w:rPr>
        <w:t>TENTH</w:t>
      </w:r>
      <w:r>
        <w:rPr>
          <w:rFonts w:ascii="Arial" w:cs="Arial" w:eastAsia="Arial" w:hAnsi="Arial"/>
          <w:sz w:val="20"/>
          <w:szCs w:val="20"/>
          <w:color w:val="666666"/>
        </w:rPr>
        <w:t>. [Reserved].</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666666"/>
        </w:rPr>
        <w:t>ELEVENTH</w:t>
      </w:r>
      <w:r>
        <w:rPr>
          <w:rFonts w:ascii="Arial" w:cs="Arial" w:eastAsia="Arial" w:hAnsi="Arial"/>
          <w:sz w:val="20"/>
          <w:szCs w:val="20"/>
          <w:color w:val="666666"/>
        </w:rPr>
        <w:t>. [Reserved].</w:t>
      </w:r>
    </w:p>
    <w:p>
      <w:pPr>
        <w:spacing w:after="0" w:line="200" w:lineRule="exact"/>
        <w:rPr>
          <w:sz w:val="20"/>
          <w:szCs w:val="20"/>
          <w:color w:val="auto"/>
        </w:rPr>
      </w:pPr>
    </w:p>
    <w:p>
      <w:pPr>
        <w:spacing w:after="0" w:line="212" w:lineRule="exact"/>
        <w:rPr>
          <w:sz w:val="20"/>
          <w:szCs w:val="20"/>
          <w:color w:val="auto"/>
        </w:rPr>
      </w:pPr>
    </w:p>
    <w:p>
      <w:pPr>
        <w:ind w:right="140" w:firstLine="648"/>
        <w:spacing w:after="0" w:line="301" w:lineRule="auto"/>
        <w:rPr>
          <w:sz w:val="20"/>
          <w:szCs w:val="20"/>
          <w:color w:val="auto"/>
        </w:rPr>
      </w:pPr>
      <w:r>
        <w:rPr>
          <w:rFonts w:ascii="Arial" w:cs="Arial" w:eastAsia="Arial" w:hAnsi="Arial"/>
          <w:sz w:val="20"/>
          <w:szCs w:val="20"/>
          <w:u w:val="single" w:color="auto"/>
          <w:color w:val="666666"/>
        </w:rPr>
        <w:t>TWELFTH</w:t>
      </w:r>
      <w:r>
        <w:rPr>
          <w:rFonts w:ascii="Arial" w:cs="Arial" w:eastAsia="Arial" w:hAnsi="Arial"/>
          <w:sz w:val="20"/>
          <w:szCs w:val="20"/>
          <w:color w:val="666666"/>
        </w:rPr>
        <w:t xml:space="preserve">. </w:t>
      </w:r>
      <w:r>
        <w:rPr>
          <w:rFonts w:ascii="Arial" w:cs="Arial" w:eastAsia="Arial" w:hAnsi="Arial"/>
          <w:sz w:val="20"/>
          <w:szCs w:val="20"/>
          <w:i w:val="1"/>
          <w:iCs w:val="1"/>
          <w:color w:val="666666"/>
        </w:rPr>
        <w:t>Forum</w:t>
      </w:r>
      <w:r>
        <w:rPr>
          <w:rFonts w:ascii="Arial" w:cs="Arial" w:eastAsia="Arial" w:hAnsi="Arial"/>
          <w:sz w:val="20"/>
          <w:szCs w:val="20"/>
          <w:color w:val="666666"/>
        </w:rPr>
        <w:t>. The Court of Chancery of the State of Delaware shall be the sole and exclusive forum for (i) any derivative action or proceeding brought on behalf of the Corporation, (ii) any action asserting a claim of breach of a fiduciary duty owed by any director or officer of the Corporation to the Corporation or the Corporation’s stockholders, (iii) any action asserting a claim against the Corporation arising pursuant to any provision of the General Corporation Law of the State of Delaware or the Corporation’s Fifth Amended and Restated Certificate of Incorporation or Bylaws, or (iv) any action asserting a claim against the Corporation governed by the internal affairs doctrine.</w:t>
      </w:r>
    </w:p>
    <w:p>
      <w:pPr>
        <w:spacing w:after="0" w:line="348" w:lineRule="exact"/>
        <w:rPr>
          <w:sz w:val="20"/>
          <w:szCs w:val="20"/>
          <w:color w:val="auto"/>
        </w:rPr>
      </w:pPr>
    </w:p>
    <w:p>
      <w:pPr>
        <w:ind w:firstLine="648"/>
        <w:spacing w:after="0" w:line="300" w:lineRule="auto"/>
        <w:rPr>
          <w:sz w:val="20"/>
          <w:szCs w:val="20"/>
          <w:color w:val="auto"/>
        </w:rPr>
      </w:pPr>
      <w:r>
        <w:rPr>
          <w:rFonts w:ascii="Arial" w:cs="Arial" w:eastAsia="Arial" w:hAnsi="Arial"/>
          <w:sz w:val="20"/>
          <w:szCs w:val="20"/>
          <w:u w:val="single" w:color="auto"/>
          <w:color w:val="666666"/>
        </w:rPr>
        <w:t>THIRTEENTH</w:t>
      </w:r>
      <w:r>
        <w:rPr>
          <w:rFonts w:ascii="Arial" w:cs="Arial" w:eastAsia="Arial" w:hAnsi="Arial"/>
          <w:sz w:val="20"/>
          <w:szCs w:val="20"/>
          <w:color w:val="666666"/>
        </w:rPr>
        <w:t xml:space="preserve">. </w:t>
      </w:r>
      <w:r>
        <w:rPr>
          <w:rFonts w:ascii="Arial" w:cs="Arial" w:eastAsia="Arial" w:hAnsi="Arial"/>
          <w:sz w:val="20"/>
          <w:szCs w:val="20"/>
          <w:i w:val="1"/>
          <w:iCs w:val="1"/>
          <w:color w:val="666666"/>
        </w:rPr>
        <w:t>Amendment</w:t>
      </w:r>
      <w:r>
        <w:rPr>
          <w:rFonts w:ascii="Arial" w:cs="Arial" w:eastAsia="Arial" w:hAnsi="Arial"/>
          <w:sz w:val="20"/>
          <w:szCs w:val="20"/>
          <w:color w:val="666666"/>
        </w:rPr>
        <w:t>. The Corporation reserves the right to amend, alter or repeal any provision contained in this Fifth Amended and Restated Certificate of Incorporation in the manner now or hereafter prescribed by the laws of the State of Delaware, and all rights herein conferred upon stockholders or directors are granted subject to this reservation, provided, however, that any amendment, alteration or repeal of Article Seventh, Section (h) shall not adversely affect any right or protection existing under this Fifth Amended and Restated Certificate of Incorporation immediately prior to such amendment, alteration or repeal, including any right or protection of a director or officer thereunder in respect of any act or omission occurring prior to the time of such amendment, modification or repeal.</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666666"/>
        </w:rPr>
        <w:t>B - 4</w:t>
      </w:r>
    </w:p>
    <w:p>
      <w:pPr>
        <w:sectPr>
          <w:pgSz w:w="11900" w:h="16838" w:orient="portrait"/>
          <w:cols w:equalWidth="0" w:num="1">
            <w:col w:w="11220"/>
          </w:cols>
          <w:pgMar w:left="320" w:top="575" w:right="35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F7CBA"/>
        </w:rPr>
        <w:t>[THIS PAGE INTENTIONALLY LEFT BLANK]</w:t>
      </w:r>
    </w:p>
    <w:p>
      <w:pPr>
        <w:sectPr>
          <w:pgSz w:w="11900" w:h="16838" w:orient="portrait"/>
          <w:cols w:equalWidth="0" w:num="1">
            <w:col w:w="9019"/>
          </w:cols>
          <w:pgMar w:left="1440" w:top="1440" w:right="1440" w:bottom="1440" w:gutter="0" w:footer="0" w:header="0"/>
        </w:sectPr>
      </w:pPr>
    </w:p>
    <w:bookmarkStart w:id="80" w:name="page81"/>
    <w:bookmarkEnd w:id="8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846445" cy="7586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846445" cy="75869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lvl w:ilvl="1">
      <w:lvlJc w:val="left"/>
      <w:lvlText w:val="(%2)"/>
      <w:numFmt w:val="decimal"/>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lvl w:ilvl="1">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1"/>
      <w:numFmt w:val="decimal"/>
      <w:start w:val="1"/>
    </w:lvl>
    <w:lvl w:ilvl="1">
      <w:lvlJc w:val="left"/>
      <w:lvlText w:val="(%2)"/>
      <w:numFmt w:val="decimal"/>
      <w:start w:val="1"/>
    </w:lvl>
  </w:abstractNum>
  <w:abstractNum w:abstractNumId="20">
    <w:nsid w:val="1D4ED43B"/>
    <w:multiLevelType w:val="hybridMultilevel"/>
    <w:lvl w:ilvl="0">
      <w:lvlJc w:val="left"/>
      <w:lvlText w:val="(%1)"/>
      <w:numFmt w:val="decimal"/>
      <w:start w:val="2"/>
    </w:lvl>
    <w:lvl w:ilvl="1">
      <w:lvlJc w:val="left"/>
      <w:lvlText w:val="%2"/>
      <w:numFmt w:val="decimal"/>
      <w:start w:val="1"/>
    </w:lvl>
  </w:abstractNum>
  <w:abstractNum w:abstractNumId="21">
    <w:nsid w:val="725A06FB"/>
    <w:multiLevelType w:val="hybridMultilevel"/>
    <w:lvl w:ilvl="0">
      <w:lvlJc w:val="left"/>
      <w:lvlText w:val="(%1)"/>
      <w:numFmt w:val="lowerLetter"/>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ü"/>
      <w:numFmt w:val="bullet"/>
      <w:start w:val="1"/>
    </w:lvl>
  </w:abstractNum>
  <w:abstractNum w:abstractNumId="32">
    <w:nsid w:val="579478FE"/>
    <w:multiLevelType w:val="hybridMultilevel"/>
    <w:lvl w:ilvl="0">
      <w:lvlJc w:val="left"/>
      <w:lvlText w:val="û"/>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lowerLetter"/>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1)"/>
      <w:numFmt w:val="decimal"/>
      <w:start w:val="2"/>
    </w:lvl>
  </w:abstractNum>
  <w:abstractNum w:abstractNumId="47">
    <w:nsid w:val="1CF10FD8"/>
    <w:multiLevelType w:val="hybridMultilevel"/>
    <w:lvl w:ilvl="0">
      <w:lvlJc w:val="left"/>
      <w:lvlText w:val="(%1)"/>
      <w:numFmt w:val="decimal"/>
      <w:start w:val="4"/>
    </w:lvl>
  </w:abstractNum>
  <w:abstractNum w:abstractNumId="48">
    <w:nsid w:val="180115BE"/>
    <w:multiLevelType w:val="hybridMultilevel"/>
    <w:lvl w:ilvl="0">
      <w:lvlJc w:val="left"/>
      <w:lvlText w:val="(%1)"/>
      <w:numFmt w:val="decimal"/>
      <w:start w:val="6"/>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lowerRoman"/>
      <w:start w:val="2"/>
    </w:lvl>
  </w:abstractNum>
  <w:abstractNum w:abstractNumId="52">
    <w:nsid w:val="15B5AF5C"/>
    <w:multiLevelType w:val="hybridMultilevel"/>
    <w:lvl w:ilvl="0">
      <w:lvlJc w:val="left"/>
      <w:lvlText w:val="(%1)"/>
      <w:numFmt w:val="decimal"/>
      <w:start w:val="1"/>
    </w:lvl>
  </w:abstractNum>
  <w:abstractNum w:abstractNumId="53">
    <w:nsid w:val="741226BB"/>
    <w:multiLevelType w:val="hybridMultilevel"/>
    <w:lvl w:ilvl="0">
      <w:lvlJc w:val="left"/>
      <w:lvlText w:val="(%1)"/>
      <w:numFmt w:val="decimal"/>
      <w:start w:val="3"/>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1)"/>
      <w:numFmt w:val="lowerLetter"/>
      <w:start w:val="1"/>
    </w:lvl>
  </w:abstractNum>
  <w:abstractNum w:abstractNumId="62">
    <w:nsid w:val="5FF87E05"/>
    <w:multiLevelType w:val="hybridMultilevel"/>
    <w:lvl w:ilvl="0">
      <w:lvlJc w:val="left"/>
      <w:lvlText w:val="(%1)"/>
      <w:numFmt w:val="lowerLetter"/>
      <w:start w:val="1"/>
    </w:lvl>
  </w:abstractNum>
  <w:abstractNum w:abstractNumId="63">
    <w:nsid w:val="2F305DEF"/>
    <w:multiLevelType w:val="hybridMultilevel"/>
    <w:lvl w:ilvl="0">
      <w:lvlJc w:val="left"/>
      <w:lvlText w:val="(%1)"/>
      <w:numFmt w:val="lowerLetter"/>
      <w:start w:val="1"/>
    </w:lvl>
  </w:abstractNum>
  <w:abstractNum w:abstractNumId="64">
    <w:nsid w:val="25A70BF7"/>
    <w:multiLevelType w:val="hybridMultilevel"/>
    <w:lvl w:ilvl="0">
      <w:lvlJc w:val="left"/>
      <w:lvlText w:val="(%1)"/>
      <w:numFmt w:val="lowerLetter"/>
      <w:start w:val="1"/>
    </w:lvl>
  </w:abstractNum>
  <w:abstractNum w:abstractNumId="65">
    <w:nsid w:val="1DBABF00"/>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2020-06-29T15:16:11Z</dcterms:created>
  <dcterms:modified xsi:type="dcterms:W3CDTF">2020-06-29T15:16:11Z</dcterms:modified>
</cp:coreProperties>
</file>