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
        <w:spacing w:after="0"/>
        <w:rPr>
          <w:sz w:val="20"/>
          <w:szCs w:val="20"/>
          <w:color w:val="auto"/>
        </w:rPr>
      </w:pPr>
      <w:r>
        <w:rPr>
          <w:rFonts w:ascii="Arial" w:cs="Arial" w:eastAsia="Arial" w:hAnsi="Arial"/>
          <w:sz w:val="10"/>
          <w:szCs w:val="10"/>
          <w:b w:val="1"/>
          <w:bCs w:val="1"/>
          <w:color w:val="auto"/>
        </w:rPr>
        <w:t>UNITED STATES</w:t>
      </w:r>
    </w:p>
    <w:p>
      <w:pPr>
        <w:spacing w:after="0" w:line="14" w:lineRule="exact"/>
        <w:rPr>
          <w:sz w:val="24"/>
          <w:szCs w:val="24"/>
          <w:color w:val="auto"/>
        </w:rPr>
      </w:pPr>
    </w:p>
    <w:p>
      <w:pPr>
        <w:jc w:val="center"/>
        <w:ind w:right="-22"/>
        <w:spacing w:after="0"/>
        <w:rPr>
          <w:sz w:val="20"/>
          <w:szCs w:val="20"/>
          <w:color w:val="auto"/>
        </w:rPr>
      </w:pPr>
      <w:r>
        <w:rPr>
          <w:rFonts w:ascii="Arial" w:cs="Arial" w:eastAsia="Arial" w:hAnsi="Arial"/>
          <w:sz w:val="10"/>
          <w:szCs w:val="10"/>
          <w:b w:val="1"/>
          <w:bCs w:val="1"/>
          <w:color w:val="auto"/>
        </w:rPr>
        <w:t>SECURITIES AND EXCHANGE COMMISSION</w:t>
      </w:r>
    </w:p>
    <w:p>
      <w:pPr>
        <w:jc w:val="center"/>
        <w:ind w:right="-22"/>
        <w:spacing w:after="0"/>
        <w:rPr>
          <w:sz w:val="20"/>
          <w:szCs w:val="20"/>
          <w:color w:val="auto"/>
        </w:rPr>
      </w:pPr>
      <w:r>
        <w:rPr>
          <w:rFonts w:ascii="Arial" w:cs="Arial" w:eastAsia="Arial" w:hAnsi="Arial"/>
          <w:sz w:val="10"/>
          <w:szCs w:val="10"/>
          <w:b w:val="1"/>
          <w:bCs w:val="1"/>
          <w:color w:val="auto"/>
        </w:rPr>
        <w:t>Washington, D.C. 20549</w:t>
      </w:r>
    </w:p>
    <w:p>
      <w:pPr>
        <w:spacing w:after="0" w:line="97" w:lineRule="exact"/>
        <w:rPr>
          <w:sz w:val="24"/>
          <w:szCs w:val="24"/>
          <w:color w:val="auto"/>
        </w:rPr>
      </w:pPr>
    </w:p>
    <w:p>
      <w:pPr>
        <w:jc w:val="center"/>
        <w:ind w:right="-22"/>
        <w:spacing w:after="0"/>
        <w:rPr>
          <w:sz w:val="20"/>
          <w:szCs w:val="20"/>
          <w:color w:val="auto"/>
        </w:rPr>
      </w:pPr>
      <w:r>
        <w:rPr>
          <w:rFonts w:ascii="Arial" w:cs="Arial" w:eastAsia="Arial" w:hAnsi="Arial"/>
          <w:sz w:val="15"/>
          <w:szCs w:val="15"/>
          <w:b w:val="1"/>
          <w:bCs w:val="1"/>
          <w:color w:val="auto"/>
        </w:rPr>
        <w:t>SCHEDULE 14-A</w:t>
      </w:r>
    </w:p>
    <w:p>
      <w:pPr>
        <w:spacing w:after="0" w:line="130" w:lineRule="exact"/>
        <w:rPr>
          <w:sz w:val="24"/>
          <w:szCs w:val="24"/>
          <w:color w:val="auto"/>
        </w:rPr>
      </w:pPr>
    </w:p>
    <w:p>
      <w:pPr>
        <w:jc w:val="center"/>
        <w:ind w:right="-22"/>
        <w:spacing w:after="0"/>
        <w:rPr>
          <w:sz w:val="20"/>
          <w:szCs w:val="20"/>
          <w:color w:val="auto"/>
        </w:rPr>
      </w:pPr>
      <w:r>
        <w:rPr>
          <w:rFonts w:ascii="Arial" w:cs="Arial" w:eastAsia="Arial" w:hAnsi="Arial"/>
          <w:sz w:val="10"/>
          <w:szCs w:val="10"/>
          <w:b w:val="1"/>
          <w:bCs w:val="1"/>
          <w:color w:val="auto"/>
        </w:rPr>
        <w:t>(RULE 14a-101)</w:t>
      </w:r>
    </w:p>
    <w:p>
      <w:pPr>
        <w:spacing w:after="0" w:line="115" w:lineRule="exact"/>
        <w:rPr>
          <w:sz w:val="24"/>
          <w:szCs w:val="24"/>
          <w:color w:val="auto"/>
        </w:rPr>
      </w:pPr>
    </w:p>
    <w:p>
      <w:pPr>
        <w:jc w:val="center"/>
        <w:ind w:right="-22"/>
        <w:spacing w:after="0"/>
        <w:rPr>
          <w:sz w:val="20"/>
          <w:szCs w:val="20"/>
          <w:color w:val="auto"/>
        </w:rPr>
      </w:pPr>
      <w:r>
        <w:rPr>
          <w:rFonts w:ascii="Arial" w:cs="Arial" w:eastAsia="Arial" w:hAnsi="Arial"/>
          <w:sz w:val="10"/>
          <w:szCs w:val="10"/>
          <w:b w:val="1"/>
          <w:bCs w:val="1"/>
          <w:color w:val="auto"/>
        </w:rPr>
        <w:t>INFORMATION REQUIRED IN PROXY STATEMENT</w:t>
      </w:r>
    </w:p>
    <w:p>
      <w:pPr>
        <w:spacing w:after="0" w:line="115" w:lineRule="exact"/>
        <w:rPr>
          <w:sz w:val="24"/>
          <w:szCs w:val="24"/>
          <w:color w:val="auto"/>
        </w:rPr>
      </w:pPr>
    </w:p>
    <w:p>
      <w:pPr>
        <w:jc w:val="center"/>
        <w:ind w:right="-22"/>
        <w:spacing w:after="0"/>
        <w:rPr>
          <w:sz w:val="20"/>
          <w:szCs w:val="20"/>
          <w:color w:val="auto"/>
        </w:rPr>
      </w:pPr>
      <w:r>
        <w:rPr>
          <w:rFonts w:ascii="Arial" w:cs="Arial" w:eastAsia="Arial" w:hAnsi="Arial"/>
          <w:sz w:val="10"/>
          <w:szCs w:val="10"/>
          <w:b w:val="1"/>
          <w:bCs w:val="1"/>
          <w:color w:val="auto"/>
        </w:rPr>
        <w:t>SCHEDULE 14A INFORMATION</w:t>
      </w:r>
    </w:p>
    <w:p>
      <w:pPr>
        <w:sectPr>
          <w:pgSz w:w="11900" w:h="16838" w:orient="portrait"/>
          <w:cols w:equalWidth="0" w:num="1">
            <w:col w:w="11463"/>
          </w:cols>
          <w:pgMar w:left="217" w:top="647" w:right="219" w:bottom="1440" w:gutter="0" w:footer="0" w:header="0"/>
        </w:sectPr>
      </w:pPr>
    </w:p>
    <w:p>
      <w:pPr>
        <w:spacing w:after="0" w:line="117" w:lineRule="exact"/>
        <w:rPr>
          <w:sz w:val="24"/>
          <w:szCs w:val="24"/>
          <w:color w:val="auto"/>
        </w:rPr>
      </w:pPr>
    </w:p>
    <w:p>
      <w:pPr>
        <w:ind w:left="4703"/>
        <w:spacing w:after="0"/>
        <w:rPr>
          <w:sz w:val="20"/>
          <w:szCs w:val="20"/>
          <w:color w:val="auto"/>
        </w:rPr>
      </w:pPr>
      <w:r>
        <w:rPr>
          <w:rFonts w:ascii="Arial" w:cs="Arial" w:eastAsia="Arial" w:hAnsi="Arial"/>
          <w:sz w:val="10"/>
          <w:szCs w:val="10"/>
          <w:color w:val="auto"/>
        </w:rPr>
        <w:t>Proxy Statement Pursuant to Section 14(a) of</w:t>
      </w:r>
    </w:p>
    <w:p>
      <w:pPr>
        <w:spacing w:after="0" w:line="12" w:lineRule="exact"/>
        <w:rPr>
          <w:sz w:val="24"/>
          <w:szCs w:val="24"/>
          <w:color w:val="auto"/>
        </w:rPr>
      </w:pPr>
    </w:p>
    <w:p>
      <w:pPr>
        <w:ind w:left="4383"/>
        <w:spacing w:after="0"/>
        <w:rPr>
          <w:sz w:val="20"/>
          <w:szCs w:val="20"/>
          <w:color w:val="auto"/>
        </w:rPr>
      </w:pPr>
      <w:r>
        <w:rPr>
          <w:rFonts w:ascii="Arial" w:cs="Arial" w:eastAsia="Arial" w:hAnsi="Arial"/>
          <w:sz w:val="10"/>
          <w:szCs w:val="10"/>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Arial" w:cs="Arial" w:eastAsia="Arial" w:hAnsi="Arial"/>
          <w:sz w:val="10"/>
          <w:szCs w:val="10"/>
          <w:color w:val="auto"/>
        </w:rPr>
        <w:t>)</w:t>
      </w:r>
    </w:p>
    <w:p>
      <w:pPr>
        <w:spacing w:after="0" w:line="42" w:lineRule="exact"/>
        <w:rPr>
          <w:sz w:val="24"/>
          <w:szCs w:val="24"/>
          <w:color w:val="auto"/>
        </w:rPr>
      </w:pPr>
    </w:p>
    <w:p>
      <w:pPr>
        <w:sectPr>
          <w:pgSz w:w="11900" w:h="16838" w:orient="portrait"/>
          <w:cols w:equalWidth="0" w:num="2">
            <w:col w:w="6823" w:space="240"/>
            <w:col w:w="4400"/>
          </w:cols>
          <w:pgMar w:left="217" w:top="647" w:right="219" w:bottom="1440" w:gutter="0" w:footer="0" w:header="0"/>
          <w:type w:val="continuous"/>
        </w:sectPr>
      </w:pPr>
    </w:p>
    <w:p>
      <w:pPr>
        <w:ind w:left="3"/>
        <w:spacing w:after="0" w:line="115" w:lineRule="exact"/>
        <w:rPr>
          <w:sz w:val="20"/>
          <w:szCs w:val="20"/>
          <w:color w:val="auto"/>
        </w:rPr>
      </w:pPr>
      <w:r>
        <w:rPr>
          <w:rFonts w:ascii="Arial" w:cs="Arial" w:eastAsia="Arial" w:hAnsi="Arial"/>
          <w:sz w:val="10"/>
          <w:szCs w:val="10"/>
          <w:color w:val="auto"/>
        </w:rPr>
        <w:t xml:space="preserve">Filed by the Registrant </w:t>
      </w:r>
      <w:r>
        <w:rPr>
          <w:rFonts w:ascii="MS PGothic" w:cs="MS PGothic" w:eastAsia="MS PGothic" w:hAnsi="MS PGothic"/>
          <w:sz w:val="10"/>
          <w:szCs w:val="10"/>
          <w:color w:val="auto"/>
        </w:rPr>
        <w:t>☑</w:t>
      </w:r>
    </w:p>
    <w:p>
      <w:pPr>
        <w:spacing w:after="0" w:line="67" w:lineRule="exact"/>
        <w:rPr>
          <w:sz w:val="24"/>
          <w:szCs w:val="24"/>
          <w:color w:val="auto"/>
        </w:rPr>
      </w:pPr>
    </w:p>
    <w:p>
      <w:pPr>
        <w:ind w:left="3"/>
        <w:spacing w:after="0" w:line="115" w:lineRule="exact"/>
        <w:rPr>
          <w:sz w:val="20"/>
          <w:szCs w:val="20"/>
          <w:color w:val="auto"/>
        </w:rPr>
      </w:pPr>
      <w:r>
        <w:rPr>
          <w:rFonts w:ascii="Arial" w:cs="Arial" w:eastAsia="Arial" w:hAnsi="Arial"/>
          <w:sz w:val="10"/>
          <w:szCs w:val="10"/>
          <w:color w:val="auto"/>
        </w:rPr>
        <w:t xml:space="preserve">Filed by a Party other than the Registrant </w:t>
      </w:r>
      <w:r>
        <w:rPr>
          <w:rFonts w:ascii="MS PGothic" w:cs="MS PGothic" w:eastAsia="MS PGothic" w:hAnsi="MS PGothic"/>
          <w:sz w:val="10"/>
          <w:szCs w:val="10"/>
          <w:color w:val="auto"/>
        </w:rPr>
        <w:t>☐</w:t>
      </w:r>
    </w:p>
    <w:p>
      <w:pPr>
        <w:spacing w:after="0" w:line="82" w:lineRule="exact"/>
        <w:rPr>
          <w:sz w:val="24"/>
          <w:szCs w:val="24"/>
          <w:color w:val="auto"/>
        </w:rPr>
      </w:pPr>
    </w:p>
    <w:p>
      <w:pPr>
        <w:ind w:left="3"/>
        <w:spacing w:after="0"/>
        <w:rPr>
          <w:sz w:val="20"/>
          <w:szCs w:val="20"/>
          <w:color w:val="auto"/>
        </w:rPr>
      </w:pPr>
      <w:r>
        <w:rPr>
          <w:rFonts w:ascii="Arial" w:cs="Arial" w:eastAsia="Arial" w:hAnsi="Arial"/>
          <w:sz w:val="10"/>
          <w:szCs w:val="10"/>
          <w:color w:val="auto"/>
        </w:rPr>
        <w:t>Check the appropriate box:</w:t>
      </w:r>
    </w:p>
    <w:p>
      <w:pPr>
        <w:spacing w:after="0" w:line="58" w:lineRule="exact"/>
        <w:rPr>
          <w:sz w:val="24"/>
          <w:szCs w:val="24"/>
          <w:color w:val="auto"/>
        </w:rPr>
      </w:pPr>
    </w:p>
    <w:p>
      <w:pPr>
        <w:ind w:left="123" w:hanging="123"/>
        <w:spacing w:after="0"/>
        <w:tabs>
          <w:tab w:leader="none" w:pos="123" w:val="left"/>
        </w:tabs>
        <w:numPr>
          <w:ilvl w:val="0"/>
          <w:numId w:val="1"/>
        </w:numPr>
        <w:rPr>
          <w:rFonts w:ascii="MS PGothic" w:cs="MS PGothic" w:eastAsia="MS PGothic" w:hAnsi="MS PGothic"/>
          <w:sz w:val="10"/>
          <w:szCs w:val="10"/>
          <w:color w:val="auto"/>
        </w:rPr>
      </w:pPr>
      <w:r>
        <w:rPr>
          <w:rFonts w:ascii="Arial" w:cs="Arial" w:eastAsia="Arial" w:hAnsi="Arial"/>
          <w:sz w:val="10"/>
          <w:szCs w:val="10"/>
          <w:color w:val="auto"/>
        </w:rPr>
        <w:t>Preliminary Proxy Statement</w:t>
      </w:r>
    </w:p>
    <w:p>
      <w:pPr>
        <w:spacing w:after="0" w:line="65" w:lineRule="exact"/>
        <w:rPr>
          <w:rFonts w:ascii="MS PGothic" w:cs="MS PGothic" w:eastAsia="MS PGothic" w:hAnsi="MS PGothic"/>
          <w:sz w:val="10"/>
          <w:szCs w:val="10"/>
          <w:color w:val="auto"/>
        </w:rPr>
      </w:pPr>
    </w:p>
    <w:p>
      <w:pPr>
        <w:ind w:left="123" w:hanging="123"/>
        <w:spacing w:after="0"/>
        <w:tabs>
          <w:tab w:leader="none" w:pos="123"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Confidential, for Use of the Commission Only (as permitted by Rule 14a-6(e)(2))</w:t>
      </w:r>
    </w:p>
    <w:p>
      <w:pPr>
        <w:spacing w:after="0" w:line="55" w:lineRule="exact"/>
        <w:rPr>
          <w:rFonts w:ascii="MS PGothic" w:cs="MS PGothic" w:eastAsia="MS PGothic" w:hAnsi="MS PGothic"/>
          <w:sz w:val="10"/>
          <w:szCs w:val="10"/>
          <w:color w:val="auto"/>
        </w:rPr>
      </w:pPr>
    </w:p>
    <w:p>
      <w:pPr>
        <w:ind w:left="3"/>
        <w:spacing w:after="0" w:line="115" w:lineRule="exact"/>
        <w:rPr>
          <w:rFonts w:ascii="MS PGothic" w:cs="MS PGothic" w:eastAsia="MS PGothic" w:hAnsi="MS PGothic"/>
          <w:sz w:val="10"/>
          <w:szCs w:val="1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Definitive Proxy Statement</w:t>
      </w:r>
    </w:p>
    <w:p>
      <w:pPr>
        <w:spacing w:after="0" w:line="81" w:lineRule="exact"/>
        <w:rPr>
          <w:rFonts w:ascii="MS PGothic" w:cs="MS PGothic" w:eastAsia="MS PGothic" w:hAnsi="MS PGothic"/>
          <w:sz w:val="10"/>
          <w:szCs w:val="10"/>
          <w:color w:val="auto"/>
        </w:rPr>
      </w:pPr>
    </w:p>
    <w:p>
      <w:pPr>
        <w:ind w:left="123" w:hanging="123"/>
        <w:spacing w:after="0"/>
        <w:tabs>
          <w:tab w:leader="none" w:pos="123" w:val="left"/>
        </w:tabs>
        <w:numPr>
          <w:ilvl w:val="0"/>
          <w:numId w:val="1"/>
        </w:numPr>
        <w:rPr>
          <w:rFonts w:ascii="MS PGothic" w:cs="MS PGothic" w:eastAsia="MS PGothic" w:hAnsi="MS PGothic"/>
          <w:sz w:val="10"/>
          <w:szCs w:val="10"/>
          <w:color w:val="auto"/>
        </w:rPr>
      </w:pPr>
      <w:r>
        <w:rPr>
          <w:rFonts w:ascii="Arial" w:cs="Arial" w:eastAsia="Arial" w:hAnsi="Arial"/>
          <w:sz w:val="10"/>
          <w:szCs w:val="10"/>
          <w:color w:val="auto"/>
        </w:rPr>
        <w:t>Definitive Additional Materials</w:t>
      </w:r>
    </w:p>
    <w:p>
      <w:pPr>
        <w:spacing w:after="0" w:line="63" w:lineRule="exact"/>
        <w:rPr>
          <w:rFonts w:ascii="MS PGothic" w:cs="MS PGothic" w:eastAsia="MS PGothic" w:hAnsi="MS PGothic"/>
          <w:sz w:val="10"/>
          <w:szCs w:val="10"/>
          <w:color w:val="auto"/>
        </w:rPr>
      </w:pPr>
    </w:p>
    <w:p>
      <w:pPr>
        <w:ind w:left="123" w:hanging="123"/>
        <w:spacing w:after="0"/>
        <w:tabs>
          <w:tab w:leader="none" w:pos="123" w:val="left"/>
        </w:tabs>
        <w:numPr>
          <w:ilvl w:val="0"/>
          <w:numId w:val="1"/>
        </w:numPr>
        <w:rPr>
          <w:rFonts w:ascii="MS PGothic" w:cs="MS PGothic" w:eastAsia="MS PGothic" w:hAnsi="MS PGothic"/>
          <w:sz w:val="10"/>
          <w:szCs w:val="10"/>
          <w:color w:val="auto"/>
        </w:rPr>
      </w:pPr>
      <w:r>
        <w:rPr>
          <w:rFonts w:ascii="Arial" w:cs="Arial" w:eastAsia="Arial" w:hAnsi="Arial"/>
          <w:sz w:val="10"/>
          <w:szCs w:val="10"/>
          <w:color w:val="auto"/>
        </w:rPr>
        <w:t xml:space="preserve">Soliciting Materials Pursuant to </w:t>
      </w:r>
      <w:r>
        <w:rPr>
          <w:rFonts w:ascii="Times New Roman" w:cs="Times New Roman" w:eastAsia="Times New Roman" w:hAnsi="Times New Roman"/>
          <w:sz w:val="12"/>
          <w:szCs w:val="12"/>
          <w:color w:val="auto"/>
        </w:rPr>
        <w:t>§</w:t>
      </w:r>
      <w:r>
        <w:rPr>
          <w:rFonts w:ascii="Arial" w:cs="Arial" w:eastAsia="Arial" w:hAnsi="Arial"/>
          <w:sz w:val="10"/>
          <w:szCs w:val="10"/>
          <w:color w:val="auto"/>
        </w:rPr>
        <w:t>240.14a-12</w:t>
      </w:r>
    </w:p>
    <w:p>
      <w:pPr>
        <w:spacing w:after="0" w:line="296" w:lineRule="exact"/>
        <w:rPr>
          <w:sz w:val="24"/>
          <w:szCs w:val="24"/>
          <w:color w:val="auto"/>
        </w:rPr>
      </w:pPr>
    </w:p>
    <w:p>
      <w:pPr>
        <w:jc w:val="center"/>
        <w:ind w:right="-2"/>
        <w:spacing w:after="0"/>
        <w:rPr>
          <w:sz w:val="20"/>
          <w:szCs w:val="20"/>
          <w:color w:val="auto"/>
        </w:rPr>
      </w:pPr>
      <w:r>
        <w:rPr>
          <w:rFonts w:ascii="Arial" w:cs="Arial" w:eastAsia="Arial" w:hAnsi="Arial"/>
          <w:sz w:val="10"/>
          <w:szCs w:val="10"/>
          <w:b w:val="1"/>
          <w:bCs w:val="1"/>
          <w:color w:val="auto"/>
        </w:rPr>
        <w:t>BOOZ ALLEN HAMILTON HOLDING CORPORATION</w:t>
      </w:r>
    </w:p>
    <w:p>
      <w:pPr>
        <w:spacing w:after="0" w:line="117" w:lineRule="exact"/>
        <w:rPr>
          <w:sz w:val="24"/>
          <w:szCs w:val="24"/>
          <w:color w:val="auto"/>
        </w:rPr>
      </w:pPr>
    </w:p>
    <w:p>
      <w:pPr>
        <w:jc w:val="center"/>
        <w:ind w:right="-2"/>
        <w:spacing w:after="0"/>
        <w:rPr>
          <w:sz w:val="20"/>
          <w:szCs w:val="20"/>
          <w:color w:val="auto"/>
        </w:rPr>
      </w:pPr>
      <w:r>
        <w:rPr>
          <w:rFonts w:ascii="Arial" w:cs="Arial" w:eastAsia="Arial" w:hAnsi="Arial"/>
          <w:sz w:val="10"/>
          <w:szCs w:val="10"/>
          <w:color w:val="auto"/>
        </w:rPr>
        <w:t>(Name of Registrant as Specified In Its Charter)</w:t>
      </w:r>
    </w:p>
    <w:p>
      <w:pPr>
        <w:spacing w:after="0" w:line="115" w:lineRule="exact"/>
        <w:rPr>
          <w:sz w:val="24"/>
          <w:szCs w:val="24"/>
          <w:color w:val="auto"/>
        </w:rPr>
      </w:pPr>
    </w:p>
    <w:p>
      <w:pPr>
        <w:jc w:val="center"/>
        <w:ind w:right="-2"/>
        <w:spacing w:after="0"/>
        <w:rPr>
          <w:sz w:val="20"/>
          <w:szCs w:val="20"/>
          <w:color w:val="auto"/>
        </w:rPr>
      </w:pPr>
      <w:r>
        <w:rPr>
          <w:rFonts w:ascii="Arial" w:cs="Arial" w:eastAsia="Arial" w:hAnsi="Arial"/>
          <w:sz w:val="10"/>
          <w:szCs w:val="10"/>
          <w:color w:val="auto"/>
        </w:rPr>
        <w:t>(Name of Person(s) Filing Proxy Statement, if other than the Registrant)</w:t>
      </w:r>
    </w:p>
    <w:p>
      <w:pPr>
        <w:spacing w:after="0" w:line="58" w:lineRule="exact"/>
        <w:rPr>
          <w:sz w:val="24"/>
          <w:szCs w:val="24"/>
          <w:color w:val="auto"/>
        </w:rPr>
      </w:pPr>
    </w:p>
    <w:p>
      <w:pPr>
        <w:ind w:left="3"/>
        <w:spacing w:after="0"/>
        <w:rPr>
          <w:sz w:val="20"/>
          <w:szCs w:val="20"/>
          <w:color w:val="auto"/>
        </w:rPr>
      </w:pPr>
      <w:r>
        <w:rPr>
          <w:rFonts w:ascii="Arial" w:cs="Arial" w:eastAsia="Arial" w:hAnsi="Arial"/>
          <w:sz w:val="10"/>
          <w:szCs w:val="10"/>
          <w:color w:val="auto"/>
        </w:rPr>
        <w:t>Payment of Filing Fee (Check the appropriate box):</w:t>
      </w:r>
    </w:p>
    <w:p>
      <w:pPr>
        <w:spacing w:after="0" w:line="58" w:lineRule="exact"/>
        <w:rPr>
          <w:sz w:val="24"/>
          <w:szCs w:val="24"/>
          <w:color w:val="auto"/>
        </w:rPr>
      </w:pPr>
    </w:p>
    <w:p>
      <w:pPr>
        <w:ind w:left="123" w:hanging="123"/>
        <w:spacing w:after="0"/>
        <w:tabs>
          <w:tab w:leader="none" w:pos="123" w:val="left"/>
        </w:tabs>
        <w:numPr>
          <w:ilvl w:val="0"/>
          <w:numId w:val="2"/>
        </w:numPr>
        <w:rPr>
          <w:rFonts w:ascii="MS PGothic" w:cs="MS PGothic" w:eastAsia="MS PGothic" w:hAnsi="MS PGothic"/>
          <w:sz w:val="10"/>
          <w:szCs w:val="10"/>
          <w:color w:val="auto"/>
        </w:rPr>
      </w:pPr>
      <w:r>
        <w:rPr>
          <w:rFonts w:ascii="Arial" w:cs="Arial" w:eastAsia="Arial" w:hAnsi="Arial"/>
          <w:sz w:val="10"/>
          <w:szCs w:val="10"/>
          <w:color w:val="auto"/>
        </w:rPr>
        <w:t>No fee required.</w:t>
      </w:r>
    </w:p>
    <w:p>
      <w:pPr>
        <w:spacing w:after="0" w:line="67" w:lineRule="exact"/>
        <w:rPr>
          <w:sz w:val="24"/>
          <w:szCs w:val="24"/>
          <w:color w:val="auto"/>
        </w:rPr>
      </w:pPr>
    </w:p>
    <w:p>
      <w:pPr>
        <w:ind w:left="123" w:hanging="123"/>
        <w:spacing w:after="0"/>
        <w:tabs>
          <w:tab w:leader="none" w:pos="123" w:val="left"/>
        </w:tabs>
        <w:numPr>
          <w:ilvl w:val="0"/>
          <w:numId w:val="3"/>
        </w:numPr>
        <w:rPr>
          <w:rFonts w:ascii="MS PGothic" w:cs="MS PGothic" w:eastAsia="MS PGothic" w:hAnsi="MS PGothic"/>
          <w:sz w:val="10"/>
          <w:szCs w:val="10"/>
          <w:color w:val="auto"/>
        </w:rPr>
      </w:pPr>
      <w:r>
        <w:rPr>
          <w:rFonts w:ascii="Arial" w:cs="Arial" w:eastAsia="Arial" w:hAnsi="Arial"/>
          <w:sz w:val="10"/>
          <w:szCs w:val="10"/>
          <w:color w:val="auto"/>
        </w:rPr>
        <w:t>Fee computed on table below per Exchange Act Rules 14a-6(i)(1) and 0-11.</w:t>
      </w:r>
    </w:p>
    <w:p>
      <w:pPr>
        <w:spacing w:after="0" w:line="31" w:lineRule="exact"/>
        <w:rPr>
          <w:rFonts w:ascii="MS PGothic" w:cs="MS PGothic" w:eastAsia="MS PGothic" w:hAnsi="MS PGothic"/>
          <w:sz w:val="10"/>
          <w:szCs w:val="10"/>
          <w:color w:val="auto"/>
        </w:rPr>
      </w:pPr>
    </w:p>
    <w:p>
      <w:pPr>
        <w:ind w:left="463" w:hanging="233"/>
        <w:spacing w:after="0" w:line="216" w:lineRule="auto"/>
        <w:tabs>
          <w:tab w:leader="none" w:pos="463" w:val="left"/>
        </w:tabs>
        <w:numPr>
          <w:ilvl w:val="1"/>
          <w:numId w:val="3"/>
        </w:numPr>
        <w:rPr>
          <w:rFonts w:ascii="Times New Roman" w:cs="Times New Roman" w:eastAsia="Times New Roman" w:hAnsi="Times New Roman"/>
          <w:sz w:val="12"/>
          <w:szCs w:val="12"/>
          <w:color w:val="auto"/>
        </w:rPr>
      </w:pPr>
      <w:r>
        <w:rPr>
          <w:rFonts w:ascii="Arial" w:cs="Arial" w:eastAsia="Arial" w:hAnsi="Arial"/>
          <w:sz w:val="10"/>
          <w:szCs w:val="10"/>
          <w:color w:val="auto"/>
        </w:rPr>
        <w:t>Title of each class of securities to which transaction applies:</w:t>
      </w:r>
    </w:p>
    <w:p>
      <w:pPr>
        <w:spacing w:after="0" w:line="142" w:lineRule="exact"/>
        <w:rPr>
          <w:rFonts w:ascii="Times New Roman" w:cs="Times New Roman" w:eastAsia="Times New Roman" w:hAnsi="Times New Roman"/>
          <w:sz w:val="12"/>
          <w:szCs w:val="12"/>
          <w:color w:val="auto"/>
        </w:rPr>
      </w:pPr>
    </w:p>
    <w:p>
      <w:pPr>
        <w:ind w:left="463" w:hanging="233"/>
        <w:spacing w:after="0"/>
        <w:tabs>
          <w:tab w:leader="none" w:pos="463" w:val="left"/>
        </w:tabs>
        <w:numPr>
          <w:ilvl w:val="1"/>
          <w:numId w:val="3"/>
        </w:numPr>
        <w:rPr>
          <w:rFonts w:ascii="Arial" w:cs="Arial" w:eastAsia="Arial" w:hAnsi="Arial"/>
          <w:sz w:val="10"/>
          <w:szCs w:val="10"/>
          <w:color w:val="auto"/>
        </w:rPr>
      </w:pPr>
      <w:r>
        <w:rPr>
          <w:rFonts w:ascii="Arial" w:cs="Arial" w:eastAsia="Arial" w:hAnsi="Arial"/>
          <w:sz w:val="10"/>
          <w:szCs w:val="10"/>
          <w:color w:val="auto"/>
        </w:rPr>
        <w:t>Aggregate number of securities to which transaction applies:</w:t>
      </w:r>
    </w:p>
    <w:p>
      <w:pPr>
        <w:spacing w:after="0" w:line="153" w:lineRule="exact"/>
        <w:rPr>
          <w:rFonts w:ascii="Arial" w:cs="Arial" w:eastAsia="Arial" w:hAnsi="Arial"/>
          <w:sz w:val="10"/>
          <w:szCs w:val="10"/>
          <w:color w:val="auto"/>
        </w:rPr>
      </w:pPr>
    </w:p>
    <w:p>
      <w:pPr>
        <w:ind w:left="463" w:hanging="233"/>
        <w:spacing w:after="0"/>
        <w:tabs>
          <w:tab w:leader="none" w:pos="463" w:val="left"/>
        </w:tabs>
        <w:numPr>
          <w:ilvl w:val="1"/>
          <w:numId w:val="3"/>
        </w:numPr>
        <w:rPr>
          <w:rFonts w:ascii="Arial" w:cs="Arial" w:eastAsia="Arial" w:hAnsi="Arial"/>
          <w:sz w:val="10"/>
          <w:szCs w:val="10"/>
          <w:color w:val="auto"/>
        </w:rPr>
      </w:pPr>
      <w:r>
        <w:rPr>
          <w:rFonts w:ascii="Arial" w:cs="Arial" w:eastAsia="Arial" w:hAnsi="Arial"/>
          <w:sz w:val="10"/>
          <w:szCs w:val="10"/>
          <w:color w:val="auto"/>
        </w:rPr>
        <w:t>Per unit price or other underlying value of transaction computed pursuant to Exchange Act Rule 0-11 (set forth the amount on which the filing fee is calculated and state how it was determined):</w:t>
      </w:r>
    </w:p>
    <w:p>
      <w:pPr>
        <w:spacing w:after="0" w:line="153" w:lineRule="exact"/>
        <w:rPr>
          <w:rFonts w:ascii="Arial" w:cs="Arial" w:eastAsia="Arial" w:hAnsi="Arial"/>
          <w:sz w:val="10"/>
          <w:szCs w:val="10"/>
          <w:color w:val="auto"/>
        </w:rPr>
      </w:pPr>
    </w:p>
    <w:p>
      <w:pPr>
        <w:ind w:left="463" w:hanging="233"/>
        <w:spacing w:after="0"/>
        <w:tabs>
          <w:tab w:leader="none" w:pos="463" w:val="left"/>
        </w:tabs>
        <w:numPr>
          <w:ilvl w:val="1"/>
          <w:numId w:val="3"/>
        </w:numPr>
        <w:rPr>
          <w:rFonts w:ascii="Arial" w:cs="Arial" w:eastAsia="Arial" w:hAnsi="Arial"/>
          <w:sz w:val="10"/>
          <w:szCs w:val="10"/>
          <w:color w:val="auto"/>
        </w:rPr>
      </w:pPr>
      <w:r>
        <w:rPr>
          <w:rFonts w:ascii="Arial" w:cs="Arial" w:eastAsia="Arial" w:hAnsi="Arial"/>
          <w:sz w:val="10"/>
          <w:szCs w:val="10"/>
          <w:color w:val="auto"/>
        </w:rPr>
        <w:t>Proposed maximum aggregate value of transaction:</w:t>
      </w:r>
    </w:p>
    <w:p>
      <w:pPr>
        <w:spacing w:after="0" w:line="153" w:lineRule="exact"/>
        <w:rPr>
          <w:rFonts w:ascii="Arial" w:cs="Arial" w:eastAsia="Arial" w:hAnsi="Arial"/>
          <w:sz w:val="10"/>
          <w:szCs w:val="10"/>
          <w:color w:val="auto"/>
        </w:rPr>
      </w:pPr>
    </w:p>
    <w:p>
      <w:pPr>
        <w:ind w:left="463" w:hanging="233"/>
        <w:spacing w:after="0"/>
        <w:tabs>
          <w:tab w:leader="none" w:pos="463" w:val="left"/>
        </w:tabs>
        <w:numPr>
          <w:ilvl w:val="1"/>
          <w:numId w:val="3"/>
        </w:numPr>
        <w:rPr>
          <w:rFonts w:ascii="Arial" w:cs="Arial" w:eastAsia="Arial" w:hAnsi="Arial"/>
          <w:sz w:val="10"/>
          <w:szCs w:val="10"/>
          <w:color w:val="auto"/>
        </w:rPr>
      </w:pPr>
      <w:r>
        <w:rPr>
          <w:rFonts w:ascii="Arial" w:cs="Arial" w:eastAsia="Arial" w:hAnsi="Arial"/>
          <w:sz w:val="10"/>
          <w:szCs w:val="10"/>
          <w:color w:val="auto"/>
        </w:rPr>
        <w:t>Total fee paid:</w:t>
      </w:r>
    </w:p>
    <w:p>
      <w:pPr>
        <w:spacing w:after="0" w:line="211" w:lineRule="exact"/>
        <w:rPr>
          <w:rFonts w:ascii="Arial" w:cs="Arial" w:eastAsia="Arial" w:hAnsi="Arial"/>
          <w:sz w:val="10"/>
          <w:szCs w:val="10"/>
          <w:color w:val="auto"/>
        </w:rPr>
      </w:pPr>
    </w:p>
    <w:p>
      <w:pPr>
        <w:ind w:left="123" w:hanging="123"/>
        <w:spacing w:after="0"/>
        <w:tabs>
          <w:tab w:leader="none" w:pos="123" w:val="left"/>
        </w:tabs>
        <w:numPr>
          <w:ilvl w:val="0"/>
          <w:numId w:val="3"/>
        </w:numPr>
        <w:rPr>
          <w:rFonts w:ascii="MS PGothic" w:cs="MS PGothic" w:eastAsia="MS PGothic" w:hAnsi="MS PGothic"/>
          <w:sz w:val="10"/>
          <w:szCs w:val="10"/>
          <w:color w:val="auto"/>
        </w:rPr>
      </w:pPr>
      <w:r>
        <w:rPr>
          <w:rFonts w:ascii="Arial" w:cs="Arial" w:eastAsia="Arial" w:hAnsi="Arial"/>
          <w:sz w:val="10"/>
          <w:szCs w:val="10"/>
          <w:color w:val="auto"/>
        </w:rPr>
        <w:t>Fee paid previously with preliminary materials.</w:t>
      </w:r>
    </w:p>
    <w:p>
      <w:pPr>
        <w:spacing w:after="0" w:line="67" w:lineRule="exact"/>
        <w:rPr>
          <w:rFonts w:ascii="MS PGothic" w:cs="MS PGothic" w:eastAsia="MS PGothic" w:hAnsi="MS PGothic"/>
          <w:sz w:val="10"/>
          <w:szCs w:val="10"/>
          <w:color w:val="auto"/>
        </w:rPr>
      </w:pPr>
    </w:p>
    <w:p>
      <w:pPr>
        <w:ind w:left="3" w:hanging="3"/>
        <w:spacing w:after="0" w:line="305" w:lineRule="auto"/>
        <w:tabs>
          <w:tab w:leader="none" w:pos="125" w:val="left"/>
        </w:tabs>
        <w:numPr>
          <w:ilvl w:val="0"/>
          <w:numId w:val="3"/>
        </w:numPr>
        <w:rPr>
          <w:rFonts w:ascii="MS PGothic" w:cs="MS PGothic" w:eastAsia="MS PGothic" w:hAnsi="MS PGothic"/>
          <w:sz w:val="10"/>
          <w:szCs w:val="10"/>
          <w:color w:val="auto"/>
        </w:rPr>
      </w:pPr>
      <w:r>
        <w:rPr>
          <w:rFonts w:ascii="Arial" w:cs="Arial" w:eastAsia="Arial" w:hAnsi="Arial"/>
          <w:sz w:val="10"/>
          <w:szCs w:val="10"/>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2" w:lineRule="exact"/>
        <w:rPr>
          <w:rFonts w:ascii="MS PGothic" w:cs="MS PGothic" w:eastAsia="MS PGothic" w:hAnsi="MS PGothic"/>
          <w:sz w:val="10"/>
          <w:szCs w:val="10"/>
          <w:color w:val="auto"/>
        </w:rPr>
      </w:pPr>
    </w:p>
    <w:p>
      <w:pPr>
        <w:ind w:left="463" w:hanging="233"/>
        <w:spacing w:after="0"/>
        <w:tabs>
          <w:tab w:leader="none" w:pos="463" w:val="left"/>
        </w:tabs>
        <w:numPr>
          <w:ilvl w:val="1"/>
          <w:numId w:val="3"/>
        </w:numPr>
        <w:rPr>
          <w:rFonts w:ascii="Arial" w:cs="Arial" w:eastAsia="Arial" w:hAnsi="Arial"/>
          <w:sz w:val="10"/>
          <w:szCs w:val="10"/>
          <w:color w:val="auto"/>
        </w:rPr>
      </w:pPr>
      <w:r>
        <w:rPr>
          <w:rFonts w:ascii="Arial" w:cs="Arial" w:eastAsia="Arial" w:hAnsi="Arial"/>
          <w:sz w:val="10"/>
          <w:szCs w:val="10"/>
          <w:color w:val="auto"/>
        </w:rPr>
        <w:t>Amount Previously Paid:</w:t>
      </w:r>
    </w:p>
    <w:p>
      <w:pPr>
        <w:spacing w:after="0" w:line="153" w:lineRule="exact"/>
        <w:rPr>
          <w:rFonts w:ascii="Arial" w:cs="Arial" w:eastAsia="Arial" w:hAnsi="Arial"/>
          <w:sz w:val="10"/>
          <w:szCs w:val="10"/>
          <w:color w:val="auto"/>
        </w:rPr>
      </w:pPr>
    </w:p>
    <w:p>
      <w:pPr>
        <w:ind w:left="463" w:hanging="233"/>
        <w:spacing w:after="0"/>
        <w:tabs>
          <w:tab w:leader="none" w:pos="463" w:val="left"/>
        </w:tabs>
        <w:numPr>
          <w:ilvl w:val="1"/>
          <w:numId w:val="3"/>
        </w:numPr>
        <w:rPr>
          <w:rFonts w:ascii="Arial" w:cs="Arial" w:eastAsia="Arial" w:hAnsi="Arial"/>
          <w:sz w:val="10"/>
          <w:szCs w:val="10"/>
          <w:color w:val="auto"/>
        </w:rPr>
      </w:pPr>
      <w:r>
        <w:rPr>
          <w:rFonts w:ascii="Arial" w:cs="Arial" w:eastAsia="Arial" w:hAnsi="Arial"/>
          <w:sz w:val="10"/>
          <w:szCs w:val="10"/>
          <w:color w:val="auto"/>
        </w:rPr>
        <w:t>Form, Schedule or Registration Statement No.:</w:t>
      </w:r>
    </w:p>
    <w:p>
      <w:pPr>
        <w:spacing w:after="0" w:line="153" w:lineRule="exact"/>
        <w:rPr>
          <w:rFonts w:ascii="Arial" w:cs="Arial" w:eastAsia="Arial" w:hAnsi="Arial"/>
          <w:sz w:val="10"/>
          <w:szCs w:val="10"/>
          <w:color w:val="auto"/>
        </w:rPr>
      </w:pPr>
    </w:p>
    <w:p>
      <w:pPr>
        <w:ind w:left="463" w:hanging="233"/>
        <w:spacing w:after="0"/>
        <w:tabs>
          <w:tab w:leader="none" w:pos="463" w:val="left"/>
        </w:tabs>
        <w:numPr>
          <w:ilvl w:val="1"/>
          <w:numId w:val="3"/>
        </w:numPr>
        <w:rPr>
          <w:rFonts w:ascii="Arial" w:cs="Arial" w:eastAsia="Arial" w:hAnsi="Arial"/>
          <w:sz w:val="10"/>
          <w:szCs w:val="10"/>
          <w:color w:val="auto"/>
        </w:rPr>
      </w:pPr>
      <w:r>
        <w:rPr>
          <w:rFonts w:ascii="Arial" w:cs="Arial" w:eastAsia="Arial" w:hAnsi="Arial"/>
          <w:sz w:val="10"/>
          <w:szCs w:val="10"/>
          <w:color w:val="auto"/>
        </w:rPr>
        <w:t>Filing Party:</w:t>
      </w:r>
    </w:p>
    <w:p>
      <w:pPr>
        <w:spacing w:after="0" w:line="153" w:lineRule="exact"/>
        <w:rPr>
          <w:rFonts w:ascii="Arial" w:cs="Arial" w:eastAsia="Arial" w:hAnsi="Arial"/>
          <w:sz w:val="10"/>
          <w:szCs w:val="10"/>
          <w:color w:val="auto"/>
        </w:rPr>
      </w:pPr>
    </w:p>
    <w:p>
      <w:pPr>
        <w:ind w:left="463" w:hanging="233"/>
        <w:spacing w:after="0"/>
        <w:tabs>
          <w:tab w:leader="none" w:pos="463" w:val="left"/>
        </w:tabs>
        <w:numPr>
          <w:ilvl w:val="1"/>
          <w:numId w:val="3"/>
        </w:numPr>
        <w:rPr>
          <w:rFonts w:ascii="Arial" w:cs="Arial" w:eastAsia="Arial" w:hAnsi="Arial"/>
          <w:sz w:val="10"/>
          <w:szCs w:val="10"/>
          <w:color w:val="auto"/>
        </w:rPr>
      </w:pPr>
      <w:r>
        <w:rPr>
          <w:rFonts w:ascii="Arial" w:cs="Arial" w:eastAsia="Arial" w:hAnsi="Arial"/>
          <w:sz w:val="10"/>
          <w:szCs w:val="10"/>
          <w:color w:val="auto"/>
        </w:rPr>
        <w:t>Date Filed:</w:t>
      </w:r>
    </w:p>
    <w:p>
      <w:pPr>
        <w:sectPr>
          <w:pgSz w:w="11900" w:h="16838" w:orient="portrait"/>
          <w:cols w:equalWidth="0" w:num="1">
            <w:col w:w="11463"/>
          </w:cols>
          <w:pgMar w:left="217" w:top="647" w:right="21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1820545</wp:posOffset>
            </wp:positionH>
            <wp:positionV relativeFrom="page">
              <wp:posOffset>2149475</wp:posOffset>
            </wp:positionV>
            <wp:extent cx="3926840" cy="438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926840" cy="43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547BCC"/>
        </w:rPr>
        <w:t>Notice of 2018</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547BCC"/>
        </w:rPr>
        <w:t>Annual Meeting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547BCC"/>
        </w:rPr>
        <w:t>of Stockholders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547BCC"/>
        </w:rPr>
        <w:t>and Proxy Statement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547BCC"/>
        </w:rPr>
        <w:t>July 26, 2018</w:t>
      </w:r>
    </w:p>
    <w:p>
      <w:pPr>
        <w:sectPr>
          <w:pgSz w:w="11900" w:h="16838" w:orient="portrait"/>
          <w:cols w:equalWidth="0" w:num="1">
            <w:col w:w="9019"/>
          </w:cols>
          <w:pgMar w:left="1440" w:top="1440" w:right="1440" w:bottom="1440" w:gutter="0" w:footer="0" w:header="0"/>
        </w:sectPr>
      </w:pPr>
    </w:p>
    <w:bookmarkStart w:id="2" w:name="page3"/>
    <w:bookmarkEnd w:id="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60"/>
        <w:spacing w:after="0"/>
        <w:rPr>
          <w:sz w:val="20"/>
          <w:szCs w:val="20"/>
          <w:color w:val="auto"/>
        </w:rPr>
      </w:pPr>
      <w:r>
        <w:rPr>
          <w:rFonts w:ascii="Arial" w:cs="Arial" w:eastAsia="Arial" w:hAnsi="Arial"/>
          <w:sz w:val="12"/>
          <w:szCs w:val="12"/>
          <w:color w:val="547BCC"/>
        </w:rPr>
        <w:drawing>
          <wp:anchor simplePos="0" relativeHeight="251657728" behindDoc="1" locked="0" layoutInCell="0" allowOverlap="1">
            <wp:simplePos x="0" y="0"/>
            <wp:positionH relativeFrom="page">
              <wp:posOffset>137795</wp:posOffset>
            </wp:positionH>
            <wp:positionV relativeFrom="page">
              <wp:posOffset>369570</wp:posOffset>
            </wp:positionV>
            <wp:extent cx="1560830" cy="170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560830" cy="170815"/>
                    </a:xfrm>
                    <a:prstGeom prst="rect">
                      <a:avLst/>
                    </a:prstGeom>
                    <a:noFill/>
                  </pic:spPr>
                </pic:pic>
              </a:graphicData>
            </a:graphic>
          </wp:anchor>
        </w:drawing>
        <w:t>Booz Allen Hamilton Holding Corporation</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547BCC"/>
        </w:rPr>
        <w:t>8283 Greensboro Drive</w:t>
      </w:r>
    </w:p>
    <w:p>
      <w:pPr>
        <w:jc w:val="center"/>
        <w:ind w:right="60"/>
        <w:spacing w:after="0"/>
        <w:rPr>
          <w:sz w:val="20"/>
          <w:szCs w:val="20"/>
          <w:color w:val="auto"/>
        </w:rPr>
      </w:pPr>
      <w:r>
        <w:rPr>
          <w:rFonts w:ascii="Arial" w:cs="Arial" w:eastAsia="Arial" w:hAnsi="Arial"/>
          <w:sz w:val="12"/>
          <w:szCs w:val="12"/>
          <w:color w:val="547BCC"/>
        </w:rPr>
        <w:t>McLean, Virginia 22102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240665</wp:posOffset>
            </wp:positionV>
            <wp:extent cx="71031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3110" cy="63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3"/>
          <w:szCs w:val="13"/>
          <w:color w:val="666666"/>
        </w:rPr>
        <w:t>June 14,</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666666"/>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6650355</wp:posOffset>
            </wp:positionH>
            <wp:positionV relativeFrom="paragraph">
              <wp:posOffset>149225</wp:posOffset>
            </wp:positionV>
            <wp:extent cx="621665" cy="890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1665" cy="89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color w:val="666666"/>
        </w:rPr>
        <w:t>Dear Fellow Stockholder:</w:t>
      </w:r>
    </w:p>
    <w:p>
      <w:pPr>
        <w:spacing w:after="0" w:line="146" w:lineRule="exact"/>
        <w:rPr>
          <w:sz w:val="20"/>
          <w:szCs w:val="20"/>
          <w:color w:val="auto"/>
        </w:rPr>
      </w:pPr>
    </w:p>
    <w:p>
      <w:pPr>
        <w:jc w:val="both"/>
        <w:ind w:left="20" w:right="2280" w:firstLine="230"/>
        <w:spacing w:after="0" w:line="250" w:lineRule="auto"/>
        <w:rPr>
          <w:sz w:val="20"/>
          <w:szCs w:val="20"/>
          <w:color w:val="auto"/>
        </w:rPr>
      </w:pPr>
      <w:r>
        <w:rPr>
          <w:rFonts w:ascii="Arial" w:cs="Arial" w:eastAsia="Arial" w:hAnsi="Arial"/>
          <w:sz w:val="14"/>
          <w:szCs w:val="14"/>
          <w:color w:val="666666"/>
        </w:rPr>
        <w:t>I am pleased to invite you to join our Board of Directors, senior leadership, and fellow stockholders at our Annual Meeting of Stockholders to be held at 8:00 a.m. (EDT) on July 26, 2018, at The John C. Newman Auditorium, located in our offices at 8283 Greensboro Drive, McLean, Virginia 22102. Enclosed with this proxy statement are your proxy card and our 2018 annual report to stockholders.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Items of business to be transacted at our annual meeting are:</w:t>
      </w:r>
    </w:p>
    <w:p>
      <w:pPr>
        <w:spacing w:after="0" w:line="127" w:lineRule="exact"/>
        <w:rPr>
          <w:sz w:val="20"/>
          <w:szCs w:val="20"/>
          <w:color w:val="auto"/>
        </w:rPr>
      </w:pPr>
    </w:p>
    <w:p>
      <w:pPr>
        <w:ind w:left="1040" w:hanging="352"/>
        <w:spacing w:after="0"/>
        <w:tabs>
          <w:tab w:leader="none" w:pos="1040" w:val="left"/>
        </w:tabs>
        <w:numPr>
          <w:ilvl w:val="0"/>
          <w:numId w:val="4"/>
        </w:numPr>
        <w:rPr>
          <w:rFonts w:ascii="Arial" w:cs="Arial" w:eastAsia="Arial" w:hAnsi="Arial"/>
          <w:sz w:val="14"/>
          <w:szCs w:val="14"/>
          <w:color w:val="666666"/>
        </w:rPr>
      </w:pPr>
      <w:r>
        <w:rPr>
          <w:rFonts w:ascii="Arial" w:cs="Arial" w:eastAsia="Arial" w:hAnsi="Arial"/>
          <w:sz w:val="14"/>
          <w:szCs w:val="14"/>
          <w:color w:val="666666"/>
        </w:rPr>
        <w:t>Election of four directors;</w:t>
      </w:r>
    </w:p>
    <w:p>
      <w:pPr>
        <w:spacing w:after="0" w:line="127" w:lineRule="exact"/>
        <w:rPr>
          <w:rFonts w:ascii="Arial" w:cs="Arial" w:eastAsia="Arial" w:hAnsi="Arial"/>
          <w:sz w:val="14"/>
          <w:szCs w:val="14"/>
          <w:color w:val="666666"/>
        </w:rPr>
      </w:pPr>
    </w:p>
    <w:p>
      <w:pPr>
        <w:ind w:left="920" w:hanging="232"/>
        <w:spacing w:after="0"/>
        <w:tabs>
          <w:tab w:leader="none" w:pos="920" w:val="left"/>
        </w:tabs>
        <w:numPr>
          <w:ilvl w:val="0"/>
          <w:numId w:val="4"/>
        </w:numPr>
        <w:rPr>
          <w:rFonts w:ascii="Arial" w:cs="Arial" w:eastAsia="Arial" w:hAnsi="Arial"/>
          <w:sz w:val="14"/>
          <w:szCs w:val="14"/>
          <w:color w:val="666666"/>
        </w:rPr>
      </w:pPr>
      <w:r>
        <w:rPr>
          <w:rFonts w:ascii="Arial" w:cs="Arial" w:eastAsia="Arial" w:hAnsi="Arial"/>
          <w:sz w:val="14"/>
          <w:szCs w:val="14"/>
          <w:color w:val="666666"/>
        </w:rPr>
        <w:t>Ratification of the appointment of Ernst &amp; Young LLP as our independent registered public accounting firm for fiscal year 2019;</w:t>
      </w:r>
    </w:p>
    <w:p>
      <w:pPr>
        <w:spacing w:after="0" w:line="117" w:lineRule="exact"/>
        <w:rPr>
          <w:rFonts w:ascii="Arial" w:cs="Arial" w:eastAsia="Arial" w:hAnsi="Arial"/>
          <w:sz w:val="14"/>
          <w:szCs w:val="14"/>
          <w:color w:val="666666"/>
        </w:rPr>
      </w:pPr>
    </w:p>
    <w:p>
      <w:pPr>
        <w:ind w:left="1140" w:right="80" w:hanging="452"/>
        <w:spacing w:after="0" w:line="285" w:lineRule="auto"/>
        <w:tabs>
          <w:tab w:leader="none" w:pos="910" w:val="left"/>
        </w:tabs>
        <w:numPr>
          <w:ilvl w:val="0"/>
          <w:numId w:val="4"/>
        </w:numPr>
        <w:rPr>
          <w:rFonts w:ascii="Arial" w:cs="Arial" w:eastAsia="Arial" w:hAnsi="Arial"/>
          <w:sz w:val="14"/>
          <w:szCs w:val="14"/>
          <w:color w:val="666666"/>
        </w:rPr>
      </w:pPr>
      <w:r>
        <w:rPr>
          <w:rFonts w:ascii="Arial" w:cs="Arial" w:eastAsia="Arial" w:hAnsi="Arial"/>
          <w:sz w:val="14"/>
          <w:szCs w:val="14"/>
          <w:color w:val="666666"/>
        </w:rPr>
        <w:t>A non-binding advisory vote on the compensation program for the Company’s named executive officers, as disclosed in the Compensation Discussion and Analysis section of the proxy statement; and</w:t>
      </w:r>
    </w:p>
    <w:p>
      <w:pPr>
        <w:spacing w:after="0" w:line="68" w:lineRule="exact"/>
        <w:rPr>
          <w:rFonts w:ascii="Arial" w:cs="Arial" w:eastAsia="Arial" w:hAnsi="Arial"/>
          <w:sz w:val="14"/>
          <w:szCs w:val="14"/>
          <w:color w:val="666666"/>
        </w:rPr>
      </w:pPr>
    </w:p>
    <w:p>
      <w:pPr>
        <w:ind w:left="1040" w:hanging="352"/>
        <w:spacing w:after="0"/>
        <w:tabs>
          <w:tab w:leader="none" w:pos="1040" w:val="left"/>
        </w:tabs>
        <w:numPr>
          <w:ilvl w:val="0"/>
          <w:numId w:val="4"/>
        </w:numPr>
        <w:rPr>
          <w:rFonts w:ascii="Arial" w:cs="Arial" w:eastAsia="Arial" w:hAnsi="Arial"/>
          <w:sz w:val="14"/>
          <w:szCs w:val="14"/>
          <w:color w:val="666666"/>
        </w:rPr>
      </w:pPr>
      <w:r>
        <w:rPr>
          <w:rFonts w:ascii="Arial" w:cs="Arial" w:eastAsia="Arial" w:hAnsi="Arial"/>
          <w:sz w:val="14"/>
          <w:szCs w:val="14"/>
          <w:color w:val="666666"/>
        </w:rPr>
        <w:t>Consideration of any other business that may properly be brought before the annual meeting.</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666666"/>
        </w:rPr>
        <w:t>The Board of Directors recommends that you vote FOR Proposals 1, 2, and 3.</w:t>
      </w:r>
    </w:p>
    <w:p>
      <w:pPr>
        <w:spacing w:after="0" w:line="119" w:lineRule="exact"/>
        <w:rPr>
          <w:sz w:val="20"/>
          <w:szCs w:val="20"/>
          <w:color w:val="auto"/>
        </w:rPr>
      </w:pPr>
    </w:p>
    <w:p>
      <w:pPr>
        <w:jc w:val="both"/>
        <w:ind w:right="60" w:firstLine="230"/>
        <w:spacing w:after="0" w:line="264" w:lineRule="auto"/>
        <w:rPr>
          <w:sz w:val="20"/>
          <w:szCs w:val="20"/>
          <w:color w:val="auto"/>
        </w:rPr>
      </w:pPr>
      <w:r>
        <w:rPr>
          <w:rFonts w:ascii="Arial" w:cs="Arial" w:eastAsia="Arial" w:hAnsi="Arial"/>
          <w:sz w:val="14"/>
          <w:szCs w:val="14"/>
          <w:color w:val="666666"/>
        </w:rPr>
        <w:t>Your vote is important. Whether or not you plan to attend the annual meeting, you may access electronic voting via the Internet or the automated telephone voting feature, both of which are described on your enclosed proxy card, or you may sign, date, and return the proxy card in the envelope provided. If you plan to attend the annual meeting, you may vote in person.</w:t>
      </w:r>
    </w:p>
    <w:p>
      <w:pPr>
        <w:spacing w:after="0" w:line="74" w:lineRule="exact"/>
        <w:rPr>
          <w:sz w:val="20"/>
          <w:szCs w:val="20"/>
          <w:color w:val="auto"/>
        </w:rPr>
      </w:pPr>
    </w:p>
    <w:p>
      <w:pPr>
        <w:jc w:val="both"/>
        <w:ind w:right="80" w:firstLine="230"/>
        <w:spacing w:after="0" w:line="264" w:lineRule="auto"/>
        <w:rPr>
          <w:sz w:val="20"/>
          <w:szCs w:val="20"/>
          <w:color w:val="auto"/>
        </w:rPr>
      </w:pPr>
      <w:r>
        <w:rPr>
          <w:rFonts w:ascii="Arial" w:cs="Arial" w:eastAsia="Arial" w:hAnsi="Arial"/>
          <w:sz w:val="14"/>
          <w:szCs w:val="14"/>
          <w:color w:val="666666"/>
        </w:rPr>
        <w:t>Registration and seating will begin at 7:30 a.m. Each stockholder will be asked to sign an admittance log and may be asked to present a valid picture identification. Stockholders holding stock in brokerage accounts must bring a copy of a brokerage statement reflecting their stock ownership as of the June 4, 2018 record date. Cameras and recording devices will not be permitted at the meeting.</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On behalf of Booz Allen Hamilton, I want to thank you for your continued support and investment.</w:t>
      </w:r>
    </w:p>
    <w:p>
      <w:pPr>
        <w:spacing w:after="0" w:line="117" w:lineRule="exact"/>
        <w:rPr>
          <w:sz w:val="20"/>
          <w:szCs w:val="20"/>
          <w:color w:val="auto"/>
        </w:rPr>
      </w:pPr>
    </w:p>
    <w:p>
      <w:pPr>
        <w:ind w:left="3220"/>
        <w:spacing w:after="0"/>
        <w:rPr>
          <w:sz w:val="20"/>
          <w:szCs w:val="20"/>
          <w:color w:val="auto"/>
        </w:rPr>
      </w:pPr>
      <w:r>
        <w:rPr>
          <w:rFonts w:ascii="Arial" w:cs="Arial" w:eastAsia="Arial" w:hAnsi="Arial"/>
          <w:sz w:val="14"/>
          <w:szCs w:val="14"/>
          <w:color w:val="666666"/>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14605</wp:posOffset>
            </wp:positionV>
            <wp:extent cx="902335" cy="347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2335" cy="3473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220"/>
        <w:spacing w:after="0"/>
        <w:rPr>
          <w:sz w:val="20"/>
          <w:szCs w:val="20"/>
          <w:color w:val="auto"/>
        </w:rPr>
      </w:pPr>
      <w:r>
        <w:rPr>
          <w:rFonts w:ascii="Arial" w:cs="Arial" w:eastAsia="Arial" w:hAnsi="Arial"/>
          <w:sz w:val="14"/>
          <w:szCs w:val="14"/>
          <w:color w:val="666666"/>
        </w:rPr>
        <w:t>Horacio D. Rozanski</w:t>
      </w:r>
    </w:p>
    <w:p>
      <w:pPr>
        <w:spacing w:after="0" w:line="20" w:lineRule="exact"/>
        <w:rPr>
          <w:sz w:val="20"/>
          <w:szCs w:val="20"/>
          <w:color w:val="auto"/>
        </w:rPr>
      </w:pPr>
    </w:p>
    <w:p>
      <w:pPr>
        <w:ind w:left="3220"/>
        <w:spacing w:after="0"/>
        <w:rPr>
          <w:sz w:val="20"/>
          <w:szCs w:val="20"/>
          <w:color w:val="auto"/>
        </w:rPr>
      </w:pPr>
      <w:r>
        <w:rPr>
          <w:rFonts w:ascii="Arial" w:cs="Arial" w:eastAsia="Arial" w:hAnsi="Arial"/>
          <w:sz w:val="14"/>
          <w:szCs w:val="14"/>
          <w:color w:val="666666"/>
        </w:rPr>
        <w:t>President and Chief Executive Officer</w:t>
      </w:r>
    </w:p>
    <w:p>
      <w:pPr>
        <w:sectPr>
          <w:pgSz w:w="11900" w:h="16838" w:orient="portrait"/>
          <w:cols w:equalWidth="0" w:num="1">
            <w:col w:w="11540"/>
          </w:cols>
          <w:pgMar w:left="220" w:top="953" w:right="139"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547BCC"/>
        </w:rPr>
        <w:drawing>
          <wp:anchor simplePos="0" relativeHeight="251657728" behindDoc="1" locked="0" layoutInCell="0" allowOverlap="1">
            <wp:simplePos x="0" y="0"/>
            <wp:positionH relativeFrom="page">
              <wp:posOffset>2741295</wp:posOffset>
            </wp:positionH>
            <wp:positionV relativeFrom="page">
              <wp:posOffset>393700</wp:posOffset>
            </wp:positionV>
            <wp:extent cx="2078990" cy="22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78990" cy="225425"/>
                    </a:xfrm>
                    <a:prstGeom prst="rect">
                      <a:avLst/>
                    </a:prstGeom>
                    <a:noFill/>
                  </pic:spPr>
                </pic:pic>
              </a:graphicData>
            </a:graphic>
          </wp:anchor>
        </w:drawing>
        <w:t>NOTICE OF BOOZ ALLEN HAMILTON HOLDING CORPORATION'S 2018 ANNUAL MEETING OF STOCKHOLDERS</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1880" w:type="dxa"/>
            <w:vAlign w:val="bottom"/>
          </w:tcPr>
          <w:p>
            <w:pPr>
              <w:spacing w:after="0"/>
              <w:rPr>
                <w:sz w:val="20"/>
                <w:szCs w:val="20"/>
                <w:color w:val="auto"/>
              </w:rPr>
            </w:pPr>
            <w:r>
              <w:rPr>
                <w:rFonts w:ascii="Arial" w:cs="Arial" w:eastAsia="Arial" w:hAnsi="Arial"/>
                <w:sz w:val="14"/>
                <w:szCs w:val="14"/>
                <w:b w:val="1"/>
                <w:bCs w:val="1"/>
                <w:color w:val="666666"/>
              </w:rPr>
              <w:t>Time and Date:</w:t>
            </w:r>
          </w:p>
        </w:tc>
        <w:tc>
          <w:tcPr>
            <w:tcW w:w="9560" w:type="dxa"/>
            <w:vAlign w:val="bottom"/>
            <w:gridSpan w:val="2"/>
          </w:tcPr>
          <w:p>
            <w:pPr>
              <w:ind w:left="520"/>
              <w:spacing w:after="0"/>
              <w:rPr>
                <w:sz w:val="20"/>
                <w:szCs w:val="20"/>
                <w:color w:val="auto"/>
              </w:rPr>
            </w:pPr>
            <w:r>
              <w:rPr>
                <w:rFonts w:ascii="Arial" w:cs="Arial" w:eastAsia="Arial" w:hAnsi="Arial"/>
                <w:sz w:val="14"/>
                <w:szCs w:val="14"/>
                <w:color w:val="666666"/>
              </w:rPr>
              <w:t>8:00 a.m. (EDT), July 26, 2018</w:t>
            </w:r>
          </w:p>
        </w:tc>
        <w:tc>
          <w:tcPr>
            <w:tcW w:w="0" w:type="dxa"/>
            <w:vAlign w:val="bottom"/>
          </w:tcPr>
          <w:p>
            <w:pPr>
              <w:spacing w:after="0"/>
              <w:rPr>
                <w:sz w:val="1"/>
                <w:szCs w:val="1"/>
                <w:color w:val="auto"/>
              </w:rPr>
            </w:pPr>
          </w:p>
        </w:tc>
      </w:tr>
      <w:tr>
        <w:trPr>
          <w:trHeight w:val="288"/>
        </w:trPr>
        <w:tc>
          <w:tcPr>
            <w:tcW w:w="1880" w:type="dxa"/>
            <w:vAlign w:val="bottom"/>
          </w:tcPr>
          <w:p>
            <w:pPr>
              <w:spacing w:after="0"/>
              <w:rPr>
                <w:sz w:val="20"/>
                <w:szCs w:val="20"/>
                <w:color w:val="auto"/>
              </w:rPr>
            </w:pPr>
            <w:r>
              <w:rPr>
                <w:rFonts w:ascii="Arial" w:cs="Arial" w:eastAsia="Arial" w:hAnsi="Arial"/>
                <w:sz w:val="14"/>
                <w:szCs w:val="14"/>
                <w:b w:val="1"/>
                <w:bCs w:val="1"/>
                <w:color w:val="666666"/>
              </w:rPr>
              <w:t>Place:</w:t>
            </w:r>
          </w:p>
        </w:tc>
        <w:tc>
          <w:tcPr>
            <w:tcW w:w="9560" w:type="dxa"/>
            <w:vAlign w:val="bottom"/>
            <w:gridSpan w:val="2"/>
          </w:tcPr>
          <w:p>
            <w:pPr>
              <w:ind w:left="520"/>
              <w:spacing w:after="0"/>
              <w:rPr>
                <w:sz w:val="20"/>
                <w:szCs w:val="20"/>
                <w:color w:val="auto"/>
              </w:rPr>
            </w:pPr>
            <w:r>
              <w:rPr>
                <w:rFonts w:ascii="Arial" w:cs="Arial" w:eastAsia="Arial" w:hAnsi="Arial"/>
                <w:sz w:val="14"/>
                <w:szCs w:val="14"/>
                <w:color w:val="666666"/>
              </w:rPr>
              <w:t>The John C. Newman Auditorium, located in our offices at 8283 Greensboro Drive, McLean, Virginia 22102</w:t>
            </w:r>
          </w:p>
        </w:tc>
        <w:tc>
          <w:tcPr>
            <w:tcW w:w="0" w:type="dxa"/>
            <w:vAlign w:val="bottom"/>
          </w:tcPr>
          <w:p>
            <w:pPr>
              <w:spacing w:after="0"/>
              <w:rPr>
                <w:sz w:val="1"/>
                <w:szCs w:val="1"/>
                <w:color w:val="auto"/>
              </w:rPr>
            </w:pPr>
          </w:p>
        </w:tc>
      </w:tr>
      <w:tr>
        <w:trPr>
          <w:trHeight w:val="288"/>
        </w:trPr>
        <w:tc>
          <w:tcPr>
            <w:tcW w:w="1880" w:type="dxa"/>
            <w:vAlign w:val="bottom"/>
          </w:tcPr>
          <w:p>
            <w:pPr>
              <w:spacing w:after="0"/>
              <w:rPr>
                <w:sz w:val="20"/>
                <w:szCs w:val="20"/>
                <w:color w:val="auto"/>
              </w:rPr>
            </w:pPr>
            <w:r>
              <w:rPr>
                <w:rFonts w:ascii="Arial" w:cs="Arial" w:eastAsia="Arial" w:hAnsi="Arial"/>
                <w:sz w:val="14"/>
                <w:szCs w:val="14"/>
                <w:b w:val="1"/>
                <w:bCs w:val="1"/>
                <w:color w:val="666666"/>
              </w:rPr>
              <w:t>Agenda:</w:t>
            </w:r>
          </w:p>
        </w:tc>
        <w:tc>
          <w:tcPr>
            <w:tcW w:w="660" w:type="dxa"/>
            <w:vAlign w:val="bottom"/>
          </w:tcPr>
          <w:p>
            <w:pPr>
              <w:ind w:left="520"/>
              <w:spacing w:after="0"/>
              <w:rPr>
                <w:sz w:val="20"/>
                <w:szCs w:val="20"/>
                <w:color w:val="auto"/>
              </w:rPr>
            </w:pPr>
            <w:r>
              <w:rPr>
                <w:rFonts w:ascii="Arial" w:cs="Arial" w:eastAsia="Arial" w:hAnsi="Arial"/>
                <w:sz w:val="14"/>
                <w:szCs w:val="14"/>
                <w:color w:val="666666"/>
              </w:rPr>
              <w:t>1.</w:t>
            </w:r>
          </w:p>
        </w:tc>
        <w:tc>
          <w:tcPr>
            <w:tcW w:w="8900" w:type="dxa"/>
            <w:vAlign w:val="bottom"/>
          </w:tcPr>
          <w:p>
            <w:pPr>
              <w:ind w:left="20"/>
              <w:spacing w:after="0"/>
              <w:rPr>
                <w:sz w:val="20"/>
                <w:szCs w:val="20"/>
                <w:color w:val="auto"/>
              </w:rPr>
            </w:pPr>
            <w:r>
              <w:rPr>
                <w:rFonts w:ascii="Arial" w:cs="Arial" w:eastAsia="Arial" w:hAnsi="Arial"/>
                <w:sz w:val="14"/>
                <w:szCs w:val="14"/>
                <w:color w:val="666666"/>
              </w:rPr>
              <w:t>The election of four director nominees named in the proxy statement;</w:t>
            </w:r>
          </w:p>
        </w:tc>
        <w:tc>
          <w:tcPr>
            <w:tcW w:w="0" w:type="dxa"/>
            <w:vAlign w:val="bottom"/>
          </w:tcPr>
          <w:p>
            <w:pPr>
              <w:spacing w:after="0"/>
              <w:rPr>
                <w:sz w:val="1"/>
                <w:szCs w:val="1"/>
                <w:color w:val="auto"/>
              </w:rPr>
            </w:pPr>
          </w:p>
        </w:tc>
      </w:tr>
      <w:tr>
        <w:trPr>
          <w:trHeight w:val="244"/>
        </w:trPr>
        <w:tc>
          <w:tcPr>
            <w:tcW w:w="1880" w:type="dxa"/>
            <w:vAlign w:val="bottom"/>
          </w:tcPr>
          <w:p>
            <w:pPr>
              <w:spacing w:after="0"/>
              <w:rPr>
                <w:sz w:val="21"/>
                <w:szCs w:val="21"/>
                <w:color w:val="auto"/>
              </w:rPr>
            </w:pPr>
          </w:p>
        </w:tc>
        <w:tc>
          <w:tcPr>
            <w:tcW w:w="660" w:type="dxa"/>
            <w:vAlign w:val="bottom"/>
          </w:tcPr>
          <w:p>
            <w:pPr>
              <w:ind w:left="520"/>
              <w:spacing w:after="0"/>
              <w:rPr>
                <w:sz w:val="20"/>
                <w:szCs w:val="20"/>
                <w:color w:val="auto"/>
              </w:rPr>
            </w:pPr>
            <w:r>
              <w:rPr>
                <w:rFonts w:ascii="Arial" w:cs="Arial" w:eastAsia="Arial" w:hAnsi="Arial"/>
                <w:sz w:val="14"/>
                <w:szCs w:val="14"/>
                <w:color w:val="666666"/>
              </w:rPr>
              <w:t>2.</w:t>
            </w:r>
          </w:p>
        </w:tc>
        <w:tc>
          <w:tcPr>
            <w:tcW w:w="8900" w:type="dxa"/>
            <w:vAlign w:val="bottom"/>
          </w:tcPr>
          <w:p>
            <w:pPr>
              <w:ind w:left="20"/>
              <w:spacing w:after="0"/>
              <w:rPr>
                <w:sz w:val="20"/>
                <w:szCs w:val="20"/>
                <w:color w:val="auto"/>
              </w:rPr>
            </w:pPr>
            <w:r>
              <w:rPr>
                <w:rFonts w:ascii="Arial" w:cs="Arial" w:eastAsia="Arial" w:hAnsi="Arial"/>
                <w:sz w:val="14"/>
                <w:szCs w:val="14"/>
                <w:color w:val="666666"/>
              </w:rPr>
              <w:t>The ratification of the selection of Ernst &amp; Young LLP as the Company’s independent registered public accounting firm for the Company’s fiscal</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900" w:type="dxa"/>
            <w:vAlign w:val="bottom"/>
          </w:tcPr>
          <w:p>
            <w:pPr>
              <w:ind w:left="220"/>
              <w:spacing w:after="0"/>
              <w:rPr>
                <w:sz w:val="20"/>
                <w:szCs w:val="20"/>
                <w:color w:val="auto"/>
              </w:rPr>
            </w:pPr>
            <w:r>
              <w:rPr>
                <w:rFonts w:ascii="Arial" w:cs="Arial" w:eastAsia="Arial" w:hAnsi="Arial"/>
                <w:sz w:val="14"/>
                <w:szCs w:val="14"/>
                <w:color w:val="666666"/>
              </w:rPr>
              <w:t>year 2019;</w:t>
            </w:r>
          </w:p>
        </w:tc>
        <w:tc>
          <w:tcPr>
            <w:tcW w:w="0" w:type="dxa"/>
            <w:vAlign w:val="bottom"/>
          </w:tcPr>
          <w:p>
            <w:pPr>
              <w:spacing w:after="0"/>
              <w:rPr>
                <w:sz w:val="1"/>
                <w:szCs w:val="1"/>
                <w:color w:val="auto"/>
              </w:rPr>
            </w:pPr>
          </w:p>
        </w:tc>
      </w:tr>
      <w:tr>
        <w:trPr>
          <w:trHeight w:val="252"/>
        </w:trPr>
        <w:tc>
          <w:tcPr>
            <w:tcW w:w="1880" w:type="dxa"/>
            <w:vAlign w:val="bottom"/>
          </w:tcPr>
          <w:p>
            <w:pPr>
              <w:spacing w:after="0"/>
              <w:rPr>
                <w:sz w:val="21"/>
                <w:szCs w:val="21"/>
                <w:color w:val="auto"/>
              </w:rPr>
            </w:pPr>
          </w:p>
        </w:tc>
        <w:tc>
          <w:tcPr>
            <w:tcW w:w="660" w:type="dxa"/>
            <w:vAlign w:val="bottom"/>
          </w:tcPr>
          <w:p>
            <w:pPr>
              <w:ind w:left="520"/>
              <w:spacing w:after="0"/>
              <w:rPr>
                <w:sz w:val="20"/>
                <w:szCs w:val="20"/>
                <w:color w:val="auto"/>
              </w:rPr>
            </w:pPr>
            <w:r>
              <w:rPr>
                <w:rFonts w:ascii="Arial" w:cs="Arial" w:eastAsia="Arial" w:hAnsi="Arial"/>
                <w:sz w:val="14"/>
                <w:szCs w:val="14"/>
                <w:color w:val="666666"/>
              </w:rPr>
              <w:t>3.</w:t>
            </w:r>
          </w:p>
        </w:tc>
        <w:tc>
          <w:tcPr>
            <w:tcW w:w="8900" w:type="dxa"/>
            <w:vAlign w:val="bottom"/>
          </w:tcPr>
          <w:p>
            <w:pPr>
              <w:ind w:left="220"/>
              <w:spacing w:after="0"/>
              <w:rPr>
                <w:sz w:val="20"/>
                <w:szCs w:val="20"/>
                <w:color w:val="auto"/>
              </w:rPr>
            </w:pPr>
            <w:r>
              <w:rPr>
                <w:rFonts w:ascii="Arial" w:cs="Arial" w:eastAsia="Arial" w:hAnsi="Arial"/>
                <w:sz w:val="14"/>
                <w:szCs w:val="14"/>
                <w:color w:val="666666"/>
              </w:rPr>
              <w:t>A non-binding advisory vote on the compensation program for the Company’s named executive officers, as disclosed in the Compensation</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900" w:type="dxa"/>
            <w:vAlign w:val="bottom"/>
          </w:tcPr>
          <w:p>
            <w:pPr>
              <w:ind w:left="220"/>
              <w:spacing w:after="0"/>
              <w:rPr>
                <w:sz w:val="20"/>
                <w:szCs w:val="20"/>
                <w:color w:val="auto"/>
              </w:rPr>
            </w:pPr>
            <w:r>
              <w:rPr>
                <w:rFonts w:ascii="Arial" w:cs="Arial" w:eastAsia="Arial" w:hAnsi="Arial"/>
                <w:sz w:val="14"/>
                <w:szCs w:val="14"/>
                <w:color w:val="666666"/>
              </w:rPr>
              <w:t>Discussion and Analysis section of the proxy statement; and</w:t>
            </w:r>
          </w:p>
        </w:tc>
        <w:tc>
          <w:tcPr>
            <w:tcW w:w="0" w:type="dxa"/>
            <w:vAlign w:val="bottom"/>
          </w:tcPr>
          <w:p>
            <w:pPr>
              <w:spacing w:after="0"/>
              <w:rPr>
                <w:sz w:val="1"/>
                <w:szCs w:val="1"/>
                <w:color w:val="auto"/>
              </w:rPr>
            </w:pPr>
          </w:p>
        </w:tc>
      </w:tr>
      <w:tr>
        <w:trPr>
          <w:trHeight w:val="384"/>
        </w:trPr>
        <w:tc>
          <w:tcPr>
            <w:tcW w:w="1880" w:type="dxa"/>
            <w:vAlign w:val="bottom"/>
          </w:tcPr>
          <w:p>
            <w:pPr>
              <w:spacing w:after="0"/>
              <w:rPr>
                <w:sz w:val="24"/>
                <w:szCs w:val="24"/>
                <w:color w:val="auto"/>
              </w:rPr>
            </w:pPr>
          </w:p>
        </w:tc>
        <w:tc>
          <w:tcPr>
            <w:tcW w:w="660" w:type="dxa"/>
            <w:vAlign w:val="bottom"/>
          </w:tcPr>
          <w:p>
            <w:pPr>
              <w:ind w:left="520"/>
              <w:spacing w:after="0"/>
              <w:rPr>
                <w:sz w:val="20"/>
                <w:szCs w:val="20"/>
                <w:color w:val="auto"/>
              </w:rPr>
            </w:pPr>
            <w:r>
              <w:rPr>
                <w:rFonts w:ascii="Arial" w:cs="Arial" w:eastAsia="Arial" w:hAnsi="Arial"/>
                <w:sz w:val="14"/>
                <w:szCs w:val="14"/>
                <w:color w:val="666666"/>
              </w:rPr>
              <w:t>4.</w:t>
            </w:r>
          </w:p>
        </w:tc>
        <w:tc>
          <w:tcPr>
            <w:tcW w:w="8900" w:type="dxa"/>
            <w:vAlign w:val="bottom"/>
          </w:tcPr>
          <w:p>
            <w:pPr>
              <w:ind w:left="220"/>
              <w:spacing w:after="0"/>
              <w:rPr>
                <w:sz w:val="20"/>
                <w:szCs w:val="20"/>
                <w:color w:val="auto"/>
              </w:rPr>
            </w:pPr>
            <w:r>
              <w:rPr>
                <w:rFonts w:ascii="Arial" w:cs="Arial" w:eastAsia="Arial" w:hAnsi="Arial"/>
                <w:sz w:val="14"/>
                <w:szCs w:val="14"/>
                <w:color w:val="666666"/>
              </w:rPr>
              <w:t>The transaction of any other business that may properly be brought before the annual meeting.</w:t>
            </w:r>
          </w:p>
        </w:tc>
        <w:tc>
          <w:tcPr>
            <w:tcW w:w="0" w:type="dxa"/>
            <w:vAlign w:val="bottom"/>
          </w:tcPr>
          <w:p>
            <w:pPr>
              <w:spacing w:after="0"/>
              <w:rPr>
                <w:sz w:val="1"/>
                <w:szCs w:val="1"/>
                <w:color w:val="auto"/>
              </w:rPr>
            </w:pPr>
          </w:p>
        </w:tc>
      </w:tr>
      <w:tr>
        <w:trPr>
          <w:trHeight w:val="411"/>
        </w:trPr>
        <w:tc>
          <w:tcPr>
            <w:tcW w:w="1880" w:type="dxa"/>
            <w:vAlign w:val="bottom"/>
          </w:tcPr>
          <w:p>
            <w:pPr>
              <w:spacing w:after="0"/>
              <w:rPr>
                <w:sz w:val="24"/>
                <w:szCs w:val="24"/>
                <w:color w:val="auto"/>
              </w:rPr>
            </w:pPr>
          </w:p>
        </w:tc>
        <w:tc>
          <w:tcPr>
            <w:tcW w:w="9560" w:type="dxa"/>
            <w:vAlign w:val="bottom"/>
            <w:gridSpan w:val="2"/>
          </w:tcPr>
          <w:p>
            <w:pPr>
              <w:ind w:left="520"/>
              <w:spacing w:after="0"/>
              <w:rPr>
                <w:sz w:val="20"/>
                <w:szCs w:val="20"/>
                <w:color w:val="auto"/>
              </w:rPr>
            </w:pPr>
            <w:r>
              <w:rPr>
                <w:rFonts w:ascii="Arial" w:cs="Arial" w:eastAsia="Arial" w:hAnsi="Arial"/>
                <w:sz w:val="14"/>
                <w:szCs w:val="14"/>
                <w:b w:val="1"/>
                <w:bCs w:val="1"/>
                <w:color w:val="666666"/>
              </w:rPr>
              <w:t>The Board of Directors recommends that you vote FOR Proposals 1, 2, and 3.</w:t>
            </w:r>
          </w:p>
        </w:tc>
        <w:tc>
          <w:tcPr>
            <w:tcW w:w="0" w:type="dxa"/>
            <w:vAlign w:val="bottom"/>
          </w:tcPr>
          <w:p>
            <w:pPr>
              <w:spacing w:after="0"/>
              <w:rPr>
                <w:sz w:val="1"/>
                <w:szCs w:val="1"/>
                <w:color w:val="auto"/>
              </w:rPr>
            </w:pPr>
          </w:p>
        </w:tc>
      </w:tr>
      <w:tr>
        <w:trPr>
          <w:trHeight w:val="288"/>
        </w:trPr>
        <w:tc>
          <w:tcPr>
            <w:tcW w:w="1880" w:type="dxa"/>
            <w:vAlign w:val="bottom"/>
          </w:tcPr>
          <w:p>
            <w:pPr>
              <w:spacing w:after="0"/>
              <w:rPr>
                <w:sz w:val="20"/>
                <w:szCs w:val="20"/>
                <w:color w:val="auto"/>
              </w:rPr>
            </w:pPr>
            <w:r>
              <w:rPr>
                <w:rFonts w:ascii="Arial" w:cs="Arial" w:eastAsia="Arial" w:hAnsi="Arial"/>
                <w:sz w:val="14"/>
                <w:szCs w:val="14"/>
                <w:b w:val="1"/>
                <w:bCs w:val="1"/>
                <w:color w:val="666666"/>
              </w:rPr>
              <w:t>Record Date:</w:t>
            </w:r>
          </w:p>
        </w:tc>
        <w:tc>
          <w:tcPr>
            <w:tcW w:w="9560" w:type="dxa"/>
            <w:vAlign w:val="bottom"/>
            <w:gridSpan w:val="2"/>
          </w:tcPr>
          <w:p>
            <w:pPr>
              <w:ind w:left="520"/>
              <w:spacing w:after="0"/>
              <w:rPr>
                <w:sz w:val="20"/>
                <w:szCs w:val="20"/>
                <w:color w:val="auto"/>
              </w:rPr>
            </w:pPr>
            <w:r>
              <w:rPr>
                <w:rFonts w:ascii="Arial" w:cs="Arial" w:eastAsia="Arial" w:hAnsi="Arial"/>
                <w:sz w:val="14"/>
                <w:szCs w:val="14"/>
                <w:color w:val="666666"/>
              </w:rPr>
              <w:t>Only holders of record of the Company’s Class A common stock on June 4, 2018 will be entitled to vote at the annual meeting.</w:t>
            </w:r>
          </w:p>
        </w:tc>
        <w:tc>
          <w:tcPr>
            <w:tcW w:w="0" w:type="dxa"/>
            <w:vAlign w:val="bottom"/>
          </w:tcPr>
          <w:p>
            <w:pPr>
              <w:spacing w:after="0"/>
              <w:rPr>
                <w:sz w:val="1"/>
                <w:szCs w:val="1"/>
                <w:color w:val="auto"/>
              </w:rPr>
            </w:pPr>
          </w:p>
        </w:tc>
      </w:tr>
      <w:tr>
        <w:trPr>
          <w:trHeight w:val="288"/>
        </w:trPr>
        <w:tc>
          <w:tcPr>
            <w:tcW w:w="1880" w:type="dxa"/>
            <w:vAlign w:val="bottom"/>
          </w:tcPr>
          <w:p>
            <w:pPr>
              <w:spacing w:after="0"/>
              <w:rPr>
                <w:sz w:val="20"/>
                <w:szCs w:val="20"/>
                <w:color w:val="auto"/>
              </w:rPr>
            </w:pPr>
            <w:r>
              <w:rPr>
                <w:rFonts w:ascii="Arial" w:cs="Arial" w:eastAsia="Arial" w:hAnsi="Arial"/>
                <w:sz w:val="14"/>
                <w:szCs w:val="14"/>
                <w:b w:val="1"/>
                <w:bCs w:val="1"/>
                <w:color w:val="666666"/>
              </w:rPr>
              <w:t>Date of Distribution:</w:t>
            </w:r>
          </w:p>
        </w:tc>
        <w:tc>
          <w:tcPr>
            <w:tcW w:w="9560" w:type="dxa"/>
            <w:vAlign w:val="bottom"/>
            <w:gridSpan w:val="2"/>
            <w:vMerge w:val="restart"/>
          </w:tcPr>
          <w:p>
            <w:pPr>
              <w:ind w:left="520"/>
              <w:spacing w:after="0"/>
              <w:rPr>
                <w:sz w:val="20"/>
                <w:szCs w:val="20"/>
                <w:color w:val="auto"/>
              </w:rPr>
            </w:pPr>
            <w:r>
              <w:rPr>
                <w:rFonts w:ascii="Arial" w:cs="Arial" w:eastAsia="Arial" w:hAnsi="Arial"/>
                <w:sz w:val="14"/>
                <w:szCs w:val="14"/>
                <w:color w:val="666666"/>
              </w:rPr>
              <w:t>This proxy statement and the accompanying materials are being mailed to stockholders on or about June 14, 2018.</w:t>
            </w:r>
          </w:p>
        </w:tc>
        <w:tc>
          <w:tcPr>
            <w:tcW w:w="0" w:type="dxa"/>
            <w:vAlign w:val="bottom"/>
          </w:tcPr>
          <w:p>
            <w:pPr>
              <w:spacing w:after="0"/>
              <w:rPr>
                <w:sz w:val="1"/>
                <w:szCs w:val="1"/>
                <w:color w:val="auto"/>
              </w:rPr>
            </w:pPr>
          </w:p>
        </w:tc>
      </w:tr>
      <w:tr>
        <w:trPr>
          <w:trHeight w:val="146"/>
        </w:trPr>
        <w:tc>
          <w:tcPr>
            <w:tcW w:w="1880" w:type="dxa"/>
            <w:vAlign w:val="bottom"/>
          </w:tcPr>
          <w:p>
            <w:pPr>
              <w:spacing w:after="0"/>
              <w:rPr>
                <w:sz w:val="12"/>
                <w:szCs w:val="12"/>
                <w:color w:val="auto"/>
              </w:rPr>
            </w:pPr>
          </w:p>
        </w:tc>
        <w:tc>
          <w:tcPr>
            <w:tcW w:w="9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666666"/>
        </w:rPr>
        <w:t>Proxy Voting:</w:t>
      </w:r>
    </w:p>
    <w:p>
      <w:pPr>
        <w:ind w:left="2420" w:right="140"/>
        <w:spacing w:after="0" w:line="237" w:lineRule="auto"/>
        <w:rPr>
          <w:sz w:val="20"/>
          <w:szCs w:val="20"/>
          <w:color w:val="auto"/>
        </w:rPr>
      </w:pPr>
      <w:r>
        <w:rPr>
          <w:rFonts w:ascii="Arial" w:cs="Arial" w:eastAsia="Arial" w:hAnsi="Arial"/>
          <w:sz w:val="14"/>
          <w:szCs w:val="14"/>
          <w:b w:val="1"/>
          <w:bCs w:val="1"/>
          <w:color w:val="666666"/>
        </w:rPr>
        <w:t xml:space="preserve">Your vote is important. </w:t>
      </w:r>
      <w:r>
        <w:rPr>
          <w:rFonts w:ascii="Arial" w:cs="Arial" w:eastAsia="Arial" w:hAnsi="Arial"/>
          <w:sz w:val="14"/>
          <w:szCs w:val="14"/>
          <w:color w:val="666666"/>
        </w:rPr>
        <w:t>Whether or not you plan to attend the annual meeting, you may access electronic voting via the Internet or the</w:t>
      </w:r>
      <w:r>
        <w:rPr>
          <w:rFonts w:ascii="Arial" w:cs="Arial" w:eastAsia="Arial" w:hAnsi="Arial"/>
          <w:sz w:val="14"/>
          <w:szCs w:val="14"/>
          <w:b w:val="1"/>
          <w:bCs w:val="1"/>
          <w:color w:val="666666"/>
        </w:rPr>
        <w:t xml:space="preserve"> </w:t>
      </w:r>
      <w:r>
        <w:rPr>
          <w:rFonts w:ascii="Arial" w:cs="Arial" w:eastAsia="Arial" w:hAnsi="Arial"/>
          <w:sz w:val="14"/>
          <w:szCs w:val="14"/>
          <w:color w:val="666666"/>
        </w:rPr>
        <w:t>automated telephone voting feature, both of which are described on your enclosed proxy card, or you may sign, date, and return the proxy card in the envelope provided. If you plan to attend the annual meeting, you may vote in person.</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14"/>
          <w:szCs w:val="14"/>
          <w:color w:val="666666"/>
        </w:rPr>
        <w:t>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14605</wp:posOffset>
            </wp:positionV>
            <wp:extent cx="634365" cy="365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365" cy="36576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460"/>
        <w:spacing w:after="0"/>
        <w:rPr>
          <w:sz w:val="20"/>
          <w:szCs w:val="20"/>
          <w:color w:val="auto"/>
        </w:rPr>
      </w:pPr>
      <w:r>
        <w:rPr>
          <w:rFonts w:ascii="Arial" w:cs="Arial" w:eastAsia="Arial" w:hAnsi="Arial"/>
          <w:sz w:val="14"/>
          <w:szCs w:val="14"/>
          <w:color w:val="666666"/>
        </w:rPr>
        <w:t>Nancy J. Laben</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4"/>
          <w:szCs w:val="14"/>
          <w:color w:val="5E5E61"/>
        </w:rPr>
        <w:t>Secretary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4"/>
          <w:szCs w:val="14"/>
          <w:color w:val="5E5E61"/>
        </w:rPr>
        <w:t>June 14, 2018</w:t>
      </w:r>
    </w:p>
    <w:p>
      <w:pPr>
        <w:spacing w:after="0" w:line="384" w:lineRule="exact"/>
        <w:rPr>
          <w:sz w:val="20"/>
          <w:szCs w:val="20"/>
          <w:color w:val="auto"/>
        </w:rPr>
      </w:pPr>
    </w:p>
    <w:p>
      <w:pPr>
        <w:spacing w:after="0" w:line="300" w:lineRule="auto"/>
        <w:rPr>
          <w:sz w:val="20"/>
          <w:szCs w:val="20"/>
          <w:color w:val="auto"/>
        </w:rPr>
      </w:pPr>
      <w:r>
        <w:rPr>
          <w:rFonts w:ascii="Arial" w:cs="Arial" w:eastAsia="Arial" w:hAnsi="Arial"/>
          <w:sz w:val="14"/>
          <w:szCs w:val="14"/>
          <w:b w:val="1"/>
          <w:bCs w:val="1"/>
          <w:color w:val="5E5E61"/>
        </w:rPr>
        <w:t>Important Notice Regarding the Availability of Proxy Materials for the Annual Meeting of Stockholders to be held on July 26, 2018: This Notice of Annual Meeting and Proxy Statement and our 2018 Annual Report are available at www.proxyvote.com.</w:t>
      </w:r>
    </w:p>
    <w:p>
      <w:pPr>
        <w:sectPr>
          <w:pgSz w:w="11900" w:h="16838" w:orient="portrait"/>
          <w:cols w:equalWidth="0" w:num="1">
            <w:col w:w="11460"/>
          </w:cols>
          <w:pgMar w:left="220" w:top="1098" w:right="219" w:bottom="1440" w:gutter="0" w:footer="0" w:header="0"/>
        </w:sectPr>
      </w:pPr>
    </w:p>
    <w:bookmarkStart w:id="6" w:name="page7"/>
    <w:bookmarkEnd w:id="6"/>
    <w:p>
      <w:pPr>
        <w:spacing w:after="0" w:line="300" w:lineRule="auto"/>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0"/>
        </w:trPr>
        <w:tc>
          <w:tcPr>
            <w:tcW w:w="10880" w:type="dxa"/>
            <w:vAlign w:val="bottom"/>
          </w:tcPr>
          <w:p>
            <w:pPr>
              <w:ind w:left="4280"/>
              <w:spacing w:after="0"/>
              <w:rPr>
                <w:sz w:val="20"/>
                <w:szCs w:val="20"/>
                <w:color w:val="auto"/>
              </w:rPr>
            </w:pPr>
            <w:r>
              <w:rPr>
                <w:rFonts w:ascii="Arial" w:cs="Arial" w:eastAsia="Arial" w:hAnsi="Arial"/>
                <w:sz w:val="13"/>
                <w:szCs w:val="13"/>
                <w:b w:val="1"/>
                <w:bCs w:val="1"/>
                <w:color w:val="547BCC"/>
              </w:rPr>
              <w:t>TABLE OF CONTENTS TO PROXY STATEMENT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67"/>
        </w:trPr>
        <w:tc>
          <w:tcPr>
            <w:tcW w:w="10880" w:type="dxa"/>
            <w:vAlign w:val="bottom"/>
          </w:tcPr>
          <w:p>
            <w:pPr>
              <w:spacing w:after="0"/>
              <w:rPr>
                <w:sz w:val="20"/>
                <w:szCs w:val="20"/>
                <w:color w:val="auto"/>
              </w:rPr>
            </w:pPr>
            <w:r>
              <w:rPr>
                <w:rFonts w:ascii="Arial" w:cs="Arial" w:eastAsia="Arial" w:hAnsi="Arial"/>
                <w:sz w:val="13"/>
                <w:szCs w:val="13"/>
                <w:color w:val="666666"/>
              </w:rPr>
              <w:t>PROXY STATEMENT SUMMARY</w:t>
            </w:r>
          </w:p>
        </w:tc>
        <w:tc>
          <w:tcPr>
            <w:tcW w:w="60" w:type="dxa"/>
            <w:vAlign w:val="bottom"/>
          </w:tcPr>
          <w:p>
            <w:pPr>
              <w:spacing w:after="0"/>
              <w:rPr>
                <w:sz w:val="24"/>
                <w:szCs w:val="24"/>
                <w:color w:val="auto"/>
              </w:rPr>
            </w:pPr>
          </w:p>
        </w:tc>
        <w:tc>
          <w:tcPr>
            <w:tcW w:w="80" w:type="dxa"/>
            <w:vAlign w:val="bottom"/>
            <w:tcBorders>
              <w:bottom w:val="single" w:sz="8" w:color="666666"/>
            </w:tcBorders>
          </w:tcPr>
          <w:p>
            <w:pPr>
              <w:jc w:val="right"/>
              <w:spacing w:after="0"/>
              <w:rPr>
                <w:rFonts w:ascii="Arial" w:cs="Arial" w:eastAsia="Arial" w:hAnsi="Arial"/>
                <w:sz w:val="13"/>
                <w:szCs w:val="13"/>
                <w:color w:val="666666"/>
                <w:w w:val="82"/>
              </w:rPr>
            </w:pPr>
            <w:hyperlink w:anchor="page10">
              <w:r>
                <w:rPr>
                  <w:rFonts w:ascii="Arial" w:cs="Arial" w:eastAsia="Arial" w:hAnsi="Arial"/>
                  <w:sz w:val="13"/>
                  <w:szCs w:val="13"/>
                  <w:color w:val="666666"/>
                  <w:w w:val="82"/>
                </w:rPr>
                <w:t>1</w:t>
              </w:r>
            </w:hyperlink>
          </w:p>
        </w:tc>
      </w:tr>
      <w:tr>
        <w:trPr>
          <w:trHeight w:val="258"/>
        </w:trPr>
        <w:tc>
          <w:tcPr>
            <w:tcW w:w="10880" w:type="dxa"/>
            <w:vAlign w:val="bottom"/>
          </w:tcPr>
          <w:p>
            <w:pPr>
              <w:spacing w:after="0"/>
              <w:rPr>
                <w:sz w:val="20"/>
                <w:szCs w:val="20"/>
                <w:color w:val="auto"/>
              </w:rPr>
            </w:pPr>
            <w:r>
              <w:rPr>
                <w:rFonts w:ascii="Arial" w:cs="Arial" w:eastAsia="Arial" w:hAnsi="Arial"/>
                <w:sz w:val="13"/>
                <w:szCs w:val="13"/>
                <w:color w:val="666666"/>
              </w:rPr>
              <w:t>PROPOSAL 1: ELECTION OF DIRECTORS</w:t>
            </w:r>
          </w:p>
        </w:tc>
        <w:tc>
          <w:tcPr>
            <w:tcW w:w="60" w:type="dxa"/>
            <w:vAlign w:val="bottom"/>
          </w:tcPr>
          <w:p>
            <w:pPr>
              <w:spacing w:after="0"/>
              <w:rPr>
                <w:sz w:val="22"/>
                <w:szCs w:val="22"/>
                <w:color w:val="auto"/>
              </w:rPr>
            </w:pPr>
          </w:p>
        </w:tc>
        <w:tc>
          <w:tcPr>
            <w:tcW w:w="80" w:type="dxa"/>
            <w:vAlign w:val="bottom"/>
            <w:tcBorders>
              <w:bottom w:val="single" w:sz="8" w:color="666666"/>
            </w:tcBorders>
          </w:tcPr>
          <w:p>
            <w:pPr>
              <w:jc w:val="right"/>
              <w:spacing w:after="0"/>
              <w:rPr>
                <w:rFonts w:ascii="Arial" w:cs="Arial" w:eastAsia="Arial" w:hAnsi="Arial"/>
                <w:sz w:val="13"/>
                <w:szCs w:val="13"/>
                <w:color w:val="666666"/>
                <w:w w:val="82"/>
              </w:rPr>
            </w:pPr>
            <w:hyperlink w:anchor="page15">
              <w:r>
                <w:rPr>
                  <w:rFonts w:ascii="Arial" w:cs="Arial" w:eastAsia="Arial" w:hAnsi="Arial"/>
                  <w:sz w:val="13"/>
                  <w:szCs w:val="13"/>
                  <w:color w:val="666666"/>
                  <w:w w:val="82"/>
                </w:rPr>
                <w:t>6</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Board Structure</w:t>
            </w:r>
          </w:p>
        </w:tc>
        <w:tc>
          <w:tcPr>
            <w:tcW w:w="60" w:type="dxa"/>
            <w:vAlign w:val="bottom"/>
          </w:tcPr>
          <w:p>
            <w:pPr>
              <w:spacing w:after="0"/>
              <w:rPr>
                <w:sz w:val="22"/>
                <w:szCs w:val="22"/>
                <w:color w:val="auto"/>
              </w:rPr>
            </w:pPr>
          </w:p>
        </w:tc>
        <w:tc>
          <w:tcPr>
            <w:tcW w:w="80" w:type="dxa"/>
            <w:vAlign w:val="bottom"/>
            <w:tcBorders>
              <w:bottom w:val="single" w:sz="8" w:color="666666"/>
            </w:tcBorders>
          </w:tcPr>
          <w:p>
            <w:pPr>
              <w:jc w:val="right"/>
              <w:spacing w:after="0"/>
              <w:rPr>
                <w:rFonts w:ascii="Arial" w:cs="Arial" w:eastAsia="Arial" w:hAnsi="Arial"/>
                <w:sz w:val="13"/>
                <w:szCs w:val="13"/>
                <w:color w:val="666666"/>
                <w:w w:val="82"/>
              </w:rPr>
            </w:pPr>
            <w:hyperlink w:anchor="page15">
              <w:r>
                <w:rPr>
                  <w:rFonts w:ascii="Arial" w:cs="Arial" w:eastAsia="Arial" w:hAnsi="Arial"/>
                  <w:sz w:val="13"/>
                  <w:szCs w:val="13"/>
                  <w:color w:val="666666"/>
                  <w:w w:val="82"/>
                </w:rPr>
                <w:t>6</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Class II Election</w:t>
            </w:r>
          </w:p>
        </w:tc>
        <w:tc>
          <w:tcPr>
            <w:tcW w:w="60" w:type="dxa"/>
            <w:vAlign w:val="bottom"/>
          </w:tcPr>
          <w:p>
            <w:pPr>
              <w:spacing w:after="0"/>
              <w:rPr>
                <w:sz w:val="22"/>
                <w:szCs w:val="22"/>
                <w:color w:val="auto"/>
              </w:rPr>
            </w:pPr>
          </w:p>
        </w:tc>
        <w:tc>
          <w:tcPr>
            <w:tcW w:w="80" w:type="dxa"/>
            <w:vAlign w:val="bottom"/>
            <w:tcBorders>
              <w:bottom w:val="single" w:sz="8" w:color="666666"/>
            </w:tcBorders>
          </w:tcPr>
          <w:p>
            <w:pPr>
              <w:jc w:val="right"/>
              <w:spacing w:after="0"/>
              <w:rPr>
                <w:rFonts w:ascii="Arial" w:cs="Arial" w:eastAsia="Arial" w:hAnsi="Arial"/>
                <w:sz w:val="13"/>
                <w:szCs w:val="13"/>
                <w:color w:val="666666"/>
                <w:w w:val="82"/>
              </w:rPr>
            </w:pPr>
            <w:hyperlink w:anchor="page15">
              <w:r>
                <w:rPr>
                  <w:rFonts w:ascii="Arial" w:cs="Arial" w:eastAsia="Arial" w:hAnsi="Arial"/>
                  <w:sz w:val="13"/>
                  <w:szCs w:val="13"/>
                  <w:color w:val="666666"/>
                  <w:w w:val="82"/>
                </w:rPr>
                <w:t>6</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Class II Nominees</w:t>
            </w:r>
          </w:p>
        </w:tc>
        <w:tc>
          <w:tcPr>
            <w:tcW w:w="60" w:type="dxa"/>
            <w:vAlign w:val="bottom"/>
          </w:tcPr>
          <w:p>
            <w:pPr>
              <w:spacing w:after="0"/>
              <w:rPr>
                <w:sz w:val="22"/>
                <w:szCs w:val="22"/>
                <w:color w:val="auto"/>
              </w:rPr>
            </w:pPr>
          </w:p>
        </w:tc>
        <w:tc>
          <w:tcPr>
            <w:tcW w:w="80" w:type="dxa"/>
            <w:vAlign w:val="bottom"/>
            <w:tcBorders>
              <w:bottom w:val="single" w:sz="8" w:color="666666"/>
            </w:tcBorders>
          </w:tcPr>
          <w:p>
            <w:pPr>
              <w:jc w:val="right"/>
              <w:spacing w:after="0"/>
              <w:rPr>
                <w:rFonts w:ascii="Arial" w:cs="Arial" w:eastAsia="Arial" w:hAnsi="Arial"/>
                <w:sz w:val="13"/>
                <w:szCs w:val="13"/>
                <w:color w:val="666666"/>
                <w:w w:val="82"/>
              </w:rPr>
            </w:pPr>
            <w:hyperlink w:anchor="page15">
              <w:r>
                <w:rPr>
                  <w:rFonts w:ascii="Arial" w:cs="Arial" w:eastAsia="Arial" w:hAnsi="Arial"/>
                  <w:sz w:val="13"/>
                  <w:szCs w:val="13"/>
                  <w:color w:val="666666"/>
                  <w:w w:val="82"/>
                </w:rPr>
                <w:t>6</w:t>
              </w:r>
            </w:hyperlink>
          </w:p>
        </w:tc>
      </w:tr>
      <w:tr>
        <w:trPr>
          <w:trHeight w:val="258"/>
        </w:trPr>
        <w:tc>
          <w:tcPr>
            <w:tcW w:w="10880" w:type="dxa"/>
            <w:vAlign w:val="bottom"/>
          </w:tcPr>
          <w:p>
            <w:pPr>
              <w:spacing w:after="0"/>
              <w:rPr>
                <w:sz w:val="20"/>
                <w:szCs w:val="20"/>
                <w:color w:val="auto"/>
              </w:rPr>
            </w:pPr>
            <w:r>
              <w:rPr>
                <w:rFonts w:ascii="Arial" w:cs="Arial" w:eastAsia="Arial" w:hAnsi="Arial"/>
                <w:sz w:val="13"/>
                <w:szCs w:val="13"/>
                <w:color w:val="666666"/>
              </w:rPr>
              <w:t>CONTINUING DIRECTORS</w:t>
            </w:r>
          </w:p>
        </w:tc>
        <w:tc>
          <w:tcPr>
            <w:tcW w:w="60" w:type="dxa"/>
            <w:vAlign w:val="bottom"/>
          </w:tcPr>
          <w:p>
            <w:pPr>
              <w:spacing w:after="0"/>
              <w:rPr>
                <w:sz w:val="22"/>
                <w:szCs w:val="22"/>
                <w:color w:val="auto"/>
              </w:rPr>
            </w:pPr>
          </w:p>
        </w:tc>
        <w:tc>
          <w:tcPr>
            <w:tcW w:w="80" w:type="dxa"/>
            <w:vAlign w:val="bottom"/>
            <w:tcBorders>
              <w:bottom w:val="single" w:sz="8" w:color="666666"/>
            </w:tcBorders>
          </w:tcPr>
          <w:p>
            <w:pPr>
              <w:jc w:val="right"/>
              <w:spacing w:after="0"/>
              <w:rPr>
                <w:rFonts w:ascii="Arial" w:cs="Arial" w:eastAsia="Arial" w:hAnsi="Arial"/>
                <w:sz w:val="13"/>
                <w:szCs w:val="13"/>
                <w:color w:val="666666"/>
                <w:w w:val="82"/>
              </w:rPr>
            </w:pPr>
            <w:hyperlink w:anchor="page18">
              <w:r>
                <w:rPr>
                  <w:rFonts w:ascii="Arial" w:cs="Arial" w:eastAsia="Arial" w:hAnsi="Arial"/>
                  <w:sz w:val="13"/>
                  <w:szCs w:val="13"/>
                  <w:color w:val="666666"/>
                  <w:w w:val="82"/>
                </w:rPr>
                <w:t>9</w:t>
              </w:r>
            </w:hyperlink>
          </w:p>
        </w:tc>
      </w:tr>
      <w:tr>
        <w:trPr>
          <w:trHeight w:val="258"/>
        </w:trPr>
        <w:tc>
          <w:tcPr>
            <w:tcW w:w="10880" w:type="dxa"/>
            <w:vAlign w:val="bottom"/>
          </w:tcPr>
          <w:p>
            <w:pPr>
              <w:spacing w:after="0"/>
              <w:rPr>
                <w:sz w:val="20"/>
                <w:szCs w:val="20"/>
                <w:color w:val="auto"/>
              </w:rPr>
            </w:pPr>
            <w:r>
              <w:rPr>
                <w:rFonts w:ascii="Arial" w:cs="Arial" w:eastAsia="Arial" w:hAnsi="Arial"/>
                <w:sz w:val="13"/>
                <w:szCs w:val="13"/>
                <w:color w:val="666666"/>
              </w:rPr>
              <w:t>CORPORATE GOVERNANCE AND GENERAL INFORMATION CONCERNING THE BOARD OF DIRECTORS AND ITS COMMITTEES</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22">
              <w:r>
                <w:rPr>
                  <w:rFonts w:ascii="Arial" w:cs="Arial" w:eastAsia="Arial" w:hAnsi="Arial"/>
                  <w:sz w:val="13"/>
                  <w:szCs w:val="13"/>
                  <w:color w:val="666666"/>
                  <w:w w:val="82"/>
                </w:rPr>
                <w:t>13</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Our Board of Directors</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22">
              <w:r>
                <w:rPr>
                  <w:rFonts w:ascii="Arial" w:cs="Arial" w:eastAsia="Arial" w:hAnsi="Arial"/>
                  <w:sz w:val="13"/>
                  <w:szCs w:val="13"/>
                  <w:color w:val="666666"/>
                  <w:w w:val="82"/>
                </w:rPr>
                <w:t>13</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Corporate Governance Guidelines</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22">
              <w:r>
                <w:rPr>
                  <w:rFonts w:ascii="Arial" w:cs="Arial" w:eastAsia="Arial" w:hAnsi="Arial"/>
                  <w:sz w:val="13"/>
                  <w:szCs w:val="13"/>
                  <w:color w:val="666666"/>
                  <w:w w:val="82"/>
                </w:rPr>
                <w:t>13</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Codes of Conduct and Ethics</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22">
              <w:r>
                <w:rPr>
                  <w:rFonts w:ascii="Arial" w:cs="Arial" w:eastAsia="Arial" w:hAnsi="Arial"/>
                  <w:sz w:val="13"/>
                  <w:szCs w:val="13"/>
                  <w:color w:val="666666"/>
                  <w:w w:val="82"/>
                </w:rPr>
                <w:t>13</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Board Meetings and Attendance</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22">
              <w:r>
                <w:rPr>
                  <w:rFonts w:ascii="Arial" w:cs="Arial" w:eastAsia="Arial" w:hAnsi="Arial"/>
                  <w:sz w:val="13"/>
                  <w:szCs w:val="13"/>
                  <w:color w:val="666666"/>
                  <w:w w:val="82"/>
                </w:rPr>
                <w:t>13</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Board Leadership Structure</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23">
              <w:r>
                <w:rPr>
                  <w:rFonts w:ascii="Arial" w:cs="Arial" w:eastAsia="Arial" w:hAnsi="Arial"/>
                  <w:sz w:val="13"/>
                  <w:szCs w:val="13"/>
                  <w:color w:val="666666"/>
                  <w:w w:val="82"/>
                </w:rPr>
                <w:t>14</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Succession Planning and Talent Reviews</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23">
              <w:r>
                <w:rPr>
                  <w:rFonts w:ascii="Arial" w:cs="Arial" w:eastAsia="Arial" w:hAnsi="Arial"/>
                  <w:sz w:val="13"/>
                  <w:szCs w:val="13"/>
                  <w:color w:val="666666"/>
                  <w:w w:val="82"/>
                </w:rPr>
                <w:t>14</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Risk Oversight</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23">
              <w:r>
                <w:rPr>
                  <w:rFonts w:ascii="Arial" w:cs="Arial" w:eastAsia="Arial" w:hAnsi="Arial"/>
                  <w:sz w:val="13"/>
                  <w:szCs w:val="13"/>
                  <w:color w:val="666666"/>
                  <w:w w:val="82"/>
                </w:rPr>
                <w:t>14</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Annual Board Performance Assessment</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24">
              <w:r>
                <w:rPr>
                  <w:rFonts w:ascii="Arial" w:cs="Arial" w:eastAsia="Arial" w:hAnsi="Arial"/>
                  <w:sz w:val="13"/>
                  <w:szCs w:val="13"/>
                  <w:color w:val="666666"/>
                  <w:w w:val="82"/>
                </w:rPr>
                <w:t>15</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Board Independence</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24">
              <w:r>
                <w:rPr>
                  <w:rFonts w:ascii="Arial" w:cs="Arial" w:eastAsia="Arial" w:hAnsi="Arial"/>
                  <w:sz w:val="13"/>
                  <w:szCs w:val="13"/>
                  <w:color w:val="666666"/>
                  <w:w w:val="82"/>
                </w:rPr>
                <w:t>15</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Selection of Nominees for Election to the Board</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24">
              <w:r>
                <w:rPr>
                  <w:rFonts w:ascii="Arial" w:cs="Arial" w:eastAsia="Arial" w:hAnsi="Arial"/>
                  <w:sz w:val="13"/>
                  <w:szCs w:val="13"/>
                  <w:color w:val="666666"/>
                  <w:w w:val="82"/>
                </w:rPr>
                <w:t>15</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Director Orientation and Continuing Education</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25">
              <w:r>
                <w:rPr>
                  <w:rFonts w:ascii="Arial" w:cs="Arial" w:eastAsia="Arial" w:hAnsi="Arial"/>
                  <w:sz w:val="13"/>
                  <w:szCs w:val="13"/>
                  <w:color w:val="666666"/>
                  <w:w w:val="82"/>
                </w:rPr>
                <w:t>16</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Communications with the Board</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25">
              <w:r>
                <w:rPr>
                  <w:rFonts w:ascii="Arial" w:cs="Arial" w:eastAsia="Arial" w:hAnsi="Arial"/>
                  <w:sz w:val="13"/>
                  <w:szCs w:val="13"/>
                  <w:color w:val="666666"/>
                  <w:w w:val="82"/>
                </w:rPr>
                <w:t>16</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Board Committees</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26">
              <w:r>
                <w:rPr>
                  <w:rFonts w:ascii="Arial" w:cs="Arial" w:eastAsia="Arial" w:hAnsi="Arial"/>
                  <w:sz w:val="13"/>
                  <w:szCs w:val="13"/>
                  <w:color w:val="666666"/>
                  <w:w w:val="82"/>
                </w:rPr>
                <w:t>17</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Director Compensation</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28">
              <w:r>
                <w:rPr>
                  <w:rFonts w:ascii="Arial" w:cs="Arial" w:eastAsia="Arial" w:hAnsi="Arial"/>
                  <w:sz w:val="13"/>
                  <w:szCs w:val="13"/>
                  <w:color w:val="666666"/>
                  <w:w w:val="82"/>
                </w:rPr>
                <w:t>19</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Director Ownership Guidelines</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30">
              <w:r>
                <w:rPr>
                  <w:rFonts w:ascii="Arial" w:cs="Arial" w:eastAsia="Arial" w:hAnsi="Arial"/>
                  <w:sz w:val="13"/>
                  <w:szCs w:val="13"/>
                  <w:color w:val="666666"/>
                  <w:w w:val="82"/>
                </w:rPr>
                <w:t>21</w:t>
              </w:r>
            </w:hyperlink>
          </w:p>
        </w:tc>
      </w:tr>
      <w:tr>
        <w:trPr>
          <w:trHeight w:val="258"/>
        </w:trPr>
        <w:tc>
          <w:tcPr>
            <w:tcW w:w="10880" w:type="dxa"/>
            <w:vAlign w:val="bottom"/>
          </w:tcPr>
          <w:p>
            <w:pPr>
              <w:spacing w:after="0"/>
              <w:rPr>
                <w:sz w:val="20"/>
                <w:szCs w:val="20"/>
                <w:color w:val="auto"/>
              </w:rPr>
            </w:pPr>
            <w:r>
              <w:rPr>
                <w:rFonts w:ascii="Arial" w:cs="Arial" w:eastAsia="Arial" w:hAnsi="Arial"/>
                <w:sz w:val="13"/>
                <w:szCs w:val="13"/>
                <w:color w:val="666666"/>
              </w:rPr>
              <w:t>COMPENSATION COMMITTEE INTERLOCKS AND INSIDER PARTICIPATION</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31">
              <w:r>
                <w:rPr>
                  <w:rFonts w:ascii="Arial" w:cs="Arial" w:eastAsia="Arial" w:hAnsi="Arial"/>
                  <w:sz w:val="13"/>
                  <w:szCs w:val="13"/>
                  <w:color w:val="666666"/>
                  <w:w w:val="82"/>
                </w:rPr>
                <w:t>22</w:t>
              </w:r>
            </w:hyperlink>
          </w:p>
        </w:tc>
      </w:tr>
      <w:tr>
        <w:trPr>
          <w:trHeight w:val="258"/>
        </w:trPr>
        <w:tc>
          <w:tcPr>
            <w:tcW w:w="10880" w:type="dxa"/>
            <w:vAlign w:val="bottom"/>
          </w:tcPr>
          <w:p>
            <w:pPr>
              <w:spacing w:after="0"/>
              <w:rPr>
                <w:sz w:val="20"/>
                <w:szCs w:val="20"/>
                <w:color w:val="auto"/>
              </w:rPr>
            </w:pPr>
            <w:r>
              <w:rPr>
                <w:rFonts w:ascii="Arial" w:cs="Arial" w:eastAsia="Arial" w:hAnsi="Arial"/>
                <w:sz w:val="13"/>
                <w:szCs w:val="13"/>
                <w:color w:val="666666"/>
              </w:rPr>
              <w:t>SECURITY OWNERSHIP INFORMATION</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32">
              <w:r>
                <w:rPr>
                  <w:rFonts w:ascii="Arial" w:cs="Arial" w:eastAsia="Arial" w:hAnsi="Arial"/>
                  <w:sz w:val="13"/>
                  <w:szCs w:val="13"/>
                  <w:color w:val="666666"/>
                  <w:w w:val="82"/>
                </w:rPr>
                <w:t>23</w:t>
              </w:r>
            </w:hyperlink>
          </w:p>
        </w:tc>
      </w:tr>
      <w:tr>
        <w:trPr>
          <w:trHeight w:val="258"/>
        </w:trPr>
        <w:tc>
          <w:tcPr>
            <w:tcW w:w="10880" w:type="dxa"/>
            <w:vAlign w:val="bottom"/>
          </w:tcPr>
          <w:p>
            <w:pPr>
              <w:spacing w:after="0"/>
              <w:rPr>
                <w:sz w:val="20"/>
                <w:szCs w:val="20"/>
                <w:color w:val="auto"/>
              </w:rPr>
            </w:pPr>
            <w:r>
              <w:rPr>
                <w:rFonts w:ascii="Arial" w:cs="Arial" w:eastAsia="Arial" w:hAnsi="Arial"/>
                <w:sz w:val="13"/>
                <w:szCs w:val="13"/>
                <w:color w:val="666666"/>
              </w:rPr>
              <w:t>SECTION 16(a) BENEFICIAL OWNERSHIP REPORTING COMPLIANCE</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33">
              <w:r>
                <w:rPr>
                  <w:rFonts w:ascii="Arial" w:cs="Arial" w:eastAsia="Arial" w:hAnsi="Arial"/>
                  <w:sz w:val="13"/>
                  <w:szCs w:val="13"/>
                  <w:color w:val="666666"/>
                  <w:w w:val="82"/>
                </w:rPr>
                <w:t>24</w:t>
              </w:r>
            </w:hyperlink>
          </w:p>
        </w:tc>
      </w:tr>
      <w:tr>
        <w:trPr>
          <w:trHeight w:val="258"/>
        </w:trPr>
        <w:tc>
          <w:tcPr>
            <w:tcW w:w="10880" w:type="dxa"/>
            <w:vAlign w:val="bottom"/>
          </w:tcPr>
          <w:p>
            <w:pPr>
              <w:spacing w:after="0"/>
              <w:rPr>
                <w:sz w:val="20"/>
                <w:szCs w:val="20"/>
                <w:color w:val="auto"/>
              </w:rPr>
            </w:pPr>
            <w:r>
              <w:rPr>
                <w:rFonts w:ascii="Arial" w:cs="Arial" w:eastAsia="Arial" w:hAnsi="Arial"/>
                <w:sz w:val="13"/>
                <w:szCs w:val="13"/>
                <w:color w:val="666666"/>
              </w:rPr>
              <w:t>CERTAIN RELATIONSHIPS AND RELATED PARTY TRANSACTIONS</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34">
              <w:r>
                <w:rPr>
                  <w:rFonts w:ascii="Arial" w:cs="Arial" w:eastAsia="Arial" w:hAnsi="Arial"/>
                  <w:sz w:val="13"/>
                  <w:szCs w:val="13"/>
                  <w:color w:val="666666"/>
                  <w:w w:val="82"/>
                </w:rPr>
                <w:t>25</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Policies and Procedures for Related Person Transactions</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34">
              <w:r>
                <w:rPr>
                  <w:rFonts w:ascii="Arial" w:cs="Arial" w:eastAsia="Arial" w:hAnsi="Arial"/>
                  <w:sz w:val="13"/>
                  <w:szCs w:val="13"/>
                  <w:color w:val="666666"/>
                  <w:w w:val="82"/>
                </w:rPr>
                <w:t>25</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Related Person Transactions</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34">
              <w:r>
                <w:rPr>
                  <w:rFonts w:ascii="Arial" w:cs="Arial" w:eastAsia="Arial" w:hAnsi="Arial"/>
                  <w:sz w:val="13"/>
                  <w:szCs w:val="13"/>
                  <w:color w:val="666666"/>
                  <w:w w:val="82"/>
                </w:rPr>
                <w:t>25</w:t>
              </w:r>
            </w:hyperlink>
          </w:p>
        </w:tc>
      </w:tr>
      <w:tr>
        <w:trPr>
          <w:trHeight w:val="258"/>
        </w:trPr>
        <w:tc>
          <w:tcPr>
            <w:tcW w:w="10880" w:type="dxa"/>
            <w:vAlign w:val="bottom"/>
          </w:tcPr>
          <w:p>
            <w:pPr>
              <w:spacing w:after="0"/>
              <w:rPr>
                <w:sz w:val="20"/>
                <w:szCs w:val="20"/>
                <w:color w:val="auto"/>
              </w:rPr>
            </w:pPr>
            <w:r>
              <w:rPr>
                <w:rFonts w:ascii="Arial" w:cs="Arial" w:eastAsia="Arial" w:hAnsi="Arial"/>
                <w:sz w:val="13"/>
                <w:szCs w:val="13"/>
                <w:color w:val="666666"/>
              </w:rPr>
              <w:t>COMPENSATION DISCUSSION AND ANALYSIS</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35">
              <w:r>
                <w:rPr>
                  <w:rFonts w:ascii="Arial" w:cs="Arial" w:eastAsia="Arial" w:hAnsi="Arial"/>
                  <w:sz w:val="13"/>
                  <w:szCs w:val="13"/>
                  <w:color w:val="666666"/>
                  <w:w w:val="82"/>
                </w:rPr>
                <w:t>26</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Executive Summary</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35">
              <w:r>
                <w:rPr>
                  <w:rFonts w:ascii="Arial" w:cs="Arial" w:eastAsia="Arial" w:hAnsi="Arial"/>
                  <w:sz w:val="13"/>
                  <w:szCs w:val="13"/>
                  <w:color w:val="666666"/>
                  <w:w w:val="82"/>
                </w:rPr>
                <w:t>26</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Benchmarking and Setting Executive Compensation</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38">
              <w:r>
                <w:rPr>
                  <w:rFonts w:ascii="Arial" w:cs="Arial" w:eastAsia="Arial" w:hAnsi="Arial"/>
                  <w:sz w:val="13"/>
                  <w:szCs w:val="13"/>
                  <w:color w:val="666666"/>
                  <w:w w:val="82"/>
                </w:rPr>
                <w:t>29</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Compensation Elements</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39">
              <w:r>
                <w:rPr>
                  <w:rFonts w:ascii="Arial" w:cs="Arial" w:eastAsia="Arial" w:hAnsi="Arial"/>
                  <w:sz w:val="13"/>
                  <w:szCs w:val="13"/>
                  <w:color w:val="666666"/>
                  <w:w w:val="82"/>
                </w:rPr>
                <w:t>30</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Executive Ownership Requirements</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45">
              <w:r>
                <w:rPr>
                  <w:rFonts w:ascii="Arial" w:cs="Arial" w:eastAsia="Arial" w:hAnsi="Arial"/>
                  <w:sz w:val="13"/>
                  <w:szCs w:val="13"/>
                  <w:color w:val="666666"/>
                  <w:w w:val="82"/>
                </w:rPr>
                <w:t>36</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Risk Assessment</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45">
              <w:r>
                <w:rPr>
                  <w:rFonts w:ascii="Arial" w:cs="Arial" w:eastAsia="Arial" w:hAnsi="Arial"/>
                  <w:sz w:val="13"/>
                  <w:szCs w:val="13"/>
                  <w:color w:val="666666"/>
                  <w:w w:val="82"/>
                </w:rPr>
                <w:t>36</w:t>
              </w:r>
            </w:hyperlink>
          </w:p>
        </w:tc>
      </w:tr>
      <w:tr>
        <w:trPr>
          <w:trHeight w:val="258"/>
        </w:trPr>
        <w:tc>
          <w:tcPr>
            <w:tcW w:w="10880" w:type="dxa"/>
            <w:vAlign w:val="bottom"/>
          </w:tcPr>
          <w:p>
            <w:pPr>
              <w:ind w:left="100"/>
              <w:spacing w:after="0"/>
              <w:rPr>
                <w:sz w:val="20"/>
                <w:szCs w:val="20"/>
                <w:color w:val="auto"/>
              </w:rPr>
            </w:pPr>
            <w:r>
              <w:rPr>
                <w:rFonts w:ascii="Arial" w:cs="Arial" w:eastAsia="Arial" w:hAnsi="Arial"/>
                <w:sz w:val="13"/>
                <w:szCs w:val="13"/>
                <w:color w:val="666666"/>
              </w:rPr>
              <w:t>Advisory Vote to Approve Executive Compensation</w:t>
            </w:r>
          </w:p>
        </w:tc>
        <w:tc>
          <w:tcPr>
            <w:tcW w:w="140" w:type="dxa"/>
            <w:vAlign w:val="bottom"/>
            <w:tcBorders>
              <w:bottom w:val="single" w:sz="8" w:color="666666"/>
            </w:tcBorders>
            <w:gridSpan w:val="2"/>
          </w:tcPr>
          <w:p>
            <w:pPr>
              <w:jc w:val="right"/>
              <w:spacing w:after="0"/>
              <w:rPr>
                <w:rFonts w:ascii="Arial" w:cs="Arial" w:eastAsia="Arial" w:hAnsi="Arial"/>
                <w:sz w:val="13"/>
                <w:szCs w:val="13"/>
                <w:color w:val="666666"/>
                <w:w w:val="82"/>
              </w:rPr>
            </w:pPr>
            <w:hyperlink w:anchor="page46">
              <w:r>
                <w:rPr>
                  <w:rFonts w:ascii="Arial" w:cs="Arial" w:eastAsia="Arial" w:hAnsi="Arial"/>
                  <w:sz w:val="13"/>
                  <w:szCs w:val="13"/>
                  <w:color w:val="666666"/>
                  <w:w w:val="82"/>
                </w:rPr>
                <w:t>37</w:t>
              </w:r>
            </w:hyperlink>
          </w:p>
        </w:tc>
      </w:tr>
    </w:tbl>
    <w:p>
      <w:pPr>
        <w:sectPr>
          <w:pgSz w:w="11900" w:h="16838" w:orient="portrait"/>
          <w:cols w:equalWidth="0" w:num="1">
            <w:col w:w="11020"/>
          </w:cols>
          <w:pgMar w:left="240" w:top="447" w:right="6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740" w:type="dxa"/>
            <w:vAlign w:val="bottom"/>
          </w:tcPr>
          <w:p>
            <w:pPr>
              <w:ind w:left="100"/>
              <w:spacing w:after="0"/>
              <w:rPr>
                <w:sz w:val="20"/>
                <w:szCs w:val="20"/>
                <w:color w:val="auto"/>
              </w:rPr>
            </w:pPr>
            <w:r>
              <w:rPr>
                <w:rFonts w:ascii="Arial" w:cs="Arial" w:eastAsia="Arial" w:hAnsi="Arial"/>
                <w:sz w:val="13"/>
                <w:szCs w:val="13"/>
                <w:color w:val="666666"/>
              </w:rPr>
              <w:t>Government Limitations on Reimbursement of Compensation Costs</w:t>
            </w:r>
          </w:p>
        </w:tc>
        <w:tc>
          <w:tcPr>
            <w:tcW w:w="280" w:type="dxa"/>
            <w:vAlign w:val="bottom"/>
            <w:gridSpan w:val="2"/>
          </w:tcPr>
          <w:p>
            <w:pPr>
              <w:jc w:val="right"/>
              <w:spacing w:after="0"/>
              <w:rPr>
                <w:rFonts w:ascii="Arial" w:cs="Arial" w:eastAsia="Arial" w:hAnsi="Arial"/>
                <w:sz w:val="13"/>
                <w:szCs w:val="13"/>
                <w:color w:val="666666"/>
              </w:rPr>
            </w:pPr>
            <w:hyperlink w:anchor="page46">
              <w:r>
                <w:rPr>
                  <w:rFonts w:ascii="Arial" w:cs="Arial" w:eastAsia="Arial" w:hAnsi="Arial"/>
                  <w:sz w:val="13"/>
                  <w:szCs w:val="13"/>
                  <w:color w:val="666666"/>
                </w:rPr>
                <w:t>37</w:t>
              </w:r>
            </w:hyperlink>
          </w:p>
        </w:tc>
      </w:tr>
      <w:tr>
        <w:trPr>
          <w:trHeight w:val="20"/>
        </w:trPr>
        <w:tc>
          <w:tcPr>
            <w:tcW w:w="10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r>
      <w:tr>
        <w:trPr>
          <w:trHeight w:val="258"/>
        </w:trPr>
        <w:tc>
          <w:tcPr>
            <w:tcW w:w="10740" w:type="dxa"/>
            <w:vAlign w:val="bottom"/>
          </w:tcPr>
          <w:p>
            <w:pPr>
              <w:ind w:left="100"/>
              <w:spacing w:after="0"/>
              <w:rPr>
                <w:sz w:val="20"/>
                <w:szCs w:val="20"/>
                <w:color w:val="auto"/>
              </w:rPr>
            </w:pPr>
            <w:r>
              <w:rPr>
                <w:rFonts w:ascii="Arial" w:cs="Arial" w:eastAsia="Arial" w:hAnsi="Arial"/>
                <w:sz w:val="13"/>
                <w:szCs w:val="13"/>
                <w:color w:val="666666"/>
              </w:rPr>
              <w:t>Compensation Recovery Provisions (Clawbacks) in Incentive Plans</w:t>
            </w:r>
          </w:p>
        </w:tc>
        <w:tc>
          <w:tcPr>
            <w:tcW w:w="280" w:type="dxa"/>
            <w:vAlign w:val="bottom"/>
            <w:gridSpan w:val="2"/>
          </w:tcPr>
          <w:p>
            <w:pPr>
              <w:jc w:val="right"/>
              <w:spacing w:after="0"/>
              <w:rPr>
                <w:rFonts w:ascii="Arial" w:cs="Arial" w:eastAsia="Arial" w:hAnsi="Arial"/>
                <w:sz w:val="13"/>
                <w:szCs w:val="13"/>
                <w:color w:val="666666"/>
              </w:rPr>
            </w:pPr>
            <w:hyperlink w:anchor="page46">
              <w:r>
                <w:rPr>
                  <w:rFonts w:ascii="Arial" w:cs="Arial" w:eastAsia="Arial" w:hAnsi="Arial"/>
                  <w:sz w:val="13"/>
                  <w:szCs w:val="13"/>
                  <w:color w:val="666666"/>
                </w:rPr>
                <w:t>37</w:t>
              </w:r>
            </w:hyperlink>
          </w:p>
        </w:tc>
      </w:tr>
      <w:tr>
        <w:trPr>
          <w:trHeight w:val="20"/>
        </w:trPr>
        <w:tc>
          <w:tcPr>
            <w:tcW w:w="10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r>
      <w:tr>
        <w:trPr>
          <w:trHeight w:val="258"/>
        </w:trPr>
        <w:tc>
          <w:tcPr>
            <w:tcW w:w="10740" w:type="dxa"/>
            <w:vAlign w:val="bottom"/>
          </w:tcPr>
          <w:p>
            <w:pPr>
              <w:ind w:left="100"/>
              <w:spacing w:after="0"/>
              <w:rPr>
                <w:sz w:val="20"/>
                <w:szCs w:val="20"/>
                <w:color w:val="auto"/>
              </w:rPr>
            </w:pPr>
            <w:r>
              <w:rPr>
                <w:rFonts w:ascii="Arial" w:cs="Arial" w:eastAsia="Arial" w:hAnsi="Arial"/>
                <w:sz w:val="13"/>
                <w:szCs w:val="13"/>
                <w:color w:val="666666"/>
              </w:rPr>
              <w:t>Certain Change in Control Provisions</w:t>
            </w:r>
          </w:p>
        </w:tc>
        <w:tc>
          <w:tcPr>
            <w:tcW w:w="280" w:type="dxa"/>
            <w:vAlign w:val="bottom"/>
            <w:gridSpan w:val="2"/>
          </w:tcPr>
          <w:p>
            <w:pPr>
              <w:jc w:val="right"/>
              <w:spacing w:after="0"/>
              <w:rPr>
                <w:rFonts w:ascii="Arial" w:cs="Arial" w:eastAsia="Arial" w:hAnsi="Arial"/>
                <w:sz w:val="13"/>
                <w:szCs w:val="13"/>
                <w:color w:val="666666"/>
              </w:rPr>
            </w:pPr>
            <w:hyperlink w:anchor="page47">
              <w:r>
                <w:rPr>
                  <w:rFonts w:ascii="Arial" w:cs="Arial" w:eastAsia="Arial" w:hAnsi="Arial"/>
                  <w:sz w:val="13"/>
                  <w:szCs w:val="13"/>
                  <w:color w:val="666666"/>
                </w:rPr>
                <w:t>38</w:t>
              </w:r>
            </w:hyperlink>
          </w:p>
        </w:tc>
      </w:tr>
      <w:tr>
        <w:trPr>
          <w:trHeight w:val="20"/>
        </w:trPr>
        <w:tc>
          <w:tcPr>
            <w:tcW w:w="10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r>
      <w:tr>
        <w:trPr>
          <w:trHeight w:val="258"/>
        </w:trPr>
        <w:tc>
          <w:tcPr>
            <w:tcW w:w="10740" w:type="dxa"/>
            <w:vAlign w:val="bottom"/>
          </w:tcPr>
          <w:p>
            <w:pPr>
              <w:ind w:left="100"/>
              <w:spacing w:after="0"/>
              <w:rPr>
                <w:sz w:val="20"/>
                <w:szCs w:val="20"/>
                <w:color w:val="auto"/>
              </w:rPr>
            </w:pPr>
            <w:r>
              <w:rPr>
                <w:rFonts w:ascii="Arial" w:cs="Arial" w:eastAsia="Arial" w:hAnsi="Arial"/>
                <w:sz w:val="13"/>
                <w:szCs w:val="13"/>
                <w:color w:val="666666"/>
              </w:rPr>
              <w:t>Policies on Timing of Equity Grants</w:t>
            </w:r>
          </w:p>
        </w:tc>
        <w:tc>
          <w:tcPr>
            <w:tcW w:w="280" w:type="dxa"/>
            <w:vAlign w:val="bottom"/>
            <w:gridSpan w:val="2"/>
          </w:tcPr>
          <w:p>
            <w:pPr>
              <w:jc w:val="right"/>
              <w:spacing w:after="0"/>
              <w:rPr>
                <w:rFonts w:ascii="Arial" w:cs="Arial" w:eastAsia="Arial" w:hAnsi="Arial"/>
                <w:sz w:val="13"/>
                <w:szCs w:val="13"/>
                <w:color w:val="666666"/>
              </w:rPr>
            </w:pPr>
            <w:hyperlink w:anchor="page47">
              <w:r>
                <w:rPr>
                  <w:rFonts w:ascii="Arial" w:cs="Arial" w:eastAsia="Arial" w:hAnsi="Arial"/>
                  <w:sz w:val="13"/>
                  <w:szCs w:val="13"/>
                  <w:color w:val="666666"/>
                </w:rPr>
                <w:t>38</w:t>
              </w:r>
            </w:hyperlink>
          </w:p>
        </w:tc>
      </w:tr>
      <w:tr>
        <w:trPr>
          <w:trHeight w:val="20"/>
        </w:trPr>
        <w:tc>
          <w:tcPr>
            <w:tcW w:w="10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r>
      <w:tr>
        <w:trPr>
          <w:trHeight w:val="258"/>
        </w:trPr>
        <w:tc>
          <w:tcPr>
            <w:tcW w:w="10740" w:type="dxa"/>
            <w:vAlign w:val="bottom"/>
          </w:tcPr>
          <w:p>
            <w:pPr>
              <w:ind w:left="100"/>
              <w:spacing w:after="0"/>
              <w:rPr>
                <w:sz w:val="20"/>
                <w:szCs w:val="20"/>
                <w:color w:val="auto"/>
              </w:rPr>
            </w:pPr>
            <w:r>
              <w:rPr>
                <w:rFonts w:ascii="Arial" w:cs="Arial" w:eastAsia="Arial" w:hAnsi="Arial"/>
                <w:sz w:val="13"/>
                <w:szCs w:val="13"/>
                <w:color w:val="666666"/>
              </w:rPr>
              <w:t>Effect on Accounting and Tax Treatment on Compensation Decisions</w:t>
            </w:r>
          </w:p>
        </w:tc>
        <w:tc>
          <w:tcPr>
            <w:tcW w:w="280" w:type="dxa"/>
            <w:vAlign w:val="bottom"/>
            <w:gridSpan w:val="2"/>
          </w:tcPr>
          <w:p>
            <w:pPr>
              <w:jc w:val="right"/>
              <w:spacing w:after="0"/>
              <w:rPr>
                <w:rFonts w:ascii="Arial" w:cs="Arial" w:eastAsia="Arial" w:hAnsi="Arial"/>
                <w:sz w:val="13"/>
                <w:szCs w:val="13"/>
                <w:color w:val="666666"/>
              </w:rPr>
            </w:pPr>
            <w:hyperlink w:anchor="page47">
              <w:r>
                <w:rPr>
                  <w:rFonts w:ascii="Arial" w:cs="Arial" w:eastAsia="Arial" w:hAnsi="Arial"/>
                  <w:sz w:val="13"/>
                  <w:szCs w:val="13"/>
                  <w:color w:val="666666"/>
                </w:rPr>
                <w:t>38</w:t>
              </w:r>
            </w:hyperlink>
          </w:p>
        </w:tc>
      </w:tr>
      <w:tr>
        <w:trPr>
          <w:trHeight w:val="20"/>
        </w:trPr>
        <w:tc>
          <w:tcPr>
            <w:tcW w:w="10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r>
      <w:tr>
        <w:trPr>
          <w:trHeight w:val="258"/>
        </w:trPr>
        <w:tc>
          <w:tcPr>
            <w:tcW w:w="10740" w:type="dxa"/>
            <w:vAlign w:val="bottom"/>
          </w:tcPr>
          <w:p>
            <w:pPr>
              <w:ind w:left="100"/>
              <w:spacing w:after="0"/>
              <w:rPr>
                <w:sz w:val="20"/>
                <w:szCs w:val="20"/>
                <w:color w:val="auto"/>
              </w:rPr>
            </w:pPr>
            <w:r>
              <w:rPr>
                <w:rFonts w:ascii="Arial" w:cs="Arial" w:eastAsia="Arial" w:hAnsi="Arial"/>
                <w:sz w:val="13"/>
                <w:szCs w:val="13"/>
                <w:color w:val="666666"/>
              </w:rPr>
              <w:t>Compensation Tables and Disclosures</w:t>
            </w:r>
          </w:p>
        </w:tc>
        <w:tc>
          <w:tcPr>
            <w:tcW w:w="280" w:type="dxa"/>
            <w:vAlign w:val="bottom"/>
            <w:gridSpan w:val="2"/>
          </w:tcPr>
          <w:p>
            <w:pPr>
              <w:jc w:val="right"/>
              <w:spacing w:after="0"/>
              <w:rPr>
                <w:rFonts w:ascii="Arial" w:cs="Arial" w:eastAsia="Arial" w:hAnsi="Arial"/>
                <w:sz w:val="13"/>
                <w:szCs w:val="13"/>
                <w:color w:val="666666"/>
              </w:rPr>
            </w:pPr>
            <w:hyperlink w:anchor="page49">
              <w:r>
                <w:rPr>
                  <w:rFonts w:ascii="Arial" w:cs="Arial" w:eastAsia="Arial" w:hAnsi="Arial"/>
                  <w:sz w:val="13"/>
                  <w:szCs w:val="13"/>
                  <w:color w:val="666666"/>
                </w:rPr>
                <w:t>40</w:t>
              </w:r>
            </w:hyperlink>
          </w:p>
        </w:tc>
      </w:tr>
      <w:tr>
        <w:trPr>
          <w:trHeight w:val="20"/>
        </w:trPr>
        <w:tc>
          <w:tcPr>
            <w:tcW w:w="10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r>
      <w:tr>
        <w:trPr>
          <w:trHeight w:val="258"/>
        </w:trPr>
        <w:tc>
          <w:tcPr>
            <w:tcW w:w="10740" w:type="dxa"/>
            <w:vAlign w:val="bottom"/>
          </w:tcPr>
          <w:p>
            <w:pPr>
              <w:ind w:left="100"/>
              <w:spacing w:after="0"/>
              <w:rPr>
                <w:sz w:val="20"/>
                <w:szCs w:val="20"/>
                <w:color w:val="auto"/>
              </w:rPr>
            </w:pPr>
            <w:r>
              <w:rPr>
                <w:rFonts w:ascii="Arial" w:cs="Arial" w:eastAsia="Arial" w:hAnsi="Arial"/>
                <w:sz w:val="13"/>
                <w:szCs w:val="13"/>
                <w:color w:val="666666"/>
              </w:rPr>
              <w:t>Pay Ratio</w:t>
            </w:r>
          </w:p>
        </w:tc>
        <w:tc>
          <w:tcPr>
            <w:tcW w:w="280" w:type="dxa"/>
            <w:vAlign w:val="bottom"/>
            <w:gridSpan w:val="2"/>
          </w:tcPr>
          <w:p>
            <w:pPr>
              <w:jc w:val="right"/>
              <w:spacing w:after="0"/>
              <w:rPr>
                <w:rFonts w:ascii="Arial" w:cs="Arial" w:eastAsia="Arial" w:hAnsi="Arial"/>
                <w:sz w:val="13"/>
                <w:szCs w:val="13"/>
                <w:color w:val="666666"/>
              </w:rPr>
            </w:pPr>
            <w:hyperlink w:anchor="page58">
              <w:r>
                <w:rPr>
                  <w:rFonts w:ascii="Arial" w:cs="Arial" w:eastAsia="Arial" w:hAnsi="Arial"/>
                  <w:sz w:val="13"/>
                  <w:szCs w:val="13"/>
                  <w:color w:val="666666"/>
                </w:rPr>
                <w:t>49</w:t>
              </w:r>
            </w:hyperlink>
          </w:p>
        </w:tc>
      </w:tr>
      <w:tr>
        <w:trPr>
          <w:trHeight w:val="20"/>
        </w:trPr>
        <w:tc>
          <w:tcPr>
            <w:tcW w:w="10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r>
      <w:tr>
        <w:trPr>
          <w:trHeight w:val="258"/>
        </w:trPr>
        <w:tc>
          <w:tcPr>
            <w:tcW w:w="10740" w:type="dxa"/>
            <w:vAlign w:val="bottom"/>
          </w:tcPr>
          <w:p>
            <w:pPr>
              <w:spacing w:after="0"/>
              <w:rPr>
                <w:sz w:val="20"/>
                <w:szCs w:val="20"/>
                <w:color w:val="auto"/>
              </w:rPr>
            </w:pPr>
            <w:r>
              <w:rPr>
                <w:rFonts w:ascii="Arial" w:cs="Arial" w:eastAsia="Arial" w:hAnsi="Arial"/>
                <w:sz w:val="13"/>
                <w:szCs w:val="13"/>
                <w:color w:val="666666"/>
              </w:rPr>
              <w:t>COMPENSATION COMMITTEE REPORT ON EXECUTIVE COMPENSATION</w:t>
            </w:r>
          </w:p>
        </w:tc>
        <w:tc>
          <w:tcPr>
            <w:tcW w:w="280" w:type="dxa"/>
            <w:vAlign w:val="bottom"/>
            <w:gridSpan w:val="2"/>
          </w:tcPr>
          <w:p>
            <w:pPr>
              <w:jc w:val="right"/>
              <w:spacing w:after="0"/>
              <w:rPr>
                <w:rFonts w:ascii="Arial" w:cs="Arial" w:eastAsia="Arial" w:hAnsi="Arial"/>
                <w:sz w:val="13"/>
                <w:szCs w:val="13"/>
                <w:color w:val="666666"/>
              </w:rPr>
            </w:pPr>
            <w:hyperlink w:anchor="page59">
              <w:r>
                <w:rPr>
                  <w:rFonts w:ascii="Arial" w:cs="Arial" w:eastAsia="Arial" w:hAnsi="Arial"/>
                  <w:sz w:val="13"/>
                  <w:szCs w:val="13"/>
                  <w:color w:val="666666"/>
                </w:rPr>
                <w:t>50</w:t>
              </w:r>
            </w:hyperlink>
          </w:p>
        </w:tc>
      </w:tr>
      <w:tr>
        <w:trPr>
          <w:trHeight w:val="20"/>
        </w:trPr>
        <w:tc>
          <w:tcPr>
            <w:tcW w:w="10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r>
      <w:tr>
        <w:trPr>
          <w:trHeight w:val="258"/>
        </w:trPr>
        <w:tc>
          <w:tcPr>
            <w:tcW w:w="10740" w:type="dxa"/>
            <w:vAlign w:val="bottom"/>
          </w:tcPr>
          <w:p>
            <w:pPr>
              <w:spacing w:after="0"/>
              <w:rPr>
                <w:sz w:val="20"/>
                <w:szCs w:val="20"/>
                <w:color w:val="auto"/>
              </w:rPr>
            </w:pPr>
            <w:r>
              <w:rPr>
                <w:rFonts w:ascii="Arial" w:cs="Arial" w:eastAsia="Arial" w:hAnsi="Arial"/>
                <w:sz w:val="13"/>
                <w:szCs w:val="13"/>
                <w:color w:val="666666"/>
              </w:rPr>
              <w:t>AUDIT COMMITTEE REPORT</w:t>
            </w:r>
          </w:p>
        </w:tc>
        <w:tc>
          <w:tcPr>
            <w:tcW w:w="280" w:type="dxa"/>
            <w:vAlign w:val="bottom"/>
            <w:gridSpan w:val="2"/>
          </w:tcPr>
          <w:p>
            <w:pPr>
              <w:jc w:val="right"/>
              <w:spacing w:after="0"/>
              <w:rPr>
                <w:rFonts w:ascii="Arial" w:cs="Arial" w:eastAsia="Arial" w:hAnsi="Arial"/>
                <w:sz w:val="13"/>
                <w:szCs w:val="13"/>
                <w:color w:val="666666"/>
              </w:rPr>
            </w:pPr>
            <w:hyperlink w:anchor="page60">
              <w:r>
                <w:rPr>
                  <w:rFonts w:ascii="Arial" w:cs="Arial" w:eastAsia="Arial" w:hAnsi="Arial"/>
                  <w:sz w:val="13"/>
                  <w:szCs w:val="13"/>
                  <w:color w:val="666666"/>
                </w:rPr>
                <w:t>51</w:t>
              </w:r>
            </w:hyperlink>
          </w:p>
        </w:tc>
      </w:tr>
      <w:tr>
        <w:trPr>
          <w:trHeight w:val="20"/>
        </w:trPr>
        <w:tc>
          <w:tcPr>
            <w:tcW w:w="10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r>
      <w:tr>
        <w:trPr>
          <w:trHeight w:val="258"/>
        </w:trPr>
        <w:tc>
          <w:tcPr>
            <w:tcW w:w="10740" w:type="dxa"/>
            <w:vAlign w:val="bottom"/>
          </w:tcPr>
          <w:p>
            <w:pPr>
              <w:spacing w:after="0"/>
              <w:rPr>
                <w:sz w:val="20"/>
                <w:szCs w:val="20"/>
                <w:color w:val="auto"/>
              </w:rPr>
            </w:pPr>
            <w:r>
              <w:rPr>
                <w:rFonts w:ascii="Arial" w:cs="Arial" w:eastAsia="Arial" w:hAnsi="Arial"/>
                <w:sz w:val="13"/>
                <w:szCs w:val="13"/>
                <w:color w:val="666666"/>
              </w:rPr>
              <w:t>PRE-APPROVAL OF SERVICES BY INDEPENDENT REGISTERED PUBLIC ACCOUNTING FIRM</w:t>
            </w:r>
          </w:p>
        </w:tc>
        <w:tc>
          <w:tcPr>
            <w:tcW w:w="280" w:type="dxa"/>
            <w:vAlign w:val="bottom"/>
            <w:gridSpan w:val="2"/>
          </w:tcPr>
          <w:p>
            <w:pPr>
              <w:jc w:val="right"/>
              <w:spacing w:after="0"/>
              <w:rPr>
                <w:rFonts w:ascii="Arial" w:cs="Arial" w:eastAsia="Arial" w:hAnsi="Arial"/>
                <w:sz w:val="13"/>
                <w:szCs w:val="13"/>
                <w:color w:val="666666"/>
              </w:rPr>
            </w:pPr>
            <w:hyperlink w:anchor="page61">
              <w:r>
                <w:rPr>
                  <w:rFonts w:ascii="Arial" w:cs="Arial" w:eastAsia="Arial" w:hAnsi="Arial"/>
                  <w:sz w:val="13"/>
                  <w:szCs w:val="13"/>
                  <w:color w:val="666666"/>
                </w:rPr>
                <w:t>52</w:t>
              </w:r>
            </w:hyperlink>
          </w:p>
        </w:tc>
      </w:tr>
      <w:tr>
        <w:trPr>
          <w:trHeight w:val="20"/>
        </w:trPr>
        <w:tc>
          <w:tcPr>
            <w:tcW w:w="10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r>
      <w:tr>
        <w:trPr>
          <w:trHeight w:val="258"/>
        </w:trPr>
        <w:tc>
          <w:tcPr>
            <w:tcW w:w="10740" w:type="dxa"/>
            <w:vAlign w:val="bottom"/>
          </w:tcPr>
          <w:p>
            <w:pPr>
              <w:spacing w:after="0"/>
              <w:rPr>
                <w:sz w:val="20"/>
                <w:szCs w:val="20"/>
                <w:color w:val="auto"/>
              </w:rPr>
            </w:pPr>
            <w:r>
              <w:rPr>
                <w:rFonts w:ascii="Arial" w:cs="Arial" w:eastAsia="Arial" w:hAnsi="Arial"/>
                <w:sz w:val="13"/>
                <w:szCs w:val="13"/>
                <w:color w:val="666666"/>
              </w:rPr>
              <w:t>INDEPENDENT REGISTERED PUBLIC ACCOUNTING FIRM FEES</w:t>
            </w:r>
          </w:p>
        </w:tc>
        <w:tc>
          <w:tcPr>
            <w:tcW w:w="280" w:type="dxa"/>
            <w:vAlign w:val="bottom"/>
            <w:gridSpan w:val="2"/>
          </w:tcPr>
          <w:p>
            <w:pPr>
              <w:jc w:val="right"/>
              <w:spacing w:after="0"/>
              <w:rPr>
                <w:rFonts w:ascii="Arial" w:cs="Arial" w:eastAsia="Arial" w:hAnsi="Arial"/>
                <w:sz w:val="13"/>
                <w:szCs w:val="13"/>
                <w:color w:val="666666"/>
              </w:rPr>
            </w:pPr>
            <w:hyperlink w:anchor="page62">
              <w:r>
                <w:rPr>
                  <w:rFonts w:ascii="Arial" w:cs="Arial" w:eastAsia="Arial" w:hAnsi="Arial"/>
                  <w:sz w:val="13"/>
                  <w:szCs w:val="13"/>
                  <w:color w:val="666666"/>
                </w:rPr>
                <w:t>53</w:t>
              </w:r>
            </w:hyperlink>
          </w:p>
        </w:tc>
      </w:tr>
      <w:tr>
        <w:trPr>
          <w:trHeight w:val="20"/>
        </w:trPr>
        <w:tc>
          <w:tcPr>
            <w:tcW w:w="10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r>
      <w:tr>
        <w:trPr>
          <w:trHeight w:val="258"/>
        </w:trPr>
        <w:tc>
          <w:tcPr>
            <w:tcW w:w="10740" w:type="dxa"/>
            <w:vAlign w:val="bottom"/>
          </w:tcPr>
          <w:p>
            <w:pPr>
              <w:spacing w:after="0"/>
              <w:rPr>
                <w:sz w:val="20"/>
                <w:szCs w:val="20"/>
                <w:color w:val="auto"/>
              </w:rPr>
            </w:pPr>
            <w:r>
              <w:rPr>
                <w:rFonts w:ascii="Arial" w:cs="Arial" w:eastAsia="Arial" w:hAnsi="Arial"/>
                <w:sz w:val="13"/>
                <w:szCs w:val="13"/>
                <w:color w:val="666666"/>
              </w:rPr>
              <w:t>PROPOSAL 2: RATIFICATION OF APPOINTMENT OF ACCOUNTANTS</w:t>
            </w:r>
          </w:p>
        </w:tc>
        <w:tc>
          <w:tcPr>
            <w:tcW w:w="280" w:type="dxa"/>
            <w:vAlign w:val="bottom"/>
            <w:gridSpan w:val="2"/>
          </w:tcPr>
          <w:p>
            <w:pPr>
              <w:jc w:val="right"/>
              <w:spacing w:after="0"/>
              <w:rPr>
                <w:rFonts w:ascii="Arial" w:cs="Arial" w:eastAsia="Arial" w:hAnsi="Arial"/>
                <w:sz w:val="13"/>
                <w:szCs w:val="13"/>
                <w:color w:val="666666"/>
              </w:rPr>
            </w:pPr>
            <w:hyperlink w:anchor="page63">
              <w:r>
                <w:rPr>
                  <w:rFonts w:ascii="Arial" w:cs="Arial" w:eastAsia="Arial" w:hAnsi="Arial"/>
                  <w:sz w:val="13"/>
                  <w:szCs w:val="13"/>
                  <w:color w:val="666666"/>
                </w:rPr>
                <w:t>54</w:t>
              </w:r>
            </w:hyperlink>
          </w:p>
        </w:tc>
      </w:tr>
      <w:tr>
        <w:trPr>
          <w:trHeight w:val="20"/>
        </w:trPr>
        <w:tc>
          <w:tcPr>
            <w:tcW w:w="10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r>
      <w:tr>
        <w:trPr>
          <w:trHeight w:val="258"/>
        </w:trPr>
        <w:tc>
          <w:tcPr>
            <w:tcW w:w="10740" w:type="dxa"/>
            <w:vAlign w:val="bottom"/>
          </w:tcPr>
          <w:p>
            <w:pPr>
              <w:spacing w:after="0"/>
              <w:rPr>
                <w:sz w:val="20"/>
                <w:szCs w:val="20"/>
                <w:color w:val="auto"/>
              </w:rPr>
            </w:pPr>
            <w:r>
              <w:rPr>
                <w:rFonts w:ascii="Arial" w:cs="Arial" w:eastAsia="Arial" w:hAnsi="Arial"/>
                <w:sz w:val="13"/>
                <w:szCs w:val="13"/>
                <w:color w:val="666666"/>
              </w:rPr>
              <w:t>PROPOSAL 3: ADVISORY VOTE ON COMPANY'S EXECUTIVE COMPENSATION</w:t>
            </w:r>
          </w:p>
        </w:tc>
        <w:tc>
          <w:tcPr>
            <w:tcW w:w="280" w:type="dxa"/>
            <w:vAlign w:val="bottom"/>
            <w:gridSpan w:val="2"/>
          </w:tcPr>
          <w:p>
            <w:pPr>
              <w:jc w:val="right"/>
              <w:spacing w:after="0"/>
              <w:rPr>
                <w:rFonts w:ascii="Arial" w:cs="Arial" w:eastAsia="Arial" w:hAnsi="Arial"/>
                <w:sz w:val="13"/>
                <w:szCs w:val="13"/>
                <w:color w:val="666666"/>
              </w:rPr>
            </w:pPr>
            <w:hyperlink w:anchor="page64">
              <w:r>
                <w:rPr>
                  <w:rFonts w:ascii="Arial" w:cs="Arial" w:eastAsia="Arial" w:hAnsi="Arial"/>
                  <w:sz w:val="13"/>
                  <w:szCs w:val="13"/>
                  <w:color w:val="666666"/>
                </w:rPr>
                <w:t>55</w:t>
              </w:r>
            </w:hyperlink>
          </w:p>
        </w:tc>
      </w:tr>
      <w:tr>
        <w:trPr>
          <w:trHeight w:val="20"/>
        </w:trPr>
        <w:tc>
          <w:tcPr>
            <w:tcW w:w="10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r>
      <w:tr>
        <w:trPr>
          <w:trHeight w:val="258"/>
        </w:trPr>
        <w:tc>
          <w:tcPr>
            <w:tcW w:w="10740" w:type="dxa"/>
            <w:vAlign w:val="bottom"/>
          </w:tcPr>
          <w:p>
            <w:pPr>
              <w:spacing w:after="0"/>
              <w:rPr>
                <w:sz w:val="20"/>
                <w:szCs w:val="20"/>
                <w:color w:val="auto"/>
              </w:rPr>
            </w:pPr>
            <w:r>
              <w:rPr>
                <w:rFonts w:ascii="Arial" w:cs="Arial" w:eastAsia="Arial" w:hAnsi="Arial"/>
                <w:sz w:val="13"/>
                <w:szCs w:val="13"/>
                <w:color w:val="666666"/>
              </w:rPr>
              <w:t>OTHER BUSINESS</w:t>
            </w:r>
          </w:p>
        </w:tc>
        <w:tc>
          <w:tcPr>
            <w:tcW w:w="280" w:type="dxa"/>
            <w:vAlign w:val="bottom"/>
            <w:gridSpan w:val="2"/>
          </w:tcPr>
          <w:p>
            <w:pPr>
              <w:jc w:val="right"/>
              <w:spacing w:after="0"/>
              <w:rPr>
                <w:rFonts w:ascii="Arial" w:cs="Arial" w:eastAsia="Arial" w:hAnsi="Arial"/>
                <w:sz w:val="13"/>
                <w:szCs w:val="13"/>
                <w:color w:val="666666"/>
              </w:rPr>
            </w:pPr>
            <w:hyperlink w:anchor="page65">
              <w:r>
                <w:rPr>
                  <w:rFonts w:ascii="Arial" w:cs="Arial" w:eastAsia="Arial" w:hAnsi="Arial"/>
                  <w:sz w:val="13"/>
                  <w:szCs w:val="13"/>
                  <w:color w:val="666666"/>
                </w:rPr>
                <w:t>56</w:t>
              </w:r>
            </w:hyperlink>
          </w:p>
        </w:tc>
      </w:tr>
      <w:tr>
        <w:trPr>
          <w:trHeight w:val="20"/>
        </w:trPr>
        <w:tc>
          <w:tcPr>
            <w:tcW w:w="10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r>
      <w:tr>
        <w:trPr>
          <w:trHeight w:val="258"/>
        </w:trPr>
        <w:tc>
          <w:tcPr>
            <w:tcW w:w="10740" w:type="dxa"/>
            <w:vAlign w:val="bottom"/>
          </w:tcPr>
          <w:p>
            <w:pPr>
              <w:spacing w:after="0"/>
              <w:rPr>
                <w:sz w:val="20"/>
                <w:szCs w:val="20"/>
                <w:color w:val="auto"/>
              </w:rPr>
            </w:pPr>
            <w:r>
              <w:rPr>
                <w:rFonts w:ascii="Arial" w:cs="Arial" w:eastAsia="Arial" w:hAnsi="Arial"/>
                <w:sz w:val="13"/>
                <w:szCs w:val="13"/>
                <w:color w:val="666666"/>
              </w:rPr>
              <w:t>IMPORTANT INFORMATION ABOUT ANNUAL MEETING AND PROXY PROCEDURES</w:t>
            </w:r>
          </w:p>
        </w:tc>
        <w:tc>
          <w:tcPr>
            <w:tcW w:w="280" w:type="dxa"/>
            <w:vAlign w:val="bottom"/>
            <w:gridSpan w:val="2"/>
          </w:tcPr>
          <w:p>
            <w:pPr>
              <w:jc w:val="right"/>
              <w:spacing w:after="0"/>
              <w:rPr>
                <w:rFonts w:ascii="Arial" w:cs="Arial" w:eastAsia="Arial" w:hAnsi="Arial"/>
                <w:sz w:val="13"/>
                <w:szCs w:val="13"/>
                <w:color w:val="666666"/>
              </w:rPr>
            </w:pPr>
            <w:hyperlink w:anchor="page66">
              <w:r>
                <w:rPr>
                  <w:rFonts w:ascii="Arial" w:cs="Arial" w:eastAsia="Arial" w:hAnsi="Arial"/>
                  <w:sz w:val="13"/>
                  <w:szCs w:val="13"/>
                  <w:color w:val="666666"/>
                </w:rPr>
                <w:t>57</w:t>
              </w:r>
            </w:hyperlink>
          </w:p>
        </w:tc>
      </w:tr>
      <w:tr>
        <w:trPr>
          <w:trHeight w:val="20"/>
        </w:trPr>
        <w:tc>
          <w:tcPr>
            <w:tcW w:w="10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666666"/>
          </w:tcPr>
          <w:p>
            <w:pPr>
              <w:spacing w:after="0" w:line="20" w:lineRule="exact"/>
              <w:rPr>
                <w:sz w:val="1"/>
                <w:szCs w:val="1"/>
                <w:color w:val="auto"/>
              </w:rPr>
            </w:pPr>
          </w:p>
        </w:tc>
      </w:tr>
      <w:tr>
        <w:trPr>
          <w:trHeight w:val="258"/>
        </w:trPr>
        <w:tc>
          <w:tcPr>
            <w:tcW w:w="10740" w:type="dxa"/>
            <w:vAlign w:val="bottom"/>
          </w:tcPr>
          <w:p>
            <w:pPr>
              <w:spacing w:after="0"/>
              <w:rPr>
                <w:sz w:val="20"/>
                <w:szCs w:val="20"/>
                <w:color w:val="auto"/>
              </w:rPr>
            </w:pPr>
            <w:r>
              <w:rPr>
                <w:rFonts w:ascii="Arial" w:cs="Arial" w:eastAsia="Arial" w:hAnsi="Arial"/>
                <w:sz w:val="13"/>
                <w:szCs w:val="13"/>
                <w:color w:val="666666"/>
              </w:rPr>
              <w:t>Appendix A</w:t>
            </w:r>
          </w:p>
        </w:tc>
        <w:tc>
          <w:tcPr>
            <w:tcW w:w="280" w:type="dxa"/>
            <w:vAlign w:val="bottom"/>
            <w:tcBorders>
              <w:bottom w:val="single" w:sz="8" w:color="666666"/>
            </w:tcBorders>
            <w:gridSpan w:val="2"/>
          </w:tcPr>
          <w:p>
            <w:pPr>
              <w:jc w:val="right"/>
              <w:spacing w:after="0"/>
              <w:rPr>
                <w:rFonts w:ascii="Arial" w:cs="Arial" w:eastAsia="Arial" w:hAnsi="Arial"/>
                <w:sz w:val="13"/>
                <w:szCs w:val="13"/>
                <w:color w:val="666666"/>
                <w:w w:val="94"/>
              </w:rPr>
            </w:pPr>
            <w:hyperlink w:anchor="page71">
              <w:r>
                <w:rPr>
                  <w:rFonts w:ascii="Arial" w:cs="Arial" w:eastAsia="Arial" w:hAnsi="Arial"/>
                  <w:sz w:val="13"/>
                  <w:szCs w:val="13"/>
                  <w:color w:val="666666"/>
                  <w:w w:val="94"/>
                </w:rPr>
                <w:t>A - 1</w:t>
              </w:r>
            </w:hyperlink>
          </w:p>
        </w:tc>
      </w:tr>
    </w:tbl>
    <w:p>
      <w:pPr>
        <w:sectPr>
          <w:pgSz w:w="11900" w:h="16838" w:orient="portrait"/>
          <w:cols w:equalWidth="0" w:num="1">
            <w:col w:w="11020"/>
          </w:cols>
          <w:pgMar w:left="240" w:top="557" w:right="639" w:bottom="1440" w:gutter="0" w:footer="0" w:header="0"/>
        </w:sectPr>
      </w:pPr>
    </w:p>
    <w:bookmarkStart w:id="9" w:name="page10"/>
    <w:bookmarkEnd w:id="9"/>
    <w:p>
      <w:pPr>
        <w:jc w:val="center"/>
        <w:ind w:right="-2"/>
        <w:spacing w:after="0"/>
        <w:rPr>
          <w:sz w:val="20"/>
          <w:szCs w:val="20"/>
          <w:color w:val="auto"/>
        </w:rPr>
      </w:pPr>
      <w:r>
        <w:rPr>
          <w:rFonts w:ascii="Arial" w:cs="Arial" w:eastAsia="Arial" w:hAnsi="Arial"/>
          <w:sz w:val="26"/>
          <w:szCs w:val="26"/>
          <w:b w:val="1"/>
          <w:bCs w:val="1"/>
          <w:color w:val="547BCC"/>
        </w:rPr>
        <w:t>PROXY STATEMENT SUMMARY</w:t>
      </w:r>
    </w:p>
    <w:p>
      <w:pPr>
        <w:spacing w:after="0" w:line="169" w:lineRule="exact"/>
        <w:rPr>
          <w:sz w:val="20"/>
          <w:szCs w:val="20"/>
          <w:color w:val="auto"/>
        </w:rPr>
      </w:pPr>
    </w:p>
    <w:p>
      <w:pPr>
        <w:jc w:val="both"/>
        <w:ind w:left="3"/>
        <w:spacing w:after="0" w:line="285" w:lineRule="auto"/>
        <w:rPr>
          <w:sz w:val="20"/>
          <w:szCs w:val="20"/>
          <w:color w:val="auto"/>
        </w:rPr>
      </w:pPr>
      <w:r>
        <w:rPr>
          <w:rFonts w:ascii="Arial" w:cs="Arial" w:eastAsia="Arial" w:hAnsi="Arial"/>
          <w:sz w:val="14"/>
          <w:szCs w:val="14"/>
          <w:color w:val="666666"/>
        </w:rPr>
        <w:t>This summary highlights certain information contained elsewhere in this proxy statement. The summary does not contain all of the information that you should consider, and you should review our Annual Report on Form 10-K for the year ended March 31, 2018 and the entire proxy statement carefully before voting.</w:t>
      </w:r>
    </w:p>
    <w:p>
      <w:pPr>
        <w:spacing w:after="0" w:line="65" w:lineRule="exact"/>
        <w:rPr>
          <w:sz w:val="20"/>
          <w:szCs w:val="20"/>
          <w:color w:val="auto"/>
        </w:rPr>
      </w:pPr>
    </w:p>
    <w:p>
      <w:pPr>
        <w:jc w:val="both"/>
        <w:ind w:left="3"/>
        <w:spacing w:after="0" w:line="275" w:lineRule="auto"/>
        <w:rPr>
          <w:sz w:val="20"/>
          <w:szCs w:val="20"/>
          <w:color w:val="auto"/>
        </w:rPr>
      </w:pPr>
      <w:r>
        <w:rPr>
          <w:rFonts w:ascii="Arial" w:cs="Arial" w:eastAsia="Arial" w:hAnsi="Arial"/>
          <w:sz w:val="12"/>
          <w:szCs w:val="12"/>
          <w:i w:val="1"/>
          <w:iCs w:val="1"/>
          <w:color w:val="666666"/>
        </w:rPr>
        <w:t>Unless the context otherwise indicates or requires, as used in this proxy statement, references to: (i) the “Company,” “we,” “us,” “our” or our “company” refer to Booz Allen Hamilton Holding Corporation, its consolidated subsidiaries and predecessors; (ii) “Booz Allen Holding” or "Booz Allen" refers to Booz Allen Hamilton Holding Corporation exclusive of its subsidiaries; (iii) “Booz Allen Hamilton” refer to Booz Allen Hamilton Inc., our primary operating company and a wholly-owned subsidiary of Booz Allen Holding; (iv) “our Board” or “the Board” means the Board of Directors of the Company;</w:t>
      </w:r>
    </w:p>
    <w:p>
      <w:pPr>
        <w:spacing w:after="0" w:line="1" w:lineRule="exact"/>
        <w:rPr>
          <w:sz w:val="20"/>
          <w:szCs w:val="20"/>
          <w:color w:val="auto"/>
        </w:rPr>
      </w:pPr>
    </w:p>
    <w:p>
      <w:pPr>
        <w:ind w:left="3" w:right="20" w:hanging="3"/>
        <w:spacing w:after="0" w:line="256" w:lineRule="auto"/>
        <w:tabs>
          <w:tab w:leader="none" w:pos="189" w:val="left"/>
        </w:tabs>
        <w:numPr>
          <w:ilvl w:val="0"/>
          <w:numId w:val="5"/>
        </w:numPr>
        <w:rPr>
          <w:rFonts w:ascii="Arial" w:cs="Arial" w:eastAsia="Arial" w:hAnsi="Arial"/>
          <w:sz w:val="13"/>
          <w:szCs w:val="13"/>
          <w:i w:val="1"/>
          <w:iCs w:val="1"/>
          <w:color w:val="666666"/>
        </w:rPr>
      </w:pPr>
      <w:r>
        <w:rPr>
          <w:rFonts w:ascii="Arial" w:cs="Arial" w:eastAsia="Arial" w:hAnsi="Arial"/>
          <w:sz w:val="13"/>
          <w:szCs w:val="13"/>
          <w:i w:val="1"/>
          <w:iCs w:val="1"/>
          <w:color w:val="666666"/>
        </w:rPr>
        <w:t>“stockholder” means holders of our Class A common stock; (vi) “fiscal,” refers to our fiscal years ended March 31; and (vii) “you,” “your,” “yours,” or other words of similar import in this proxy statement refers to stockholders entitled to vote on the matters to be presented at the annual meeting.</w:t>
      </w:r>
    </w:p>
    <w:p>
      <w:pPr>
        <w:spacing w:after="0" w:line="85" w:lineRule="exact"/>
        <w:rPr>
          <w:sz w:val="20"/>
          <w:szCs w:val="20"/>
          <w:color w:val="auto"/>
        </w:rPr>
      </w:pPr>
    </w:p>
    <w:p>
      <w:pPr>
        <w:ind w:left="3"/>
        <w:spacing w:after="0"/>
        <w:rPr>
          <w:sz w:val="20"/>
          <w:szCs w:val="20"/>
          <w:color w:val="auto"/>
        </w:rPr>
      </w:pPr>
      <w:r>
        <w:rPr>
          <w:rFonts w:ascii="Arial" w:cs="Arial" w:eastAsia="Arial" w:hAnsi="Arial"/>
          <w:sz w:val="17"/>
          <w:szCs w:val="17"/>
          <w:b w:val="1"/>
          <w:bCs w:val="1"/>
          <w:u w:val="single" w:color="auto"/>
          <w:color w:val="547BCC"/>
        </w:rPr>
        <w:t>2018 Annual Meeting of Stockholders</w:t>
      </w:r>
    </w:p>
    <w:p>
      <w:pPr>
        <w:spacing w:after="0" w:line="108" w:lineRule="exact"/>
        <w:rPr>
          <w:sz w:val="20"/>
          <w:szCs w:val="20"/>
          <w:color w:val="auto"/>
        </w:rPr>
      </w:pPr>
    </w:p>
    <w:p>
      <w:pPr>
        <w:ind w:left="3"/>
        <w:spacing w:after="0"/>
        <w:tabs>
          <w:tab w:leader="none" w:pos="1223" w:val="left"/>
        </w:tabs>
        <w:rPr>
          <w:sz w:val="20"/>
          <w:szCs w:val="20"/>
          <w:color w:val="auto"/>
        </w:rPr>
      </w:pPr>
      <w:r>
        <w:rPr>
          <w:rFonts w:ascii="Arial" w:cs="Arial" w:eastAsia="Arial" w:hAnsi="Arial"/>
          <w:sz w:val="14"/>
          <w:szCs w:val="14"/>
          <w:b w:val="1"/>
          <w:bCs w:val="1"/>
          <w:color w:val="666666"/>
        </w:rPr>
        <w:t>Date and Time:</w:t>
      </w:r>
      <w:r>
        <w:rPr>
          <w:sz w:val="20"/>
          <w:szCs w:val="20"/>
          <w:color w:val="auto"/>
        </w:rPr>
        <w:tab/>
      </w:r>
      <w:r>
        <w:rPr>
          <w:rFonts w:ascii="Arial" w:cs="Arial" w:eastAsia="Arial" w:hAnsi="Arial"/>
          <w:sz w:val="14"/>
          <w:szCs w:val="14"/>
          <w:color w:val="666666"/>
        </w:rPr>
        <w:t>July 26, 2018 at 8:00 a.m. EDT</w:t>
      </w:r>
    </w:p>
    <w:p>
      <w:pPr>
        <w:spacing w:after="0" w:line="79" w:lineRule="exact"/>
        <w:rPr>
          <w:sz w:val="20"/>
          <w:szCs w:val="20"/>
          <w:color w:val="auto"/>
        </w:rPr>
      </w:pPr>
    </w:p>
    <w:p>
      <w:pPr>
        <w:ind w:left="3"/>
        <w:spacing w:after="0"/>
        <w:tabs>
          <w:tab w:leader="none" w:pos="943" w:val="left"/>
        </w:tabs>
        <w:rPr>
          <w:sz w:val="20"/>
          <w:szCs w:val="20"/>
          <w:color w:val="auto"/>
        </w:rPr>
      </w:pPr>
      <w:r>
        <w:rPr>
          <w:rFonts w:ascii="Arial" w:cs="Arial" w:eastAsia="Arial" w:hAnsi="Arial"/>
          <w:sz w:val="14"/>
          <w:szCs w:val="14"/>
          <w:b w:val="1"/>
          <w:bCs w:val="1"/>
          <w:color w:val="666666"/>
        </w:rPr>
        <w:t>Place:</w:t>
      </w:r>
      <w:r>
        <w:rPr>
          <w:sz w:val="20"/>
          <w:szCs w:val="20"/>
          <w:color w:val="auto"/>
        </w:rPr>
        <w:tab/>
      </w:r>
      <w:r>
        <w:rPr>
          <w:rFonts w:ascii="Arial" w:cs="Arial" w:eastAsia="Arial" w:hAnsi="Arial"/>
          <w:sz w:val="14"/>
          <w:szCs w:val="14"/>
          <w:color w:val="666666"/>
        </w:rPr>
        <w:t>Booz Allen Hamilton</w:t>
      </w:r>
    </w:p>
    <w:p>
      <w:pPr>
        <w:spacing w:after="0" w:line="22" w:lineRule="exact"/>
        <w:rPr>
          <w:sz w:val="20"/>
          <w:szCs w:val="20"/>
          <w:color w:val="auto"/>
        </w:rPr>
      </w:pPr>
    </w:p>
    <w:p>
      <w:pPr>
        <w:ind w:left="1383"/>
        <w:spacing w:after="0"/>
        <w:rPr>
          <w:sz w:val="20"/>
          <w:szCs w:val="20"/>
          <w:color w:val="auto"/>
        </w:rPr>
      </w:pPr>
      <w:r>
        <w:rPr>
          <w:rFonts w:ascii="Arial" w:cs="Arial" w:eastAsia="Arial" w:hAnsi="Arial"/>
          <w:sz w:val="14"/>
          <w:szCs w:val="14"/>
          <w:color w:val="666666"/>
        </w:rPr>
        <w:t>The John C. Newman Auditorium</w:t>
      </w:r>
    </w:p>
    <w:p>
      <w:pPr>
        <w:spacing w:after="0" w:line="2" w:lineRule="exact"/>
        <w:rPr>
          <w:sz w:val="20"/>
          <w:szCs w:val="20"/>
          <w:color w:val="auto"/>
        </w:rPr>
      </w:pPr>
    </w:p>
    <w:p>
      <w:pPr>
        <w:ind w:left="1383"/>
        <w:spacing w:after="0"/>
        <w:rPr>
          <w:sz w:val="20"/>
          <w:szCs w:val="20"/>
          <w:color w:val="auto"/>
        </w:rPr>
      </w:pPr>
      <w:r>
        <w:rPr>
          <w:rFonts w:ascii="Arial" w:cs="Arial" w:eastAsia="Arial" w:hAnsi="Arial"/>
          <w:sz w:val="14"/>
          <w:szCs w:val="14"/>
          <w:color w:val="666666"/>
        </w:rPr>
        <w:t>8283 Greensboro Drive, McLean, Virginia 22102</w:t>
      </w:r>
    </w:p>
    <w:p>
      <w:pPr>
        <w:spacing w:after="0" w:line="59" w:lineRule="exact"/>
        <w:rPr>
          <w:sz w:val="20"/>
          <w:szCs w:val="20"/>
          <w:color w:val="auto"/>
        </w:rPr>
      </w:pPr>
    </w:p>
    <w:p>
      <w:pPr>
        <w:ind w:left="3"/>
        <w:spacing w:after="0"/>
        <w:tabs>
          <w:tab w:leader="none" w:pos="1223" w:val="left"/>
        </w:tabs>
        <w:rPr>
          <w:sz w:val="20"/>
          <w:szCs w:val="20"/>
          <w:color w:val="auto"/>
        </w:rPr>
      </w:pPr>
      <w:r>
        <w:rPr>
          <w:rFonts w:ascii="Arial" w:cs="Arial" w:eastAsia="Arial" w:hAnsi="Arial"/>
          <w:sz w:val="14"/>
          <w:szCs w:val="14"/>
          <w:b w:val="1"/>
          <w:bCs w:val="1"/>
          <w:color w:val="666666"/>
        </w:rPr>
        <w:t>Record date:</w:t>
      </w:r>
      <w:r>
        <w:rPr>
          <w:sz w:val="20"/>
          <w:szCs w:val="20"/>
          <w:color w:val="auto"/>
        </w:rPr>
        <w:tab/>
      </w:r>
      <w:r>
        <w:rPr>
          <w:rFonts w:ascii="Arial" w:cs="Arial" w:eastAsia="Arial" w:hAnsi="Arial"/>
          <w:sz w:val="14"/>
          <w:szCs w:val="14"/>
          <w:color w:val="666666"/>
        </w:rPr>
        <w:t>June 4, 2018</w:t>
      </w:r>
    </w:p>
    <w:p>
      <w:pPr>
        <w:spacing w:after="0" w:line="117" w:lineRule="exact"/>
        <w:rPr>
          <w:sz w:val="20"/>
          <w:szCs w:val="20"/>
          <w:color w:val="auto"/>
        </w:rPr>
      </w:pPr>
    </w:p>
    <w:p>
      <w:pPr>
        <w:ind w:left="3"/>
        <w:spacing w:after="0"/>
        <w:tabs>
          <w:tab w:leader="none" w:pos="1363" w:val="left"/>
        </w:tabs>
        <w:rPr>
          <w:sz w:val="20"/>
          <w:szCs w:val="20"/>
          <w:color w:val="auto"/>
        </w:rPr>
      </w:pPr>
      <w:r>
        <w:rPr>
          <w:rFonts w:ascii="Arial" w:cs="Arial" w:eastAsia="Arial" w:hAnsi="Arial"/>
          <w:sz w:val="14"/>
          <w:szCs w:val="14"/>
          <w:b w:val="1"/>
          <w:bCs w:val="1"/>
          <w:color w:val="666666"/>
        </w:rPr>
        <w:t>Admission:</w:t>
      </w:r>
      <w:r>
        <w:rPr>
          <w:sz w:val="20"/>
          <w:szCs w:val="20"/>
          <w:color w:val="auto"/>
        </w:rPr>
        <w:tab/>
      </w:r>
      <w:r>
        <w:rPr>
          <w:rFonts w:ascii="Arial" w:cs="Arial" w:eastAsia="Arial" w:hAnsi="Arial"/>
          <w:sz w:val="14"/>
          <w:szCs w:val="14"/>
          <w:color w:val="666666"/>
        </w:rPr>
        <w:t>Annual meeting admission is limited to our registered and beneficial stockholders as of the record date and persons holding valid proxies from stockholders.</w:t>
      </w:r>
    </w:p>
    <w:p>
      <w:pPr>
        <w:spacing w:after="0" w:line="22" w:lineRule="exact"/>
        <w:rPr>
          <w:sz w:val="20"/>
          <w:szCs w:val="20"/>
          <w:color w:val="auto"/>
        </w:rPr>
      </w:pPr>
    </w:p>
    <w:p>
      <w:pPr>
        <w:ind w:left="1383"/>
        <w:spacing w:after="0"/>
        <w:rPr>
          <w:sz w:val="20"/>
          <w:szCs w:val="20"/>
          <w:color w:val="auto"/>
        </w:rPr>
      </w:pPr>
      <w:r>
        <w:rPr>
          <w:rFonts w:ascii="Arial" w:cs="Arial" w:eastAsia="Arial" w:hAnsi="Arial"/>
          <w:sz w:val="14"/>
          <w:szCs w:val="14"/>
          <w:color w:val="666666"/>
        </w:rPr>
        <w:t>Admission to our annual meeting requires proof of your stock ownership as of the record date, and valid, government-issued identification. See "Important</w:t>
      </w:r>
    </w:p>
    <w:p>
      <w:pPr>
        <w:spacing w:after="0" w:line="2" w:lineRule="exact"/>
        <w:rPr>
          <w:sz w:val="20"/>
          <w:szCs w:val="20"/>
          <w:color w:val="auto"/>
        </w:rPr>
      </w:pPr>
    </w:p>
    <w:p>
      <w:pPr>
        <w:ind w:left="1383"/>
        <w:spacing w:after="0"/>
        <w:rPr>
          <w:sz w:val="20"/>
          <w:szCs w:val="20"/>
          <w:color w:val="auto"/>
        </w:rPr>
      </w:pPr>
      <w:r>
        <w:rPr>
          <w:rFonts w:ascii="Arial" w:cs="Arial" w:eastAsia="Arial" w:hAnsi="Arial"/>
          <w:sz w:val="14"/>
          <w:szCs w:val="14"/>
          <w:color w:val="666666"/>
        </w:rPr>
        <w:t>Information about Annual Meeting and Proxy Procedures" on page 57 for additional information.</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7"/>
          <w:szCs w:val="17"/>
          <w:b w:val="1"/>
          <w:bCs w:val="1"/>
          <w:u w:val="single" w:color="auto"/>
          <w:color w:val="547BCC"/>
        </w:rPr>
        <w:t>Voting Matters and Board Recommendations</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4"/>
          <w:szCs w:val="14"/>
          <w:color w:val="666666"/>
        </w:rPr>
        <w:t>Stockholders are being asked to vote on the following matters at the 2018 Annual Meeting of Stockholders:</w:t>
      </w:r>
    </w:p>
    <w:p>
      <w:pPr>
        <w:spacing w:after="0" w:line="119"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1000" w:type="dxa"/>
            <w:vAlign w:val="bottom"/>
            <w:tcBorders>
              <w:bottom w:val="single" w:sz="8" w:color="auto"/>
            </w:tcBorders>
            <w:shd w:val="clear" w:color="auto" w:fill="C9C9C9"/>
          </w:tcPr>
          <w:p>
            <w:pPr>
              <w:jc w:val="center"/>
              <w:ind w:left="76"/>
              <w:spacing w:after="0"/>
              <w:rPr>
                <w:sz w:val="20"/>
                <w:szCs w:val="20"/>
                <w:color w:val="auto"/>
              </w:rPr>
            </w:pPr>
            <w:r>
              <w:rPr>
                <w:rFonts w:ascii="Arial" w:cs="Arial" w:eastAsia="Arial" w:hAnsi="Arial"/>
                <w:sz w:val="13"/>
                <w:szCs w:val="13"/>
                <w:b w:val="1"/>
                <w:bCs w:val="1"/>
                <w:color w:val="547BCC"/>
                <w:w w:val="96"/>
              </w:rPr>
              <w:t>Proposal</w:t>
            </w:r>
          </w:p>
        </w:tc>
        <w:tc>
          <w:tcPr>
            <w:tcW w:w="5800" w:type="dxa"/>
            <w:vAlign w:val="bottom"/>
            <w:tcBorders>
              <w:bottom w:val="single" w:sz="8" w:color="auto"/>
            </w:tcBorders>
            <w:shd w:val="clear" w:color="auto" w:fill="C9C9C9"/>
          </w:tcPr>
          <w:p>
            <w:pPr>
              <w:ind w:left="2620"/>
              <w:spacing w:after="0"/>
              <w:rPr>
                <w:sz w:val="20"/>
                <w:szCs w:val="20"/>
                <w:color w:val="auto"/>
              </w:rPr>
            </w:pPr>
            <w:r>
              <w:rPr>
                <w:rFonts w:ascii="Arial" w:cs="Arial" w:eastAsia="Arial" w:hAnsi="Arial"/>
                <w:sz w:val="13"/>
                <w:szCs w:val="13"/>
                <w:b w:val="1"/>
                <w:bCs w:val="1"/>
                <w:color w:val="547BCC"/>
              </w:rPr>
              <w:t>Description</w:t>
            </w:r>
          </w:p>
        </w:tc>
        <w:tc>
          <w:tcPr>
            <w:tcW w:w="2500" w:type="dxa"/>
            <w:vAlign w:val="bottom"/>
            <w:tcBorders>
              <w:bottom w:val="single" w:sz="8" w:color="auto"/>
            </w:tcBorders>
            <w:shd w:val="clear" w:color="auto" w:fill="C9C9C9"/>
          </w:tcPr>
          <w:p>
            <w:pPr>
              <w:jc w:val="center"/>
              <w:ind w:right="316"/>
              <w:spacing w:after="0"/>
              <w:rPr>
                <w:sz w:val="20"/>
                <w:szCs w:val="20"/>
                <w:color w:val="auto"/>
              </w:rPr>
            </w:pPr>
            <w:r>
              <w:rPr>
                <w:rFonts w:ascii="Arial" w:cs="Arial" w:eastAsia="Arial" w:hAnsi="Arial"/>
                <w:sz w:val="13"/>
                <w:szCs w:val="13"/>
                <w:b w:val="1"/>
                <w:bCs w:val="1"/>
                <w:color w:val="547BCC"/>
                <w:w w:val="97"/>
              </w:rPr>
              <w:t>Board's Voting Recommendation</w:t>
            </w:r>
          </w:p>
        </w:tc>
        <w:tc>
          <w:tcPr>
            <w:tcW w:w="2180" w:type="dxa"/>
            <w:vAlign w:val="bottom"/>
            <w:tcBorders>
              <w:bottom w:val="single" w:sz="8" w:color="auto"/>
            </w:tcBorders>
            <w:shd w:val="clear" w:color="auto" w:fill="C9C9C9"/>
          </w:tcPr>
          <w:p>
            <w:pPr>
              <w:ind w:left="440"/>
              <w:spacing w:after="0"/>
              <w:rPr>
                <w:sz w:val="20"/>
                <w:szCs w:val="20"/>
                <w:color w:val="auto"/>
              </w:rPr>
            </w:pPr>
            <w:r>
              <w:rPr>
                <w:rFonts w:ascii="Arial" w:cs="Arial" w:eastAsia="Arial" w:hAnsi="Arial"/>
                <w:sz w:val="13"/>
                <w:szCs w:val="13"/>
                <w:b w:val="1"/>
                <w:bCs w:val="1"/>
                <w:color w:val="547BCC"/>
              </w:rPr>
              <w:t>Page Reference</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center"/>
              <w:ind w:left="76"/>
              <w:spacing w:after="0"/>
              <w:rPr>
                <w:sz w:val="20"/>
                <w:szCs w:val="20"/>
                <w:color w:val="auto"/>
              </w:rPr>
            </w:pPr>
            <w:r>
              <w:rPr>
                <w:rFonts w:ascii="Arial" w:cs="Arial" w:eastAsia="Arial" w:hAnsi="Arial"/>
                <w:sz w:val="13"/>
                <w:szCs w:val="13"/>
                <w:color w:val="666666"/>
                <w:w w:val="96"/>
              </w:rPr>
              <w:t>No. 1</w:t>
            </w:r>
          </w:p>
        </w:tc>
        <w:tc>
          <w:tcPr>
            <w:tcW w:w="58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666666"/>
              </w:rPr>
              <w:t>Election of four director nominees</w:t>
            </w:r>
          </w:p>
        </w:tc>
        <w:tc>
          <w:tcPr>
            <w:tcW w:w="2500" w:type="dxa"/>
            <w:vAlign w:val="bottom"/>
            <w:tcBorders>
              <w:bottom w:val="single" w:sz="8" w:color="auto"/>
            </w:tcBorders>
          </w:tcPr>
          <w:p>
            <w:pPr>
              <w:jc w:val="center"/>
              <w:ind w:right="316"/>
              <w:spacing w:after="0"/>
              <w:rPr>
                <w:sz w:val="20"/>
                <w:szCs w:val="20"/>
                <w:color w:val="auto"/>
              </w:rPr>
            </w:pPr>
            <w:r>
              <w:rPr>
                <w:rFonts w:ascii="Arial" w:cs="Arial" w:eastAsia="Arial" w:hAnsi="Arial"/>
                <w:sz w:val="13"/>
                <w:szCs w:val="13"/>
                <w:b w:val="1"/>
                <w:bCs w:val="1"/>
                <w:color w:val="666666"/>
                <w:w w:val="98"/>
              </w:rPr>
              <w:t>FOR each nominee</w:t>
            </w:r>
          </w:p>
        </w:tc>
        <w:tc>
          <w:tcPr>
            <w:tcW w:w="2180" w:type="dxa"/>
            <w:vAlign w:val="bottom"/>
            <w:tcBorders>
              <w:bottom w:val="single" w:sz="8" w:color="auto"/>
            </w:tcBorders>
          </w:tcPr>
          <w:p>
            <w:pPr>
              <w:jc w:val="center"/>
              <w:ind w:right="296"/>
              <w:spacing w:after="0"/>
              <w:rPr>
                <w:sz w:val="20"/>
                <w:szCs w:val="20"/>
                <w:color w:val="auto"/>
              </w:rPr>
            </w:pPr>
            <w:r>
              <w:rPr>
                <w:rFonts w:ascii="Arial" w:cs="Arial" w:eastAsia="Arial" w:hAnsi="Arial"/>
                <w:sz w:val="13"/>
                <w:szCs w:val="13"/>
                <w:color w:val="666666"/>
                <w:w w:val="82"/>
              </w:rPr>
              <w:t>6</w:t>
            </w:r>
          </w:p>
        </w:tc>
        <w:tc>
          <w:tcPr>
            <w:tcW w:w="0" w:type="dxa"/>
            <w:vAlign w:val="bottom"/>
          </w:tcPr>
          <w:p>
            <w:pPr>
              <w:spacing w:after="0"/>
              <w:rPr>
                <w:sz w:val="1"/>
                <w:szCs w:val="1"/>
                <w:color w:val="auto"/>
              </w:rPr>
            </w:pPr>
          </w:p>
        </w:tc>
      </w:tr>
      <w:tr>
        <w:trPr>
          <w:trHeight w:val="137"/>
        </w:trPr>
        <w:tc>
          <w:tcPr>
            <w:tcW w:w="1000" w:type="dxa"/>
            <w:vAlign w:val="bottom"/>
            <w:vMerge w:val="restart"/>
            <w:shd w:val="clear" w:color="auto" w:fill="C9C9C9"/>
          </w:tcPr>
          <w:p>
            <w:pPr>
              <w:jc w:val="center"/>
              <w:ind w:left="76"/>
              <w:spacing w:after="0"/>
              <w:rPr>
                <w:sz w:val="20"/>
                <w:szCs w:val="20"/>
                <w:color w:val="auto"/>
              </w:rPr>
            </w:pPr>
            <w:r>
              <w:rPr>
                <w:rFonts w:ascii="Arial" w:cs="Arial" w:eastAsia="Arial" w:hAnsi="Arial"/>
                <w:sz w:val="13"/>
                <w:szCs w:val="13"/>
                <w:color w:val="666666"/>
                <w:w w:val="96"/>
              </w:rPr>
              <w:t>No. 2</w:t>
            </w:r>
          </w:p>
        </w:tc>
        <w:tc>
          <w:tcPr>
            <w:tcW w:w="5800" w:type="dxa"/>
            <w:vAlign w:val="bottom"/>
            <w:shd w:val="clear" w:color="auto" w:fill="C9C9C9"/>
          </w:tcPr>
          <w:p>
            <w:pPr>
              <w:ind w:left="160"/>
              <w:spacing w:after="0" w:line="138" w:lineRule="exact"/>
              <w:rPr>
                <w:sz w:val="20"/>
                <w:szCs w:val="20"/>
                <w:color w:val="auto"/>
              </w:rPr>
            </w:pPr>
            <w:r>
              <w:rPr>
                <w:rFonts w:ascii="Arial" w:cs="Arial" w:eastAsia="Arial" w:hAnsi="Arial"/>
                <w:sz w:val="13"/>
                <w:szCs w:val="13"/>
                <w:color w:val="666666"/>
              </w:rPr>
              <w:t>Ratification of appointment of Ernst &amp; Young LLP ("E&amp;Y") as the Company's independent</w:t>
            </w:r>
          </w:p>
        </w:tc>
        <w:tc>
          <w:tcPr>
            <w:tcW w:w="2500" w:type="dxa"/>
            <w:vAlign w:val="bottom"/>
            <w:vMerge w:val="restart"/>
            <w:shd w:val="clear" w:color="auto" w:fill="C9C9C9"/>
          </w:tcPr>
          <w:p>
            <w:pPr>
              <w:jc w:val="center"/>
              <w:ind w:right="296"/>
              <w:spacing w:after="0"/>
              <w:rPr>
                <w:sz w:val="20"/>
                <w:szCs w:val="20"/>
                <w:color w:val="auto"/>
              </w:rPr>
            </w:pPr>
            <w:r>
              <w:rPr>
                <w:rFonts w:ascii="Arial" w:cs="Arial" w:eastAsia="Arial" w:hAnsi="Arial"/>
                <w:sz w:val="13"/>
                <w:szCs w:val="13"/>
                <w:b w:val="1"/>
                <w:bCs w:val="1"/>
                <w:color w:val="666666"/>
                <w:w w:val="94"/>
              </w:rPr>
              <w:t>FOR</w:t>
            </w:r>
          </w:p>
        </w:tc>
        <w:tc>
          <w:tcPr>
            <w:tcW w:w="2180" w:type="dxa"/>
            <w:vAlign w:val="bottom"/>
            <w:vMerge w:val="restart"/>
            <w:shd w:val="clear" w:color="auto" w:fill="C9C9C9"/>
          </w:tcPr>
          <w:p>
            <w:pPr>
              <w:jc w:val="center"/>
              <w:ind w:right="296"/>
              <w:spacing w:after="0"/>
              <w:rPr>
                <w:sz w:val="20"/>
                <w:szCs w:val="20"/>
                <w:color w:val="auto"/>
              </w:rPr>
            </w:pPr>
            <w:r>
              <w:rPr>
                <w:rFonts w:ascii="Arial" w:cs="Arial" w:eastAsia="Arial" w:hAnsi="Arial"/>
                <w:sz w:val="13"/>
                <w:szCs w:val="13"/>
                <w:color w:val="666666"/>
                <w:w w:val="96"/>
              </w:rPr>
              <w:t>54</w:t>
            </w:r>
          </w:p>
        </w:tc>
        <w:tc>
          <w:tcPr>
            <w:tcW w:w="0" w:type="dxa"/>
            <w:vAlign w:val="bottom"/>
          </w:tcPr>
          <w:p>
            <w:pPr>
              <w:spacing w:after="0"/>
              <w:rPr>
                <w:sz w:val="1"/>
                <w:szCs w:val="1"/>
                <w:color w:val="auto"/>
              </w:rPr>
            </w:pPr>
          </w:p>
        </w:tc>
      </w:tr>
      <w:tr>
        <w:trPr>
          <w:trHeight w:val="101"/>
        </w:trPr>
        <w:tc>
          <w:tcPr>
            <w:tcW w:w="1000" w:type="dxa"/>
            <w:vAlign w:val="bottom"/>
            <w:vMerge w:val="continue"/>
            <w:shd w:val="clear" w:color="auto" w:fill="C9C9C9"/>
          </w:tcPr>
          <w:p>
            <w:pPr>
              <w:spacing w:after="0"/>
              <w:rPr>
                <w:sz w:val="8"/>
                <w:szCs w:val="8"/>
                <w:color w:val="auto"/>
              </w:rPr>
            </w:pPr>
          </w:p>
        </w:tc>
        <w:tc>
          <w:tcPr>
            <w:tcW w:w="5800" w:type="dxa"/>
            <w:vAlign w:val="bottom"/>
            <w:vMerge w:val="restart"/>
            <w:shd w:val="clear" w:color="auto" w:fill="C9C9C9"/>
          </w:tcPr>
          <w:p>
            <w:pPr>
              <w:ind w:left="160"/>
              <w:spacing w:after="0"/>
              <w:rPr>
                <w:sz w:val="20"/>
                <w:szCs w:val="20"/>
                <w:color w:val="auto"/>
              </w:rPr>
            </w:pPr>
            <w:r>
              <w:rPr>
                <w:rFonts w:ascii="Arial" w:cs="Arial" w:eastAsia="Arial" w:hAnsi="Arial"/>
                <w:sz w:val="13"/>
                <w:szCs w:val="13"/>
                <w:color w:val="666666"/>
              </w:rPr>
              <w:t>registered accounting firm for fiscal year 2019</w:t>
            </w:r>
          </w:p>
        </w:tc>
        <w:tc>
          <w:tcPr>
            <w:tcW w:w="2500" w:type="dxa"/>
            <w:vAlign w:val="bottom"/>
            <w:vMerge w:val="continue"/>
            <w:shd w:val="clear" w:color="auto" w:fill="C9C9C9"/>
          </w:tcPr>
          <w:p>
            <w:pPr>
              <w:spacing w:after="0"/>
              <w:rPr>
                <w:sz w:val="8"/>
                <w:szCs w:val="8"/>
                <w:color w:val="auto"/>
              </w:rPr>
            </w:pPr>
          </w:p>
        </w:tc>
        <w:tc>
          <w:tcPr>
            <w:tcW w:w="2180" w:type="dxa"/>
            <w:vAlign w:val="bottom"/>
            <w:vMerge w:val="continue"/>
            <w:shd w:val="clear" w:color="auto" w:fill="C9C9C9"/>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000" w:type="dxa"/>
            <w:vAlign w:val="bottom"/>
            <w:tcBorders>
              <w:bottom w:val="single" w:sz="8" w:color="auto"/>
            </w:tcBorders>
            <w:shd w:val="clear" w:color="auto" w:fill="C9C9C9"/>
          </w:tcPr>
          <w:p>
            <w:pPr>
              <w:spacing w:after="0"/>
              <w:rPr>
                <w:sz w:val="6"/>
                <w:szCs w:val="6"/>
                <w:color w:val="auto"/>
              </w:rPr>
            </w:pPr>
          </w:p>
        </w:tc>
        <w:tc>
          <w:tcPr>
            <w:tcW w:w="5800" w:type="dxa"/>
            <w:vAlign w:val="bottom"/>
            <w:tcBorders>
              <w:bottom w:val="single" w:sz="8" w:color="auto"/>
            </w:tcBorders>
            <w:vMerge w:val="continue"/>
            <w:shd w:val="clear" w:color="auto" w:fill="C9C9C9"/>
          </w:tcPr>
          <w:p>
            <w:pPr>
              <w:spacing w:after="0"/>
              <w:rPr>
                <w:sz w:val="6"/>
                <w:szCs w:val="6"/>
                <w:color w:val="auto"/>
              </w:rPr>
            </w:pPr>
          </w:p>
        </w:tc>
        <w:tc>
          <w:tcPr>
            <w:tcW w:w="2500" w:type="dxa"/>
            <w:vAlign w:val="bottom"/>
            <w:tcBorders>
              <w:bottom w:val="single" w:sz="8" w:color="auto"/>
            </w:tcBorders>
            <w:shd w:val="clear" w:color="auto" w:fill="C9C9C9"/>
          </w:tcPr>
          <w:p>
            <w:pPr>
              <w:spacing w:after="0"/>
              <w:rPr>
                <w:sz w:val="6"/>
                <w:szCs w:val="6"/>
                <w:color w:val="auto"/>
              </w:rPr>
            </w:pPr>
          </w:p>
        </w:tc>
        <w:tc>
          <w:tcPr>
            <w:tcW w:w="2180" w:type="dxa"/>
            <w:vAlign w:val="bottom"/>
            <w:tcBorders>
              <w:bottom w:val="single" w:sz="8" w:color="auto"/>
            </w:tcBorders>
            <w:shd w:val="clear" w:color="auto" w:fill="C9C9C9"/>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000" w:type="dxa"/>
            <w:vAlign w:val="bottom"/>
          </w:tcPr>
          <w:p>
            <w:pPr>
              <w:spacing w:after="0"/>
              <w:rPr>
                <w:sz w:val="12"/>
                <w:szCs w:val="12"/>
                <w:color w:val="auto"/>
              </w:rPr>
            </w:pPr>
          </w:p>
        </w:tc>
        <w:tc>
          <w:tcPr>
            <w:tcW w:w="5800" w:type="dxa"/>
            <w:vAlign w:val="bottom"/>
          </w:tcPr>
          <w:p>
            <w:pPr>
              <w:ind w:left="160"/>
              <w:spacing w:after="0" w:line="141" w:lineRule="exact"/>
              <w:rPr>
                <w:sz w:val="20"/>
                <w:szCs w:val="20"/>
                <w:color w:val="auto"/>
              </w:rPr>
            </w:pPr>
            <w:r>
              <w:rPr>
                <w:rFonts w:ascii="Arial" w:cs="Arial" w:eastAsia="Arial" w:hAnsi="Arial"/>
                <w:sz w:val="13"/>
                <w:szCs w:val="13"/>
                <w:color w:val="666666"/>
              </w:rPr>
              <w:t>A non-binding advisory vote on the compensation program for the Company’s named executive</w:t>
            </w:r>
          </w:p>
        </w:tc>
        <w:tc>
          <w:tcPr>
            <w:tcW w:w="2500" w:type="dxa"/>
            <w:vAlign w:val="bottom"/>
            <w:vMerge w:val="restart"/>
          </w:tcPr>
          <w:p>
            <w:pPr>
              <w:jc w:val="center"/>
              <w:ind w:right="296"/>
              <w:spacing w:after="0"/>
              <w:rPr>
                <w:sz w:val="20"/>
                <w:szCs w:val="20"/>
                <w:color w:val="auto"/>
              </w:rPr>
            </w:pPr>
            <w:r>
              <w:rPr>
                <w:rFonts w:ascii="Arial" w:cs="Arial" w:eastAsia="Arial" w:hAnsi="Arial"/>
                <w:sz w:val="13"/>
                <w:szCs w:val="13"/>
                <w:b w:val="1"/>
                <w:bCs w:val="1"/>
                <w:color w:val="666666"/>
                <w:w w:val="94"/>
              </w:rPr>
              <w:t>FOR</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0" w:type="dxa"/>
            <w:vAlign w:val="bottom"/>
          </w:tcPr>
          <w:p>
            <w:pPr>
              <w:jc w:val="center"/>
              <w:ind w:left="76"/>
              <w:spacing w:after="0" w:line="144" w:lineRule="exact"/>
              <w:rPr>
                <w:sz w:val="20"/>
                <w:szCs w:val="20"/>
                <w:color w:val="auto"/>
              </w:rPr>
            </w:pPr>
            <w:r>
              <w:rPr>
                <w:rFonts w:ascii="Arial" w:cs="Arial" w:eastAsia="Arial" w:hAnsi="Arial"/>
                <w:sz w:val="13"/>
                <w:szCs w:val="13"/>
                <w:color w:val="666666"/>
                <w:w w:val="96"/>
              </w:rPr>
              <w:t>No. 3</w:t>
            </w:r>
          </w:p>
        </w:tc>
        <w:tc>
          <w:tcPr>
            <w:tcW w:w="5800" w:type="dxa"/>
            <w:vAlign w:val="bottom"/>
          </w:tcPr>
          <w:p>
            <w:pPr>
              <w:ind w:left="160"/>
              <w:spacing w:after="0" w:line="144" w:lineRule="exact"/>
              <w:rPr>
                <w:sz w:val="20"/>
                <w:szCs w:val="20"/>
                <w:color w:val="auto"/>
              </w:rPr>
            </w:pPr>
            <w:r>
              <w:rPr>
                <w:rFonts w:ascii="Arial" w:cs="Arial" w:eastAsia="Arial" w:hAnsi="Arial"/>
                <w:sz w:val="13"/>
                <w:szCs w:val="13"/>
                <w:color w:val="666666"/>
              </w:rPr>
              <w:t>officers, as disclosed in the Compensation Discussion and Analysis ("CD&amp;A") of the proxy</w:t>
            </w:r>
          </w:p>
        </w:tc>
        <w:tc>
          <w:tcPr>
            <w:tcW w:w="2500" w:type="dxa"/>
            <w:vAlign w:val="bottom"/>
            <w:vMerge w:val="continue"/>
          </w:tcPr>
          <w:p>
            <w:pPr>
              <w:spacing w:after="0"/>
              <w:rPr>
                <w:sz w:val="12"/>
                <w:szCs w:val="12"/>
                <w:color w:val="auto"/>
              </w:rPr>
            </w:pPr>
          </w:p>
        </w:tc>
        <w:tc>
          <w:tcPr>
            <w:tcW w:w="2180" w:type="dxa"/>
            <w:vAlign w:val="bottom"/>
          </w:tcPr>
          <w:p>
            <w:pPr>
              <w:jc w:val="center"/>
              <w:ind w:right="296"/>
              <w:spacing w:after="0" w:line="144" w:lineRule="exact"/>
              <w:rPr>
                <w:sz w:val="20"/>
                <w:szCs w:val="20"/>
                <w:color w:val="auto"/>
              </w:rPr>
            </w:pPr>
            <w:r>
              <w:rPr>
                <w:rFonts w:ascii="Arial" w:cs="Arial" w:eastAsia="Arial" w:hAnsi="Arial"/>
                <w:sz w:val="13"/>
                <w:szCs w:val="13"/>
                <w:color w:val="666666"/>
                <w:w w:val="96"/>
              </w:rPr>
              <w:t>55</w:t>
            </w:r>
          </w:p>
        </w:tc>
        <w:tc>
          <w:tcPr>
            <w:tcW w:w="0" w:type="dxa"/>
            <w:vAlign w:val="bottom"/>
          </w:tcPr>
          <w:p>
            <w:pPr>
              <w:spacing w:after="0"/>
              <w:rPr>
                <w:sz w:val="1"/>
                <w:szCs w:val="1"/>
                <w:color w:val="auto"/>
              </w:rPr>
            </w:pPr>
          </w:p>
        </w:tc>
      </w:tr>
      <w:tr>
        <w:trPr>
          <w:trHeight w:val="176"/>
        </w:trPr>
        <w:tc>
          <w:tcPr>
            <w:tcW w:w="1000" w:type="dxa"/>
            <w:vAlign w:val="bottom"/>
            <w:tcBorders>
              <w:bottom w:val="single" w:sz="8" w:color="auto"/>
            </w:tcBorders>
          </w:tcPr>
          <w:p>
            <w:pPr>
              <w:spacing w:after="0"/>
              <w:rPr>
                <w:sz w:val="15"/>
                <w:szCs w:val="15"/>
                <w:color w:val="auto"/>
              </w:rPr>
            </w:pPr>
          </w:p>
        </w:tc>
        <w:tc>
          <w:tcPr>
            <w:tcW w:w="58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666666"/>
              </w:rPr>
              <w:t>statement</w:t>
            </w:r>
          </w:p>
        </w:tc>
        <w:tc>
          <w:tcPr>
            <w:tcW w:w="25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
        <w:spacing w:after="0"/>
        <w:rPr>
          <w:sz w:val="20"/>
          <w:szCs w:val="20"/>
          <w:color w:val="auto"/>
        </w:rPr>
      </w:pPr>
      <w:r>
        <w:rPr>
          <w:rFonts w:ascii="Arial" w:cs="Arial" w:eastAsia="Arial" w:hAnsi="Arial"/>
          <w:sz w:val="17"/>
          <w:szCs w:val="17"/>
          <w:b w:val="1"/>
          <w:bCs w:val="1"/>
          <w:u w:val="single" w:color="auto"/>
          <w:color w:val="547BCC"/>
        </w:rPr>
        <w:t>How to Vote</w:t>
      </w:r>
    </w:p>
    <w:p>
      <w:pPr>
        <w:spacing w:after="0" w:line="110" w:lineRule="exact"/>
        <w:rPr>
          <w:sz w:val="20"/>
          <w:szCs w:val="20"/>
          <w:color w:val="auto"/>
        </w:rPr>
      </w:pPr>
    </w:p>
    <w:p>
      <w:pPr>
        <w:ind w:left="3"/>
        <w:spacing w:after="0"/>
        <w:rPr>
          <w:sz w:val="20"/>
          <w:szCs w:val="20"/>
          <w:color w:val="auto"/>
        </w:rPr>
      </w:pPr>
      <w:r>
        <w:rPr>
          <w:rFonts w:ascii="Arial" w:cs="Arial" w:eastAsia="Arial" w:hAnsi="Arial"/>
          <w:sz w:val="14"/>
          <w:szCs w:val="14"/>
          <w:color w:val="666666"/>
        </w:rPr>
        <w:t>Stockholders as of the record date may vote in person at the meeting or vote in advance by submitting a proxy by</w:t>
      </w:r>
    </w:p>
    <w:p>
      <w:pPr>
        <w:spacing w:after="0" w:line="20" w:lineRule="exact"/>
        <w:rPr>
          <w:sz w:val="20"/>
          <w:szCs w:val="20"/>
          <w:color w:val="auto"/>
        </w:rPr>
      </w:pPr>
    </w:p>
    <w:p>
      <w:pPr>
        <w:ind w:left="3"/>
        <w:spacing w:after="0"/>
        <w:rPr>
          <w:sz w:val="20"/>
          <w:szCs w:val="20"/>
          <w:color w:val="auto"/>
        </w:rPr>
      </w:pPr>
      <w:r>
        <w:rPr>
          <w:rFonts w:ascii="Arial" w:cs="Arial" w:eastAsia="Arial" w:hAnsi="Arial"/>
          <w:sz w:val="14"/>
          <w:szCs w:val="14"/>
          <w:color w:val="666666"/>
        </w:rPr>
        <w:t>Internet, telephone, or mail as follows:</w:t>
      </w:r>
    </w:p>
    <w:p>
      <w:pPr>
        <w:spacing w:after="0" w:line="161" w:lineRule="exact"/>
        <w:rPr>
          <w:sz w:val="20"/>
          <w:szCs w:val="20"/>
          <w:color w:val="auto"/>
        </w:rPr>
      </w:pPr>
    </w:p>
    <w:p>
      <w:pPr>
        <w:jc w:val="center"/>
        <w:ind w:right="-2"/>
        <w:spacing w:after="0"/>
        <w:rPr>
          <w:sz w:val="20"/>
          <w:szCs w:val="20"/>
          <w:color w:val="auto"/>
        </w:rPr>
      </w:pPr>
      <w:r>
        <w:rPr>
          <w:rFonts w:ascii="Arial" w:cs="Arial" w:eastAsia="Arial" w:hAnsi="Arial"/>
          <w:sz w:val="13"/>
          <w:szCs w:val="13"/>
          <w:color w:val="666666"/>
        </w:rPr>
        <w:t>1</w:t>
      </w:r>
    </w:p>
    <w:p>
      <w:pPr>
        <w:sectPr>
          <w:pgSz w:w="11900" w:h="16838" w:orient="portrait"/>
          <w:cols w:equalWidth="0" w:num="1">
            <w:col w:w="11483"/>
          </w:cols>
          <w:pgMar w:left="217" w:top="438" w:right="199" w:bottom="1440" w:gutter="0" w:footer="0" w:header="0"/>
        </w:sectPr>
      </w:pPr>
    </w:p>
    <w:bookmarkStart w:id="10" w:name="page11"/>
    <w:bookmarkEnd w:id="10"/>
    <w:tbl>
      <w:tblPr>
        <w:tblLayout w:type="fixed"/>
        <w:tblInd w:w="820" w:type="dxa"/>
        <w:tblCellMar>
          <w:top w:w="0" w:type="dxa"/>
          <w:left w:w="0" w:type="dxa"/>
          <w:bottom w:w="0" w:type="dxa"/>
          <w:right w:w="0" w:type="dxa"/>
        </w:tblCellMar>
      </w:tblPr>
      <w:tr>
        <w:trPr>
          <w:trHeight w:val="196"/>
        </w:trPr>
        <w:tc>
          <w:tcPr>
            <w:tcW w:w="1660" w:type="dxa"/>
            <w:vAlign w:val="bottom"/>
          </w:tcPr>
          <w:p>
            <w:pPr>
              <w:jc w:val="center"/>
              <w:ind w:right="370"/>
              <w:spacing w:after="0"/>
              <w:rPr>
                <w:sz w:val="20"/>
                <w:szCs w:val="20"/>
                <w:color w:val="auto"/>
              </w:rPr>
            </w:pPr>
            <w:r>
              <w:rPr>
                <w:rFonts w:ascii="Arial" w:cs="Arial" w:eastAsia="Arial" w:hAnsi="Arial"/>
                <w:sz w:val="14"/>
                <w:szCs w:val="14"/>
                <w:b w:val="1"/>
                <w:bCs w:val="1"/>
                <w:color w:val="5E5E61"/>
              </w:rPr>
              <w:t>Vote by Internet</w:t>
            </w:r>
          </w:p>
        </w:tc>
        <w:tc>
          <w:tcPr>
            <w:tcW w:w="3280" w:type="dxa"/>
            <w:vAlign w:val="bottom"/>
          </w:tcPr>
          <w:p>
            <w:pPr>
              <w:jc w:val="center"/>
              <w:ind w:left="290"/>
              <w:spacing w:after="0"/>
              <w:rPr>
                <w:sz w:val="20"/>
                <w:szCs w:val="20"/>
                <w:color w:val="auto"/>
              </w:rPr>
            </w:pPr>
            <w:r>
              <w:rPr>
                <w:rFonts w:ascii="Arial" w:cs="Arial" w:eastAsia="Arial" w:hAnsi="Arial"/>
                <w:sz w:val="14"/>
                <w:szCs w:val="14"/>
                <w:b w:val="1"/>
                <w:bCs w:val="1"/>
                <w:color w:val="5E5E61"/>
                <w:w w:val="99"/>
              </w:rPr>
              <w:t>Vote by Telephone</w:t>
            </w:r>
          </w:p>
        </w:tc>
        <w:tc>
          <w:tcPr>
            <w:tcW w:w="2900" w:type="dxa"/>
            <w:vAlign w:val="bottom"/>
          </w:tcPr>
          <w:p>
            <w:pPr>
              <w:jc w:val="center"/>
              <w:ind w:right="10"/>
              <w:spacing w:after="0"/>
              <w:rPr>
                <w:sz w:val="20"/>
                <w:szCs w:val="20"/>
                <w:color w:val="auto"/>
              </w:rPr>
            </w:pPr>
            <w:r>
              <w:rPr>
                <w:rFonts w:ascii="Arial" w:cs="Arial" w:eastAsia="Arial" w:hAnsi="Arial"/>
                <w:sz w:val="14"/>
                <w:szCs w:val="14"/>
                <w:b w:val="1"/>
                <w:bCs w:val="1"/>
                <w:color w:val="5E5E61"/>
              </w:rPr>
              <w:t>Vote by Mail</w:t>
            </w:r>
          </w:p>
        </w:tc>
        <w:tc>
          <w:tcPr>
            <w:tcW w:w="2580" w:type="dxa"/>
            <w:vAlign w:val="bottom"/>
          </w:tcPr>
          <w:p>
            <w:pPr>
              <w:jc w:val="center"/>
              <w:ind w:left="110"/>
              <w:spacing w:after="0"/>
              <w:rPr>
                <w:sz w:val="20"/>
                <w:szCs w:val="20"/>
                <w:color w:val="auto"/>
              </w:rPr>
            </w:pPr>
            <w:r>
              <w:rPr>
                <w:rFonts w:ascii="Arial" w:cs="Arial" w:eastAsia="Arial" w:hAnsi="Arial"/>
                <w:sz w:val="14"/>
                <w:szCs w:val="14"/>
                <w:b w:val="1"/>
                <w:bCs w:val="1"/>
                <w:color w:val="5E5E61"/>
                <w:w w:val="97"/>
              </w:rPr>
              <w:t>Vote in Person</w:t>
            </w:r>
          </w:p>
        </w:tc>
      </w:tr>
      <w:tr>
        <w:trPr>
          <w:trHeight w:val="154"/>
        </w:trPr>
        <w:tc>
          <w:tcPr>
            <w:tcW w:w="1660" w:type="dxa"/>
            <w:vAlign w:val="bottom"/>
          </w:tcPr>
          <w:p>
            <w:pPr>
              <w:jc w:val="center"/>
              <w:ind w:right="370"/>
              <w:spacing w:after="0" w:line="154" w:lineRule="exact"/>
              <w:rPr>
                <w:sz w:val="20"/>
                <w:szCs w:val="20"/>
                <w:color w:val="auto"/>
              </w:rPr>
            </w:pPr>
            <w:r>
              <w:rPr>
                <w:rFonts w:ascii="Arial" w:cs="Arial" w:eastAsia="Arial" w:hAnsi="Arial"/>
                <w:sz w:val="14"/>
                <w:szCs w:val="14"/>
                <w:i w:val="1"/>
                <w:iCs w:val="1"/>
                <w:color w:val="666666"/>
              </w:rPr>
              <w:t>Visit proxyvote.com</w:t>
            </w:r>
          </w:p>
        </w:tc>
        <w:tc>
          <w:tcPr>
            <w:tcW w:w="3280" w:type="dxa"/>
            <w:vAlign w:val="bottom"/>
          </w:tcPr>
          <w:p>
            <w:pPr>
              <w:jc w:val="center"/>
              <w:ind w:left="310"/>
              <w:spacing w:after="0" w:line="154" w:lineRule="exact"/>
              <w:rPr>
                <w:sz w:val="20"/>
                <w:szCs w:val="20"/>
                <w:color w:val="auto"/>
              </w:rPr>
            </w:pPr>
            <w:r>
              <w:rPr>
                <w:rFonts w:ascii="Arial" w:cs="Arial" w:eastAsia="Arial" w:hAnsi="Arial"/>
                <w:sz w:val="14"/>
                <w:szCs w:val="14"/>
                <w:i w:val="1"/>
                <w:iCs w:val="1"/>
                <w:color w:val="666666"/>
              </w:rPr>
              <w:t>Call the phone number located on the top of</w:t>
            </w:r>
          </w:p>
        </w:tc>
        <w:tc>
          <w:tcPr>
            <w:tcW w:w="2900" w:type="dxa"/>
            <w:vAlign w:val="bottom"/>
          </w:tcPr>
          <w:p>
            <w:pPr>
              <w:jc w:val="center"/>
              <w:ind w:right="10"/>
              <w:spacing w:after="0" w:line="154" w:lineRule="exact"/>
              <w:rPr>
                <w:sz w:val="20"/>
                <w:szCs w:val="20"/>
                <w:color w:val="auto"/>
              </w:rPr>
            </w:pPr>
            <w:r>
              <w:rPr>
                <w:rFonts w:ascii="Arial" w:cs="Arial" w:eastAsia="Arial" w:hAnsi="Arial"/>
                <w:sz w:val="14"/>
                <w:szCs w:val="14"/>
                <w:i w:val="1"/>
                <w:iCs w:val="1"/>
                <w:color w:val="666666"/>
              </w:rPr>
              <w:t>Complete, sign, date and return your proxy</w:t>
            </w:r>
          </w:p>
        </w:tc>
        <w:tc>
          <w:tcPr>
            <w:tcW w:w="2580" w:type="dxa"/>
            <w:vAlign w:val="bottom"/>
          </w:tcPr>
          <w:p>
            <w:pPr>
              <w:jc w:val="center"/>
              <w:ind w:left="110"/>
              <w:spacing w:after="0" w:line="154" w:lineRule="exact"/>
              <w:rPr>
                <w:sz w:val="20"/>
                <w:szCs w:val="20"/>
                <w:color w:val="auto"/>
              </w:rPr>
            </w:pPr>
            <w:r>
              <w:rPr>
                <w:rFonts w:ascii="Arial" w:cs="Arial" w:eastAsia="Arial" w:hAnsi="Arial"/>
                <w:sz w:val="14"/>
                <w:szCs w:val="14"/>
                <w:i w:val="1"/>
                <w:iCs w:val="1"/>
                <w:color w:val="666666"/>
                <w:w w:val="99"/>
              </w:rPr>
              <w:t>Attend our annual meeting and vote by</w:t>
            </w:r>
          </w:p>
        </w:tc>
      </w:tr>
      <w:tr>
        <w:trPr>
          <w:trHeight w:val="187"/>
        </w:trPr>
        <w:tc>
          <w:tcPr>
            <w:tcW w:w="1660" w:type="dxa"/>
            <w:vAlign w:val="bottom"/>
          </w:tcPr>
          <w:p>
            <w:pPr>
              <w:spacing w:after="0"/>
              <w:rPr>
                <w:sz w:val="16"/>
                <w:szCs w:val="16"/>
                <w:color w:val="auto"/>
              </w:rPr>
            </w:pPr>
          </w:p>
        </w:tc>
        <w:tc>
          <w:tcPr>
            <w:tcW w:w="3280" w:type="dxa"/>
            <w:vAlign w:val="bottom"/>
          </w:tcPr>
          <w:p>
            <w:pPr>
              <w:jc w:val="center"/>
              <w:ind w:left="290"/>
              <w:spacing w:after="0"/>
              <w:rPr>
                <w:sz w:val="20"/>
                <w:szCs w:val="20"/>
                <w:color w:val="auto"/>
              </w:rPr>
            </w:pPr>
            <w:r>
              <w:rPr>
                <w:rFonts w:ascii="Arial" w:cs="Arial" w:eastAsia="Arial" w:hAnsi="Arial"/>
                <w:sz w:val="14"/>
                <w:szCs w:val="14"/>
                <w:i w:val="1"/>
                <w:iCs w:val="1"/>
                <w:color w:val="666666"/>
                <w:w w:val="99"/>
              </w:rPr>
              <w:t>your proxy card.</w:t>
            </w:r>
          </w:p>
        </w:tc>
        <w:tc>
          <w:tcPr>
            <w:tcW w:w="2900" w:type="dxa"/>
            <w:vAlign w:val="bottom"/>
          </w:tcPr>
          <w:p>
            <w:pPr>
              <w:jc w:val="center"/>
              <w:ind w:right="10"/>
              <w:spacing w:after="0"/>
              <w:rPr>
                <w:sz w:val="20"/>
                <w:szCs w:val="20"/>
                <w:color w:val="auto"/>
              </w:rPr>
            </w:pPr>
            <w:r>
              <w:rPr>
                <w:rFonts w:ascii="Arial" w:cs="Arial" w:eastAsia="Arial" w:hAnsi="Arial"/>
                <w:sz w:val="14"/>
                <w:szCs w:val="14"/>
                <w:i w:val="1"/>
                <w:iCs w:val="1"/>
                <w:color w:val="666666"/>
              </w:rPr>
              <w:t>card in envelope provided.</w:t>
            </w:r>
          </w:p>
        </w:tc>
        <w:tc>
          <w:tcPr>
            <w:tcW w:w="2580" w:type="dxa"/>
            <w:vAlign w:val="bottom"/>
          </w:tcPr>
          <w:p>
            <w:pPr>
              <w:jc w:val="center"/>
              <w:ind w:left="110"/>
              <w:spacing w:after="0"/>
              <w:rPr>
                <w:sz w:val="20"/>
                <w:szCs w:val="20"/>
                <w:color w:val="auto"/>
              </w:rPr>
            </w:pPr>
            <w:r>
              <w:rPr>
                <w:rFonts w:ascii="Arial" w:cs="Arial" w:eastAsia="Arial" w:hAnsi="Arial"/>
                <w:sz w:val="14"/>
                <w:szCs w:val="14"/>
                <w:i w:val="1"/>
                <w:iCs w:val="1"/>
                <w:color w:val="666666"/>
                <w:w w:val="96"/>
              </w:rPr>
              <w:t>ballot.</w:t>
            </w:r>
          </w:p>
        </w:tc>
      </w:tr>
    </w:tbl>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497205</wp:posOffset>
            </wp:positionV>
            <wp:extent cx="365760" cy="280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65760" cy="280670"/>
                    </a:xfrm>
                    <a:prstGeom prst="rect">
                      <a:avLst/>
                    </a:prstGeom>
                    <a:noFill/>
                  </pic:spPr>
                </pic:pic>
              </a:graphicData>
            </a:graphic>
          </wp:anchor>
        </w:drawing>
        <w:drawing>
          <wp:anchor simplePos="0" relativeHeight="251657728" behindDoc="1" locked="0" layoutInCell="0" allowOverlap="1">
            <wp:simplePos x="0" y="0"/>
            <wp:positionH relativeFrom="page">
              <wp:posOffset>2710815</wp:posOffset>
            </wp:positionH>
            <wp:positionV relativeFrom="page">
              <wp:posOffset>454660</wp:posOffset>
            </wp:positionV>
            <wp:extent cx="323215" cy="372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23215" cy="372110"/>
                    </a:xfrm>
                    <a:prstGeom prst="rect">
                      <a:avLst/>
                    </a:prstGeom>
                    <a:noFill/>
                  </pic:spPr>
                </pic:pic>
              </a:graphicData>
            </a:graphic>
          </wp:anchor>
        </w:drawing>
        <w:drawing>
          <wp:anchor simplePos="0" relativeHeight="251657728" behindDoc="1" locked="0" layoutInCell="0" allowOverlap="1">
            <wp:simplePos x="0" y="0"/>
            <wp:positionH relativeFrom="page">
              <wp:posOffset>4491355</wp:posOffset>
            </wp:positionH>
            <wp:positionV relativeFrom="page">
              <wp:posOffset>491490</wp:posOffset>
            </wp:positionV>
            <wp:extent cx="414655" cy="292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414655" cy="292735"/>
                    </a:xfrm>
                    <a:prstGeom prst="rect">
                      <a:avLst/>
                    </a:prstGeom>
                    <a:noFill/>
                  </pic:spPr>
                </pic:pic>
              </a:graphicData>
            </a:graphic>
          </wp:anchor>
        </w:drawing>
        <w:drawing>
          <wp:anchor simplePos="0" relativeHeight="251657728" behindDoc="1" locked="0" layoutInCell="0" allowOverlap="1">
            <wp:simplePos x="0" y="0"/>
            <wp:positionH relativeFrom="page">
              <wp:posOffset>6350635</wp:posOffset>
            </wp:positionH>
            <wp:positionV relativeFrom="page">
              <wp:posOffset>442595</wp:posOffset>
            </wp:positionV>
            <wp:extent cx="329565" cy="396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29565" cy="39624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u w:val="single" w:color="auto"/>
          <w:color w:val="547BCC"/>
        </w:rPr>
        <w:t>Company Performance and Highlights</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During fiscal year 2018, we returned $373 million to stockholders in the form of:</w:t>
      </w:r>
    </w:p>
    <w:p>
      <w:pPr>
        <w:spacing w:after="0" w:line="79" w:lineRule="exact"/>
        <w:rPr>
          <w:sz w:val="20"/>
          <w:szCs w:val="20"/>
          <w:color w:val="auto"/>
        </w:rPr>
      </w:pPr>
    </w:p>
    <w:p>
      <w:pPr>
        <w:ind w:left="920" w:hanging="232"/>
        <w:spacing w:after="0"/>
        <w:tabs>
          <w:tab w:leader="none" w:pos="920" w:val="left"/>
        </w:tabs>
        <w:numPr>
          <w:ilvl w:val="1"/>
          <w:numId w:val="6"/>
        </w:numPr>
        <w:rPr>
          <w:rFonts w:ascii="Arial" w:cs="Arial" w:eastAsia="Arial" w:hAnsi="Arial"/>
          <w:sz w:val="14"/>
          <w:szCs w:val="14"/>
          <w:color w:val="666666"/>
        </w:rPr>
      </w:pPr>
      <w:r>
        <w:rPr>
          <w:rFonts w:ascii="Arial" w:cs="Arial" w:eastAsia="Arial" w:hAnsi="Arial"/>
          <w:sz w:val="14"/>
          <w:szCs w:val="14"/>
          <w:color w:val="666666"/>
        </w:rPr>
        <w:t>$103.4 million in quarterly dividends — three regular dividends of $0.17 per share each; and one regular dividend of $0.19 per share</w:t>
      </w:r>
    </w:p>
    <w:p>
      <w:pPr>
        <w:spacing w:after="0" w:line="79" w:lineRule="exact"/>
        <w:rPr>
          <w:rFonts w:ascii="Arial" w:cs="Arial" w:eastAsia="Arial" w:hAnsi="Arial"/>
          <w:sz w:val="14"/>
          <w:szCs w:val="14"/>
          <w:color w:val="666666"/>
        </w:rPr>
      </w:pPr>
    </w:p>
    <w:p>
      <w:pPr>
        <w:ind w:left="920" w:hanging="232"/>
        <w:spacing w:after="0"/>
        <w:tabs>
          <w:tab w:leader="none" w:pos="920" w:val="left"/>
        </w:tabs>
        <w:numPr>
          <w:ilvl w:val="1"/>
          <w:numId w:val="6"/>
        </w:numPr>
        <w:rPr>
          <w:rFonts w:ascii="Arial" w:cs="Arial" w:eastAsia="Arial" w:hAnsi="Arial"/>
          <w:sz w:val="14"/>
          <w:szCs w:val="14"/>
          <w:color w:val="666666"/>
        </w:rPr>
      </w:pPr>
      <w:r>
        <w:rPr>
          <w:rFonts w:ascii="Arial" w:cs="Arial" w:eastAsia="Arial" w:hAnsi="Arial"/>
          <w:sz w:val="14"/>
          <w:szCs w:val="14"/>
          <w:color w:val="666666"/>
        </w:rPr>
        <w:t>$269.6 million for the repurchase of 7.6 million shares of Class A common stock</w:t>
      </w:r>
    </w:p>
    <w:p>
      <w:pPr>
        <w:spacing w:after="0" w:line="79" w:lineRule="exact"/>
        <w:rPr>
          <w:rFonts w:ascii="Arial" w:cs="Arial" w:eastAsia="Arial" w:hAnsi="Arial"/>
          <w:sz w:val="14"/>
          <w:szCs w:val="14"/>
          <w:color w:val="666666"/>
        </w:rPr>
      </w:pPr>
    </w:p>
    <w:p>
      <w:pPr>
        <w:ind w:left="460" w:hanging="233"/>
        <w:spacing w:after="0"/>
        <w:tabs>
          <w:tab w:leader="none" w:pos="460" w:val="left"/>
        </w:tabs>
        <w:numPr>
          <w:ilvl w:val="0"/>
          <w:numId w:val="6"/>
        </w:numPr>
        <w:rPr>
          <w:rFonts w:ascii="Arial" w:cs="Arial" w:eastAsia="Arial" w:hAnsi="Arial"/>
          <w:sz w:val="14"/>
          <w:szCs w:val="14"/>
          <w:color w:val="666666"/>
        </w:rPr>
      </w:pPr>
      <w:r>
        <w:rPr>
          <w:rFonts w:ascii="Arial" w:cs="Arial" w:eastAsia="Arial" w:hAnsi="Arial"/>
          <w:sz w:val="14"/>
          <w:szCs w:val="14"/>
          <w:color w:val="666666"/>
        </w:rPr>
        <w:t>In February of 2018, the Board increased the quarterly dividend by 12%, effective in the fourth quarter of fiscal year 2018.</w:t>
      </w:r>
    </w:p>
    <w:p>
      <w:pPr>
        <w:spacing w:after="0" w:line="79" w:lineRule="exact"/>
        <w:rPr>
          <w:rFonts w:ascii="Arial" w:cs="Arial" w:eastAsia="Arial" w:hAnsi="Arial"/>
          <w:sz w:val="14"/>
          <w:szCs w:val="14"/>
          <w:color w:val="666666"/>
        </w:rPr>
      </w:pPr>
    </w:p>
    <w:p>
      <w:pPr>
        <w:ind w:left="460" w:hanging="233"/>
        <w:spacing w:after="0"/>
        <w:tabs>
          <w:tab w:leader="none" w:pos="460" w:val="left"/>
        </w:tabs>
        <w:numPr>
          <w:ilvl w:val="0"/>
          <w:numId w:val="6"/>
        </w:numPr>
        <w:rPr>
          <w:rFonts w:ascii="Arial" w:cs="Arial" w:eastAsia="Arial" w:hAnsi="Arial"/>
          <w:sz w:val="14"/>
          <w:szCs w:val="14"/>
          <w:color w:val="666666"/>
        </w:rPr>
      </w:pPr>
      <w:r>
        <w:rPr>
          <w:rFonts w:ascii="Arial" w:cs="Arial" w:eastAsia="Arial" w:hAnsi="Arial"/>
          <w:sz w:val="14"/>
          <w:szCs w:val="14"/>
          <w:color w:val="666666"/>
        </w:rPr>
        <w:t>During fiscal year 2018, our stock price increased by 9% with a total stockholder return of approximately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87630</wp:posOffset>
            </wp:positionV>
            <wp:extent cx="2054860" cy="1256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4860" cy="125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0"/>
          <w:szCs w:val="10"/>
          <w:color w:val="5E5E61"/>
        </w:rPr>
        <w:t>Note: Total shareholder return assumes dividends are reinvested.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547BCC"/>
        </w:rPr>
        <w:t>Our Board of Directors</w:t>
      </w:r>
    </w:p>
    <w:p>
      <w:pPr>
        <w:spacing w:after="0" w:line="187" w:lineRule="exact"/>
        <w:rPr>
          <w:sz w:val="20"/>
          <w:szCs w:val="20"/>
          <w:color w:val="auto"/>
        </w:rPr>
      </w:pPr>
    </w:p>
    <w:p>
      <w:pPr>
        <w:ind w:firstLine="230"/>
        <w:spacing w:after="0" w:line="285" w:lineRule="auto"/>
        <w:rPr>
          <w:sz w:val="20"/>
          <w:szCs w:val="20"/>
          <w:color w:val="auto"/>
        </w:rPr>
      </w:pPr>
      <w:r>
        <w:rPr>
          <w:rFonts w:ascii="Arial" w:cs="Arial" w:eastAsia="Arial" w:hAnsi="Arial"/>
          <w:sz w:val="14"/>
          <w:szCs w:val="14"/>
          <w:color w:val="666666"/>
        </w:rPr>
        <w:t>This year's Board nominees include the four Class II directors—Horacio D. Rozanski, Ian Fujiyama, Mark Gaumond, and Gretchen W. McClain. Each nominee is listed below along with the continuing directors, and you can find additional information under "Proposal 1: Election of Directors" beginning on page 6.</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666666"/>
        </w:rPr>
        <w:t>2</w:t>
      </w:r>
    </w:p>
    <w:p>
      <w:pPr>
        <w:sectPr>
          <w:pgSz w:w="11900" w:h="16838" w:orient="portrait"/>
          <w:cols w:equalWidth="0" w:num="1">
            <w:col w:w="11360"/>
          </w:cols>
          <w:pgMar w:left="220" w:top="1336" w:right="3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1778000</wp:posOffset>
            </wp:positionH>
            <wp:positionV relativeFrom="page">
              <wp:posOffset>295910</wp:posOffset>
            </wp:positionV>
            <wp:extent cx="4158615" cy="2341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158615"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00"/>
        <w:spacing w:after="0"/>
        <w:tabs>
          <w:tab w:leader="none" w:pos="5920" w:val="left"/>
        </w:tabs>
        <w:rPr>
          <w:sz w:val="20"/>
          <w:szCs w:val="20"/>
          <w:color w:val="auto"/>
        </w:rPr>
      </w:pPr>
      <w:r>
        <w:rPr>
          <w:rFonts w:ascii="Arial" w:cs="Arial" w:eastAsia="Arial" w:hAnsi="Arial"/>
          <w:sz w:val="14"/>
          <w:szCs w:val="14"/>
          <w:b w:val="1"/>
          <w:bCs w:val="1"/>
          <w:color w:val="547BCC"/>
        </w:rPr>
        <w:t>Director Independence</w:t>
      </w:r>
      <w:r>
        <w:rPr>
          <w:sz w:val="20"/>
          <w:szCs w:val="20"/>
          <w:color w:val="auto"/>
        </w:rPr>
        <w:tab/>
      </w:r>
      <w:r>
        <w:rPr>
          <w:rFonts w:ascii="Arial" w:cs="Arial" w:eastAsia="Arial" w:hAnsi="Arial"/>
          <w:sz w:val="13"/>
          <w:szCs w:val="13"/>
          <w:b w:val="1"/>
          <w:bCs w:val="1"/>
          <w:color w:val="547BCC"/>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82550</wp:posOffset>
            </wp:positionV>
            <wp:extent cx="3829050" cy="963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29050" cy="96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580"/>
        <w:spacing w:after="0"/>
        <w:tabs>
          <w:tab w:leader="none" w:pos="5860" w:val="left"/>
        </w:tabs>
        <w:rPr>
          <w:sz w:val="20"/>
          <w:szCs w:val="20"/>
          <w:color w:val="auto"/>
        </w:rPr>
      </w:pPr>
      <w:r>
        <w:rPr>
          <w:rFonts w:ascii="Arial" w:cs="Arial" w:eastAsia="Arial" w:hAnsi="Arial"/>
          <w:sz w:val="14"/>
          <w:szCs w:val="14"/>
          <w:b w:val="1"/>
          <w:bCs w:val="1"/>
          <w:color w:val="547BCC"/>
        </w:rPr>
        <w:t>Age Mix</w:t>
      </w:r>
      <w:r>
        <w:rPr>
          <w:sz w:val="20"/>
          <w:szCs w:val="20"/>
          <w:color w:val="auto"/>
        </w:rPr>
        <w:tab/>
      </w:r>
      <w:r>
        <w:rPr>
          <w:rFonts w:ascii="Arial" w:cs="Arial" w:eastAsia="Arial" w:hAnsi="Arial"/>
          <w:sz w:val="14"/>
          <w:szCs w:val="14"/>
          <w:b w:val="1"/>
          <w:bCs w:val="1"/>
          <w:color w:val="547BCC"/>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955040</wp:posOffset>
            </wp:positionH>
            <wp:positionV relativeFrom="paragraph">
              <wp:posOffset>82550</wp:posOffset>
            </wp:positionV>
            <wp:extent cx="3829050" cy="963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29050" cy="96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340"/>
        <w:spacing w:after="0"/>
        <w:rPr>
          <w:sz w:val="20"/>
          <w:szCs w:val="20"/>
          <w:color w:val="auto"/>
        </w:rPr>
      </w:pPr>
      <w:r>
        <w:rPr>
          <w:rFonts w:ascii="Arial" w:cs="Arial" w:eastAsia="Arial" w:hAnsi="Arial"/>
          <w:sz w:val="10"/>
          <w:szCs w:val="10"/>
          <w:color w:val="666666"/>
        </w:rPr>
        <w:t>55% of our Directors (6 of 11) are Women, Asian,</w:t>
      </w:r>
    </w:p>
    <w:p>
      <w:pPr>
        <w:spacing w:after="0" w:line="30" w:lineRule="exact"/>
        <w:rPr>
          <w:sz w:val="20"/>
          <w:szCs w:val="20"/>
          <w:color w:val="auto"/>
        </w:rPr>
      </w:pPr>
    </w:p>
    <w:p>
      <w:pPr>
        <w:jc w:val="center"/>
        <w:ind w:left="3340"/>
        <w:spacing w:after="0"/>
        <w:rPr>
          <w:sz w:val="20"/>
          <w:szCs w:val="20"/>
          <w:color w:val="auto"/>
        </w:rPr>
      </w:pPr>
      <w:r>
        <w:rPr>
          <w:rFonts w:ascii="Arial" w:cs="Arial" w:eastAsia="Arial" w:hAnsi="Arial"/>
          <w:sz w:val="12"/>
          <w:szCs w:val="12"/>
          <w:color w:val="666666"/>
        </w:rPr>
        <w:t>Hispanic,</w:t>
      </w:r>
    </w:p>
    <w:p>
      <w:pPr>
        <w:jc w:val="center"/>
        <w:ind w:left="3340"/>
        <w:spacing w:after="0"/>
        <w:rPr>
          <w:sz w:val="20"/>
          <w:szCs w:val="20"/>
          <w:color w:val="auto"/>
        </w:rPr>
      </w:pPr>
      <w:r>
        <w:rPr>
          <w:rFonts w:ascii="Arial" w:cs="Arial" w:eastAsia="Arial" w:hAnsi="Arial"/>
          <w:sz w:val="12"/>
          <w:szCs w:val="12"/>
          <w:color w:val="666666"/>
        </w:rPr>
        <w:t>and/or African-American</w:t>
      </w: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666666"/>
        </w:rPr>
        <w:t>3</w:t>
      </w:r>
    </w:p>
    <w:p>
      <w:pPr>
        <w:sectPr>
          <w:pgSz w:w="11900" w:h="16838" w:orient="portrait"/>
          <w:cols w:equalWidth="0" w:num="1">
            <w:col w:w="9019"/>
          </w:cols>
          <w:pgMar w:left="1440" w:top="1440" w:right="1440" w:bottom="1440" w:gutter="0" w:footer="0" w:header="0"/>
        </w:sectPr>
      </w:pPr>
    </w:p>
    <w:bookmarkStart w:id="12" w:name="page13"/>
    <w:bookmarkEnd w:id="12"/>
    <w:p>
      <w:pPr>
        <w:ind w:left="40"/>
        <w:spacing w:after="0"/>
        <w:rPr>
          <w:sz w:val="20"/>
          <w:szCs w:val="20"/>
          <w:color w:val="auto"/>
        </w:rPr>
      </w:pPr>
      <w:r>
        <w:rPr>
          <w:rFonts w:ascii="Arial" w:cs="Arial" w:eastAsia="Arial" w:hAnsi="Arial"/>
          <w:sz w:val="17"/>
          <w:szCs w:val="17"/>
          <w:b w:val="1"/>
          <w:bCs w:val="1"/>
          <w:u w:val="single" w:color="auto"/>
          <w:color w:val="547BCC"/>
        </w:rPr>
        <w:t>Corporate Governance Highlights</w:t>
      </w:r>
    </w:p>
    <w:p>
      <w:pPr>
        <w:spacing w:after="0" w:line="72" w:lineRule="exact"/>
        <w:rPr>
          <w:sz w:val="20"/>
          <w:szCs w:val="20"/>
          <w:color w:val="auto"/>
        </w:rPr>
      </w:pPr>
    </w:p>
    <w:p>
      <w:pPr>
        <w:ind w:left="460" w:hanging="233"/>
        <w:spacing w:after="0"/>
        <w:tabs>
          <w:tab w:leader="none" w:pos="460" w:val="left"/>
        </w:tabs>
        <w:numPr>
          <w:ilvl w:val="0"/>
          <w:numId w:val="7"/>
        </w:numPr>
        <w:rPr>
          <w:rFonts w:ascii="Arial" w:cs="Arial" w:eastAsia="Arial" w:hAnsi="Arial"/>
          <w:sz w:val="14"/>
          <w:szCs w:val="14"/>
          <w:color w:val="666666"/>
        </w:rPr>
      </w:pPr>
      <w:r>
        <w:rPr>
          <w:rFonts w:ascii="Arial" w:cs="Arial" w:eastAsia="Arial" w:hAnsi="Arial"/>
          <w:sz w:val="14"/>
          <w:szCs w:val="14"/>
          <w:color w:val="666666"/>
        </w:rPr>
        <w:t>Ten of our 11 directors are independent and the Audit, Compensation, and Nominating and Corporate Governance Committees are 100% independent.</w:t>
      </w:r>
    </w:p>
    <w:p>
      <w:pPr>
        <w:spacing w:after="0" w:line="20" w:lineRule="exact"/>
        <w:rPr>
          <w:rFonts w:ascii="Arial" w:cs="Arial" w:eastAsia="Arial" w:hAnsi="Arial"/>
          <w:sz w:val="14"/>
          <w:szCs w:val="14"/>
          <w:color w:val="666666"/>
        </w:rPr>
      </w:pPr>
    </w:p>
    <w:p>
      <w:pPr>
        <w:ind w:left="460" w:right="20" w:hanging="233"/>
        <w:spacing w:after="0" w:line="243" w:lineRule="auto"/>
        <w:tabs>
          <w:tab w:leader="none" w:pos="460" w:val="left"/>
        </w:tabs>
        <w:numPr>
          <w:ilvl w:val="0"/>
          <w:numId w:val="7"/>
        </w:numPr>
        <w:rPr>
          <w:rFonts w:ascii="Arial" w:cs="Arial" w:eastAsia="Arial" w:hAnsi="Arial"/>
          <w:sz w:val="14"/>
          <w:szCs w:val="14"/>
          <w:color w:val="666666"/>
        </w:rPr>
      </w:pPr>
      <w:r>
        <w:rPr>
          <w:rFonts w:ascii="Arial" w:cs="Arial" w:eastAsia="Arial" w:hAnsi="Arial"/>
          <w:sz w:val="14"/>
          <w:szCs w:val="14"/>
          <w:color w:val="666666"/>
        </w:rPr>
        <w:t>We provide for a majority voting standard in our bylaws for the election of directors in uncontested elections, with the requirement that any incumbent director nominee who does not receive a majority of the votes validly cast in an uncontested election tender his or her resignation, subject to acceptance by the Board of Directors.</w:t>
      </w:r>
    </w:p>
    <w:p>
      <w:pPr>
        <w:ind w:left="460" w:hanging="233"/>
        <w:spacing w:after="0"/>
        <w:tabs>
          <w:tab w:leader="none" w:pos="460" w:val="left"/>
        </w:tabs>
        <w:numPr>
          <w:ilvl w:val="0"/>
          <w:numId w:val="7"/>
        </w:numPr>
        <w:rPr>
          <w:rFonts w:ascii="Arial" w:cs="Arial" w:eastAsia="Arial" w:hAnsi="Arial"/>
          <w:sz w:val="14"/>
          <w:szCs w:val="14"/>
          <w:color w:val="666666"/>
        </w:rPr>
      </w:pPr>
      <w:r>
        <w:rPr>
          <w:rFonts w:ascii="Arial" w:cs="Arial" w:eastAsia="Arial" w:hAnsi="Arial"/>
          <w:sz w:val="14"/>
          <w:szCs w:val="14"/>
          <w:color w:val="666666"/>
        </w:rPr>
        <w:t>Diverse Board of Directors in terms of gender, ethnicity, experience, and skills.</w:t>
      </w:r>
    </w:p>
    <w:p>
      <w:pPr>
        <w:spacing w:after="0" w:line="2" w:lineRule="exact"/>
        <w:rPr>
          <w:rFonts w:ascii="Arial" w:cs="Arial" w:eastAsia="Arial" w:hAnsi="Arial"/>
          <w:sz w:val="14"/>
          <w:szCs w:val="14"/>
          <w:color w:val="666666"/>
        </w:rPr>
      </w:pPr>
    </w:p>
    <w:p>
      <w:pPr>
        <w:ind w:left="460" w:hanging="233"/>
        <w:spacing w:after="0"/>
        <w:tabs>
          <w:tab w:leader="none" w:pos="460" w:val="left"/>
        </w:tabs>
        <w:numPr>
          <w:ilvl w:val="0"/>
          <w:numId w:val="7"/>
        </w:numPr>
        <w:rPr>
          <w:rFonts w:ascii="Arial" w:cs="Arial" w:eastAsia="Arial" w:hAnsi="Arial"/>
          <w:sz w:val="14"/>
          <w:szCs w:val="14"/>
          <w:color w:val="666666"/>
        </w:rPr>
      </w:pPr>
      <w:r>
        <w:rPr>
          <w:rFonts w:ascii="Arial" w:cs="Arial" w:eastAsia="Arial" w:hAnsi="Arial"/>
          <w:sz w:val="14"/>
          <w:szCs w:val="14"/>
          <w:color w:val="666666"/>
        </w:rPr>
        <w:t>On average, our directors attended approximately 88% of the Board of Directors meetings and 88% of committee meetings.</w:t>
      </w:r>
    </w:p>
    <w:p>
      <w:pPr>
        <w:spacing w:after="0" w:line="2" w:lineRule="exact"/>
        <w:rPr>
          <w:rFonts w:ascii="Arial" w:cs="Arial" w:eastAsia="Arial" w:hAnsi="Arial"/>
          <w:sz w:val="14"/>
          <w:szCs w:val="14"/>
          <w:color w:val="666666"/>
        </w:rPr>
      </w:pPr>
    </w:p>
    <w:p>
      <w:pPr>
        <w:ind w:left="460" w:hanging="233"/>
        <w:spacing w:after="0"/>
        <w:tabs>
          <w:tab w:leader="none" w:pos="460" w:val="left"/>
        </w:tabs>
        <w:numPr>
          <w:ilvl w:val="0"/>
          <w:numId w:val="7"/>
        </w:numPr>
        <w:rPr>
          <w:rFonts w:ascii="Arial" w:cs="Arial" w:eastAsia="Arial" w:hAnsi="Arial"/>
          <w:sz w:val="14"/>
          <w:szCs w:val="14"/>
          <w:color w:val="666666"/>
        </w:rPr>
      </w:pPr>
      <w:r>
        <w:rPr>
          <w:rFonts w:ascii="Arial" w:cs="Arial" w:eastAsia="Arial" w:hAnsi="Arial"/>
          <w:sz w:val="14"/>
          <w:szCs w:val="14"/>
          <w:color w:val="666666"/>
        </w:rPr>
        <w:t>The Board of Directors held regular executive sessions of non-management directors.</w:t>
      </w:r>
    </w:p>
    <w:p>
      <w:pPr>
        <w:spacing w:after="0" w:line="2" w:lineRule="exact"/>
        <w:rPr>
          <w:rFonts w:ascii="Arial" w:cs="Arial" w:eastAsia="Arial" w:hAnsi="Arial"/>
          <w:sz w:val="14"/>
          <w:szCs w:val="14"/>
          <w:color w:val="666666"/>
        </w:rPr>
      </w:pPr>
    </w:p>
    <w:p>
      <w:pPr>
        <w:ind w:left="460" w:hanging="233"/>
        <w:spacing w:after="0"/>
        <w:tabs>
          <w:tab w:leader="none" w:pos="460" w:val="left"/>
        </w:tabs>
        <w:numPr>
          <w:ilvl w:val="0"/>
          <w:numId w:val="7"/>
        </w:numPr>
        <w:rPr>
          <w:rFonts w:ascii="Arial" w:cs="Arial" w:eastAsia="Arial" w:hAnsi="Arial"/>
          <w:sz w:val="14"/>
          <w:szCs w:val="14"/>
          <w:color w:val="666666"/>
        </w:rPr>
      </w:pPr>
      <w:r>
        <w:rPr>
          <w:rFonts w:ascii="Arial" w:cs="Arial" w:eastAsia="Arial" w:hAnsi="Arial"/>
          <w:sz w:val="14"/>
          <w:szCs w:val="14"/>
          <w:color w:val="666666"/>
        </w:rPr>
        <w:t>The Board of Directors conducts an annual discussion on management succession planning.</w:t>
      </w:r>
    </w:p>
    <w:p>
      <w:pPr>
        <w:spacing w:after="0" w:line="2" w:lineRule="exact"/>
        <w:rPr>
          <w:rFonts w:ascii="Arial" w:cs="Arial" w:eastAsia="Arial" w:hAnsi="Arial"/>
          <w:sz w:val="14"/>
          <w:szCs w:val="14"/>
          <w:color w:val="666666"/>
        </w:rPr>
      </w:pPr>
    </w:p>
    <w:p>
      <w:pPr>
        <w:ind w:left="460" w:hanging="233"/>
        <w:spacing w:after="0"/>
        <w:tabs>
          <w:tab w:leader="none" w:pos="460" w:val="left"/>
        </w:tabs>
        <w:numPr>
          <w:ilvl w:val="0"/>
          <w:numId w:val="7"/>
        </w:numPr>
        <w:rPr>
          <w:rFonts w:ascii="Arial" w:cs="Arial" w:eastAsia="Arial" w:hAnsi="Arial"/>
          <w:sz w:val="14"/>
          <w:szCs w:val="14"/>
          <w:color w:val="666666"/>
        </w:rPr>
      </w:pPr>
      <w:r>
        <w:rPr>
          <w:rFonts w:ascii="Arial" w:cs="Arial" w:eastAsia="Arial" w:hAnsi="Arial"/>
          <w:sz w:val="14"/>
          <w:szCs w:val="14"/>
          <w:color w:val="666666"/>
        </w:rPr>
        <w:t>We prohibit short sales and derivative transactions in our equity and hedging of our stock.</w:t>
      </w:r>
    </w:p>
    <w:p>
      <w:pPr>
        <w:spacing w:after="0" w:line="2" w:lineRule="exact"/>
        <w:rPr>
          <w:rFonts w:ascii="Arial" w:cs="Arial" w:eastAsia="Arial" w:hAnsi="Arial"/>
          <w:sz w:val="14"/>
          <w:szCs w:val="14"/>
          <w:color w:val="666666"/>
        </w:rPr>
      </w:pPr>
    </w:p>
    <w:p>
      <w:pPr>
        <w:ind w:left="460" w:hanging="233"/>
        <w:spacing w:after="0"/>
        <w:tabs>
          <w:tab w:leader="none" w:pos="460" w:val="left"/>
        </w:tabs>
        <w:numPr>
          <w:ilvl w:val="0"/>
          <w:numId w:val="7"/>
        </w:numPr>
        <w:rPr>
          <w:rFonts w:ascii="Arial" w:cs="Arial" w:eastAsia="Arial" w:hAnsi="Arial"/>
          <w:sz w:val="14"/>
          <w:szCs w:val="14"/>
          <w:color w:val="666666"/>
        </w:rPr>
      </w:pPr>
      <w:r>
        <w:rPr>
          <w:rFonts w:ascii="Arial" w:cs="Arial" w:eastAsia="Arial" w:hAnsi="Arial"/>
          <w:sz w:val="14"/>
          <w:szCs w:val="14"/>
          <w:color w:val="666666"/>
        </w:rPr>
        <w:t>Equity awards include a provision for the recoupment of equity-based compensation in the event of misconduct leading to a financial restatement.</w:t>
      </w:r>
    </w:p>
    <w:p>
      <w:pPr>
        <w:spacing w:after="0" w:line="2" w:lineRule="exact"/>
        <w:rPr>
          <w:rFonts w:ascii="Arial" w:cs="Arial" w:eastAsia="Arial" w:hAnsi="Arial"/>
          <w:sz w:val="14"/>
          <w:szCs w:val="14"/>
          <w:color w:val="666666"/>
        </w:rPr>
      </w:pPr>
    </w:p>
    <w:p>
      <w:pPr>
        <w:ind w:left="460" w:hanging="233"/>
        <w:spacing w:after="0"/>
        <w:tabs>
          <w:tab w:leader="none" w:pos="460" w:val="left"/>
        </w:tabs>
        <w:numPr>
          <w:ilvl w:val="0"/>
          <w:numId w:val="7"/>
        </w:numPr>
        <w:rPr>
          <w:rFonts w:ascii="Arial" w:cs="Arial" w:eastAsia="Arial" w:hAnsi="Arial"/>
          <w:sz w:val="14"/>
          <w:szCs w:val="14"/>
          <w:color w:val="666666"/>
        </w:rPr>
      </w:pPr>
      <w:r>
        <w:rPr>
          <w:rFonts w:ascii="Arial" w:cs="Arial" w:eastAsia="Arial" w:hAnsi="Arial"/>
          <w:sz w:val="14"/>
          <w:szCs w:val="14"/>
          <w:color w:val="666666"/>
        </w:rPr>
        <w:t>Our investor relations team and management regularly engage with current and potential stockholders.</w:t>
      </w:r>
    </w:p>
    <w:p>
      <w:pPr>
        <w:spacing w:after="0" w:line="2" w:lineRule="exact"/>
        <w:rPr>
          <w:rFonts w:ascii="Arial" w:cs="Arial" w:eastAsia="Arial" w:hAnsi="Arial"/>
          <w:sz w:val="14"/>
          <w:szCs w:val="14"/>
          <w:color w:val="666666"/>
        </w:rPr>
      </w:pPr>
    </w:p>
    <w:p>
      <w:pPr>
        <w:ind w:left="460" w:hanging="233"/>
        <w:spacing w:after="0"/>
        <w:tabs>
          <w:tab w:leader="none" w:pos="460" w:val="left"/>
        </w:tabs>
        <w:numPr>
          <w:ilvl w:val="0"/>
          <w:numId w:val="7"/>
        </w:numPr>
        <w:rPr>
          <w:rFonts w:ascii="Arial" w:cs="Arial" w:eastAsia="Arial" w:hAnsi="Arial"/>
          <w:sz w:val="14"/>
          <w:szCs w:val="14"/>
          <w:color w:val="666666"/>
        </w:rPr>
      </w:pPr>
      <w:r>
        <w:rPr>
          <w:rFonts w:ascii="Arial" w:cs="Arial" w:eastAsia="Arial" w:hAnsi="Arial"/>
          <w:sz w:val="14"/>
          <w:szCs w:val="14"/>
          <w:color w:val="666666"/>
        </w:rPr>
        <w:t>No poison pill in place.</w:t>
      </w:r>
    </w:p>
    <w:p>
      <w:pPr>
        <w:spacing w:after="0" w:line="2" w:lineRule="exact"/>
        <w:rPr>
          <w:rFonts w:ascii="Arial" w:cs="Arial" w:eastAsia="Arial" w:hAnsi="Arial"/>
          <w:sz w:val="14"/>
          <w:szCs w:val="14"/>
          <w:color w:val="666666"/>
        </w:rPr>
      </w:pPr>
    </w:p>
    <w:p>
      <w:pPr>
        <w:ind w:left="460" w:hanging="233"/>
        <w:spacing w:after="0"/>
        <w:tabs>
          <w:tab w:leader="none" w:pos="460" w:val="left"/>
        </w:tabs>
        <w:numPr>
          <w:ilvl w:val="0"/>
          <w:numId w:val="7"/>
        </w:numPr>
        <w:rPr>
          <w:rFonts w:ascii="Arial" w:cs="Arial" w:eastAsia="Arial" w:hAnsi="Arial"/>
          <w:sz w:val="14"/>
          <w:szCs w:val="14"/>
          <w:color w:val="666666"/>
        </w:rPr>
      </w:pPr>
      <w:r>
        <w:rPr>
          <w:rFonts w:ascii="Arial" w:cs="Arial" w:eastAsia="Arial" w:hAnsi="Arial"/>
          <w:sz w:val="14"/>
          <w:szCs w:val="14"/>
          <w:color w:val="666666"/>
        </w:rPr>
        <w:t>Executive officer and director stock ownership guidelines.</w:t>
      </w:r>
    </w:p>
    <w:p>
      <w:pPr>
        <w:spacing w:after="0" w:line="2" w:lineRule="exact"/>
        <w:rPr>
          <w:rFonts w:ascii="Arial" w:cs="Arial" w:eastAsia="Arial" w:hAnsi="Arial"/>
          <w:sz w:val="14"/>
          <w:szCs w:val="14"/>
          <w:color w:val="666666"/>
        </w:rPr>
      </w:pPr>
    </w:p>
    <w:p>
      <w:pPr>
        <w:ind w:left="460" w:hanging="233"/>
        <w:spacing w:after="0"/>
        <w:tabs>
          <w:tab w:leader="none" w:pos="460" w:val="left"/>
        </w:tabs>
        <w:numPr>
          <w:ilvl w:val="0"/>
          <w:numId w:val="7"/>
        </w:numPr>
        <w:rPr>
          <w:rFonts w:ascii="Arial" w:cs="Arial" w:eastAsia="Arial" w:hAnsi="Arial"/>
          <w:sz w:val="14"/>
          <w:szCs w:val="14"/>
          <w:color w:val="666666"/>
        </w:rPr>
      </w:pPr>
      <w:r>
        <w:rPr>
          <w:rFonts w:ascii="Arial" w:cs="Arial" w:eastAsia="Arial" w:hAnsi="Arial"/>
          <w:sz w:val="14"/>
          <w:szCs w:val="14"/>
          <w:color w:val="666666"/>
        </w:rPr>
        <w:t>Annual Board and Committee evaluations and self-assessments.</w:t>
      </w:r>
    </w:p>
    <w:p>
      <w:pPr>
        <w:spacing w:after="0" w:line="2" w:lineRule="exact"/>
        <w:rPr>
          <w:rFonts w:ascii="Arial" w:cs="Arial" w:eastAsia="Arial" w:hAnsi="Arial"/>
          <w:sz w:val="14"/>
          <w:szCs w:val="14"/>
          <w:color w:val="666666"/>
        </w:rPr>
      </w:pPr>
    </w:p>
    <w:p>
      <w:pPr>
        <w:ind w:left="460" w:hanging="233"/>
        <w:spacing w:after="0"/>
        <w:tabs>
          <w:tab w:leader="none" w:pos="460" w:val="left"/>
        </w:tabs>
        <w:numPr>
          <w:ilvl w:val="0"/>
          <w:numId w:val="7"/>
        </w:numPr>
        <w:rPr>
          <w:rFonts w:ascii="Arial" w:cs="Arial" w:eastAsia="Arial" w:hAnsi="Arial"/>
          <w:sz w:val="14"/>
          <w:szCs w:val="14"/>
          <w:color w:val="666666"/>
        </w:rPr>
      </w:pPr>
      <w:r>
        <w:rPr>
          <w:rFonts w:ascii="Arial" w:cs="Arial" w:eastAsia="Arial" w:hAnsi="Arial"/>
          <w:sz w:val="14"/>
          <w:szCs w:val="14"/>
          <w:color w:val="666666"/>
        </w:rPr>
        <w:t>We place restrictions on the number of other public company boards on which our directors may serve in order to prevent overboarding.</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7"/>
          <w:szCs w:val="17"/>
          <w:b w:val="1"/>
          <w:bCs w:val="1"/>
          <w:u w:val="single" w:color="auto"/>
          <w:color w:val="547BCC"/>
        </w:rPr>
        <w:t>Executive Compensation Highlights</w:t>
      </w:r>
    </w:p>
    <w:p>
      <w:pPr>
        <w:spacing w:after="0" w:line="72" w:lineRule="exact"/>
        <w:rPr>
          <w:sz w:val="20"/>
          <w:szCs w:val="20"/>
          <w:color w:val="auto"/>
        </w:rPr>
      </w:pPr>
    </w:p>
    <w:p>
      <w:pPr>
        <w:jc w:val="both"/>
        <w:ind w:left="460" w:right="20" w:hanging="233"/>
        <w:spacing w:after="0" w:line="252" w:lineRule="auto"/>
        <w:tabs>
          <w:tab w:leader="none" w:pos="460" w:val="left"/>
        </w:tabs>
        <w:numPr>
          <w:ilvl w:val="0"/>
          <w:numId w:val="8"/>
        </w:numPr>
        <w:rPr>
          <w:rFonts w:ascii="Arial" w:cs="Arial" w:eastAsia="Arial" w:hAnsi="Arial"/>
          <w:sz w:val="14"/>
          <w:szCs w:val="14"/>
          <w:color w:val="666666"/>
        </w:rPr>
      </w:pPr>
      <w:r>
        <w:rPr>
          <w:rFonts w:ascii="Arial" w:cs="Arial" w:eastAsia="Arial" w:hAnsi="Arial"/>
          <w:sz w:val="14"/>
          <w:szCs w:val="14"/>
          <w:color w:val="666666"/>
        </w:rPr>
        <w:t>We continue to utilize a partnership-style compensation model that fosters a culture of collaboration and long-term ownership mindset that encourages our executives to think and act in the best interests of the Company. The spirit of collective ingenuity is paramount to our success and underscores our commitment to inclusion, collaboration, and service.</w:t>
      </w:r>
    </w:p>
    <w:p>
      <w:pPr>
        <w:jc w:val="both"/>
        <w:ind w:left="460" w:hanging="233"/>
        <w:spacing w:after="0" w:line="243" w:lineRule="auto"/>
        <w:tabs>
          <w:tab w:leader="none" w:pos="460" w:val="left"/>
        </w:tabs>
        <w:numPr>
          <w:ilvl w:val="0"/>
          <w:numId w:val="8"/>
        </w:numPr>
        <w:rPr>
          <w:rFonts w:ascii="Arial" w:cs="Arial" w:eastAsia="Arial" w:hAnsi="Arial"/>
          <w:sz w:val="14"/>
          <w:szCs w:val="14"/>
          <w:color w:val="666666"/>
        </w:rPr>
      </w:pPr>
      <w:r>
        <w:rPr>
          <w:rFonts w:ascii="Arial" w:cs="Arial" w:eastAsia="Arial" w:hAnsi="Arial"/>
          <w:sz w:val="14"/>
          <w:szCs w:val="14"/>
          <w:color w:val="666666"/>
        </w:rPr>
        <w:t>We are a values-driven organization with a guiding purpose to empower people to change the world. Our executives are committed to bold thinking, holding themselves and those around them accountable to act with integrity, and realizing positive change in all the work we do. Our executive compensation program is intrinsically tied to our purpose and values. We believe our executives are motivated to act in the best interests of the Company with an emphasis on problem solving, passionate service, and collective ingenuity across markets, clients, and opportunities.</w:t>
      </w:r>
    </w:p>
    <w:p>
      <w:pPr>
        <w:jc w:val="both"/>
        <w:ind w:left="460" w:right="20" w:hanging="233"/>
        <w:spacing w:after="0" w:line="247" w:lineRule="auto"/>
        <w:tabs>
          <w:tab w:leader="none" w:pos="460" w:val="left"/>
        </w:tabs>
        <w:numPr>
          <w:ilvl w:val="0"/>
          <w:numId w:val="8"/>
        </w:numPr>
        <w:rPr>
          <w:rFonts w:ascii="Arial" w:cs="Arial" w:eastAsia="Arial" w:hAnsi="Arial"/>
          <w:sz w:val="14"/>
          <w:szCs w:val="14"/>
          <w:color w:val="666666"/>
        </w:rPr>
      </w:pPr>
      <w:r>
        <w:rPr>
          <w:rFonts w:ascii="Arial" w:cs="Arial" w:eastAsia="Arial" w:hAnsi="Arial"/>
          <w:sz w:val="14"/>
          <w:szCs w:val="14"/>
          <w:color w:val="666666"/>
        </w:rPr>
        <w:t>Together with our Compensation Committee, we are committed to designing a compensation program that aligns the interests of our executives with the long-term interests of our stockholders. We continuously seek to evolve our approach and stay connected with the views of our stockholders. As we shared in our CD&amp;A last year, we implemented several enhancements to our compensation program to further link our executives’ rewards package with the long-term interests of our stockholders, including a long-term performance-based component to our program, where a portion of our executives’ compensation is tied to the achievement of multi-year performance goals. For more details on our compensation program, please see our discussion in the CD&amp;A beginning with the Executive Summary on page 26.</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547BCC"/>
        </w:rPr>
        <w:t>Corporate Citizenship Highlights</w:t>
      </w:r>
    </w:p>
    <w:p>
      <w:pPr>
        <w:spacing w:after="0" w:line="72" w:lineRule="exact"/>
        <w:rPr>
          <w:sz w:val="20"/>
          <w:szCs w:val="20"/>
          <w:color w:val="auto"/>
        </w:rPr>
      </w:pPr>
    </w:p>
    <w:p>
      <w:pPr>
        <w:ind w:left="460" w:right="20" w:hanging="233"/>
        <w:spacing w:after="0" w:line="256" w:lineRule="auto"/>
        <w:tabs>
          <w:tab w:leader="none" w:pos="460" w:val="left"/>
        </w:tabs>
        <w:numPr>
          <w:ilvl w:val="0"/>
          <w:numId w:val="9"/>
        </w:numPr>
        <w:rPr>
          <w:rFonts w:ascii="Arial" w:cs="Arial" w:eastAsia="Arial" w:hAnsi="Arial"/>
          <w:sz w:val="14"/>
          <w:szCs w:val="14"/>
          <w:color w:val="666666"/>
        </w:rPr>
      </w:pPr>
      <w:r>
        <w:rPr>
          <w:rFonts w:ascii="Arial" w:cs="Arial" w:eastAsia="Arial" w:hAnsi="Arial"/>
          <w:sz w:val="14"/>
          <w:szCs w:val="14"/>
          <w:color w:val="666666"/>
        </w:rPr>
        <w:t>During our fiscal year 2018, approximately $916.2 million was subcontracted to various small and small-disadvantaged businesses, representing approximately 65.6% of subcontracted spending.</w:t>
      </w:r>
    </w:p>
    <w:p>
      <w:pPr>
        <w:spacing w:after="0" w:line="1" w:lineRule="exact"/>
        <w:rPr>
          <w:rFonts w:ascii="Arial" w:cs="Arial" w:eastAsia="Arial" w:hAnsi="Arial"/>
          <w:sz w:val="14"/>
          <w:szCs w:val="14"/>
          <w:color w:val="666666"/>
        </w:rPr>
      </w:pPr>
    </w:p>
    <w:p>
      <w:pPr>
        <w:ind w:left="460" w:hanging="233"/>
        <w:spacing w:after="0"/>
        <w:tabs>
          <w:tab w:leader="none" w:pos="460" w:val="left"/>
        </w:tabs>
        <w:numPr>
          <w:ilvl w:val="0"/>
          <w:numId w:val="9"/>
        </w:numPr>
        <w:rPr>
          <w:rFonts w:ascii="Arial" w:cs="Arial" w:eastAsia="Arial" w:hAnsi="Arial"/>
          <w:sz w:val="14"/>
          <w:szCs w:val="14"/>
          <w:color w:val="666666"/>
        </w:rPr>
      </w:pPr>
      <w:r>
        <w:rPr>
          <w:rFonts w:ascii="Arial" w:cs="Arial" w:eastAsia="Arial" w:hAnsi="Arial"/>
          <w:sz w:val="14"/>
          <w:szCs w:val="14"/>
          <w:color w:val="666666"/>
        </w:rPr>
        <w:t>Maintained six active mentor-protégé agreements with small businesses through various federal Mentor-Protégé programs.</w:t>
      </w:r>
    </w:p>
    <w:p>
      <w:pPr>
        <w:spacing w:after="0" w:line="2" w:lineRule="exact"/>
        <w:rPr>
          <w:rFonts w:ascii="Arial" w:cs="Arial" w:eastAsia="Arial" w:hAnsi="Arial"/>
          <w:sz w:val="14"/>
          <w:szCs w:val="14"/>
          <w:color w:val="666666"/>
        </w:rPr>
      </w:pPr>
    </w:p>
    <w:p>
      <w:pPr>
        <w:jc w:val="both"/>
        <w:ind w:left="460" w:right="20" w:hanging="233"/>
        <w:spacing w:after="0" w:line="251" w:lineRule="auto"/>
        <w:tabs>
          <w:tab w:leader="none" w:pos="460" w:val="left"/>
        </w:tabs>
        <w:numPr>
          <w:ilvl w:val="0"/>
          <w:numId w:val="9"/>
        </w:numPr>
        <w:rPr>
          <w:rFonts w:ascii="Arial" w:cs="Arial" w:eastAsia="Arial" w:hAnsi="Arial"/>
          <w:sz w:val="14"/>
          <w:szCs w:val="14"/>
          <w:color w:val="666666"/>
        </w:rPr>
      </w:pPr>
      <w:r>
        <w:rPr>
          <w:rFonts w:ascii="Arial" w:cs="Arial" w:eastAsia="Arial" w:hAnsi="Arial"/>
          <w:sz w:val="14"/>
          <w:szCs w:val="14"/>
          <w:color w:val="666666"/>
        </w:rPr>
        <w:t xml:space="preserve">Continued as a </w:t>
      </w:r>
      <w:r>
        <w:rPr>
          <w:rFonts w:ascii="Arial" w:cs="Arial" w:eastAsia="Arial" w:hAnsi="Arial"/>
          <w:sz w:val="14"/>
          <w:szCs w:val="14"/>
          <w:i w:val="1"/>
          <w:iCs w:val="1"/>
          <w:color w:val="666666"/>
        </w:rPr>
        <w:t>FIRST</w:t>
      </w:r>
      <w:r>
        <w:rPr>
          <w:rFonts w:ascii="Arial" w:cs="Arial" w:eastAsia="Arial" w:hAnsi="Arial"/>
          <w:sz w:val="14"/>
          <w:szCs w:val="14"/>
          <w:color w:val="666666"/>
        </w:rPr>
        <w:t xml:space="preserve">® (For Inspiration and Recognition of Science and Technology) Strategic Partner with multifaceted support spanning all </w:t>
      </w:r>
      <w:r>
        <w:rPr>
          <w:rFonts w:ascii="Arial" w:cs="Arial" w:eastAsia="Arial" w:hAnsi="Arial"/>
          <w:sz w:val="14"/>
          <w:szCs w:val="14"/>
          <w:i w:val="1"/>
          <w:iCs w:val="1"/>
          <w:color w:val="666666"/>
        </w:rPr>
        <w:t>FIRST</w:t>
      </w:r>
      <w:r>
        <w:rPr>
          <w:rFonts w:ascii="Arial" w:cs="Arial" w:eastAsia="Arial" w:hAnsi="Arial"/>
          <w:sz w:val="14"/>
          <w:szCs w:val="14"/>
          <w:color w:val="666666"/>
        </w:rPr>
        <w:t xml:space="preserve"> programs, including employees serving as team mentors, event volunteers, and regional/affiliate advisors. </w:t>
      </w:r>
      <w:r>
        <w:rPr>
          <w:rFonts w:ascii="Arial" w:cs="Arial" w:eastAsia="Arial" w:hAnsi="Arial"/>
          <w:sz w:val="14"/>
          <w:szCs w:val="14"/>
          <w:i w:val="1"/>
          <w:iCs w:val="1"/>
          <w:color w:val="666666"/>
        </w:rPr>
        <w:t>FIRST</w:t>
      </w:r>
      <w:r>
        <w:rPr>
          <w:rFonts w:ascii="Arial" w:cs="Arial" w:eastAsia="Arial" w:hAnsi="Arial"/>
          <w:sz w:val="14"/>
          <w:szCs w:val="14"/>
          <w:color w:val="666666"/>
        </w:rPr>
        <w:t xml:space="preserve"> is inspiring and developing future innovators, engineers, scientists, and technologists in grades K-12 in more than 85 countries.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4</w:t>
      </w:r>
    </w:p>
    <w:p>
      <w:pPr>
        <w:sectPr>
          <w:pgSz w:w="11900" w:h="16838" w:orient="portrait"/>
          <w:cols w:equalWidth="0" w:num="1">
            <w:col w:w="11480"/>
          </w:cols>
          <w:pgMar w:left="220" w:top="447" w:right="199" w:bottom="1440" w:gutter="0" w:footer="0" w:header="0"/>
        </w:sectPr>
      </w:pPr>
    </w:p>
    <w:bookmarkStart w:id="13" w:name="page14"/>
    <w:bookmarkEnd w:id="13"/>
    <w:p>
      <w:pPr>
        <w:jc w:val="both"/>
        <w:ind w:left="240" w:right="20" w:hanging="233"/>
        <w:spacing w:after="0" w:line="252" w:lineRule="auto"/>
        <w:tabs>
          <w:tab w:leader="none" w:pos="240" w:val="left"/>
        </w:tabs>
        <w:numPr>
          <w:ilvl w:val="0"/>
          <w:numId w:val="10"/>
        </w:numPr>
        <w:rPr>
          <w:rFonts w:ascii="Arial" w:cs="Arial" w:eastAsia="Arial" w:hAnsi="Arial"/>
          <w:sz w:val="14"/>
          <w:szCs w:val="14"/>
          <w:color w:val="666666"/>
        </w:rPr>
      </w:pPr>
      <w:r>
        <w:rPr>
          <w:rFonts w:ascii="Arial" w:cs="Arial" w:eastAsia="Arial" w:hAnsi="Arial"/>
          <w:sz w:val="14"/>
          <w:szCs w:val="14"/>
          <w:color w:val="666666"/>
        </w:rPr>
        <w:t>Co-sponsored, with Kaggle and in partnership with the National Cancer Institute, the National Data Science Bowl, which focused on using algorithms and machine intelligence to better detect lung cancer, which strikes 225,000 Americans every year and accounts for $12 billion in health care costs. Nearly 400 teams participated from around the world to develop detection algorithms for one of the most complex data sets ever used by Kaggle.</w:t>
      </w:r>
    </w:p>
    <w:p>
      <w:pPr>
        <w:ind w:left="240" w:right="20" w:hanging="233"/>
        <w:spacing w:after="0" w:line="243" w:lineRule="auto"/>
        <w:tabs>
          <w:tab w:leader="none" w:pos="240" w:val="left"/>
        </w:tabs>
        <w:numPr>
          <w:ilvl w:val="0"/>
          <w:numId w:val="10"/>
        </w:numPr>
        <w:rPr>
          <w:rFonts w:ascii="Arial" w:cs="Arial" w:eastAsia="Arial" w:hAnsi="Arial"/>
          <w:sz w:val="14"/>
          <w:szCs w:val="14"/>
          <w:color w:val="666666"/>
        </w:rPr>
      </w:pPr>
      <w:r>
        <w:rPr>
          <w:rFonts w:ascii="Arial" w:cs="Arial" w:eastAsia="Arial" w:hAnsi="Arial"/>
          <w:sz w:val="14"/>
          <w:szCs w:val="14"/>
          <w:color w:val="666666"/>
        </w:rPr>
        <w:t>Our largest corporate financial contributions and pro bono consulting projects supported programs related to military families and veterans, STEM initiatives, and health causes. Employees logged more than 66,200 hours of volunteerism for community organizations.</w:t>
      </w:r>
    </w:p>
    <w:p>
      <w:pPr>
        <w:jc w:val="both"/>
        <w:ind w:left="240" w:hanging="233"/>
        <w:spacing w:after="0" w:line="243" w:lineRule="auto"/>
        <w:tabs>
          <w:tab w:leader="none" w:pos="240" w:val="left"/>
        </w:tabs>
        <w:numPr>
          <w:ilvl w:val="0"/>
          <w:numId w:val="10"/>
        </w:numPr>
        <w:rPr>
          <w:rFonts w:ascii="Arial" w:cs="Arial" w:eastAsia="Arial" w:hAnsi="Arial"/>
          <w:sz w:val="14"/>
          <w:szCs w:val="14"/>
          <w:color w:val="666666"/>
        </w:rPr>
      </w:pPr>
      <w:r>
        <w:rPr>
          <w:rFonts w:ascii="Arial" w:cs="Arial" w:eastAsia="Arial" w:hAnsi="Arial"/>
          <w:sz w:val="14"/>
          <w:szCs w:val="14"/>
          <w:color w:val="666666"/>
        </w:rPr>
        <w:t xml:space="preserve">Ranked #2 by </w:t>
      </w:r>
      <w:r>
        <w:rPr>
          <w:rFonts w:ascii="Arial" w:cs="Arial" w:eastAsia="Arial" w:hAnsi="Arial"/>
          <w:sz w:val="14"/>
          <w:szCs w:val="14"/>
          <w:i w:val="1"/>
          <w:iCs w:val="1"/>
          <w:color w:val="666666"/>
        </w:rPr>
        <w:t>The Military Times</w:t>
      </w:r>
      <w:r>
        <w:rPr>
          <w:rFonts w:ascii="Arial" w:cs="Arial" w:eastAsia="Arial" w:hAnsi="Arial"/>
          <w:sz w:val="14"/>
          <w:szCs w:val="14"/>
          <w:color w:val="666666"/>
        </w:rPr>
        <w:t xml:space="preserve"> as a top employer for veterans, and named one of only 37 companies by Military Times as Best for Vets overall. Earned Silver ranking in G.I. Jobs list of Military-Friendly employers. Ranked #6 by </w:t>
      </w:r>
      <w:r>
        <w:rPr>
          <w:rFonts w:ascii="Arial" w:cs="Arial" w:eastAsia="Arial" w:hAnsi="Arial"/>
          <w:sz w:val="14"/>
          <w:szCs w:val="14"/>
          <w:i w:val="1"/>
          <w:iCs w:val="1"/>
          <w:color w:val="666666"/>
        </w:rPr>
        <w:t>Forbes</w:t>
      </w:r>
      <w:r>
        <w:rPr>
          <w:rFonts w:ascii="Arial" w:cs="Arial" w:eastAsia="Arial" w:hAnsi="Arial"/>
          <w:sz w:val="14"/>
          <w:szCs w:val="14"/>
          <w:color w:val="666666"/>
        </w:rPr>
        <w:t xml:space="preserve"> Magazine Annual Best Employers for Veterans rankings — now rated in top 10 for 5 years running. Winner of National Military Spouse Employment Award from the U.S. Chamber of Commerce Hiring Our Heroes program.</w:t>
      </w:r>
    </w:p>
    <w:p>
      <w:pPr>
        <w:jc w:val="both"/>
        <w:ind w:left="240" w:hanging="233"/>
        <w:spacing w:after="0" w:line="243" w:lineRule="auto"/>
        <w:tabs>
          <w:tab w:leader="none" w:pos="240" w:val="left"/>
        </w:tabs>
        <w:numPr>
          <w:ilvl w:val="0"/>
          <w:numId w:val="10"/>
        </w:numPr>
        <w:rPr>
          <w:rFonts w:ascii="Arial" w:cs="Arial" w:eastAsia="Arial" w:hAnsi="Arial"/>
          <w:sz w:val="14"/>
          <w:szCs w:val="14"/>
          <w:color w:val="666666"/>
        </w:rPr>
      </w:pPr>
      <w:r>
        <w:rPr>
          <w:rFonts w:ascii="Arial" w:cs="Arial" w:eastAsia="Arial" w:hAnsi="Arial"/>
          <w:sz w:val="14"/>
          <w:szCs w:val="14"/>
          <w:color w:val="666666"/>
        </w:rPr>
        <w:t>Partnered with Student Veterans of America (SVA) to become the exclusive Cyber representative on their newly formed business council. Launched online Challenge program with SVA to ask veterans to create their own “Cyber Solutions for Business” ideas. The winner was announced at SVA’s annual NatCon, with over 2000 veterans in attendance. The winner received a cash prize and a chance to visit The Booz Allen Innovation Center to meet with cyber experts.</w:t>
      </w:r>
    </w:p>
    <w:p>
      <w:pPr>
        <w:jc w:val="both"/>
        <w:ind w:left="240" w:right="20" w:hanging="233"/>
        <w:spacing w:after="0" w:line="243" w:lineRule="auto"/>
        <w:tabs>
          <w:tab w:leader="none" w:pos="240" w:val="left"/>
        </w:tabs>
        <w:numPr>
          <w:ilvl w:val="0"/>
          <w:numId w:val="10"/>
        </w:numPr>
        <w:rPr>
          <w:rFonts w:ascii="Arial" w:cs="Arial" w:eastAsia="Arial" w:hAnsi="Arial"/>
          <w:sz w:val="14"/>
          <w:szCs w:val="14"/>
          <w:color w:val="666666"/>
        </w:rPr>
      </w:pPr>
      <w:r>
        <w:rPr>
          <w:rFonts w:ascii="Arial" w:cs="Arial" w:eastAsia="Arial" w:hAnsi="Arial"/>
          <w:sz w:val="14"/>
          <w:szCs w:val="14"/>
          <w:color w:val="666666"/>
        </w:rPr>
        <w:t>Continued a partnership with SEED SPOT, a nonprofit dedicated to helping entrepreneurs develop solutions to problems through incubator programs. Through sponsorship and by providing employees to serve as mentors, the firm focuses on improving veteran healthcare, supporting military families, and promoting women in STEM (science, technology, engineering, and mathematics) through new social impact initiatives.</w:t>
      </w:r>
    </w:p>
    <w:p>
      <w:pPr>
        <w:jc w:val="both"/>
        <w:ind w:left="240" w:right="20" w:hanging="233"/>
        <w:spacing w:after="0" w:line="251" w:lineRule="auto"/>
        <w:tabs>
          <w:tab w:leader="none" w:pos="240" w:val="left"/>
        </w:tabs>
        <w:numPr>
          <w:ilvl w:val="0"/>
          <w:numId w:val="10"/>
        </w:numPr>
        <w:rPr>
          <w:rFonts w:ascii="Arial" w:cs="Arial" w:eastAsia="Arial" w:hAnsi="Arial"/>
          <w:sz w:val="14"/>
          <w:szCs w:val="14"/>
          <w:color w:val="666666"/>
        </w:rPr>
      </w:pPr>
      <w:r>
        <w:rPr>
          <w:rFonts w:ascii="Arial" w:cs="Arial" w:eastAsia="Arial" w:hAnsi="Arial"/>
          <w:sz w:val="14"/>
          <w:szCs w:val="14"/>
          <w:color w:val="666666"/>
        </w:rPr>
        <w:t>From across the firm—as far away as Asia and the Middle East—the people of Booz Allen supported their colleagues and communities affected by the string of hurricanes in the fall of 2017. In five weeks, employees donated nearly 2,000 hours of paid time off and more than $200,000. When combined with a corporate and foundation match, the Booz Allen community raised nearly $350,000 for six disaster relief organizations.</w:t>
      </w:r>
    </w:p>
    <w:p>
      <w:pPr>
        <w:spacing w:after="0" w:line="143"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666666"/>
        </w:rPr>
        <w:t>5</w:t>
      </w:r>
    </w:p>
    <w:p>
      <w:pPr>
        <w:sectPr>
          <w:pgSz w:w="11900" w:h="16838" w:orient="portrait"/>
          <w:cols w:equalWidth="0" w:num="1">
            <w:col w:w="11260"/>
          </w:cols>
          <w:pgMar w:left="440" w:top="445" w:right="19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547BCC"/>
        </w:rPr>
        <w:t>PROPOSAL 1: ELECTION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547BCC"/>
        </w:rPr>
        <w:t>Board Structure</w:t>
      </w:r>
    </w:p>
    <w:p>
      <w:pPr>
        <w:spacing w:after="0" w:line="119" w:lineRule="exact"/>
        <w:rPr>
          <w:sz w:val="20"/>
          <w:szCs w:val="20"/>
          <w:color w:val="auto"/>
        </w:rPr>
      </w:pPr>
    </w:p>
    <w:p>
      <w:pPr>
        <w:jc w:val="both"/>
        <w:ind w:right="20" w:firstLine="230"/>
        <w:spacing w:after="0" w:line="285" w:lineRule="auto"/>
        <w:rPr>
          <w:sz w:val="20"/>
          <w:szCs w:val="20"/>
          <w:color w:val="auto"/>
        </w:rPr>
      </w:pPr>
      <w:r>
        <w:rPr>
          <w:rFonts w:ascii="Arial" w:cs="Arial" w:eastAsia="Arial" w:hAnsi="Arial"/>
          <w:sz w:val="14"/>
          <w:szCs w:val="14"/>
          <w:color w:val="666666"/>
        </w:rPr>
        <w:t>The Company currently has eleven directors divided into three classes: four in Class I, four in Class II, and three in Class III. The terms of office of the four Class II directors expire at the 2018 Annual Meeting of Stockholders.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547BCC"/>
        </w:rPr>
        <w:t>Class II Election</w:t>
      </w:r>
    </w:p>
    <w:p>
      <w:pPr>
        <w:spacing w:after="0" w:line="11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4"/>
          <w:szCs w:val="14"/>
          <w:color w:val="666666"/>
        </w:rPr>
        <w:t>The four nominees for election as Class II directors are listed below. If elected, the nominees for election as Class II directors will serve for a term of three years and until their successors are elected and qualify. Unless you instruct us on the proxy card to vote differently, we will vote signed, returned proxies FOR the election of such nominees. If for any reason any nominee cannot or will not serve as a director, we may vote such proxies for the election of a substitute nominee designated by the Board.</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547BCC"/>
        </w:rPr>
        <w:t>Class II Nominees</w:t>
      </w:r>
    </w:p>
    <w:p>
      <w:pPr>
        <w:spacing w:after="0" w:line="81" w:lineRule="exact"/>
        <w:rPr>
          <w:sz w:val="20"/>
          <w:szCs w:val="20"/>
          <w:color w:val="auto"/>
        </w:rPr>
      </w:pPr>
    </w:p>
    <w:p>
      <w:pPr>
        <w:jc w:val="both"/>
        <w:ind w:right="20" w:firstLine="307"/>
        <w:spacing w:after="0" w:line="250" w:lineRule="auto"/>
        <w:rPr>
          <w:sz w:val="20"/>
          <w:szCs w:val="20"/>
          <w:color w:val="auto"/>
        </w:rPr>
      </w:pPr>
      <w:r>
        <w:rPr>
          <w:rFonts w:ascii="Arial" w:cs="Arial" w:eastAsia="Arial" w:hAnsi="Arial"/>
          <w:sz w:val="14"/>
          <w:szCs w:val="14"/>
          <w:color w:val="666666"/>
        </w:rPr>
        <w:t>To be elected in a contested election, a nominee must receive the vote of a plurality of the votes validly cast at the annual meeting represented either in person or by proxy at the annual meeting. To be elected in an uncontested election, a nominee must receive a majority of the votes validly cast with respect to that nominee’s election at the annual meeting represented either in person or by proxy at the annual meeting. Any nominee who is an incumbent director and does not receive a majority of the votes cast in an election that is not a contested election must promptly tender his or her resignation contingent on the acceptance of that resignation by the Board to the chairman of the Board following certification of the election results. The Nominating and Corporate Governance Committee and the Board believe that each Class II Nominee brings a strong and diverse set of skills and experiences to the Company, including significant government, public company, financial, and strategic experience, that will strengthen our Board's independent leadership and effectiveness with respect to our business and long-term strategy. The Class II Nominees are as follows:</w:t>
      </w:r>
    </w:p>
    <w:p>
      <w:pPr>
        <w:sectPr>
          <w:pgSz w:w="11900" w:h="16838" w:orient="portrait"/>
          <w:cols w:equalWidth="0" w:num="1">
            <w:col w:w="11480"/>
          </w:cols>
          <w:pgMar w:left="220" w:top="441"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660"/>
        <w:spacing w:after="0"/>
        <w:rPr>
          <w:sz w:val="20"/>
          <w:szCs w:val="20"/>
          <w:color w:val="auto"/>
        </w:rPr>
      </w:pPr>
      <w:r>
        <w:rPr>
          <w:rFonts w:ascii="Arial" w:cs="Arial" w:eastAsia="Arial" w:hAnsi="Arial"/>
          <w:sz w:val="13"/>
          <w:szCs w:val="13"/>
          <w:b w:val="1"/>
          <w:bCs w:val="1"/>
          <w:color w:val="66666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145097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50975" cy="6350"/>
                    </a:xfrm>
                    <a:prstGeom prst="rect">
                      <a:avLst/>
                    </a:prstGeom>
                    <a:noFill/>
                  </pic:spPr>
                </pic:pic>
              </a:graphicData>
            </a:graphic>
          </wp:anchor>
        </w:drawing>
      </w:r>
    </w:p>
    <w:p>
      <w:pPr>
        <w:spacing w:after="0" w:line="255" w:lineRule="exact"/>
        <w:rPr>
          <w:sz w:val="20"/>
          <w:szCs w:val="20"/>
          <w:color w:val="auto"/>
        </w:rPr>
      </w:pPr>
    </w:p>
    <w:p>
      <w:pPr>
        <w:ind w:left="60"/>
        <w:spacing w:after="0"/>
        <w:rPr>
          <w:sz w:val="20"/>
          <w:szCs w:val="20"/>
          <w:color w:val="auto"/>
        </w:rPr>
      </w:pPr>
      <w:r>
        <w:rPr>
          <w:rFonts w:ascii="Arial" w:cs="Arial" w:eastAsia="Arial" w:hAnsi="Arial"/>
          <w:sz w:val="13"/>
          <w:szCs w:val="13"/>
          <w:color w:val="666666"/>
        </w:rPr>
        <w:t>Horacio D. Rozanski</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3"/>
          <w:szCs w:val="13"/>
          <w:color w:val="666666"/>
        </w:rPr>
        <w:t>(Class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21590</wp:posOffset>
            </wp:positionV>
            <wp:extent cx="621665" cy="902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1665" cy="902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3"/>
          <w:szCs w:val="13"/>
          <w:color w:val="666666"/>
        </w:rPr>
        <w:t>Age: 50</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3"/>
          <w:szCs w:val="13"/>
          <w:color w:val="666666"/>
        </w:rPr>
        <w:t>Director since: 2014</w:t>
      </w:r>
    </w:p>
    <w:p>
      <w:pPr>
        <w:spacing w:after="0" w:line="269" w:lineRule="exact"/>
        <w:rPr>
          <w:sz w:val="20"/>
          <w:szCs w:val="20"/>
          <w:color w:val="auto"/>
        </w:rPr>
      </w:pPr>
    </w:p>
    <w:p>
      <w:pPr>
        <w:ind w:left="60"/>
        <w:spacing w:after="0"/>
        <w:rPr>
          <w:sz w:val="20"/>
          <w:szCs w:val="20"/>
          <w:color w:val="auto"/>
        </w:rPr>
      </w:pPr>
      <w:r>
        <w:rPr>
          <w:rFonts w:ascii="Arial" w:cs="Arial" w:eastAsia="Arial" w:hAnsi="Arial"/>
          <w:sz w:val="13"/>
          <w:szCs w:val="13"/>
          <w:i w:val="1"/>
          <w:iCs w:val="1"/>
          <w:color w:val="666666"/>
        </w:rPr>
        <w:t>Committee: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3"/>
          <w:szCs w:val="13"/>
          <w:color w:val="666666"/>
        </w:rPr>
        <w:t>• Executive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666666"/>
        </w:rPr>
        <w:t>Principal Occupation, Business</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666666"/>
        </w:rPr>
        <w:t>Experience and Other Directorships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100330</wp:posOffset>
            </wp:positionV>
            <wp:extent cx="549973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99735" cy="6350"/>
                    </a:xfrm>
                    <a:prstGeom prst="rect">
                      <a:avLst/>
                    </a:prstGeom>
                    <a:noFill/>
                  </pic:spPr>
                </pic:pic>
              </a:graphicData>
            </a:graphic>
          </wp:anchor>
        </w:drawing>
      </w:r>
    </w:p>
    <w:p>
      <w:pPr>
        <w:spacing w:after="0" w:line="381" w:lineRule="exact"/>
        <w:rPr>
          <w:sz w:val="20"/>
          <w:szCs w:val="20"/>
          <w:color w:val="auto"/>
        </w:rPr>
      </w:pPr>
    </w:p>
    <w:p>
      <w:pPr>
        <w:jc w:val="both"/>
        <w:ind w:right="60"/>
        <w:spacing w:after="0"/>
        <w:rPr>
          <w:sz w:val="20"/>
          <w:szCs w:val="20"/>
          <w:color w:val="auto"/>
        </w:rPr>
      </w:pPr>
      <w:r>
        <w:rPr>
          <w:rFonts w:ascii="Arial" w:cs="Arial" w:eastAsia="Arial" w:hAnsi="Arial"/>
          <w:sz w:val="13"/>
          <w:szCs w:val="13"/>
          <w:color w:val="666666"/>
        </w:rPr>
        <w:t>Mr. Rozanski is our President and Chief Executive Officer and served as our Chief Operating Officer until January 1, 2015. Mr. Rozanski served as Chief Strategy and Talent Officer in 2010 and prior to that, Chief Personnel Officer of our Company from 2002 through 2010. Mr. Rozanski joined our Company in 1992 and became an Executive Vice President in 2009, our President on January 1, 2014, and our Chief Executive Officer on January 1, 2015. He serves on the board of directors of The Center for Talent Innovation, the United States Holocaust Memorial Museum's Committee on Conscience and as Vice Chair of the Corporate Fund for the John F. Kennedy Center for the Performing 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666666"/>
        </w:rPr>
        <w:t>Specific qualifications, experience, skills, and expertise include:</w:t>
      </w:r>
    </w:p>
    <w:p>
      <w:pPr>
        <w:spacing w:after="0" w:line="71" w:lineRule="exact"/>
        <w:rPr>
          <w:sz w:val="20"/>
          <w:szCs w:val="20"/>
          <w:color w:val="auto"/>
        </w:rPr>
      </w:pPr>
    </w:p>
    <w:p>
      <w:pPr>
        <w:ind w:left="120" w:hanging="71"/>
        <w:spacing w:after="0"/>
        <w:tabs>
          <w:tab w:leader="none" w:pos="120" w:val="left"/>
        </w:tabs>
        <w:numPr>
          <w:ilvl w:val="0"/>
          <w:numId w:val="11"/>
        </w:numPr>
        <w:rPr>
          <w:rFonts w:ascii="Arial" w:cs="Arial" w:eastAsia="Arial" w:hAnsi="Arial"/>
          <w:sz w:val="13"/>
          <w:szCs w:val="13"/>
          <w:color w:val="666666"/>
        </w:rPr>
      </w:pPr>
      <w:r>
        <w:rPr>
          <w:rFonts w:ascii="Arial" w:cs="Arial" w:eastAsia="Arial" w:hAnsi="Arial"/>
          <w:sz w:val="13"/>
          <w:szCs w:val="13"/>
          <w:color w:val="666666"/>
        </w:rPr>
        <w:t>Operating and management experience;</w:t>
      </w:r>
    </w:p>
    <w:p>
      <w:pPr>
        <w:spacing w:after="0" w:line="10" w:lineRule="exact"/>
        <w:rPr>
          <w:rFonts w:ascii="Arial" w:cs="Arial" w:eastAsia="Arial" w:hAnsi="Arial"/>
          <w:sz w:val="13"/>
          <w:szCs w:val="13"/>
          <w:color w:val="666666"/>
        </w:rPr>
      </w:pPr>
    </w:p>
    <w:p>
      <w:pPr>
        <w:ind w:left="120" w:hanging="71"/>
        <w:spacing w:after="0" w:line="231" w:lineRule="auto"/>
        <w:tabs>
          <w:tab w:leader="none" w:pos="120" w:val="left"/>
        </w:tabs>
        <w:numPr>
          <w:ilvl w:val="0"/>
          <w:numId w:val="11"/>
        </w:numPr>
        <w:rPr>
          <w:rFonts w:ascii="Arial" w:cs="Arial" w:eastAsia="Arial" w:hAnsi="Arial"/>
          <w:sz w:val="13"/>
          <w:szCs w:val="13"/>
          <w:color w:val="666666"/>
        </w:rPr>
      </w:pPr>
      <w:r>
        <w:rPr>
          <w:rFonts w:ascii="Arial" w:cs="Arial" w:eastAsia="Arial" w:hAnsi="Arial"/>
          <w:sz w:val="13"/>
          <w:szCs w:val="13"/>
          <w:color w:val="666666"/>
        </w:rPr>
        <w:t>Understanding of government contracting;</w:t>
      </w:r>
    </w:p>
    <w:p>
      <w:pPr>
        <w:ind w:left="120" w:hanging="71"/>
        <w:spacing w:after="0" w:line="231" w:lineRule="auto"/>
        <w:tabs>
          <w:tab w:leader="none" w:pos="120" w:val="left"/>
        </w:tabs>
        <w:numPr>
          <w:ilvl w:val="0"/>
          <w:numId w:val="11"/>
        </w:numPr>
        <w:rPr>
          <w:rFonts w:ascii="Arial" w:cs="Arial" w:eastAsia="Arial" w:hAnsi="Arial"/>
          <w:sz w:val="13"/>
          <w:szCs w:val="13"/>
          <w:color w:val="666666"/>
        </w:rPr>
      </w:pPr>
      <w:r>
        <w:rPr>
          <w:rFonts w:ascii="Arial" w:cs="Arial" w:eastAsia="Arial" w:hAnsi="Arial"/>
          <w:sz w:val="13"/>
          <w:szCs w:val="13"/>
          <w:color w:val="666666"/>
        </w:rPr>
        <w:t>Core business skills, including financial and strategic planning; and</w:t>
      </w:r>
    </w:p>
    <w:p>
      <w:pPr>
        <w:ind w:left="120" w:hanging="71"/>
        <w:spacing w:after="0"/>
        <w:tabs>
          <w:tab w:leader="none" w:pos="120" w:val="left"/>
        </w:tabs>
        <w:numPr>
          <w:ilvl w:val="0"/>
          <w:numId w:val="11"/>
        </w:numPr>
        <w:rPr>
          <w:rFonts w:ascii="Arial" w:cs="Arial" w:eastAsia="Arial" w:hAnsi="Arial"/>
          <w:sz w:val="13"/>
          <w:szCs w:val="13"/>
          <w:color w:val="666666"/>
        </w:rPr>
      </w:pPr>
      <w:r>
        <w:rPr>
          <w:rFonts w:ascii="Arial" w:cs="Arial" w:eastAsia="Arial" w:hAnsi="Arial"/>
          <w:sz w:val="13"/>
          <w:szCs w:val="13"/>
          <w:color w:val="666666"/>
        </w:rPr>
        <w:t>Deep understanding of our Company, its history, and culture.</w:t>
      </w:r>
    </w:p>
    <w:p>
      <w:pPr>
        <w:spacing w:after="0" w:line="267" w:lineRule="exact"/>
        <w:rPr>
          <w:sz w:val="20"/>
          <w:szCs w:val="20"/>
          <w:color w:val="auto"/>
        </w:rPr>
      </w:pPr>
    </w:p>
    <w:p>
      <w:pPr>
        <w:sectPr>
          <w:pgSz w:w="11900" w:h="16838" w:orient="portrait"/>
          <w:cols w:equalWidth="0" w:num="2">
            <w:col w:w="2080" w:space="720"/>
            <w:col w:w="8680"/>
          </w:cols>
          <w:pgMar w:left="220" w:top="441" w:right="199" w:bottom="1440" w:gutter="0" w:footer="0" w:header="0"/>
          <w:type w:val="continuous"/>
        </w:sect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666666"/>
        </w:rPr>
        <w:t>6</w:t>
      </w:r>
    </w:p>
    <w:p>
      <w:pPr>
        <w:sectPr>
          <w:pgSz w:w="11900" w:h="16838" w:orient="portrait"/>
          <w:cols w:equalWidth="0" w:num="1">
            <w:col w:w="11480"/>
          </w:cols>
          <w:pgMar w:left="220" w:top="441" w:right="1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2"/>
          <w:szCs w:val="12"/>
          <w:color w:val="5E5E61"/>
        </w:rPr>
        <w:t>Ian Fujiyama</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5E5E61"/>
        </w:rPr>
        <w:t>(Class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817245" cy="817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7245" cy="817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43" w:lineRule="auto"/>
        <w:rPr>
          <w:sz w:val="20"/>
          <w:szCs w:val="20"/>
          <w:color w:val="auto"/>
        </w:rPr>
      </w:pPr>
      <w:r>
        <w:rPr>
          <w:rFonts w:ascii="Arial" w:cs="Arial" w:eastAsia="Arial" w:hAnsi="Arial"/>
          <w:sz w:val="13"/>
          <w:szCs w:val="13"/>
          <w:color w:val="666666"/>
        </w:rPr>
        <w:t>Mr. Fujiyama is a Managing Director of The Carlyle Group, a private equity firm ("Carlyle"), as well as a member of the firm's Aerospace, Defense, and Government Services team. In 1999, Mr. Fujiyama spent two years in Hong Kong and Seoul working with Carlyle's Asia buyout fund, Carlyle Asia Partners. He currently serves as a member of the board of directors of Dynamic Precision Group and Novetta Solutions LLC. He served on the board of directors of ARINC Incorporated from 2007 to 2013.</w:t>
      </w:r>
    </w:p>
    <w:p>
      <w:pPr>
        <w:spacing w:after="0" w:line="200" w:lineRule="exact"/>
        <w:rPr>
          <w:sz w:val="20"/>
          <w:szCs w:val="20"/>
          <w:color w:val="auto"/>
        </w:rPr>
      </w:pPr>
    </w:p>
    <w:p>
      <w:pPr>
        <w:sectPr>
          <w:pgSz w:w="11900" w:h="16838" w:orient="portrait"/>
          <w:cols w:equalWidth="0" w:num="2">
            <w:col w:w="2140" w:space="720"/>
            <w:col w:w="8520"/>
          </w:cols>
          <w:pgMar w:left="260" w:top="56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666666"/>
        </w:rPr>
        <w:t>Age: 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666666"/>
        </w:rPr>
        <w:t>Specific qualifications, experience, skills, and expertise include:</w:t>
      </w:r>
    </w:p>
    <w:p>
      <w:pPr>
        <w:spacing w:after="0" w:line="34" w:lineRule="exact"/>
        <w:rPr>
          <w:sz w:val="20"/>
          <w:szCs w:val="20"/>
          <w:color w:val="auto"/>
        </w:rPr>
      </w:pPr>
    </w:p>
    <w:p>
      <w:pPr>
        <w:sectPr>
          <w:pgSz w:w="11900" w:h="16838" w:orient="portrait"/>
          <w:cols w:equalWidth="0" w:num="2">
            <w:col w:w="2140" w:space="720"/>
            <w:col w:w="8520"/>
          </w:cols>
          <w:pgMar w:left="260" w:top="565" w:right="259" w:bottom="1440" w:gutter="0" w:footer="0" w:header="0"/>
          <w:type w:val="continuous"/>
        </w:sectPr>
      </w:pPr>
    </w:p>
    <w:p>
      <w:pPr>
        <w:spacing w:after="0"/>
        <w:rPr>
          <w:sz w:val="20"/>
          <w:szCs w:val="20"/>
          <w:color w:val="auto"/>
        </w:rPr>
      </w:pPr>
      <w:r>
        <w:rPr>
          <w:rFonts w:ascii="Arial" w:cs="Arial" w:eastAsia="Arial" w:hAnsi="Arial"/>
          <w:sz w:val="12"/>
          <w:szCs w:val="12"/>
          <w:color w:val="666666"/>
        </w:rPr>
        <w:t>Director since: 2008</w:t>
      </w:r>
    </w:p>
    <w:p>
      <w:pPr>
        <w:sectPr>
          <w:pgSz w:w="11900" w:h="16838" w:orient="portrait"/>
          <w:cols w:equalWidth="0" w:num="1">
            <w:col w:w="11380"/>
          </w:cols>
          <w:pgMar w:left="260" w:top="565" w:right="2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666666"/>
        </w:rPr>
        <w:t>Independent</w:t>
      </w: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i w:val="1"/>
          <w:iCs w:val="1"/>
          <w:color w:val="666666"/>
        </w:rPr>
        <w:t>Committees: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666666"/>
        </w:rPr>
        <w:t>• Executive</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3"/>
          <w:szCs w:val="13"/>
          <w:color w:val="666666"/>
        </w:rPr>
        <w:t>• Operating experience;</w:t>
      </w:r>
    </w:p>
    <w:p>
      <w:pPr>
        <w:spacing w:after="0" w:line="232" w:lineRule="auto"/>
        <w:rPr>
          <w:sz w:val="20"/>
          <w:szCs w:val="20"/>
          <w:color w:val="auto"/>
        </w:rPr>
      </w:pPr>
      <w:r>
        <w:rPr>
          <w:rFonts w:ascii="Arial" w:cs="Arial" w:eastAsia="Arial" w:hAnsi="Arial"/>
          <w:sz w:val="13"/>
          <w:szCs w:val="13"/>
          <w:color w:val="666666"/>
        </w:rPr>
        <w:t>• Understanding of government contracting;</w:t>
      </w:r>
    </w:p>
    <w:p>
      <w:pPr>
        <w:spacing w:after="0" w:line="231" w:lineRule="auto"/>
        <w:rPr>
          <w:sz w:val="20"/>
          <w:szCs w:val="20"/>
          <w:color w:val="auto"/>
        </w:rPr>
      </w:pPr>
      <w:r>
        <w:rPr>
          <w:rFonts w:ascii="Arial" w:cs="Arial" w:eastAsia="Arial" w:hAnsi="Arial"/>
          <w:sz w:val="13"/>
          <w:szCs w:val="13"/>
          <w:color w:val="666666"/>
        </w:rPr>
        <w:t>• Core business skills, including financial and strategic planning;</w:t>
      </w:r>
    </w:p>
    <w:p>
      <w:pPr>
        <w:spacing w:after="0" w:line="231" w:lineRule="auto"/>
        <w:rPr>
          <w:sz w:val="20"/>
          <w:szCs w:val="20"/>
          <w:color w:val="auto"/>
        </w:rPr>
      </w:pPr>
      <w:r>
        <w:rPr>
          <w:rFonts w:ascii="Arial" w:cs="Arial" w:eastAsia="Arial" w:hAnsi="Arial"/>
          <w:sz w:val="13"/>
          <w:szCs w:val="13"/>
          <w:color w:val="666666"/>
        </w:rPr>
        <w:t>• Experience in mergers and acquisitions; and</w:t>
      </w:r>
    </w:p>
    <w:p>
      <w:pPr>
        <w:spacing w:after="0"/>
        <w:rPr>
          <w:sz w:val="20"/>
          <w:szCs w:val="20"/>
          <w:color w:val="auto"/>
        </w:rPr>
      </w:pPr>
      <w:r>
        <w:rPr>
          <w:rFonts w:ascii="Arial" w:cs="Arial" w:eastAsia="Arial" w:hAnsi="Arial"/>
          <w:sz w:val="12"/>
          <w:szCs w:val="12"/>
          <w:color w:val="666666"/>
        </w:rPr>
        <w:t>• Expertise in finance, financial reporting, compliance and controls, and global businesses.</w:t>
      </w:r>
    </w:p>
    <w:p>
      <w:pPr>
        <w:spacing w:after="0" w:line="12" w:lineRule="exact"/>
        <w:rPr>
          <w:sz w:val="20"/>
          <w:szCs w:val="20"/>
          <w:color w:val="auto"/>
        </w:rPr>
      </w:pPr>
    </w:p>
    <w:p>
      <w:pPr>
        <w:sectPr>
          <w:pgSz w:w="11900" w:h="16838" w:orient="portrait"/>
          <w:cols w:equalWidth="0" w:num="2">
            <w:col w:w="2200" w:space="720"/>
            <w:col w:w="8460"/>
          </w:cols>
          <w:pgMar w:left="260" w:top="565" w:right="259" w:bottom="1440" w:gutter="0" w:footer="0" w:header="0"/>
          <w:type w:val="continuous"/>
        </w:sectPr>
      </w:pPr>
    </w:p>
    <w:tbl>
      <w:tblPr>
        <w:tblLayout w:type="fixed"/>
        <w:tblInd w:w="20" w:type="dxa"/>
        <w:tblCellMar>
          <w:top w:w="0" w:type="dxa"/>
          <w:left w:w="0" w:type="dxa"/>
          <w:bottom w:w="0" w:type="dxa"/>
          <w:right w:w="0" w:type="dxa"/>
        </w:tblCellMar>
      </w:tblPr>
      <w:tr>
        <w:trPr>
          <w:trHeight w:val="184"/>
        </w:trPr>
        <w:tc>
          <w:tcPr>
            <w:tcW w:w="1940" w:type="dxa"/>
            <w:vAlign w:val="bottom"/>
          </w:tcPr>
          <w:p>
            <w:pPr>
              <w:ind w:left="20"/>
              <w:spacing w:after="0"/>
              <w:rPr>
                <w:sz w:val="20"/>
                <w:szCs w:val="20"/>
                <w:color w:val="auto"/>
              </w:rPr>
            </w:pPr>
            <w:r>
              <w:rPr>
                <w:rFonts w:ascii="Arial" w:cs="Arial" w:eastAsia="Arial" w:hAnsi="Arial"/>
                <w:sz w:val="13"/>
                <w:szCs w:val="13"/>
                <w:color w:val="666666"/>
              </w:rPr>
              <w:t>• Compensation</w:t>
            </w:r>
          </w:p>
        </w:tc>
        <w:tc>
          <w:tcPr>
            <w:tcW w:w="9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5"/>
        </w:trPr>
        <w:tc>
          <w:tcPr>
            <w:tcW w:w="1940" w:type="dxa"/>
            <w:vAlign w:val="bottom"/>
          </w:tcPr>
          <w:p>
            <w:pPr>
              <w:spacing w:after="0"/>
              <w:rPr>
                <w:sz w:val="20"/>
                <w:szCs w:val="20"/>
                <w:color w:val="auto"/>
              </w:rPr>
            </w:pPr>
            <w:r>
              <w:rPr>
                <w:rFonts w:ascii="Arial" w:cs="Arial" w:eastAsia="Arial" w:hAnsi="Arial"/>
                <w:sz w:val="13"/>
                <w:szCs w:val="13"/>
                <w:color w:val="666666"/>
              </w:rPr>
              <w:t>Mark Gaumond</w:t>
            </w:r>
          </w:p>
        </w:tc>
        <w:tc>
          <w:tcPr>
            <w:tcW w:w="9400" w:type="dxa"/>
            <w:vAlign w:val="bottom"/>
          </w:tcPr>
          <w:p>
            <w:pPr>
              <w:ind w:left="800"/>
              <w:spacing w:after="0"/>
              <w:rPr>
                <w:sz w:val="20"/>
                <w:szCs w:val="20"/>
                <w:color w:val="auto"/>
              </w:rPr>
            </w:pPr>
            <w:r>
              <w:rPr>
                <w:rFonts w:ascii="Arial" w:cs="Arial" w:eastAsia="Arial" w:hAnsi="Arial"/>
                <w:sz w:val="13"/>
                <w:szCs w:val="13"/>
                <w:color w:val="666666"/>
              </w:rPr>
              <w:t>Mr. Gaumond has 35 years of experience working with senior management and audit committees of public and privately-held companies. He held</w:t>
            </w:r>
          </w:p>
        </w:tc>
        <w:tc>
          <w:tcPr>
            <w:tcW w:w="0" w:type="dxa"/>
            <w:vAlign w:val="bottom"/>
          </w:tcPr>
          <w:p>
            <w:pPr>
              <w:spacing w:after="0"/>
              <w:rPr>
                <w:sz w:val="1"/>
                <w:szCs w:val="1"/>
                <w:color w:val="auto"/>
              </w:rPr>
            </w:pPr>
          </w:p>
        </w:tc>
      </w:tr>
      <w:tr>
        <w:trPr>
          <w:trHeight w:val="144"/>
        </w:trPr>
        <w:tc>
          <w:tcPr>
            <w:tcW w:w="1940" w:type="dxa"/>
            <w:vAlign w:val="bottom"/>
          </w:tcPr>
          <w:p>
            <w:pPr>
              <w:spacing w:after="0" w:line="144" w:lineRule="exact"/>
              <w:rPr>
                <w:sz w:val="20"/>
                <w:szCs w:val="20"/>
                <w:color w:val="auto"/>
              </w:rPr>
            </w:pPr>
            <w:r>
              <w:rPr>
                <w:rFonts w:ascii="Arial" w:cs="Arial" w:eastAsia="Arial" w:hAnsi="Arial"/>
                <w:sz w:val="13"/>
                <w:szCs w:val="13"/>
                <w:color w:val="666666"/>
              </w:rPr>
              <w:t>(Class II)</w:t>
            </w:r>
          </w:p>
        </w:tc>
        <w:tc>
          <w:tcPr>
            <w:tcW w:w="9400" w:type="dxa"/>
            <w:vAlign w:val="bottom"/>
          </w:tcPr>
          <w:p>
            <w:pPr>
              <w:ind w:left="800"/>
              <w:spacing w:after="0" w:line="144" w:lineRule="exact"/>
              <w:rPr>
                <w:sz w:val="20"/>
                <w:szCs w:val="20"/>
                <w:color w:val="auto"/>
              </w:rPr>
            </w:pPr>
            <w:r>
              <w:rPr>
                <w:rFonts w:ascii="Arial" w:cs="Arial" w:eastAsia="Arial" w:hAnsi="Arial"/>
                <w:sz w:val="13"/>
                <w:szCs w:val="13"/>
                <w:color w:val="666666"/>
                <w:w w:val="99"/>
              </w:rPr>
              <w:t>senior positions with E&amp;Y from 2002 to 2010, retiring from the firm as Senior Vice Chair for the Americas, and previously was a partner with a 27-year</w:t>
            </w: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9400" w:type="dxa"/>
            <w:vAlign w:val="bottom"/>
          </w:tcPr>
          <w:p>
            <w:pPr>
              <w:ind w:left="800"/>
              <w:spacing w:after="0" w:line="144" w:lineRule="exact"/>
              <w:rPr>
                <w:sz w:val="20"/>
                <w:szCs w:val="20"/>
                <w:color w:val="auto"/>
              </w:rPr>
            </w:pPr>
            <w:r>
              <w:rPr>
                <w:rFonts w:ascii="Arial" w:cs="Arial" w:eastAsia="Arial" w:hAnsi="Arial"/>
                <w:sz w:val="13"/>
                <w:szCs w:val="13"/>
                <w:color w:val="666666"/>
                <w:w w:val="99"/>
              </w:rPr>
              <w:t>career at Andersen LLP. Mr. Gaumond has a BA from Georgetown University and an MBA from New York University. He is a member of the American</w:t>
            </w: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9400" w:type="dxa"/>
            <w:vAlign w:val="bottom"/>
          </w:tcPr>
          <w:p>
            <w:pPr>
              <w:ind w:left="800"/>
              <w:spacing w:after="0" w:line="144" w:lineRule="exact"/>
              <w:rPr>
                <w:sz w:val="20"/>
                <w:szCs w:val="20"/>
                <w:color w:val="auto"/>
              </w:rPr>
            </w:pPr>
            <w:r>
              <w:rPr>
                <w:rFonts w:ascii="Arial" w:cs="Arial" w:eastAsia="Arial" w:hAnsi="Arial"/>
                <w:sz w:val="13"/>
                <w:szCs w:val="13"/>
                <w:color w:val="666666"/>
                <w:w w:val="99"/>
              </w:rPr>
              <w:t>Institute of Certified Public Accountants. He has served as a director of the Fishers Island Club since 2017, First American Funds since 2016, Rayonier</w:t>
            </w: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9400" w:type="dxa"/>
            <w:vAlign w:val="bottom"/>
          </w:tcPr>
          <w:p>
            <w:pPr>
              <w:ind w:left="800"/>
              <w:spacing w:after="0" w:line="144" w:lineRule="exact"/>
              <w:rPr>
                <w:sz w:val="20"/>
                <w:szCs w:val="20"/>
                <w:color w:val="auto"/>
              </w:rPr>
            </w:pPr>
            <w:r>
              <w:rPr>
                <w:rFonts w:ascii="Arial" w:cs="Arial" w:eastAsia="Arial" w:hAnsi="Arial"/>
                <w:sz w:val="13"/>
                <w:szCs w:val="13"/>
                <w:color w:val="666666"/>
                <w:w w:val="98"/>
              </w:rPr>
              <w:t>Advanced Materials, Inc. since 2014 and both the Fishers Island Development Corporation and the Walsh Park Benevolent Corporation since 1992. Mr.</w:t>
            </w: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9400" w:type="dxa"/>
            <w:vAlign w:val="bottom"/>
          </w:tcPr>
          <w:p>
            <w:pPr>
              <w:ind w:left="800"/>
              <w:spacing w:after="0" w:line="144" w:lineRule="exact"/>
              <w:rPr>
                <w:sz w:val="20"/>
                <w:szCs w:val="20"/>
                <w:color w:val="auto"/>
              </w:rPr>
            </w:pPr>
            <w:r>
              <w:rPr>
                <w:rFonts w:ascii="Arial" w:cs="Arial" w:eastAsia="Arial" w:hAnsi="Arial"/>
                <w:sz w:val="13"/>
                <w:szCs w:val="13"/>
                <w:color w:val="666666"/>
              </w:rPr>
              <w:t>Gaumond formerly served as a director of Cliff's Natural Resources, Inc. from July 2013 to September 2014, Rayonier, Inc. from November 2010 to</w:t>
            </w:r>
          </w:p>
        </w:tc>
        <w:tc>
          <w:tcPr>
            <w:tcW w:w="0" w:type="dxa"/>
            <w:vAlign w:val="bottom"/>
          </w:tcPr>
          <w:p>
            <w:pPr>
              <w:spacing w:after="0"/>
              <w:rPr>
                <w:sz w:val="1"/>
                <w:szCs w:val="1"/>
                <w:color w:val="auto"/>
              </w:rPr>
            </w:pPr>
          </w:p>
        </w:tc>
      </w:tr>
      <w:tr>
        <w:trPr>
          <w:trHeight w:val="172"/>
        </w:trPr>
        <w:tc>
          <w:tcPr>
            <w:tcW w:w="1940" w:type="dxa"/>
            <w:vAlign w:val="bottom"/>
          </w:tcPr>
          <w:p>
            <w:pPr>
              <w:spacing w:after="0"/>
              <w:rPr>
                <w:sz w:val="14"/>
                <w:szCs w:val="14"/>
                <w:color w:val="auto"/>
              </w:rPr>
            </w:pPr>
          </w:p>
        </w:tc>
        <w:tc>
          <w:tcPr>
            <w:tcW w:w="9400" w:type="dxa"/>
            <w:vAlign w:val="bottom"/>
          </w:tcPr>
          <w:p>
            <w:pPr>
              <w:ind w:left="800"/>
              <w:spacing w:after="0"/>
              <w:rPr>
                <w:sz w:val="20"/>
                <w:szCs w:val="20"/>
                <w:color w:val="auto"/>
              </w:rPr>
            </w:pPr>
            <w:r>
              <w:rPr>
                <w:rFonts w:ascii="Arial" w:cs="Arial" w:eastAsia="Arial" w:hAnsi="Arial"/>
                <w:sz w:val="13"/>
                <w:szCs w:val="13"/>
                <w:color w:val="666666"/>
              </w:rPr>
              <w:t>June 2014, and is a former trustee of The California Academy of Sciences.</w:t>
            </w:r>
          </w:p>
        </w:tc>
        <w:tc>
          <w:tcPr>
            <w:tcW w:w="0" w:type="dxa"/>
            <w:vAlign w:val="bottom"/>
          </w:tcPr>
          <w:p>
            <w:pPr>
              <w:spacing w:after="0"/>
              <w:rPr>
                <w:sz w:val="1"/>
                <w:szCs w:val="1"/>
                <w:color w:val="auto"/>
              </w:rPr>
            </w:pPr>
          </w:p>
        </w:tc>
      </w:tr>
      <w:tr>
        <w:trPr>
          <w:trHeight w:val="740"/>
        </w:trPr>
        <w:tc>
          <w:tcPr>
            <w:tcW w:w="1940" w:type="dxa"/>
            <w:vAlign w:val="bottom"/>
          </w:tcPr>
          <w:p>
            <w:pPr>
              <w:spacing w:after="0"/>
              <w:rPr>
                <w:sz w:val="20"/>
                <w:szCs w:val="20"/>
                <w:color w:val="auto"/>
              </w:rPr>
            </w:pPr>
            <w:r>
              <w:rPr>
                <w:rFonts w:ascii="Arial" w:cs="Arial" w:eastAsia="Arial" w:hAnsi="Arial"/>
                <w:sz w:val="13"/>
                <w:szCs w:val="13"/>
                <w:color w:val="666666"/>
              </w:rPr>
              <w:t>Age: 67</w:t>
            </w:r>
          </w:p>
        </w:tc>
        <w:tc>
          <w:tcPr>
            <w:tcW w:w="9400" w:type="dxa"/>
            <w:vAlign w:val="bottom"/>
          </w:tcPr>
          <w:p>
            <w:pPr>
              <w:ind w:left="800"/>
              <w:spacing w:after="0"/>
              <w:rPr>
                <w:sz w:val="20"/>
                <w:szCs w:val="20"/>
                <w:color w:val="auto"/>
              </w:rPr>
            </w:pPr>
            <w:r>
              <w:rPr>
                <w:rFonts w:ascii="Arial" w:cs="Arial" w:eastAsia="Arial" w:hAnsi="Arial"/>
                <w:sz w:val="13"/>
                <w:szCs w:val="13"/>
                <w:color w:val="666666"/>
              </w:rPr>
              <w:t>Specific qualifications, experience, skills, and expertise include:</w:t>
            </w:r>
          </w:p>
        </w:tc>
        <w:tc>
          <w:tcPr>
            <w:tcW w:w="0" w:type="dxa"/>
            <w:vAlign w:val="bottom"/>
          </w:tcPr>
          <w:p>
            <w:pPr>
              <w:spacing w:after="0"/>
              <w:rPr>
                <w:sz w:val="1"/>
                <w:szCs w:val="1"/>
                <w:color w:val="auto"/>
              </w:rPr>
            </w:pPr>
          </w:p>
        </w:tc>
      </w:tr>
      <w:tr>
        <w:trPr>
          <w:trHeight w:val="144"/>
        </w:trPr>
        <w:tc>
          <w:tcPr>
            <w:tcW w:w="1940" w:type="dxa"/>
            <w:vAlign w:val="bottom"/>
          </w:tcPr>
          <w:p>
            <w:pPr>
              <w:spacing w:after="0" w:line="144" w:lineRule="exact"/>
              <w:rPr>
                <w:sz w:val="20"/>
                <w:szCs w:val="20"/>
                <w:color w:val="auto"/>
              </w:rPr>
            </w:pPr>
            <w:r>
              <w:rPr>
                <w:rFonts w:ascii="Arial" w:cs="Arial" w:eastAsia="Arial" w:hAnsi="Arial"/>
                <w:sz w:val="13"/>
                <w:szCs w:val="13"/>
                <w:color w:val="666666"/>
              </w:rPr>
              <w:t>Director since: 2011</w:t>
            </w:r>
          </w:p>
        </w:tc>
        <w:tc>
          <w:tcPr>
            <w:tcW w:w="9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line="144" w:lineRule="exact"/>
              <w:rPr>
                <w:sz w:val="20"/>
                <w:szCs w:val="20"/>
                <w:color w:val="auto"/>
              </w:rPr>
            </w:pPr>
            <w:r>
              <w:rPr>
                <w:rFonts w:ascii="Arial" w:cs="Arial" w:eastAsia="Arial" w:hAnsi="Arial"/>
                <w:sz w:val="13"/>
                <w:szCs w:val="13"/>
                <w:color w:val="666666"/>
              </w:rPr>
              <w:t>Independent</w:t>
            </w:r>
          </w:p>
        </w:tc>
        <w:tc>
          <w:tcPr>
            <w:tcW w:w="9400" w:type="dxa"/>
            <w:vAlign w:val="bottom"/>
          </w:tcPr>
          <w:p>
            <w:pPr>
              <w:ind w:left="860"/>
              <w:spacing w:after="0" w:line="144" w:lineRule="exact"/>
              <w:rPr>
                <w:sz w:val="20"/>
                <w:szCs w:val="20"/>
                <w:color w:val="auto"/>
              </w:rPr>
            </w:pPr>
            <w:r>
              <w:rPr>
                <w:rFonts w:ascii="Arial" w:cs="Arial" w:eastAsia="Arial" w:hAnsi="Arial"/>
                <w:sz w:val="13"/>
                <w:szCs w:val="13"/>
                <w:color w:val="666666"/>
              </w:rPr>
              <w:t>• Expertise in finance, financial planning, and compliance and controls;</w:t>
            </w: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9400" w:type="dxa"/>
            <w:vAlign w:val="bottom"/>
          </w:tcPr>
          <w:p>
            <w:pPr>
              <w:ind w:left="860"/>
              <w:spacing w:after="0" w:line="144" w:lineRule="exact"/>
              <w:rPr>
                <w:sz w:val="20"/>
                <w:szCs w:val="20"/>
                <w:color w:val="auto"/>
              </w:rPr>
            </w:pPr>
            <w:r>
              <w:rPr>
                <w:rFonts w:ascii="Arial" w:cs="Arial" w:eastAsia="Arial" w:hAnsi="Arial"/>
                <w:sz w:val="13"/>
                <w:szCs w:val="13"/>
                <w:color w:val="666666"/>
              </w:rPr>
              <w:t>• Core business skills, including financial and strategic planning; and</w:t>
            </w:r>
          </w:p>
        </w:tc>
        <w:tc>
          <w:tcPr>
            <w:tcW w:w="0" w:type="dxa"/>
            <w:vAlign w:val="bottom"/>
          </w:tcPr>
          <w:p>
            <w:pPr>
              <w:spacing w:after="0"/>
              <w:rPr>
                <w:sz w:val="1"/>
                <w:szCs w:val="1"/>
                <w:color w:val="auto"/>
              </w:rPr>
            </w:pPr>
          </w:p>
        </w:tc>
      </w:tr>
      <w:tr>
        <w:trPr>
          <w:trHeight w:val="172"/>
        </w:trPr>
        <w:tc>
          <w:tcPr>
            <w:tcW w:w="1940" w:type="dxa"/>
            <w:vAlign w:val="bottom"/>
            <w:vMerge w:val="restart"/>
          </w:tcPr>
          <w:p>
            <w:pPr>
              <w:spacing w:after="0"/>
              <w:rPr>
                <w:sz w:val="20"/>
                <w:szCs w:val="20"/>
                <w:color w:val="auto"/>
              </w:rPr>
            </w:pPr>
            <w:r>
              <w:rPr>
                <w:rFonts w:ascii="Arial" w:cs="Arial" w:eastAsia="Arial" w:hAnsi="Arial"/>
                <w:sz w:val="13"/>
                <w:szCs w:val="13"/>
                <w:i w:val="1"/>
                <w:iCs w:val="1"/>
                <w:color w:val="666666"/>
              </w:rPr>
              <w:t>Committees:</w:t>
            </w:r>
          </w:p>
        </w:tc>
        <w:tc>
          <w:tcPr>
            <w:tcW w:w="9400" w:type="dxa"/>
            <w:vAlign w:val="bottom"/>
          </w:tcPr>
          <w:p>
            <w:pPr>
              <w:ind w:left="860"/>
              <w:spacing w:after="0"/>
              <w:rPr>
                <w:sz w:val="20"/>
                <w:szCs w:val="20"/>
                <w:color w:val="auto"/>
              </w:rPr>
            </w:pPr>
            <w:r>
              <w:rPr>
                <w:rFonts w:ascii="Arial" w:cs="Arial" w:eastAsia="Arial" w:hAnsi="Arial"/>
                <w:sz w:val="13"/>
                <w:szCs w:val="13"/>
                <w:color w:val="666666"/>
              </w:rPr>
              <w:t>• Public company audit committee experience.</w:t>
            </w:r>
          </w:p>
        </w:tc>
        <w:tc>
          <w:tcPr>
            <w:tcW w:w="0" w:type="dxa"/>
            <w:vAlign w:val="bottom"/>
          </w:tcPr>
          <w:p>
            <w:pPr>
              <w:spacing w:after="0"/>
              <w:rPr>
                <w:sz w:val="1"/>
                <w:szCs w:val="1"/>
                <w:color w:val="auto"/>
              </w:rPr>
            </w:pPr>
          </w:p>
        </w:tc>
      </w:tr>
      <w:tr>
        <w:trPr>
          <w:trHeight w:val="116"/>
        </w:trPr>
        <w:tc>
          <w:tcPr>
            <w:tcW w:w="1940" w:type="dxa"/>
            <w:vAlign w:val="bottom"/>
            <w:vMerge w:val="continue"/>
          </w:tcPr>
          <w:p>
            <w:pPr>
              <w:spacing w:after="0"/>
              <w:rPr>
                <w:sz w:val="10"/>
                <w:szCs w:val="10"/>
                <w:color w:val="auto"/>
              </w:rPr>
            </w:pPr>
          </w:p>
        </w:tc>
        <w:tc>
          <w:tcPr>
            <w:tcW w:w="9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40" w:type="dxa"/>
            <w:vAlign w:val="bottom"/>
          </w:tcPr>
          <w:p>
            <w:pPr>
              <w:ind w:left="40"/>
              <w:spacing w:after="0" w:line="144" w:lineRule="exact"/>
              <w:rPr>
                <w:sz w:val="20"/>
                <w:szCs w:val="20"/>
                <w:color w:val="auto"/>
              </w:rPr>
            </w:pPr>
            <w:r>
              <w:rPr>
                <w:rFonts w:ascii="Arial" w:cs="Arial" w:eastAsia="Arial" w:hAnsi="Arial"/>
                <w:sz w:val="13"/>
                <w:szCs w:val="13"/>
                <w:color w:val="666666"/>
              </w:rPr>
              <w:t>• Audit (Chair)</w:t>
            </w:r>
          </w:p>
        </w:tc>
        <w:tc>
          <w:tcPr>
            <w:tcW w:w="9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40" w:type="dxa"/>
            <w:vAlign w:val="bottom"/>
          </w:tcPr>
          <w:p>
            <w:pPr>
              <w:ind w:left="40"/>
              <w:spacing w:after="0"/>
              <w:rPr>
                <w:sz w:val="20"/>
                <w:szCs w:val="20"/>
                <w:color w:val="auto"/>
              </w:rPr>
            </w:pPr>
            <w:r>
              <w:rPr>
                <w:rFonts w:ascii="Arial" w:cs="Arial" w:eastAsia="Arial" w:hAnsi="Arial"/>
                <w:sz w:val="13"/>
                <w:szCs w:val="13"/>
                <w:color w:val="666666"/>
              </w:rPr>
              <w:t>• Executive</w:t>
            </w:r>
          </w:p>
        </w:tc>
        <w:tc>
          <w:tcPr>
            <w:tcW w:w="9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4"/>
        </w:trPr>
        <w:tc>
          <w:tcPr>
            <w:tcW w:w="1940" w:type="dxa"/>
            <w:vAlign w:val="bottom"/>
          </w:tcPr>
          <w:p>
            <w:pPr>
              <w:spacing w:after="0"/>
              <w:rPr>
                <w:sz w:val="24"/>
                <w:szCs w:val="24"/>
                <w:color w:val="auto"/>
              </w:rPr>
            </w:pPr>
          </w:p>
        </w:tc>
        <w:tc>
          <w:tcPr>
            <w:tcW w:w="9400" w:type="dxa"/>
            <w:vAlign w:val="bottom"/>
          </w:tcPr>
          <w:p>
            <w:pPr>
              <w:ind w:left="3700"/>
              <w:spacing w:after="0"/>
              <w:rPr>
                <w:sz w:val="20"/>
                <w:szCs w:val="20"/>
                <w:color w:val="auto"/>
              </w:rPr>
            </w:pPr>
            <w:r>
              <w:rPr>
                <w:rFonts w:ascii="Arial" w:cs="Arial" w:eastAsia="Arial" w:hAnsi="Arial"/>
                <w:sz w:val="13"/>
                <w:szCs w:val="13"/>
                <w:color w:val="666666"/>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-1969770</wp:posOffset>
            </wp:positionV>
            <wp:extent cx="804545" cy="804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4545" cy="804545"/>
                    </a:xfrm>
                    <a:prstGeom prst="rect">
                      <a:avLst/>
                    </a:prstGeom>
                    <a:noFill/>
                  </pic:spPr>
                </pic:pic>
              </a:graphicData>
            </a:graphic>
          </wp:anchor>
        </w:drawing>
      </w:r>
    </w:p>
    <w:p>
      <w:pPr>
        <w:sectPr>
          <w:pgSz w:w="11900" w:h="16838" w:orient="portrait"/>
          <w:cols w:equalWidth="0" w:num="1">
            <w:col w:w="11380"/>
          </w:cols>
          <w:pgMar w:left="260" w:top="565" w:right="2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2"/>
          <w:szCs w:val="12"/>
          <w:color w:val="666666"/>
        </w:rPr>
        <w:t>Gretchen W. McClain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666666"/>
        </w:rPr>
        <w:t>(Class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222250</wp:posOffset>
            </wp:positionV>
            <wp:extent cx="804545" cy="804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4545" cy="804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35" w:lineRule="auto"/>
        <w:rPr>
          <w:sz w:val="20"/>
          <w:szCs w:val="20"/>
          <w:color w:val="auto"/>
        </w:rPr>
      </w:pPr>
      <w:r>
        <w:rPr>
          <w:rFonts w:ascii="Arial" w:cs="Arial" w:eastAsia="Arial" w:hAnsi="Arial"/>
          <w:sz w:val="13"/>
          <w:szCs w:val="13"/>
          <w:color w:val="666666"/>
        </w:rPr>
        <w:t>Ms. McClain was the founding President and Chief Executive Officer of Xylem, Inc. ("Xylem") from October 2011 to September 2013. She joined Xylem as the founding CEO in 2011 when it was formed and taken public from a spinoff of the water business of ITT Corporation ("ITT"). She joined ITT in 2005 as the President of the company's residential and commercial water business and served as the SVP and President of ITT's commercial businesses from 2008 to 2011. Ms. McClain has served in a number of senior executive positions at Honeywell Aerospace (formerly AlliedSignal), including VP and General Manager of the Business, General Aviation and Helicopters Electronics division, and VP for Engineering and Technology, as well as for Program Management in Honeywell Aerospace's Engines, Systems and Services Division. She also spent nine years with NASA and served as Deputy Associate Administrator for Space Development, where she played a pivotal role in the successful development and launch of the International Space Station Program as Chief Director of the Space Station and Deputy Director for Space Flight. Ms. McClain graduated from the University of Utah with a BS in Mechanical Engineering. She currently serves as a director of Ametek, Inc., Boart Longyear Limited, and J.M. Huber Corporation (a family-owned business), and previously served as a director of Xylem from 2011 to 2013 and Con-Way Inc. from June 2015 to October 2015.</w:t>
      </w:r>
    </w:p>
    <w:p>
      <w:pPr>
        <w:spacing w:after="0" w:line="200" w:lineRule="exact"/>
        <w:rPr>
          <w:sz w:val="20"/>
          <w:szCs w:val="20"/>
          <w:color w:val="auto"/>
        </w:rPr>
      </w:pPr>
    </w:p>
    <w:p>
      <w:pPr>
        <w:sectPr>
          <w:pgSz w:w="11900" w:h="16838" w:orient="portrait"/>
          <w:cols w:equalWidth="0" w:num="2">
            <w:col w:w="2020" w:space="720"/>
            <w:col w:w="8600"/>
          </w:cols>
          <w:pgMar w:left="280" w:top="565" w:right="279" w:bottom="144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color w:val="666666"/>
        </w:rPr>
        <w:t>Age: 55</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2"/>
          <w:szCs w:val="12"/>
          <w:color w:val="666666"/>
        </w:rPr>
        <w:t>Specific qualifications, experience, skills, and expertise include:</w:t>
      </w:r>
    </w:p>
    <w:p>
      <w:pPr>
        <w:spacing w:after="0" w:line="34" w:lineRule="exact"/>
        <w:rPr>
          <w:sz w:val="20"/>
          <w:szCs w:val="20"/>
          <w:color w:val="auto"/>
        </w:rPr>
      </w:pPr>
    </w:p>
    <w:p>
      <w:pPr>
        <w:sectPr>
          <w:pgSz w:w="11900" w:h="16838" w:orient="portrait"/>
          <w:cols w:equalWidth="0" w:num="2">
            <w:col w:w="2020" w:space="720"/>
            <w:col w:w="8600"/>
          </w:cols>
          <w:pgMar w:left="280" w:top="565" w:right="279" w:bottom="1440" w:gutter="0" w:footer="0" w:header="0"/>
          <w:type w:val="continuous"/>
        </w:sectPr>
      </w:pPr>
    </w:p>
    <w:p>
      <w:pPr>
        <w:spacing w:after="0"/>
        <w:rPr>
          <w:sz w:val="20"/>
          <w:szCs w:val="20"/>
          <w:color w:val="auto"/>
        </w:rPr>
      </w:pPr>
      <w:r>
        <w:rPr>
          <w:rFonts w:ascii="Arial" w:cs="Arial" w:eastAsia="Arial" w:hAnsi="Arial"/>
          <w:sz w:val="12"/>
          <w:szCs w:val="12"/>
          <w:color w:val="666666"/>
        </w:rPr>
        <w:t>Director since: 2014</w:t>
      </w:r>
    </w:p>
    <w:p>
      <w:pPr>
        <w:sectPr>
          <w:pgSz w:w="11900" w:h="16838" w:orient="portrait"/>
          <w:cols w:equalWidth="0" w:num="1">
            <w:col w:w="11340"/>
          </w:cols>
          <w:pgMar w:left="280" w:top="565" w:right="27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666666"/>
        </w:rPr>
        <w:t>Independent</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3"/>
          <w:szCs w:val="13"/>
          <w:color w:val="666666"/>
        </w:rPr>
        <w:t>• Operating and management experience;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666666"/>
        </w:rPr>
        <w:t>• Core business skills, including financial and strategic planning; and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666666"/>
        </w:rPr>
        <w:t>• Public company directorship and audit committee experience.</w:t>
      </w:r>
    </w:p>
    <w:p>
      <w:pPr>
        <w:spacing w:after="0" w:line="1" w:lineRule="exact"/>
        <w:rPr>
          <w:sz w:val="20"/>
          <w:szCs w:val="20"/>
          <w:color w:val="auto"/>
        </w:rPr>
      </w:pPr>
    </w:p>
    <w:p>
      <w:pPr>
        <w:sectPr>
          <w:pgSz w:w="11900" w:h="16838" w:orient="portrait"/>
          <w:cols w:equalWidth="0" w:num="2">
            <w:col w:w="2080" w:space="720"/>
            <w:col w:w="8540"/>
          </w:cols>
          <w:pgMar w:left="280" w:top="565" w:right="279" w:bottom="1440" w:gutter="0" w:footer="0" w:header="0"/>
          <w:type w:val="continuous"/>
        </w:sectPr>
      </w:pPr>
    </w:p>
    <w:p>
      <w:pPr>
        <w:spacing w:after="0" w:line="222" w:lineRule="auto"/>
        <w:rPr>
          <w:sz w:val="20"/>
          <w:szCs w:val="20"/>
          <w:color w:val="auto"/>
        </w:rPr>
      </w:pPr>
      <w:r>
        <w:rPr>
          <w:rFonts w:ascii="Arial" w:cs="Arial" w:eastAsia="Arial" w:hAnsi="Arial"/>
          <w:sz w:val="13"/>
          <w:szCs w:val="13"/>
          <w:i w:val="1"/>
          <w:iCs w:val="1"/>
          <w:color w:val="666666"/>
        </w:rPr>
        <w:t>Committees:</w:t>
      </w:r>
    </w:p>
    <w:p>
      <w:pPr>
        <w:ind w:left="120" w:hanging="80"/>
        <w:spacing w:after="0" w:line="231" w:lineRule="auto"/>
        <w:tabs>
          <w:tab w:leader="none" w:pos="120" w:val="left"/>
        </w:tabs>
        <w:numPr>
          <w:ilvl w:val="0"/>
          <w:numId w:val="12"/>
        </w:numPr>
        <w:rPr>
          <w:rFonts w:ascii="Arial" w:cs="Arial" w:eastAsia="Arial" w:hAnsi="Arial"/>
          <w:sz w:val="13"/>
          <w:szCs w:val="13"/>
          <w:color w:val="666666"/>
        </w:rPr>
      </w:pPr>
      <w:r>
        <w:rPr>
          <w:rFonts w:ascii="Arial" w:cs="Arial" w:eastAsia="Arial" w:hAnsi="Arial"/>
          <w:sz w:val="13"/>
          <w:szCs w:val="13"/>
          <w:color w:val="666666"/>
        </w:rPr>
        <w:t>Compensation</w:t>
      </w:r>
    </w:p>
    <w:p>
      <w:pPr>
        <w:ind w:left="120" w:hanging="80"/>
        <w:spacing w:after="0"/>
        <w:tabs>
          <w:tab w:leader="none" w:pos="120" w:val="left"/>
        </w:tabs>
        <w:numPr>
          <w:ilvl w:val="0"/>
          <w:numId w:val="12"/>
        </w:numPr>
        <w:rPr>
          <w:rFonts w:ascii="Arial" w:cs="Arial" w:eastAsia="Arial" w:hAnsi="Arial"/>
          <w:sz w:val="13"/>
          <w:szCs w:val="13"/>
          <w:color w:val="666666"/>
        </w:rPr>
      </w:pPr>
      <w:r>
        <w:rPr>
          <w:rFonts w:ascii="Arial" w:cs="Arial" w:eastAsia="Arial" w:hAnsi="Arial"/>
          <w:sz w:val="13"/>
          <w:szCs w:val="13"/>
          <w:color w:val="666666"/>
        </w:rPr>
        <w:t>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387350</wp:posOffset>
            </wp:positionV>
            <wp:extent cx="5694680"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9468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547BCC"/>
        </w:rPr>
        <w:t>The Board of Directors recommends a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547BCC"/>
        </w:rPr>
        <w:t>each of the Class II nominees.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8</w:t>
      </w:r>
    </w:p>
    <w:p>
      <w:pPr>
        <w:sectPr>
          <w:pgSz w:w="11900" w:h="16838" w:orient="portrait"/>
          <w:cols w:equalWidth="0" w:num="1">
            <w:col w:w="11340"/>
          </w:cols>
          <w:pgMar w:left="280" w:top="565" w:right="279" w:bottom="1440" w:gutter="0" w:footer="0" w:header="0"/>
          <w:type w:val="continuous"/>
        </w:sectPr>
      </w:pPr>
    </w:p>
    <w:bookmarkStart w:id="17" w:name="page18"/>
    <w:bookmarkEnd w:id="17"/>
    <w:p>
      <w:pPr>
        <w:jc w:val="center"/>
        <w:ind w:right="-39"/>
        <w:spacing w:after="0"/>
        <w:rPr>
          <w:sz w:val="20"/>
          <w:szCs w:val="20"/>
          <w:color w:val="auto"/>
        </w:rPr>
      </w:pPr>
      <w:r>
        <w:rPr>
          <w:rFonts w:ascii="Arial" w:cs="Arial" w:eastAsia="Arial" w:hAnsi="Arial"/>
          <w:sz w:val="22"/>
          <w:szCs w:val="22"/>
          <w:b w:val="1"/>
          <w:bCs w:val="1"/>
          <w:color w:val="547BCC"/>
        </w:rPr>
        <w:t>CONTINUING DIRECTORS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666666"/>
        </w:rPr>
        <w:t>The seven directors whose terms will continue after the annual meeting and will expire at the 2019 annual meeting (Class III) or the 2020 annual meeting (Class I) are listed below.</w:t>
      </w:r>
    </w:p>
    <w:p>
      <w:pPr>
        <w:spacing w:after="0" w:line="256" w:lineRule="exact"/>
        <w:rPr>
          <w:sz w:val="20"/>
          <w:szCs w:val="20"/>
          <w:color w:val="auto"/>
        </w:rPr>
      </w:pPr>
    </w:p>
    <w:p>
      <w:pPr>
        <w:ind w:left="60"/>
        <w:spacing w:after="0"/>
        <w:tabs>
          <w:tab w:leader="none" w:pos="2780" w:val="left"/>
        </w:tabs>
        <w:rPr>
          <w:sz w:val="20"/>
          <w:szCs w:val="20"/>
          <w:color w:val="auto"/>
        </w:rPr>
      </w:pPr>
      <w:r>
        <w:rPr>
          <w:rFonts w:ascii="Arial" w:cs="Arial" w:eastAsia="Arial" w:hAnsi="Arial"/>
          <w:sz w:val="13"/>
          <w:szCs w:val="13"/>
          <w:color w:val="5E5E61"/>
        </w:rPr>
        <w:t>Melody C. Barnes</w:t>
      </w:r>
      <w:r>
        <w:rPr>
          <w:sz w:val="20"/>
          <w:szCs w:val="20"/>
          <w:color w:val="auto"/>
        </w:rPr>
        <w:tab/>
      </w:r>
      <w:r>
        <w:rPr>
          <w:rFonts w:ascii="Arial" w:cs="Arial" w:eastAsia="Arial" w:hAnsi="Arial"/>
          <w:sz w:val="12"/>
          <w:szCs w:val="12"/>
          <w:color w:val="666666"/>
        </w:rPr>
        <w:t>Ms. Barnes is the Co-Founder and Principal of MB Squared Solutions, LLC, a domestic policy strategy firm, a senior fellow in presidential studies at the</w:t>
      </w:r>
    </w:p>
    <w:p>
      <w:pPr>
        <w:spacing w:after="0" w:line="5" w:lineRule="exact"/>
        <w:rPr>
          <w:sz w:val="20"/>
          <w:szCs w:val="20"/>
          <w:color w:val="auto"/>
        </w:rPr>
      </w:pPr>
    </w:p>
    <w:p>
      <w:pPr>
        <w:ind w:left="60"/>
        <w:spacing w:after="0"/>
        <w:tabs>
          <w:tab w:leader="none" w:pos="2780" w:val="left"/>
        </w:tabs>
        <w:rPr>
          <w:sz w:val="20"/>
          <w:szCs w:val="20"/>
          <w:color w:val="auto"/>
        </w:rPr>
      </w:pPr>
      <w:r>
        <w:rPr>
          <w:rFonts w:ascii="Arial" w:cs="Arial" w:eastAsia="Arial" w:hAnsi="Arial"/>
          <w:sz w:val="13"/>
          <w:szCs w:val="13"/>
          <w:color w:val="5E5E61"/>
        </w:rPr>
        <w:t>(Class III)</w:t>
      </w:r>
      <w:r>
        <w:rPr>
          <w:sz w:val="20"/>
          <w:szCs w:val="20"/>
          <w:color w:val="auto"/>
        </w:rPr>
        <w:tab/>
      </w:r>
      <w:r>
        <w:rPr>
          <w:rFonts w:ascii="Arial" w:cs="Arial" w:eastAsia="Arial" w:hAnsi="Arial"/>
          <w:sz w:val="12"/>
          <w:szCs w:val="12"/>
          <w:color w:val="666666"/>
        </w:rPr>
        <w:t>University of Virginia's Miller Center and Chair of the Aspen Institute Forum for Community Solutions. Ms. Barnes currently serves as a director of</w:t>
      </w:r>
    </w:p>
    <w:p>
      <w:pPr>
        <w:ind w:left="2800" w:right="20"/>
        <w:spacing w:after="0" w:line="233" w:lineRule="auto"/>
        <w:rPr>
          <w:sz w:val="20"/>
          <w:szCs w:val="20"/>
          <w:color w:val="auto"/>
        </w:rPr>
      </w:pPr>
      <w:r>
        <w:rPr>
          <w:rFonts w:ascii="Arial" w:cs="Arial" w:eastAsia="Arial" w:hAnsi="Arial"/>
          <w:sz w:val="13"/>
          <w:szCs w:val="13"/>
          <w:color w:val="666666"/>
        </w:rPr>
        <w:t>Ventas Inc., a real estate investment trust. From January 2009 to January 2012, Ms. Barnes served in the White House as Director of the Domestic Policy Council. In this role, she provided policy and strategic advice to President Barack Obama and coordinated the domestic policy-making process for his administration. Before joining the White House, she served as the Senior Domestic Policy Advisor for then-Senator Obama’s 2008 presidential campaign. Ms. Barnes was the Executive Vice President for Policy at the Center for American Progress from 2005 to 2008 and a Senior Fellow there from 2003 to 2005, and prior to that she was a principal in the Raben Group LLC. She also served as Chief Counsel to Senator Edward M. Kennedy on the Senate Judiciary Committee from 1998 to 2003 and General Counsel for him from 1995 to 1998. Ms. Barnes also serves on the non-profit boards of directors of Year-Up and the Marguerite Casey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-619760</wp:posOffset>
            </wp:positionV>
            <wp:extent cx="810895" cy="810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0895" cy="810895"/>
                    </a:xfrm>
                    <a:prstGeom prst="rect">
                      <a:avLst/>
                    </a:prstGeom>
                    <a:noFill/>
                  </pic:spPr>
                </pic:pic>
              </a:graphicData>
            </a:graphic>
          </wp:anchor>
        </w:drawing>
      </w:r>
    </w:p>
    <w:p>
      <w:pPr>
        <w:sectPr>
          <w:pgSz w:w="11900" w:h="16838" w:orient="portrait"/>
          <w:cols w:equalWidth="0" w:num="1">
            <w:col w:w="11420"/>
          </w:cols>
          <w:pgMar w:left="220" w:top="441" w:right="259" w:bottom="1440" w:gutter="0" w:footer="0" w:header="0"/>
        </w:sectPr>
      </w:pPr>
    </w:p>
    <w:p>
      <w:pPr>
        <w:spacing w:after="0" w:line="322" w:lineRule="exact"/>
        <w:rPr>
          <w:sz w:val="20"/>
          <w:szCs w:val="20"/>
          <w:color w:val="auto"/>
        </w:rPr>
      </w:pPr>
    </w:p>
    <w:p>
      <w:pPr>
        <w:ind w:left="60"/>
        <w:spacing w:after="0"/>
        <w:rPr>
          <w:sz w:val="20"/>
          <w:szCs w:val="20"/>
          <w:color w:val="auto"/>
        </w:rPr>
      </w:pPr>
      <w:r>
        <w:rPr>
          <w:rFonts w:ascii="Arial" w:cs="Arial" w:eastAsia="Arial" w:hAnsi="Arial"/>
          <w:sz w:val="13"/>
          <w:szCs w:val="13"/>
          <w:color w:val="666666"/>
        </w:rPr>
        <w:t>Age: 54</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3"/>
          <w:szCs w:val="13"/>
          <w:color w:val="666666"/>
        </w:rPr>
        <w:t>Director since: 2015</w:t>
      </w:r>
    </w:p>
    <w:p>
      <w:pPr>
        <w:ind w:left="60"/>
        <w:spacing w:after="0"/>
        <w:rPr>
          <w:sz w:val="20"/>
          <w:szCs w:val="20"/>
          <w:color w:val="auto"/>
        </w:rPr>
      </w:pPr>
      <w:r>
        <w:rPr>
          <w:rFonts w:ascii="Arial" w:cs="Arial" w:eastAsia="Arial" w:hAnsi="Arial"/>
          <w:sz w:val="13"/>
          <w:szCs w:val="13"/>
          <w:color w:val="666666"/>
        </w:rPr>
        <w:t>Independent</w:t>
      </w:r>
    </w:p>
    <w:p>
      <w:pPr>
        <w:spacing w:after="0" w:line="269" w:lineRule="exact"/>
        <w:rPr>
          <w:sz w:val="20"/>
          <w:szCs w:val="20"/>
          <w:color w:val="auto"/>
        </w:rPr>
      </w:pPr>
    </w:p>
    <w:p>
      <w:pPr>
        <w:ind w:left="60"/>
        <w:spacing w:after="0"/>
        <w:rPr>
          <w:sz w:val="20"/>
          <w:szCs w:val="20"/>
          <w:color w:val="auto"/>
        </w:rPr>
      </w:pPr>
      <w:r>
        <w:rPr>
          <w:rFonts w:ascii="Arial" w:cs="Arial" w:eastAsia="Arial" w:hAnsi="Arial"/>
          <w:sz w:val="13"/>
          <w:szCs w:val="13"/>
          <w:i w:val="1"/>
          <w:iCs w:val="1"/>
          <w:color w:val="666666"/>
        </w:rPr>
        <w:t>Committees:</w:t>
      </w:r>
    </w:p>
    <w:p>
      <w:pPr>
        <w:spacing w:after="0" w:line="3" w:lineRule="exact"/>
        <w:rPr>
          <w:sz w:val="20"/>
          <w:szCs w:val="20"/>
          <w:color w:val="auto"/>
        </w:rPr>
      </w:pPr>
    </w:p>
    <w:p>
      <w:pPr>
        <w:ind w:left="180" w:hanging="90"/>
        <w:spacing w:after="0"/>
        <w:tabs>
          <w:tab w:leader="none" w:pos="180" w:val="left"/>
        </w:tabs>
        <w:numPr>
          <w:ilvl w:val="0"/>
          <w:numId w:val="13"/>
        </w:numPr>
        <w:rPr>
          <w:rFonts w:ascii="Arial" w:cs="Arial" w:eastAsia="Arial" w:hAnsi="Arial"/>
          <w:sz w:val="13"/>
          <w:szCs w:val="13"/>
          <w:color w:val="666666"/>
        </w:rPr>
      </w:pPr>
      <w:r>
        <w:rPr>
          <w:rFonts w:ascii="Arial" w:cs="Arial" w:eastAsia="Arial" w:hAnsi="Arial"/>
          <w:sz w:val="13"/>
          <w:szCs w:val="13"/>
          <w:color w:val="666666"/>
        </w:rPr>
        <w:t>Compensation</w:t>
      </w:r>
    </w:p>
    <w:p>
      <w:pPr>
        <w:ind w:left="180" w:hanging="90"/>
        <w:spacing w:after="0"/>
        <w:tabs>
          <w:tab w:leader="none" w:pos="180" w:val="left"/>
        </w:tabs>
        <w:numPr>
          <w:ilvl w:val="0"/>
          <w:numId w:val="13"/>
        </w:numPr>
        <w:rPr>
          <w:rFonts w:ascii="Arial" w:cs="Arial" w:eastAsia="Arial" w:hAnsi="Arial"/>
          <w:sz w:val="12"/>
          <w:szCs w:val="12"/>
          <w:color w:val="666666"/>
        </w:rPr>
      </w:pPr>
      <w:r>
        <w:rPr>
          <w:rFonts w:ascii="Arial" w:cs="Arial" w:eastAsia="Arial" w:hAnsi="Arial"/>
          <w:sz w:val="12"/>
          <w:szCs w:val="12"/>
          <w:color w:val="666666"/>
        </w:rPr>
        <w:t>Nominating and Corporate Governance</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666666"/>
        </w:rPr>
        <w:t>Specific qualifications, experience, skills, and expertise include:</w:t>
      </w:r>
    </w:p>
    <w:p>
      <w:pPr>
        <w:spacing w:after="0" w:line="71" w:lineRule="exact"/>
        <w:rPr>
          <w:sz w:val="20"/>
          <w:szCs w:val="20"/>
          <w:color w:val="auto"/>
        </w:rPr>
      </w:pPr>
    </w:p>
    <w:p>
      <w:pPr>
        <w:ind w:left="120" w:hanging="71"/>
        <w:spacing w:after="0"/>
        <w:tabs>
          <w:tab w:leader="none" w:pos="120" w:val="left"/>
        </w:tabs>
        <w:numPr>
          <w:ilvl w:val="0"/>
          <w:numId w:val="14"/>
        </w:numPr>
        <w:rPr>
          <w:rFonts w:ascii="Arial" w:cs="Arial" w:eastAsia="Arial" w:hAnsi="Arial"/>
          <w:sz w:val="13"/>
          <w:szCs w:val="13"/>
          <w:color w:val="666666"/>
        </w:rPr>
      </w:pPr>
      <w:r>
        <w:rPr>
          <w:rFonts w:ascii="Arial" w:cs="Arial" w:eastAsia="Arial" w:hAnsi="Arial"/>
          <w:sz w:val="13"/>
          <w:szCs w:val="13"/>
          <w:color w:val="666666"/>
        </w:rPr>
        <w:t>Significant government experience and strong skills in public policy;</w:t>
      </w:r>
    </w:p>
    <w:p>
      <w:pPr>
        <w:spacing w:after="0" w:line="10" w:lineRule="exact"/>
        <w:rPr>
          <w:rFonts w:ascii="Arial" w:cs="Arial" w:eastAsia="Arial" w:hAnsi="Arial"/>
          <w:sz w:val="13"/>
          <w:szCs w:val="13"/>
          <w:color w:val="666666"/>
        </w:rPr>
      </w:pPr>
    </w:p>
    <w:p>
      <w:pPr>
        <w:ind w:left="120" w:hanging="71"/>
        <w:spacing w:after="0" w:line="231" w:lineRule="auto"/>
        <w:tabs>
          <w:tab w:leader="none" w:pos="120" w:val="left"/>
        </w:tabs>
        <w:numPr>
          <w:ilvl w:val="0"/>
          <w:numId w:val="14"/>
        </w:numPr>
        <w:rPr>
          <w:rFonts w:ascii="Arial" w:cs="Arial" w:eastAsia="Arial" w:hAnsi="Arial"/>
          <w:sz w:val="13"/>
          <w:szCs w:val="13"/>
          <w:color w:val="666666"/>
        </w:rPr>
      </w:pPr>
      <w:r>
        <w:rPr>
          <w:rFonts w:ascii="Arial" w:cs="Arial" w:eastAsia="Arial" w:hAnsi="Arial"/>
          <w:sz w:val="13"/>
          <w:szCs w:val="13"/>
          <w:color w:val="666666"/>
        </w:rPr>
        <w:t>Public company directorship; and</w:t>
      </w:r>
    </w:p>
    <w:p>
      <w:pPr>
        <w:ind w:left="120" w:hanging="71"/>
        <w:spacing w:after="0"/>
        <w:tabs>
          <w:tab w:leader="none" w:pos="120" w:val="left"/>
        </w:tabs>
        <w:numPr>
          <w:ilvl w:val="0"/>
          <w:numId w:val="14"/>
        </w:numPr>
        <w:rPr>
          <w:rFonts w:ascii="Arial" w:cs="Arial" w:eastAsia="Arial" w:hAnsi="Arial"/>
          <w:sz w:val="12"/>
          <w:szCs w:val="12"/>
          <w:color w:val="666666"/>
        </w:rPr>
      </w:pPr>
      <w:r>
        <w:rPr>
          <w:rFonts w:ascii="Arial" w:cs="Arial" w:eastAsia="Arial" w:hAnsi="Arial"/>
          <w:sz w:val="12"/>
          <w:szCs w:val="12"/>
          <w:color w:val="666666"/>
        </w:rPr>
        <w:t>Core business skills, including financial and strategic planning as well as leading not-for-profit organizations.</w:t>
      </w:r>
    </w:p>
    <w:p>
      <w:pPr>
        <w:spacing w:after="0" w:line="699" w:lineRule="exact"/>
        <w:rPr>
          <w:sz w:val="20"/>
          <w:szCs w:val="20"/>
          <w:color w:val="auto"/>
        </w:rPr>
      </w:pPr>
    </w:p>
    <w:p>
      <w:pPr>
        <w:sectPr>
          <w:pgSz w:w="11900" w:h="16838" w:orient="portrait"/>
          <w:cols w:equalWidth="0" w:num="2">
            <w:col w:w="2400" w:space="400"/>
            <w:col w:w="8620"/>
          </w:cols>
          <w:pgMar w:left="220" w:top="441" w:right="259" w:bottom="1440" w:gutter="0" w:footer="0" w:header="0"/>
          <w:type w:val="continuous"/>
        </w:sectPr>
      </w:pPr>
    </w:p>
    <w:p>
      <w:pPr>
        <w:spacing w:after="0" w:line="222" w:lineRule="exact"/>
        <w:rPr>
          <w:sz w:val="20"/>
          <w:szCs w:val="20"/>
          <w:color w:val="auto"/>
        </w:rPr>
      </w:pPr>
    </w:p>
    <w:p>
      <w:pPr>
        <w:ind w:left="60"/>
        <w:spacing w:after="0"/>
        <w:tabs>
          <w:tab w:leader="none" w:pos="2780" w:val="left"/>
        </w:tabs>
        <w:rPr>
          <w:sz w:val="20"/>
          <w:szCs w:val="20"/>
          <w:color w:val="auto"/>
        </w:rPr>
      </w:pPr>
      <w:r>
        <w:rPr>
          <w:rFonts w:ascii="Arial" w:cs="Arial" w:eastAsia="Arial" w:hAnsi="Arial"/>
          <w:sz w:val="13"/>
          <w:szCs w:val="13"/>
          <w:color w:val="5E5E61"/>
        </w:rPr>
        <w:t>Arthur E. Johnson</w:t>
      </w:r>
      <w:r>
        <w:rPr>
          <w:sz w:val="20"/>
          <w:szCs w:val="20"/>
          <w:color w:val="auto"/>
        </w:rPr>
        <w:tab/>
      </w:r>
      <w:r>
        <w:rPr>
          <w:rFonts w:ascii="Arial" w:cs="Arial" w:eastAsia="Arial" w:hAnsi="Arial"/>
          <w:sz w:val="13"/>
          <w:szCs w:val="13"/>
          <w:color w:val="666666"/>
        </w:rPr>
        <w:t>Mr. Johnson retired as Senior Vice President, Corporate Strategic Development of Lockheed Martin Corp. ("Lockheed Martin") in 2009, a position he</w:t>
      </w:r>
    </w:p>
    <w:p>
      <w:pPr>
        <w:spacing w:after="0" w:line="5" w:lineRule="exact"/>
        <w:rPr>
          <w:sz w:val="20"/>
          <w:szCs w:val="20"/>
          <w:color w:val="auto"/>
        </w:rPr>
      </w:pPr>
    </w:p>
    <w:p>
      <w:pPr>
        <w:ind w:left="60"/>
        <w:spacing w:after="0"/>
        <w:tabs>
          <w:tab w:leader="none" w:pos="2780" w:val="left"/>
        </w:tabs>
        <w:rPr>
          <w:sz w:val="20"/>
          <w:szCs w:val="20"/>
          <w:color w:val="auto"/>
        </w:rPr>
      </w:pPr>
      <w:r>
        <w:rPr>
          <w:rFonts w:ascii="Arial" w:cs="Arial" w:eastAsia="Arial" w:hAnsi="Arial"/>
          <w:sz w:val="13"/>
          <w:szCs w:val="13"/>
          <w:color w:val="5E5E61"/>
        </w:rPr>
        <w:t>(Class III)</w:t>
      </w:r>
      <w:r>
        <w:rPr>
          <w:sz w:val="20"/>
          <w:szCs w:val="20"/>
          <w:color w:val="auto"/>
        </w:rPr>
        <w:tab/>
      </w:r>
      <w:r>
        <w:rPr>
          <w:rFonts w:ascii="Arial" w:cs="Arial" w:eastAsia="Arial" w:hAnsi="Arial"/>
          <w:sz w:val="13"/>
          <w:szCs w:val="13"/>
          <w:color w:val="666666"/>
        </w:rPr>
        <w:t>held since 1999. Mr. Johnson has over 20 years of senior leadership experience in the information technology and defense businesses. Mr. Johnson</w:t>
      </w:r>
    </w:p>
    <w:p>
      <w:pPr>
        <w:ind w:left="2800"/>
        <w:spacing w:after="0" w:line="231" w:lineRule="auto"/>
        <w:rPr>
          <w:sz w:val="20"/>
          <w:szCs w:val="20"/>
          <w:color w:val="auto"/>
        </w:rPr>
      </w:pPr>
      <w:r>
        <w:rPr>
          <w:rFonts w:ascii="Arial" w:cs="Arial" w:eastAsia="Arial" w:hAnsi="Arial"/>
          <w:sz w:val="13"/>
          <w:szCs w:val="13"/>
          <w:color w:val="666666"/>
        </w:rPr>
        <w:t>brings extensive IT management experience to the Board, having held senior positions at IBM, Loral Corporation, and Lockheed Martin. He serves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-66040</wp:posOffset>
            </wp:positionV>
            <wp:extent cx="810895" cy="810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10895"/>
                    </a:xfrm>
                    <a:prstGeom prst="rect">
                      <a:avLst/>
                    </a:prstGeom>
                    <a:noFill/>
                  </pic:spPr>
                </pic:pic>
              </a:graphicData>
            </a:graphic>
          </wp:anchor>
        </w:drawing>
      </w:r>
    </w:p>
    <w:p>
      <w:pPr>
        <w:jc w:val="right"/>
        <w:spacing w:after="0" w:line="231" w:lineRule="auto"/>
        <w:rPr>
          <w:sz w:val="20"/>
          <w:szCs w:val="20"/>
          <w:color w:val="auto"/>
        </w:rPr>
      </w:pPr>
      <w:r>
        <w:rPr>
          <w:rFonts w:ascii="Arial" w:cs="Arial" w:eastAsia="Arial" w:hAnsi="Arial"/>
          <w:sz w:val="13"/>
          <w:szCs w:val="13"/>
          <w:color w:val="666666"/>
        </w:rPr>
        <w:t>the board of directors of Eaton Corporation, plc since 2009, and as an independent trustee of the Fixed Income and Asset Allocation funds of Fidelity</w:t>
      </w:r>
    </w:p>
    <w:p>
      <w:pPr>
        <w:ind w:left="2800"/>
        <w:spacing w:after="0" w:line="231" w:lineRule="auto"/>
        <w:rPr>
          <w:sz w:val="20"/>
          <w:szCs w:val="20"/>
          <w:color w:val="auto"/>
        </w:rPr>
      </w:pPr>
      <w:r>
        <w:rPr>
          <w:rFonts w:ascii="Arial" w:cs="Arial" w:eastAsia="Arial" w:hAnsi="Arial"/>
          <w:sz w:val="13"/>
          <w:szCs w:val="13"/>
          <w:color w:val="666666"/>
        </w:rPr>
        <w:t>Investments since 2008. Mr. Johnson served as a director of Delta Airlines from 2005 to 2007, IKON Office Solutions Corporation from 1999 to 2008,</w:t>
      </w:r>
    </w:p>
    <w:p>
      <w:pPr>
        <w:ind w:left="2800"/>
        <w:spacing w:after="0"/>
        <w:rPr>
          <w:sz w:val="20"/>
          <w:szCs w:val="20"/>
          <w:color w:val="auto"/>
        </w:rPr>
      </w:pPr>
      <w:r>
        <w:rPr>
          <w:rFonts w:ascii="Arial" w:cs="Arial" w:eastAsia="Arial" w:hAnsi="Arial"/>
          <w:sz w:val="13"/>
          <w:szCs w:val="13"/>
          <w:color w:val="666666"/>
        </w:rPr>
        <w:t>and AGL Resources from 2002 to 2016.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tabs>
          <w:tab w:leader="none" w:pos="2780" w:val="left"/>
        </w:tabs>
        <w:rPr>
          <w:sz w:val="20"/>
          <w:szCs w:val="20"/>
          <w:color w:val="auto"/>
        </w:rPr>
      </w:pPr>
      <w:r>
        <w:rPr>
          <w:rFonts w:ascii="Arial" w:cs="Arial" w:eastAsia="Arial" w:hAnsi="Arial"/>
          <w:sz w:val="13"/>
          <w:szCs w:val="13"/>
          <w:color w:val="666666"/>
        </w:rPr>
        <w:t>Age: 71</w:t>
      </w:r>
      <w:r>
        <w:rPr>
          <w:sz w:val="20"/>
          <w:szCs w:val="20"/>
          <w:color w:val="auto"/>
        </w:rPr>
        <w:tab/>
      </w:r>
      <w:r>
        <w:rPr>
          <w:rFonts w:ascii="Arial" w:cs="Arial" w:eastAsia="Arial" w:hAnsi="Arial"/>
          <w:sz w:val="12"/>
          <w:szCs w:val="12"/>
          <w:color w:val="666666"/>
        </w:rPr>
        <w:t>Specific qualifications, experience, skills, and expertise include:</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3"/>
          <w:szCs w:val="13"/>
          <w:color w:val="666666"/>
        </w:rPr>
        <w:t>Director since: 2011</w:t>
      </w:r>
    </w:p>
    <w:p>
      <w:pPr>
        <w:ind w:left="60"/>
        <w:spacing w:after="0" w:line="231" w:lineRule="auto"/>
        <w:tabs>
          <w:tab w:leader="none" w:pos="2820" w:val="left"/>
        </w:tabs>
        <w:rPr>
          <w:sz w:val="20"/>
          <w:szCs w:val="20"/>
          <w:color w:val="auto"/>
        </w:rPr>
      </w:pPr>
      <w:r>
        <w:rPr>
          <w:rFonts w:ascii="Arial" w:cs="Arial" w:eastAsia="Arial" w:hAnsi="Arial"/>
          <w:sz w:val="13"/>
          <w:szCs w:val="13"/>
          <w:color w:val="666666"/>
        </w:rPr>
        <w:t>Independent</w:t>
      </w:r>
      <w:r>
        <w:rPr>
          <w:sz w:val="20"/>
          <w:szCs w:val="20"/>
          <w:color w:val="auto"/>
        </w:rPr>
        <w:tab/>
      </w:r>
      <w:r>
        <w:rPr>
          <w:rFonts w:ascii="Arial" w:cs="Arial" w:eastAsia="Arial" w:hAnsi="Arial"/>
          <w:sz w:val="13"/>
          <w:szCs w:val="13"/>
          <w:color w:val="666666"/>
        </w:rPr>
        <w:t>• Public company directorship and audit committee experience;</w:t>
      </w:r>
    </w:p>
    <w:p>
      <w:pPr>
        <w:ind w:left="2840"/>
        <w:spacing w:after="0" w:line="231" w:lineRule="auto"/>
        <w:rPr>
          <w:sz w:val="20"/>
          <w:szCs w:val="20"/>
          <w:color w:val="auto"/>
        </w:rPr>
      </w:pPr>
      <w:r>
        <w:rPr>
          <w:rFonts w:ascii="Arial" w:cs="Arial" w:eastAsia="Arial" w:hAnsi="Arial"/>
          <w:sz w:val="13"/>
          <w:szCs w:val="13"/>
          <w:color w:val="666666"/>
        </w:rPr>
        <w:t>• Operating and management experience;</w:t>
      </w:r>
    </w:p>
    <w:p>
      <w:pPr>
        <w:ind w:left="2840"/>
        <w:spacing w:after="0" w:line="231" w:lineRule="auto"/>
        <w:rPr>
          <w:sz w:val="20"/>
          <w:szCs w:val="20"/>
          <w:color w:val="auto"/>
        </w:rPr>
      </w:pPr>
      <w:r>
        <w:rPr>
          <w:rFonts w:ascii="Arial" w:cs="Arial" w:eastAsia="Arial" w:hAnsi="Arial"/>
          <w:sz w:val="13"/>
          <w:szCs w:val="13"/>
          <w:color w:val="666666"/>
        </w:rPr>
        <w:t>• Understanding of government contracting; and</w:t>
      </w:r>
    </w:p>
    <w:p>
      <w:pPr>
        <w:ind w:left="60"/>
        <w:spacing w:after="0" w:line="231" w:lineRule="auto"/>
        <w:tabs>
          <w:tab w:leader="none" w:pos="2820" w:val="left"/>
        </w:tabs>
        <w:rPr>
          <w:sz w:val="20"/>
          <w:szCs w:val="20"/>
          <w:color w:val="auto"/>
        </w:rPr>
      </w:pPr>
      <w:r>
        <w:rPr>
          <w:rFonts w:ascii="Arial" w:cs="Arial" w:eastAsia="Arial" w:hAnsi="Arial"/>
          <w:sz w:val="13"/>
          <w:szCs w:val="13"/>
          <w:i w:val="1"/>
          <w:iCs w:val="1"/>
          <w:color w:val="666666"/>
        </w:rPr>
        <w:t>Committee:</w:t>
      </w:r>
      <w:r>
        <w:rPr>
          <w:sz w:val="20"/>
          <w:szCs w:val="20"/>
          <w:color w:val="auto"/>
        </w:rPr>
        <w:tab/>
      </w:r>
      <w:r>
        <w:rPr>
          <w:rFonts w:ascii="Arial" w:cs="Arial" w:eastAsia="Arial" w:hAnsi="Arial"/>
          <w:sz w:val="13"/>
          <w:szCs w:val="13"/>
          <w:color w:val="666666"/>
        </w:rPr>
        <w:t>• Core business skills, including financial and strategic planning.</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color w:val="666666"/>
        </w:rPr>
        <w:t>• Audit</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666666"/>
        </w:rPr>
        <w:t>9</w:t>
      </w:r>
    </w:p>
    <w:p>
      <w:pPr>
        <w:sectPr>
          <w:pgSz w:w="11900" w:h="16838" w:orient="portrait"/>
          <w:cols w:equalWidth="0" w:num="1">
            <w:col w:w="11420"/>
          </w:cols>
          <w:pgMar w:left="220" w:top="441" w:right="25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49"/>
        </w:trPr>
        <w:tc>
          <w:tcPr>
            <w:tcW w:w="2400" w:type="dxa"/>
            <w:vAlign w:val="bottom"/>
          </w:tcPr>
          <w:p>
            <w:pPr>
              <w:ind w:left="40"/>
              <w:spacing w:after="0"/>
              <w:rPr>
                <w:sz w:val="20"/>
                <w:szCs w:val="20"/>
                <w:color w:val="auto"/>
              </w:rPr>
            </w:pPr>
            <w:r>
              <w:rPr>
                <w:rFonts w:ascii="Arial" w:cs="Arial" w:eastAsia="Arial" w:hAnsi="Arial"/>
                <w:sz w:val="13"/>
                <w:szCs w:val="13"/>
                <w:color w:val="666666"/>
              </w:rPr>
              <w:t>Charles O. Rossotti</w:t>
            </w:r>
          </w:p>
        </w:tc>
        <w:tc>
          <w:tcPr>
            <w:tcW w:w="9040" w:type="dxa"/>
            <w:vAlign w:val="bottom"/>
            <w:gridSpan w:val="2"/>
          </w:tcPr>
          <w:p>
            <w:pPr>
              <w:ind w:left="380"/>
              <w:spacing w:after="0"/>
              <w:rPr>
                <w:sz w:val="20"/>
                <w:szCs w:val="20"/>
                <w:color w:val="auto"/>
              </w:rPr>
            </w:pPr>
            <w:r>
              <w:rPr>
                <w:rFonts w:ascii="Arial" w:cs="Arial" w:eastAsia="Arial" w:hAnsi="Arial"/>
                <w:sz w:val="13"/>
                <w:szCs w:val="13"/>
                <w:color w:val="666666"/>
              </w:rPr>
              <w:t>Mr. Rossotti has served as a Senior Advisor to Carlyle since June 2003. Prior to this position, Mr. Rossotti served as the Commissioner of the Internal</w:t>
            </w:r>
          </w:p>
        </w:tc>
      </w:tr>
      <w:tr>
        <w:trPr>
          <w:trHeight w:val="144"/>
        </w:trPr>
        <w:tc>
          <w:tcPr>
            <w:tcW w:w="2400" w:type="dxa"/>
            <w:vAlign w:val="bottom"/>
          </w:tcPr>
          <w:p>
            <w:pPr>
              <w:ind w:left="40"/>
              <w:spacing w:after="0" w:line="144" w:lineRule="exact"/>
              <w:rPr>
                <w:sz w:val="20"/>
                <w:szCs w:val="20"/>
                <w:color w:val="auto"/>
              </w:rPr>
            </w:pPr>
            <w:r>
              <w:rPr>
                <w:rFonts w:ascii="Arial" w:cs="Arial" w:eastAsia="Arial" w:hAnsi="Arial"/>
                <w:sz w:val="13"/>
                <w:szCs w:val="13"/>
                <w:color w:val="666666"/>
              </w:rPr>
              <w:t>(Class III)</w:t>
            </w:r>
          </w:p>
        </w:tc>
        <w:tc>
          <w:tcPr>
            <w:tcW w:w="9040" w:type="dxa"/>
            <w:vAlign w:val="bottom"/>
            <w:gridSpan w:val="2"/>
          </w:tcPr>
          <w:p>
            <w:pPr>
              <w:ind w:left="380"/>
              <w:spacing w:after="0" w:line="144" w:lineRule="exact"/>
              <w:rPr>
                <w:sz w:val="20"/>
                <w:szCs w:val="20"/>
                <w:color w:val="auto"/>
              </w:rPr>
            </w:pPr>
            <w:r>
              <w:rPr>
                <w:rFonts w:ascii="Arial" w:cs="Arial" w:eastAsia="Arial" w:hAnsi="Arial"/>
                <w:sz w:val="13"/>
                <w:szCs w:val="13"/>
                <w:color w:val="666666"/>
              </w:rPr>
              <w:t>Revenue Service from 1997 to 2002. Mr. Rossotti co-founded American Management Systems, Inc., an international business and information</w:t>
            </w:r>
          </w:p>
        </w:tc>
      </w:tr>
      <w:tr>
        <w:trPr>
          <w:trHeight w:val="144"/>
        </w:trPr>
        <w:tc>
          <w:tcPr>
            <w:tcW w:w="2400" w:type="dxa"/>
            <w:vAlign w:val="bottom"/>
          </w:tcPr>
          <w:p>
            <w:pPr>
              <w:spacing w:after="0"/>
              <w:rPr>
                <w:sz w:val="12"/>
                <w:szCs w:val="12"/>
                <w:color w:val="auto"/>
              </w:rPr>
            </w:pPr>
          </w:p>
        </w:tc>
        <w:tc>
          <w:tcPr>
            <w:tcW w:w="9040" w:type="dxa"/>
            <w:vAlign w:val="bottom"/>
            <w:gridSpan w:val="2"/>
          </w:tcPr>
          <w:p>
            <w:pPr>
              <w:ind w:left="380"/>
              <w:spacing w:after="0" w:line="144" w:lineRule="exact"/>
              <w:rPr>
                <w:sz w:val="20"/>
                <w:szCs w:val="20"/>
                <w:color w:val="auto"/>
              </w:rPr>
            </w:pPr>
            <w:r>
              <w:rPr>
                <w:rFonts w:ascii="Arial" w:cs="Arial" w:eastAsia="Arial" w:hAnsi="Arial"/>
                <w:sz w:val="13"/>
                <w:szCs w:val="13"/>
                <w:color w:val="666666"/>
              </w:rPr>
              <w:t>technology consulting firm in 1970, where he served at various times as President, Chief Executive Officer and Chairman of the Board until 1997. Mr.</w:t>
            </w:r>
          </w:p>
        </w:tc>
      </w:tr>
      <w:tr>
        <w:trPr>
          <w:trHeight w:val="144"/>
        </w:trPr>
        <w:tc>
          <w:tcPr>
            <w:tcW w:w="2400" w:type="dxa"/>
            <w:vAlign w:val="bottom"/>
          </w:tcPr>
          <w:p>
            <w:pPr>
              <w:spacing w:after="0"/>
              <w:rPr>
                <w:sz w:val="12"/>
                <w:szCs w:val="12"/>
                <w:color w:val="auto"/>
              </w:rPr>
            </w:pPr>
          </w:p>
        </w:tc>
        <w:tc>
          <w:tcPr>
            <w:tcW w:w="9040" w:type="dxa"/>
            <w:vAlign w:val="bottom"/>
            <w:gridSpan w:val="2"/>
          </w:tcPr>
          <w:p>
            <w:pPr>
              <w:ind w:left="380"/>
              <w:spacing w:after="0" w:line="144" w:lineRule="exact"/>
              <w:rPr>
                <w:sz w:val="20"/>
                <w:szCs w:val="20"/>
                <w:color w:val="auto"/>
              </w:rPr>
            </w:pPr>
            <w:r>
              <w:rPr>
                <w:rFonts w:ascii="Arial" w:cs="Arial" w:eastAsia="Arial" w:hAnsi="Arial"/>
                <w:sz w:val="13"/>
                <w:szCs w:val="13"/>
                <w:color w:val="666666"/>
              </w:rPr>
              <w:t>Rossotti serves as a director for the AES Corporation since 2003 and as its Chairman since 2013, Coalfire Systems Inc. since September 2015, and</w:t>
            </w:r>
          </w:p>
        </w:tc>
      </w:tr>
      <w:tr>
        <w:trPr>
          <w:trHeight w:val="144"/>
        </w:trPr>
        <w:tc>
          <w:tcPr>
            <w:tcW w:w="2400" w:type="dxa"/>
            <w:vAlign w:val="bottom"/>
          </w:tcPr>
          <w:p>
            <w:pPr>
              <w:spacing w:after="0"/>
              <w:rPr>
                <w:sz w:val="12"/>
                <w:szCs w:val="12"/>
                <w:color w:val="auto"/>
              </w:rPr>
            </w:pPr>
          </w:p>
        </w:tc>
        <w:tc>
          <w:tcPr>
            <w:tcW w:w="9040" w:type="dxa"/>
            <w:vAlign w:val="bottom"/>
            <w:gridSpan w:val="2"/>
          </w:tcPr>
          <w:p>
            <w:pPr>
              <w:ind w:left="380"/>
              <w:spacing w:after="0" w:line="144" w:lineRule="exact"/>
              <w:rPr>
                <w:sz w:val="20"/>
                <w:szCs w:val="20"/>
                <w:color w:val="auto"/>
              </w:rPr>
            </w:pPr>
            <w:r>
              <w:rPr>
                <w:rFonts w:ascii="Arial" w:cs="Arial" w:eastAsia="Arial" w:hAnsi="Arial"/>
                <w:sz w:val="13"/>
                <w:szCs w:val="13"/>
                <w:color w:val="666666"/>
              </w:rPr>
              <w:t>Novetta Solutions LLC since March 2016. Mr. Rossotti formerly served as a director of Bank of America Corporation from 2009 to May 2013,</w:t>
            </w:r>
          </w:p>
        </w:tc>
      </w:tr>
      <w:tr>
        <w:trPr>
          <w:trHeight w:val="144"/>
        </w:trPr>
        <w:tc>
          <w:tcPr>
            <w:tcW w:w="2400" w:type="dxa"/>
            <w:vAlign w:val="bottom"/>
          </w:tcPr>
          <w:p>
            <w:pPr>
              <w:spacing w:after="0"/>
              <w:rPr>
                <w:sz w:val="12"/>
                <w:szCs w:val="12"/>
                <w:color w:val="auto"/>
              </w:rPr>
            </w:pPr>
          </w:p>
        </w:tc>
        <w:tc>
          <w:tcPr>
            <w:tcW w:w="9040" w:type="dxa"/>
            <w:vAlign w:val="bottom"/>
            <w:gridSpan w:val="2"/>
          </w:tcPr>
          <w:p>
            <w:pPr>
              <w:ind w:left="380"/>
              <w:spacing w:after="0" w:line="144" w:lineRule="exact"/>
              <w:rPr>
                <w:sz w:val="20"/>
                <w:szCs w:val="20"/>
                <w:color w:val="auto"/>
              </w:rPr>
            </w:pPr>
            <w:r>
              <w:rPr>
                <w:rFonts w:ascii="Arial" w:cs="Arial" w:eastAsia="Arial" w:hAnsi="Arial"/>
                <w:sz w:val="13"/>
                <w:szCs w:val="13"/>
                <w:color w:val="666666"/>
              </w:rPr>
              <w:t>Compusearch Software Systems from 2005 to 2010, Wall Street Institute from 2005 to 2010, Apollo Global from 2006 to 2012, Quorum Management</w:t>
            </w:r>
          </w:p>
        </w:tc>
      </w:tr>
      <w:tr>
        <w:trPr>
          <w:trHeight w:val="172"/>
        </w:trPr>
        <w:tc>
          <w:tcPr>
            <w:tcW w:w="2400" w:type="dxa"/>
            <w:vAlign w:val="bottom"/>
          </w:tcPr>
          <w:p>
            <w:pPr>
              <w:spacing w:after="0"/>
              <w:rPr>
                <w:sz w:val="14"/>
                <w:szCs w:val="14"/>
                <w:color w:val="auto"/>
              </w:rPr>
            </w:pPr>
          </w:p>
        </w:tc>
        <w:tc>
          <w:tcPr>
            <w:tcW w:w="9040" w:type="dxa"/>
            <w:vAlign w:val="bottom"/>
            <w:gridSpan w:val="2"/>
          </w:tcPr>
          <w:p>
            <w:pPr>
              <w:ind w:left="380"/>
              <w:spacing w:after="0"/>
              <w:rPr>
                <w:sz w:val="20"/>
                <w:szCs w:val="20"/>
                <w:color w:val="auto"/>
              </w:rPr>
            </w:pPr>
            <w:r>
              <w:rPr>
                <w:rFonts w:ascii="Arial" w:cs="Arial" w:eastAsia="Arial" w:hAnsi="Arial"/>
                <w:sz w:val="13"/>
                <w:szCs w:val="13"/>
                <w:color w:val="666666"/>
              </w:rPr>
              <w:t>Solutions from 2010 to 2014, and Primatics Financial from 2011 to 2015, and as a trustee of Carlyle Select Trust from March 2014 to April 2015.</w:t>
            </w:r>
          </w:p>
        </w:tc>
      </w:tr>
      <w:tr>
        <w:trPr>
          <w:trHeight w:val="750"/>
        </w:trPr>
        <w:tc>
          <w:tcPr>
            <w:tcW w:w="2400" w:type="dxa"/>
            <w:vAlign w:val="bottom"/>
          </w:tcPr>
          <w:p>
            <w:pPr>
              <w:ind w:left="40"/>
              <w:spacing w:after="0"/>
              <w:rPr>
                <w:sz w:val="20"/>
                <w:szCs w:val="20"/>
                <w:color w:val="auto"/>
              </w:rPr>
            </w:pPr>
            <w:r>
              <w:rPr>
                <w:rFonts w:ascii="Arial" w:cs="Arial" w:eastAsia="Arial" w:hAnsi="Arial"/>
                <w:sz w:val="13"/>
                <w:szCs w:val="13"/>
                <w:color w:val="666666"/>
              </w:rPr>
              <w:t>Age: 77</w:t>
            </w:r>
          </w:p>
        </w:tc>
        <w:tc>
          <w:tcPr>
            <w:tcW w:w="9040" w:type="dxa"/>
            <w:vAlign w:val="bottom"/>
            <w:gridSpan w:val="2"/>
          </w:tcPr>
          <w:p>
            <w:pPr>
              <w:ind w:left="380"/>
              <w:spacing w:after="0"/>
              <w:rPr>
                <w:sz w:val="20"/>
                <w:szCs w:val="20"/>
                <w:color w:val="auto"/>
              </w:rPr>
            </w:pPr>
            <w:r>
              <w:rPr>
                <w:rFonts w:ascii="Arial" w:cs="Arial" w:eastAsia="Arial" w:hAnsi="Arial"/>
                <w:sz w:val="13"/>
                <w:szCs w:val="13"/>
                <w:color w:val="666666"/>
              </w:rPr>
              <w:t>Specific qualifications, experience, skills, and expertise include:</w:t>
            </w:r>
          </w:p>
        </w:tc>
      </w:tr>
      <w:tr>
        <w:trPr>
          <w:trHeight w:val="144"/>
        </w:trPr>
        <w:tc>
          <w:tcPr>
            <w:tcW w:w="2400" w:type="dxa"/>
            <w:vAlign w:val="bottom"/>
          </w:tcPr>
          <w:p>
            <w:pPr>
              <w:ind w:left="40"/>
              <w:spacing w:after="0" w:line="144" w:lineRule="exact"/>
              <w:rPr>
                <w:sz w:val="20"/>
                <w:szCs w:val="20"/>
                <w:color w:val="auto"/>
              </w:rPr>
            </w:pPr>
            <w:r>
              <w:rPr>
                <w:rFonts w:ascii="Arial" w:cs="Arial" w:eastAsia="Arial" w:hAnsi="Arial"/>
                <w:sz w:val="13"/>
                <w:szCs w:val="13"/>
                <w:color w:val="666666"/>
              </w:rPr>
              <w:t>Director since: 2008</w:t>
            </w:r>
          </w:p>
        </w:tc>
        <w:tc>
          <w:tcPr>
            <w:tcW w:w="460" w:type="dxa"/>
            <w:vAlign w:val="bottom"/>
          </w:tcPr>
          <w:p>
            <w:pPr>
              <w:spacing w:after="0"/>
              <w:rPr>
                <w:sz w:val="12"/>
                <w:szCs w:val="12"/>
                <w:color w:val="auto"/>
              </w:rPr>
            </w:pPr>
          </w:p>
        </w:tc>
        <w:tc>
          <w:tcPr>
            <w:tcW w:w="8580" w:type="dxa"/>
            <w:vAlign w:val="bottom"/>
          </w:tcPr>
          <w:p>
            <w:pPr>
              <w:spacing w:after="0"/>
              <w:rPr>
                <w:sz w:val="12"/>
                <w:szCs w:val="12"/>
                <w:color w:val="auto"/>
              </w:rPr>
            </w:pPr>
          </w:p>
        </w:tc>
      </w:tr>
      <w:tr>
        <w:trPr>
          <w:trHeight w:val="144"/>
        </w:trPr>
        <w:tc>
          <w:tcPr>
            <w:tcW w:w="2400" w:type="dxa"/>
            <w:vAlign w:val="bottom"/>
          </w:tcPr>
          <w:p>
            <w:pPr>
              <w:ind w:left="40"/>
              <w:spacing w:after="0" w:line="144" w:lineRule="exact"/>
              <w:rPr>
                <w:sz w:val="20"/>
                <w:szCs w:val="20"/>
                <w:color w:val="auto"/>
              </w:rPr>
            </w:pPr>
            <w:r>
              <w:rPr>
                <w:rFonts w:ascii="Arial" w:cs="Arial" w:eastAsia="Arial" w:hAnsi="Arial"/>
                <w:sz w:val="13"/>
                <w:szCs w:val="13"/>
                <w:color w:val="666666"/>
              </w:rPr>
              <w:t>Independent</w:t>
            </w:r>
          </w:p>
        </w:tc>
        <w:tc>
          <w:tcPr>
            <w:tcW w:w="9040" w:type="dxa"/>
            <w:vAlign w:val="bottom"/>
            <w:gridSpan w:val="2"/>
          </w:tcPr>
          <w:p>
            <w:pPr>
              <w:ind w:left="420"/>
              <w:spacing w:after="0" w:line="144" w:lineRule="exact"/>
              <w:rPr>
                <w:sz w:val="20"/>
                <w:szCs w:val="20"/>
                <w:color w:val="auto"/>
              </w:rPr>
            </w:pPr>
            <w:r>
              <w:rPr>
                <w:rFonts w:ascii="Arial" w:cs="Arial" w:eastAsia="Arial" w:hAnsi="Arial"/>
                <w:sz w:val="13"/>
                <w:szCs w:val="13"/>
                <w:color w:val="666666"/>
              </w:rPr>
              <w:t>• Public company directorship and audit committee experience;</w:t>
            </w:r>
          </w:p>
        </w:tc>
      </w:tr>
      <w:tr>
        <w:trPr>
          <w:trHeight w:val="144"/>
        </w:trPr>
        <w:tc>
          <w:tcPr>
            <w:tcW w:w="2400" w:type="dxa"/>
            <w:vAlign w:val="bottom"/>
          </w:tcPr>
          <w:p>
            <w:pPr>
              <w:spacing w:after="0"/>
              <w:rPr>
                <w:sz w:val="12"/>
                <w:szCs w:val="12"/>
                <w:color w:val="auto"/>
              </w:rPr>
            </w:pPr>
          </w:p>
        </w:tc>
        <w:tc>
          <w:tcPr>
            <w:tcW w:w="9040" w:type="dxa"/>
            <w:vAlign w:val="bottom"/>
            <w:gridSpan w:val="2"/>
          </w:tcPr>
          <w:p>
            <w:pPr>
              <w:ind w:left="420"/>
              <w:spacing w:after="0" w:line="144" w:lineRule="exact"/>
              <w:rPr>
                <w:sz w:val="20"/>
                <w:szCs w:val="20"/>
                <w:color w:val="auto"/>
              </w:rPr>
            </w:pPr>
            <w:r>
              <w:rPr>
                <w:rFonts w:ascii="Arial" w:cs="Arial" w:eastAsia="Arial" w:hAnsi="Arial"/>
                <w:sz w:val="13"/>
                <w:szCs w:val="13"/>
                <w:color w:val="666666"/>
              </w:rPr>
              <w:t>• Operating and management experience;</w:t>
            </w:r>
          </w:p>
        </w:tc>
      </w:tr>
      <w:tr>
        <w:trPr>
          <w:trHeight w:val="144"/>
        </w:trPr>
        <w:tc>
          <w:tcPr>
            <w:tcW w:w="2400" w:type="dxa"/>
            <w:vAlign w:val="bottom"/>
          </w:tcPr>
          <w:p>
            <w:pPr>
              <w:spacing w:after="0"/>
              <w:rPr>
                <w:sz w:val="12"/>
                <w:szCs w:val="12"/>
                <w:color w:val="auto"/>
              </w:rPr>
            </w:pPr>
          </w:p>
        </w:tc>
        <w:tc>
          <w:tcPr>
            <w:tcW w:w="9040" w:type="dxa"/>
            <w:vAlign w:val="bottom"/>
            <w:gridSpan w:val="2"/>
          </w:tcPr>
          <w:p>
            <w:pPr>
              <w:ind w:left="420"/>
              <w:spacing w:after="0" w:line="144" w:lineRule="exact"/>
              <w:rPr>
                <w:sz w:val="20"/>
                <w:szCs w:val="20"/>
                <w:color w:val="auto"/>
              </w:rPr>
            </w:pPr>
            <w:r>
              <w:rPr>
                <w:rFonts w:ascii="Arial" w:cs="Arial" w:eastAsia="Arial" w:hAnsi="Arial"/>
                <w:sz w:val="13"/>
                <w:szCs w:val="13"/>
                <w:color w:val="666666"/>
              </w:rPr>
              <w:t>• Understanding of government contracting;</w:t>
            </w:r>
          </w:p>
        </w:tc>
      </w:tr>
      <w:tr>
        <w:trPr>
          <w:trHeight w:val="144"/>
        </w:trPr>
        <w:tc>
          <w:tcPr>
            <w:tcW w:w="2400" w:type="dxa"/>
            <w:vAlign w:val="bottom"/>
          </w:tcPr>
          <w:p>
            <w:pPr>
              <w:ind w:left="40"/>
              <w:spacing w:after="0" w:line="144" w:lineRule="exact"/>
              <w:rPr>
                <w:sz w:val="20"/>
                <w:szCs w:val="20"/>
                <w:color w:val="auto"/>
              </w:rPr>
            </w:pPr>
            <w:r>
              <w:rPr>
                <w:rFonts w:ascii="Arial" w:cs="Arial" w:eastAsia="Arial" w:hAnsi="Arial"/>
                <w:sz w:val="13"/>
                <w:szCs w:val="13"/>
                <w:i w:val="1"/>
                <w:iCs w:val="1"/>
                <w:color w:val="666666"/>
              </w:rPr>
              <w:t>Committee:</w:t>
            </w:r>
          </w:p>
        </w:tc>
        <w:tc>
          <w:tcPr>
            <w:tcW w:w="9040" w:type="dxa"/>
            <w:vAlign w:val="bottom"/>
            <w:gridSpan w:val="2"/>
          </w:tcPr>
          <w:p>
            <w:pPr>
              <w:ind w:left="420"/>
              <w:spacing w:after="0" w:line="144" w:lineRule="exact"/>
              <w:rPr>
                <w:sz w:val="20"/>
                <w:szCs w:val="20"/>
                <w:color w:val="auto"/>
              </w:rPr>
            </w:pPr>
            <w:r>
              <w:rPr>
                <w:rFonts w:ascii="Arial" w:cs="Arial" w:eastAsia="Arial" w:hAnsi="Arial"/>
                <w:sz w:val="13"/>
                <w:szCs w:val="13"/>
                <w:color w:val="666666"/>
              </w:rPr>
              <w:t>• Core business skills, including financial and strategic planning; and</w:t>
            </w:r>
          </w:p>
        </w:tc>
      </w:tr>
      <w:tr>
        <w:trPr>
          <w:trHeight w:val="172"/>
        </w:trPr>
        <w:tc>
          <w:tcPr>
            <w:tcW w:w="2400" w:type="dxa"/>
            <w:vAlign w:val="bottom"/>
          </w:tcPr>
          <w:p>
            <w:pPr>
              <w:ind w:left="80"/>
              <w:spacing w:after="0"/>
              <w:rPr>
                <w:sz w:val="20"/>
                <w:szCs w:val="20"/>
                <w:color w:val="auto"/>
              </w:rPr>
            </w:pPr>
            <w:r>
              <w:rPr>
                <w:rFonts w:ascii="Arial" w:cs="Arial" w:eastAsia="Arial" w:hAnsi="Arial"/>
                <w:sz w:val="13"/>
                <w:szCs w:val="13"/>
                <w:color w:val="666666"/>
              </w:rPr>
              <w:t>• Audit</w:t>
            </w:r>
          </w:p>
        </w:tc>
        <w:tc>
          <w:tcPr>
            <w:tcW w:w="9040" w:type="dxa"/>
            <w:vAlign w:val="bottom"/>
            <w:gridSpan w:val="2"/>
          </w:tcPr>
          <w:p>
            <w:pPr>
              <w:ind w:left="420"/>
              <w:spacing w:after="0"/>
              <w:rPr>
                <w:sz w:val="20"/>
                <w:szCs w:val="20"/>
                <w:color w:val="auto"/>
              </w:rPr>
            </w:pPr>
            <w:r>
              <w:rPr>
                <w:rFonts w:ascii="Arial" w:cs="Arial" w:eastAsia="Arial" w:hAnsi="Arial"/>
                <w:sz w:val="13"/>
                <w:szCs w:val="13"/>
                <w:color w:val="666666"/>
              </w:rPr>
              <w:t>• Expertise in finance, financial reporting, compliance and controls, and global businesses.</w:t>
            </w:r>
          </w:p>
        </w:tc>
      </w:tr>
      <w:tr>
        <w:trPr>
          <w:trHeight w:val="546"/>
        </w:trPr>
        <w:tc>
          <w:tcPr>
            <w:tcW w:w="2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80" w:type="dxa"/>
            <w:vAlign w:val="bottom"/>
          </w:tcPr>
          <w:p>
            <w:pPr>
              <w:ind w:left="3320"/>
              <w:spacing w:after="0"/>
              <w:rPr>
                <w:sz w:val="20"/>
                <w:szCs w:val="20"/>
                <w:color w:val="auto"/>
              </w:rPr>
            </w:pPr>
            <w:r>
              <w:rPr>
                <w:rFonts w:ascii="Arial" w:cs="Arial" w:eastAsia="Arial" w:hAnsi="Arial"/>
                <w:sz w:val="13"/>
                <w:szCs w:val="13"/>
                <w:b w:val="1"/>
                <w:bCs w:val="1"/>
                <w:color w:val="666666"/>
              </w:rPr>
              <w:t>Principal Occupation, Business</w:t>
            </w:r>
          </w:p>
        </w:tc>
      </w:tr>
      <w:tr>
        <w:trPr>
          <w:trHeight w:val="181"/>
        </w:trPr>
        <w:tc>
          <w:tcPr>
            <w:tcW w:w="2400" w:type="dxa"/>
            <w:vAlign w:val="bottom"/>
            <w:tcBorders>
              <w:bottom w:val="single" w:sz="8" w:color="666666"/>
            </w:tcBorders>
          </w:tcPr>
          <w:p>
            <w:pPr>
              <w:ind w:left="960"/>
              <w:spacing w:after="0"/>
              <w:rPr>
                <w:sz w:val="20"/>
                <w:szCs w:val="20"/>
                <w:color w:val="auto"/>
              </w:rPr>
            </w:pPr>
            <w:r>
              <w:rPr>
                <w:rFonts w:ascii="Arial" w:cs="Arial" w:eastAsia="Arial" w:hAnsi="Arial"/>
                <w:sz w:val="13"/>
                <w:szCs w:val="13"/>
                <w:b w:val="1"/>
                <w:bCs w:val="1"/>
                <w:color w:val="666666"/>
              </w:rPr>
              <w:t>Director</w:t>
            </w:r>
          </w:p>
        </w:tc>
        <w:tc>
          <w:tcPr>
            <w:tcW w:w="460" w:type="dxa"/>
            <w:vAlign w:val="bottom"/>
          </w:tcPr>
          <w:p>
            <w:pPr>
              <w:spacing w:after="0"/>
              <w:rPr>
                <w:sz w:val="15"/>
                <w:szCs w:val="15"/>
                <w:color w:val="auto"/>
              </w:rPr>
            </w:pPr>
          </w:p>
        </w:tc>
        <w:tc>
          <w:tcPr>
            <w:tcW w:w="8580" w:type="dxa"/>
            <w:vAlign w:val="bottom"/>
            <w:tcBorders>
              <w:bottom w:val="single" w:sz="8" w:color="666666"/>
            </w:tcBorders>
          </w:tcPr>
          <w:p>
            <w:pPr>
              <w:ind w:left="3040"/>
              <w:spacing w:after="0"/>
              <w:rPr>
                <w:sz w:val="20"/>
                <w:szCs w:val="20"/>
                <w:color w:val="auto"/>
              </w:rPr>
            </w:pPr>
            <w:r>
              <w:rPr>
                <w:rFonts w:ascii="Arial" w:cs="Arial" w:eastAsia="Arial" w:hAnsi="Arial"/>
                <w:sz w:val="13"/>
                <w:szCs w:val="13"/>
                <w:b w:val="1"/>
                <w:bCs w:val="1"/>
                <w:color w:val="666666"/>
              </w:rPr>
              <w:t>Experience and Other Directorships Held</w:t>
            </w:r>
          </w:p>
        </w:tc>
      </w:tr>
      <w:tr>
        <w:trPr>
          <w:trHeight w:val="368"/>
        </w:trPr>
        <w:tc>
          <w:tcPr>
            <w:tcW w:w="2400" w:type="dxa"/>
            <w:vAlign w:val="bottom"/>
          </w:tcPr>
          <w:p>
            <w:pPr>
              <w:ind w:left="20"/>
              <w:spacing w:after="0"/>
              <w:rPr>
                <w:sz w:val="20"/>
                <w:szCs w:val="20"/>
                <w:color w:val="auto"/>
              </w:rPr>
            </w:pPr>
            <w:r>
              <w:rPr>
                <w:rFonts w:ascii="Arial" w:cs="Arial" w:eastAsia="Arial" w:hAnsi="Arial"/>
                <w:sz w:val="13"/>
                <w:szCs w:val="13"/>
                <w:color w:val="5E5E61"/>
              </w:rPr>
              <w:t>Ralph W. Shrader</w:t>
            </w:r>
          </w:p>
        </w:tc>
        <w:tc>
          <w:tcPr>
            <w:tcW w:w="46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666666"/>
              </w:rPr>
              <w:t>Dr. Shrader is our Chairman and has served in this position since 2008. He previously served as our Chief Executive Officer from 2008 to December</w:t>
            </w:r>
          </w:p>
        </w:tc>
      </w:tr>
      <w:tr>
        <w:trPr>
          <w:trHeight w:val="144"/>
        </w:trPr>
        <w:tc>
          <w:tcPr>
            <w:tcW w:w="2400" w:type="dxa"/>
            <w:vAlign w:val="bottom"/>
          </w:tcPr>
          <w:p>
            <w:pPr>
              <w:ind w:left="20"/>
              <w:spacing w:after="0" w:line="144" w:lineRule="exact"/>
              <w:rPr>
                <w:sz w:val="20"/>
                <w:szCs w:val="20"/>
                <w:color w:val="auto"/>
              </w:rPr>
            </w:pPr>
            <w:r>
              <w:rPr>
                <w:rFonts w:ascii="Arial" w:cs="Arial" w:eastAsia="Arial" w:hAnsi="Arial"/>
                <w:sz w:val="13"/>
                <w:szCs w:val="13"/>
                <w:color w:val="5E5E61"/>
              </w:rPr>
              <w:t>(Class I)</w:t>
            </w:r>
          </w:p>
        </w:tc>
        <w:tc>
          <w:tcPr>
            <w:tcW w:w="460" w:type="dxa"/>
            <w:vAlign w:val="bottom"/>
          </w:tcPr>
          <w:p>
            <w:pPr>
              <w:spacing w:after="0"/>
              <w:rPr>
                <w:sz w:val="12"/>
                <w:szCs w:val="12"/>
                <w:color w:val="auto"/>
              </w:rPr>
            </w:pPr>
          </w:p>
        </w:tc>
        <w:tc>
          <w:tcPr>
            <w:tcW w:w="8580" w:type="dxa"/>
            <w:vAlign w:val="bottom"/>
          </w:tcPr>
          <w:p>
            <w:pPr>
              <w:ind w:left="20"/>
              <w:spacing w:after="0" w:line="144" w:lineRule="exact"/>
              <w:rPr>
                <w:sz w:val="20"/>
                <w:szCs w:val="20"/>
                <w:color w:val="auto"/>
              </w:rPr>
            </w:pPr>
            <w:r>
              <w:rPr>
                <w:rFonts w:ascii="Arial" w:cs="Arial" w:eastAsia="Arial" w:hAnsi="Arial"/>
                <w:sz w:val="13"/>
                <w:szCs w:val="13"/>
                <w:color w:val="666666"/>
              </w:rPr>
              <w:t>31, 2014 and as our President from 2008 to December 31, 2013. He has also served as Chairman of Booz Allen Hamilton Inc. since 1999 and as</w:t>
            </w:r>
          </w:p>
        </w:tc>
      </w:tr>
      <w:tr>
        <w:trPr>
          <w:trHeight w:val="144"/>
        </w:trPr>
        <w:tc>
          <w:tcPr>
            <w:tcW w:w="2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580" w:type="dxa"/>
            <w:vAlign w:val="bottom"/>
          </w:tcPr>
          <w:p>
            <w:pPr>
              <w:ind w:left="20"/>
              <w:spacing w:after="0" w:line="144" w:lineRule="exact"/>
              <w:rPr>
                <w:sz w:val="20"/>
                <w:szCs w:val="20"/>
                <w:color w:val="auto"/>
              </w:rPr>
            </w:pPr>
            <w:r>
              <w:rPr>
                <w:rFonts w:ascii="Arial" w:cs="Arial" w:eastAsia="Arial" w:hAnsi="Arial"/>
                <w:sz w:val="13"/>
                <w:szCs w:val="13"/>
                <w:color w:val="666666"/>
                <w:w w:val="99"/>
              </w:rPr>
              <w:t>Chief Executive Officer of Booz Allen Hamilton Inc. from 1999 to December 31, 2014. Dr. Shrader has been an employee of our Company since 1974.</w:t>
            </w:r>
          </w:p>
        </w:tc>
      </w:tr>
      <w:tr>
        <w:trPr>
          <w:trHeight w:val="144"/>
        </w:trPr>
        <w:tc>
          <w:tcPr>
            <w:tcW w:w="2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580" w:type="dxa"/>
            <w:vAlign w:val="bottom"/>
          </w:tcPr>
          <w:p>
            <w:pPr>
              <w:ind w:left="20"/>
              <w:spacing w:after="0" w:line="144" w:lineRule="exact"/>
              <w:rPr>
                <w:sz w:val="20"/>
                <w:szCs w:val="20"/>
                <w:color w:val="auto"/>
              </w:rPr>
            </w:pPr>
            <w:r>
              <w:rPr>
                <w:rFonts w:ascii="Arial" w:cs="Arial" w:eastAsia="Arial" w:hAnsi="Arial"/>
                <w:sz w:val="13"/>
                <w:szCs w:val="13"/>
                <w:color w:val="666666"/>
              </w:rPr>
              <w:t>He is the seventh chairman since our Company's founding in 1914 and has led our Company through a significant period of growth and strategic</w:t>
            </w:r>
          </w:p>
        </w:tc>
      </w:tr>
      <w:tr>
        <w:trPr>
          <w:trHeight w:val="144"/>
        </w:trPr>
        <w:tc>
          <w:tcPr>
            <w:tcW w:w="2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580" w:type="dxa"/>
            <w:vAlign w:val="bottom"/>
          </w:tcPr>
          <w:p>
            <w:pPr>
              <w:ind w:left="20"/>
              <w:spacing w:after="0" w:line="144" w:lineRule="exact"/>
              <w:rPr>
                <w:sz w:val="20"/>
                <w:szCs w:val="20"/>
                <w:color w:val="auto"/>
              </w:rPr>
            </w:pPr>
            <w:r>
              <w:rPr>
                <w:rFonts w:ascii="Arial" w:cs="Arial" w:eastAsia="Arial" w:hAnsi="Arial"/>
                <w:sz w:val="13"/>
                <w:szCs w:val="13"/>
                <w:color w:val="666666"/>
              </w:rPr>
              <w:t>realignment. Dr. Shrader is active in professional and charitable organizations, and was previously Chairman of the Armed Forces Communications</w:t>
            </w:r>
          </w:p>
        </w:tc>
      </w:tr>
      <w:tr>
        <w:trPr>
          <w:trHeight w:val="172"/>
        </w:trPr>
        <w:tc>
          <w:tcPr>
            <w:tcW w:w="2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666666"/>
              </w:rPr>
              <w:t>and Electronics Association.</w:t>
            </w:r>
          </w:p>
        </w:tc>
      </w:tr>
      <w:tr>
        <w:trPr>
          <w:trHeight w:val="1028"/>
        </w:trPr>
        <w:tc>
          <w:tcPr>
            <w:tcW w:w="2400" w:type="dxa"/>
            <w:vAlign w:val="bottom"/>
          </w:tcPr>
          <w:p>
            <w:pPr>
              <w:ind w:left="20"/>
              <w:spacing w:after="0"/>
              <w:rPr>
                <w:sz w:val="20"/>
                <w:szCs w:val="20"/>
                <w:color w:val="auto"/>
              </w:rPr>
            </w:pPr>
            <w:r>
              <w:rPr>
                <w:rFonts w:ascii="Arial" w:cs="Arial" w:eastAsia="Arial" w:hAnsi="Arial"/>
                <w:sz w:val="13"/>
                <w:szCs w:val="13"/>
                <w:color w:val="666666"/>
              </w:rPr>
              <w:t>Age: 73</w:t>
            </w:r>
          </w:p>
        </w:tc>
        <w:tc>
          <w:tcPr>
            <w:tcW w:w="46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666666"/>
              </w:rPr>
              <w:t>Specific qualifications, experience, skills, and expertise include:</w:t>
            </w:r>
          </w:p>
        </w:tc>
      </w:tr>
      <w:tr>
        <w:trPr>
          <w:trHeight w:val="144"/>
        </w:trPr>
        <w:tc>
          <w:tcPr>
            <w:tcW w:w="2400" w:type="dxa"/>
            <w:vAlign w:val="bottom"/>
          </w:tcPr>
          <w:p>
            <w:pPr>
              <w:ind w:left="20"/>
              <w:spacing w:after="0" w:line="144" w:lineRule="exact"/>
              <w:rPr>
                <w:sz w:val="20"/>
                <w:szCs w:val="20"/>
                <w:color w:val="auto"/>
              </w:rPr>
            </w:pPr>
            <w:r>
              <w:rPr>
                <w:rFonts w:ascii="Arial" w:cs="Arial" w:eastAsia="Arial" w:hAnsi="Arial"/>
                <w:sz w:val="13"/>
                <w:szCs w:val="13"/>
                <w:color w:val="666666"/>
              </w:rPr>
              <w:t>Director since: 2008</w:t>
            </w:r>
          </w:p>
        </w:tc>
        <w:tc>
          <w:tcPr>
            <w:tcW w:w="460" w:type="dxa"/>
            <w:vAlign w:val="bottom"/>
          </w:tcPr>
          <w:p>
            <w:pPr>
              <w:spacing w:after="0"/>
              <w:rPr>
                <w:sz w:val="12"/>
                <w:szCs w:val="12"/>
                <w:color w:val="auto"/>
              </w:rPr>
            </w:pPr>
          </w:p>
        </w:tc>
        <w:tc>
          <w:tcPr>
            <w:tcW w:w="8580" w:type="dxa"/>
            <w:vAlign w:val="bottom"/>
          </w:tcPr>
          <w:p>
            <w:pPr>
              <w:spacing w:after="0"/>
              <w:rPr>
                <w:sz w:val="12"/>
                <w:szCs w:val="12"/>
                <w:color w:val="auto"/>
              </w:rPr>
            </w:pPr>
          </w:p>
        </w:tc>
      </w:tr>
      <w:tr>
        <w:trPr>
          <w:trHeight w:val="144"/>
        </w:trPr>
        <w:tc>
          <w:tcPr>
            <w:tcW w:w="2400" w:type="dxa"/>
            <w:vAlign w:val="bottom"/>
          </w:tcPr>
          <w:p>
            <w:pPr>
              <w:ind w:left="20"/>
              <w:spacing w:after="0" w:line="144" w:lineRule="exact"/>
              <w:rPr>
                <w:sz w:val="20"/>
                <w:szCs w:val="20"/>
                <w:color w:val="auto"/>
              </w:rPr>
            </w:pPr>
            <w:r>
              <w:rPr>
                <w:rFonts w:ascii="Arial" w:cs="Arial" w:eastAsia="Arial" w:hAnsi="Arial"/>
                <w:sz w:val="13"/>
                <w:szCs w:val="13"/>
                <w:color w:val="666666"/>
              </w:rPr>
              <w:t>Chairman</w:t>
            </w:r>
          </w:p>
        </w:tc>
        <w:tc>
          <w:tcPr>
            <w:tcW w:w="460" w:type="dxa"/>
            <w:vAlign w:val="bottom"/>
          </w:tcPr>
          <w:p>
            <w:pPr>
              <w:spacing w:after="0"/>
              <w:rPr>
                <w:sz w:val="12"/>
                <w:szCs w:val="12"/>
                <w:color w:val="auto"/>
              </w:rPr>
            </w:pPr>
          </w:p>
        </w:tc>
        <w:tc>
          <w:tcPr>
            <w:tcW w:w="8580" w:type="dxa"/>
            <w:vAlign w:val="bottom"/>
          </w:tcPr>
          <w:p>
            <w:pPr>
              <w:ind w:left="80"/>
              <w:spacing w:after="0" w:line="144" w:lineRule="exact"/>
              <w:rPr>
                <w:sz w:val="20"/>
                <w:szCs w:val="20"/>
                <w:color w:val="auto"/>
              </w:rPr>
            </w:pPr>
            <w:r>
              <w:rPr>
                <w:rFonts w:ascii="Arial" w:cs="Arial" w:eastAsia="Arial" w:hAnsi="Arial"/>
                <w:sz w:val="13"/>
                <w:szCs w:val="13"/>
                <w:color w:val="666666"/>
              </w:rPr>
              <w:t>• Operating and management experience;</w:t>
            </w:r>
          </w:p>
        </w:tc>
      </w:tr>
      <w:tr>
        <w:trPr>
          <w:trHeight w:val="144"/>
        </w:trPr>
        <w:tc>
          <w:tcPr>
            <w:tcW w:w="2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580" w:type="dxa"/>
            <w:vAlign w:val="bottom"/>
          </w:tcPr>
          <w:p>
            <w:pPr>
              <w:ind w:left="80"/>
              <w:spacing w:after="0" w:line="144" w:lineRule="exact"/>
              <w:rPr>
                <w:sz w:val="20"/>
                <w:szCs w:val="20"/>
                <w:color w:val="auto"/>
              </w:rPr>
            </w:pPr>
            <w:r>
              <w:rPr>
                <w:rFonts w:ascii="Arial" w:cs="Arial" w:eastAsia="Arial" w:hAnsi="Arial"/>
                <w:sz w:val="13"/>
                <w:szCs w:val="13"/>
                <w:color w:val="666666"/>
              </w:rPr>
              <w:t>• Understanding of government contracting;</w:t>
            </w:r>
          </w:p>
        </w:tc>
      </w:tr>
      <w:tr>
        <w:trPr>
          <w:trHeight w:val="144"/>
        </w:trPr>
        <w:tc>
          <w:tcPr>
            <w:tcW w:w="2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580" w:type="dxa"/>
            <w:vAlign w:val="bottom"/>
          </w:tcPr>
          <w:p>
            <w:pPr>
              <w:ind w:left="80"/>
              <w:spacing w:after="0" w:line="144" w:lineRule="exact"/>
              <w:rPr>
                <w:sz w:val="20"/>
                <w:szCs w:val="20"/>
                <w:color w:val="auto"/>
              </w:rPr>
            </w:pPr>
            <w:r>
              <w:rPr>
                <w:rFonts w:ascii="Arial" w:cs="Arial" w:eastAsia="Arial" w:hAnsi="Arial"/>
                <w:sz w:val="13"/>
                <w:szCs w:val="13"/>
                <w:color w:val="666666"/>
              </w:rPr>
              <w:t>• Core business skills, including financial and strategic planning; and</w:t>
            </w:r>
          </w:p>
        </w:tc>
      </w:tr>
      <w:tr>
        <w:trPr>
          <w:trHeight w:val="144"/>
        </w:trPr>
        <w:tc>
          <w:tcPr>
            <w:tcW w:w="2400" w:type="dxa"/>
            <w:vAlign w:val="bottom"/>
          </w:tcPr>
          <w:p>
            <w:pPr>
              <w:ind w:left="20"/>
              <w:spacing w:after="0" w:line="144" w:lineRule="exact"/>
              <w:rPr>
                <w:sz w:val="20"/>
                <w:szCs w:val="20"/>
                <w:color w:val="auto"/>
              </w:rPr>
            </w:pPr>
            <w:r>
              <w:rPr>
                <w:rFonts w:ascii="Arial" w:cs="Arial" w:eastAsia="Arial" w:hAnsi="Arial"/>
                <w:sz w:val="13"/>
                <w:szCs w:val="13"/>
                <w:i w:val="1"/>
                <w:iCs w:val="1"/>
                <w:color w:val="666666"/>
              </w:rPr>
              <w:t>Committee:</w:t>
            </w:r>
          </w:p>
        </w:tc>
        <w:tc>
          <w:tcPr>
            <w:tcW w:w="460" w:type="dxa"/>
            <w:vAlign w:val="bottom"/>
          </w:tcPr>
          <w:p>
            <w:pPr>
              <w:spacing w:after="0"/>
              <w:rPr>
                <w:sz w:val="12"/>
                <w:szCs w:val="12"/>
                <w:color w:val="auto"/>
              </w:rPr>
            </w:pPr>
          </w:p>
        </w:tc>
        <w:tc>
          <w:tcPr>
            <w:tcW w:w="8580" w:type="dxa"/>
            <w:vAlign w:val="bottom"/>
          </w:tcPr>
          <w:p>
            <w:pPr>
              <w:ind w:left="80"/>
              <w:spacing w:after="0" w:line="144" w:lineRule="exact"/>
              <w:rPr>
                <w:sz w:val="20"/>
                <w:szCs w:val="20"/>
                <w:color w:val="auto"/>
              </w:rPr>
            </w:pPr>
            <w:r>
              <w:rPr>
                <w:rFonts w:ascii="Arial" w:cs="Arial" w:eastAsia="Arial" w:hAnsi="Arial"/>
                <w:sz w:val="13"/>
                <w:szCs w:val="13"/>
                <w:color w:val="666666"/>
              </w:rPr>
              <w:t>• Deep understanding of our Company, its history, and culture.</w:t>
            </w:r>
          </w:p>
        </w:tc>
      </w:tr>
      <w:tr>
        <w:trPr>
          <w:trHeight w:val="172"/>
        </w:trPr>
        <w:tc>
          <w:tcPr>
            <w:tcW w:w="2400" w:type="dxa"/>
            <w:vAlign w:val="bottom"/>
          </w:tcPr>
          <w:p>
            <w:pPr>
              <w:ind w:left="60"/>
              <w:spacing w:after="0"/>
              <w:rPr>
                <w:sz w:val="20"/>
                <w:szCs w:val="20"/>
                <w:color w:val="auto"/>
              </w:rPr>
            </w:pPr>
            <w:r>
              <w:rPr>
                <w:rFonts w:ascii="Arial" w:cs="Arial" w:eastAsia="Arial" w:hAnsi="Arial"/>
                <w:sz w:val="13"/>
                <w:szCs w:val="13"/>
                <w:color w:val="666666"/>
              </w:rPr>
              <w:t>• Executive (Chair)</w:t>
            </w:r>
          </w:p>
        </w:tc>
        <w:tc>
          <w:tcPr>
            <w:tcW w:w="460" w:type="dxa"/>
            <w:vAlign w:val="bottom"/>
          </w:tcPr>
          <w:p>
            <w:pPr>
              <w:spacing w:after="0"/>
              <w:rPr>
                <w:sz w:val="14"/>
                <w:szCs w:val="14"/>
                <w:color w:val="auto"/>
              </w:rPr>
            </w:pPr>
          </w:p>
        </w:tc>
        <w:tc>
          <w:tcPr>
            <w:tcW w:w="8580" w:type="dxa"/>
            <w:vAlign w:val="bottom"/>
          </w:tcPr>
          <w:p>
            <w:pPr>
              <w:spacing w:after="0"/>
              <w:rPr>
                <w:sz w:val="14"/>
                <w:szCs w:val="14"/>
                <w:color w:val="auto"/>
              </w:rPr>
            </w:pPr>
          </w:p>
        </w:tc>
      </w:tr>
      <w:tr>
        <w:trPr>
          <w:trHeight w:val="634"/>
        </w:trPr>
        <w:tc>
          <w:tcPr>
            <w:tcW w:w="2400" w:type="dxa"/>
            <w:vAlign w:val="bottom"/>
          </w:tcPr>
          <w:p>
            <w:pPr>
              <w:spacing w:after="0"/>
              <w:rPr>
                <w:sz w:val="24"/>
                <w:szCs w:val="24"/>
                <w:color w:val="auto"/>
              </w:rPr>
            </w:pPr>
          </w:p>
        </w:tc>
        <w:tc>
          <w:tcPr>
            <w:tcW w:w="9040" w:type="dxa"/>
            <w:vAlign w:val="bottom"/>
            <w:gridSpan w:val="2"/>
          </w:tcPr>
          <w:p>
            <w:pPr>
              <w:ind w:left="3240"/>
              <w:spacing w:after="0"/>
              <w:rPr>
                <w:sz w:val="20"/>
                <w:szCs w:val="20"/>
                <w:color w:val="auto"/>
              </w:rPr>
            </w:pPr>
            <w:r>
              <w:rPr>
                <w:rFonts w:ascii="Arial" w:cs="Arial" w:eastAsia="Arial" w:hAnsi="Arial"/>
                <w:sz w:val="13"/>
                <w:szCs w:val="13"/>
                <w:color w:val="666666"/>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-4286885</wp:posOffset>
            </wp:positionV>
            <wp:extent cx="810895" cy="810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0895" cy="81089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-1878330</wp:posOffset>
            </wp:positionV>
            <wp:extent cx="804545" cy="804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04545" cy="804545"/>
                    </a:xfrm>
                    <a:prstGeom prst="rect">
                      <a:avLst/>
                    </a:prstGeom>
                    <a:noFill/>
                  </pic:spPr>
                </pic:pic>
              </a:graphicData>
            </a:graphic>
          </wp:anchor>
        </w:drawing>
      </w:r>
    </w:p>
    <w:p>
      <w:pPr>
        <w:sectPr>
          <w:pgSz w:w="11900" w:h="16838" w:orient="portrait"/>
          <w:cols w:equalWidth="0" w:num="1">
            <w:col w:w="11440"/>
          </w:cols>
          <w:pgMar w:left="240" w:top="559" w:right="219" w:bottom="1440" w:gutter="0" w:footer="0" w:header="0"/>
        </w:sectPr>
      </w:pPr>
    </w:p>
    <w:bookmarkStart w:id="19" w:name="page20"/>
    <w:bookmarkEnd w:id="19"/>
    <w:p>
      <w:pPr>
        <w:spacing w:after="0"/>
        <w:rPr>
          <w:sz w:val="20"/>
          <w:szCs w:val="20"/>
          <w:color w:val="auto"/>
        </w:rPr>
      </w:pPr>
      <w:r>
        <w:rPr>
          <w:rFonts w:ascii="Arial" w:cs="Arial" w:eastAsia="Arial" w:hAnsi="Arial"/>
          <w:sz w:val="12"/>
          <w:szCs w:val="12"/>
          <w:color w:val="666666"/>
        </w:rPr>
        <w:t>Joan Lordi C. Amble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666666"/>
        </w:rPr>
        <w:t>(Class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810895" cy="810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0895" cy="810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36" w:lineRule="auto"/>
        <w:rPr>
          <w:sz w:val="20"/>
          <w:szCs w:val="20"/>
          <w:color w:val="auto"/>
        </w:rPr>
      </w:pPr>
      <w:r>
        <w:rPr>
          <w:rFonts w:ascii="Arial" w:cs="Arial" w:eastAsia="Arial" w:hAnsi="Arial"/>
          <w:sz w:val="13"/>
          <w:szCs w:val="13"/>
          <w:color w:val="666666"/>
        </w:rPr>
        <w:t>Ms. Amble was the Executive Vice President, Finance for the American Express Company from May 2011 to December 2011, and also served as its Executive Vice President and Corporate Comptroller from December 2003 until May 2011. Prior to joining American Express, Ms. Amble served as Chief Operating Officer and Chief Financial Officer of GE Capital Markets, a service business within GE Capital Services, Inc., overseeing securitizations, debt placement, and syndication, as well as structured equity transactions. From 1994 to March 2003, Ms. Amble served as vice president and controller for GE Capital and GE Financial Services. Ms. Amble is the President of JCA Consulting, LLC, and serves on the boards of directors of Zurich Insurance Group since April 2015, XM Radio Inc. since 2006, and the merged Sirius XM Holdings Inc. since 2008. In addition, she serves as an independent advisor to the Control and Risk Committee of the Executive Committee of the Societe General, N.A. board and has been a member of the Standing Advisory Group for the Public Company Accounting Oversight Board since 2014. Ms. Amble also served as a director at Brown-Forman Corporation from 2011 to 2016 and Broadcom Corporation from 2009 to 2011.</w:t>
      </w:r>
    </w:p>
    <w:p>
      <w:pPr>
        <w:spacing w:after="0" w:line="200" w:lineRule="exact"/>
        <w:rPr>
          <w:sz w:val="20"/>
          <w:szCs w:val="20"/>
          <w:color w:val="auto"/>
        </w:rPr>
      </w:pPr>
    </w:p>
    <w:p>
      <w:pPr>
        <w:sectPr>
          <w:pgSz w:w="11900" w:h="16838" w:orient="portrait"/>
          <w:cols w:equalWidth="0" w:num="2">
            <w:col w:w="2140" w:space="720"/>
            <w:col w:w="8520"/>
          </w:cols>
          <w:pgMar w:left="260" w:top="565" w:right="25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666666"/>
        </w:rPr>
        <w:t>Age: 65</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666666"/>
        </w:rPr>
        <w:t>Specific qualifications, experience, skills, and expertise include:</w:t>
      </w:r>
    </w:p>
    <w:p>
      <w:pPr>
        <w:spacing w:after="0" w:line="34" w:lineRule="exact"/>
        <w:rPr>
          <w:sz w:val="20"/>
          <w:szCs w:val="20"/>
          <w:color w:val="auto"/>
        </w:rPr>
      </w:pPr>
    </w:p>
    <w:p>
      <w:pPr>
        <w:sectPr>
          <w:pgSz w:w="11900" w:h="16838" w:orient="portrait"/>
          <w:cols w:equalWidth="0" w:num="2">
            <w:col w:w="2140" w:space="720"/>
            <w:col w:w="8520"/>
          </w:cols>
          <w:pgMar w:left="260" w:top="565" w:right="259" w:bottom="1440" w:gutter="0" w:footer="0" w:header="0"/>
          <w:type w:val="continuous"/>
        </w:sectPr>
      </w:pPr>
    </w:p>
    <w:p>
      <w:pPr>
        <w:spacing w:after="0"/>
        <w:rPr>
          <w:sz w:val="20"/>
          <w:szCs w:val="20"/>
          <w:color w:val="auto"/>
        </w:rPr>
      </w:pPr>
      <w:r>
        <w:rPr>
          <w:rFonts w:ascii="Arial" w:cs="Arial" w:eastAsia="Arial" w:hAnsi="Arial"/>
          <w:sz w:val="12"/>
          <w:szCs w:val="12"/>
          <w:color w:val="666666"/>
        </w:rPr>
        <w:t>Director since: 2012</w:t>
      </w:r>
    </w:p>
    <w:p>
      <w:pPr>
        <w:sectPr>
          <w:pgSz w:w="11900" w:h="16838" w:orient="portrait"/>
          <w:cols w:equalWidth="0" w:num="1">
            <w:col w:w="11380"/>
          </w:cols>
          <w:pgMar w:left="260" w:top="565" w:right="2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666666"/>
        </w:rPr>
        <w:t>Independent</w:t>
      </w: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i w:val="1"/>
          <w:iCs w:val="1"/>
          <w:color w:val="666666"/>
        </w:rPr>
        <w:t>Committee: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color w:val="666666"/>
        </w:rPr>
        <w:t>• Audit</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3"/>
          <w:szCs w:val="13"/>
          <w:color w:val="666666"/>
        </w:rPr>
        <w:t>• Public company directorship and audit committee experience;</w:t>
      </w:r>
    </w:p>
    <w:p>
      <w:pPr>
        <w:spacing w:after="0" w:line="232" w:lineRule="auto"/>
        <w:rPr>
          <w:sz w:val="20"/>
          <w:szCs w:val="20"/>
          <w:color w:val="auto"/>
        </w:rPr>
      </w:pPr>
      <w:r>
        <w:rPr>
          <w:rFonts w:ascii="Arial" w:cs="Arial" w:eastAsia="Arial" w:hAnsi="Arial"/>
          <w:sz w:val="13"/>
          <w:szCs w:val="13"/>
          <w:color w:val="666666"/>
        </w:rPr>
        <w:t>• Operating and management experience;</w:t>
      </w:r>
    </w:p>
    <w:p>
      <w:pPr>
        <w:spacing w:after="0" w:line="231" w:lineRule="auto"/>
        <w:rPr>
          <w:sz w:val="20"/>
          <w:szCs w:val="20"/>
          <w:color w:val="auto"/>
        </w:rPr>
      </w:pPr>
      <w:r>
        <w:rPr>
          <w:rFonts w:ascii="Arial" w:cs="Arial" w:eastAsia="Arial" w:hAnsi="Arial"/>
          <w:sz w:val="13"/>
          <w:szCs w:val="13"/>
          <w:color w:val="666666"/>
        </w:rPr>
        <w:t>• Core business skills, including financial and strategic planning; and</w:t>
      </w:r>
    </w:p>
    <w:p>
      <w:pPr>
        <w:spacing w:after="0"/>
        <w:rPr>
          <w:sz w:val="20"/>
          <w:szCs w:val="20"/>
          <w:color w:val="auto"/>
        </w:rPr>
      </w:pPr>
      <w:r>
        <w:rPr>
          <w:rFonts w:ascii="Arial" w:cs="Arial" w:eastAsia="Arial" w:hAnsi="Arial"/>
          <w:sz w:val="12"/>
          <w:szCs w:val="12"/>
          <w:color w:val="666666"/>
        </w:rPr>
        <w:t>• Expertise in finance, financial reporting, compliance and controls and global businesses.</w:t>
      </w:r>
    </w:p>
    <w:p>
      <w:pPr>
        <w:spacing w:after="0" w:line="355" w:lineRule="exact"/>
        <w:rPr>
          <w:sz w:val="20"/>
          <w:szCs w:val="20"/>
          <w:color w:val="auto"/>
        </w:rPr>
      </w:pPr>
    </w:p>
    <w:p>
      <w:pPr>
        <w:sectPr>
          <w:pgSz w:w="11900" w:h="16838" w:orient="portrait"/>
          <w:cols w:equalWidth="0" w:num="2">
            <w:col w:w="2200" w:space="720"/>
            <w:col w:w="8460"/>
          </w:cols>
          <w:pgMar w:left="260" w:top="565" w:right="25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5E5E61"/>
        </w:rPr>
        <w:t>Peter Clare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5E5E61"/>
        </w:rPr>
        <w:t>(Class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804545" cy="804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04545" cy="804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3"/>
          <w:szCs w:val="13"/>
          <w:color w:val="666666"/>
        </w:rPr>
        <w:t>Mr. Clare is a Managing Director and Co-Chief Investment Officer for Corporate Private Equity of Carlyle, as well as Co-Head of its U.S. Buyout Group. Mr. Clare has been with Carlyle since 1992. Mr. Clare served as a director of Wesco Aircraft Holdings, Inc. from 2006 to 2012, ARINC Incorporated from 2007 to 2013, Pharmaceutical Product Development, LLC from 2011 to 2015, CommScope, Inc. from 2011 to 2015, Sequa Corporation from 2007 to 2016, and Signode Industrial from 2014-2018 . Effective January 1, 2018, Mr. Clare joined the board of Carlyle Group Management LLC, the general partner of Carlyle.</w:t>
      </w:r>
    </w:p>
    <w:p>
      <w:pPr>
        <w:spacing w:after="0" w:line="200" w:lineRule="exact"/>
        <w:rPr>
          <w:sz w:val="20"/>
          <w:szCs w:val="20"/>
          <w:color w:val="auto"/>
        </w:rPr>
      </w:pPr>
    </w:p>
    <w:p>
      <w:pPr>
        <w:sectPr>
          <w:pgSz w:w="11900" w:h="16838" w:orient="portrait"/>
          <w:cols w:equalWidth="0" w:num="2">
            <w:col w:w="2140" w:space="720"/>
            <w:col w:w="8520"/>
          </w:cols>
          <w:pgMar w:left="260" w:top="56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666666"/>
        </w:rPr>
        <w:t>Age: 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color w:val="666666"/>
        </w:rPr>
        <w:t>Specific qualifications, experience, skills, and expertise include:</w:t>
      </w:r>
    </w:p>
    <w:p>
      <w:pPr>
        <w:spacing w:after="0" w:line="34" w:lineRule="exact"/>
        <w:rPr>
          <w:sz w:val="20"/>
          <w:szCs w:val="20"/>
          <w:color w:val="auto"/>
        </w:rPr>
      </w:pPr>
    </w:p>
    <w:p>
      <w:pPr>
        <w:sectPr>
          <w:pgSz w:w="11900" w:h="16838" w:orient="portrait"/>
          <w:cols w:equalWidth="0" w:num="2">
            <w:col w:w="2140" w:space="720"/>
            <w:col w:w="8520"/>
          </w:cols>
          <w:pgMar w:left="260" w:top="565" w:right="259" w:bottom="1440" w:gutter="0" w:footer="0" w:header="0"/>
          <w:type w:val="continuous"/>
        </w:sectPr>
      </w:pPr>
    </w:p>
    <w:p>
      <w:pPr>
        <w:spacing w:after="0"/>
        <w:rPr>
          <w:sz w:val="20"/>
          <w:szCs w:val="20"/>
          <w:color w:val="auto"/>
        </w:rPr>
      </w:pPr>
      <w:r>
        <w:rPr>
          <w:rFonts w:ascii="Arial" w:cs="Arial" w:eastAsia="Arial" w:hAnsi="Arial"/>
          <w:sz w:val="12"/>
          <w:szCs w:val="12"/>
          <w:color w:val="666666"/>
        </w:rPr>
        <w:t>Director since: 2008</w:t>
      </w:r>
    </w:p>
    <w:p>
      <w:pPr>
        <w:sectPr>
          <w:pgSz w:w="11900" w:h="16838" w:orient="portrait"/>
          <w:cols w:equalWidth="0" w:num="1">
            <w:col w:w="11380"/>
          </w:cols>
          <w:pgMar w:left="260" w:top="565" w:right="25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666666"/>
        </w:rPr>
        <w:t>Independent</w:t>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i w:val="1"/>
          <w:iCs w:val="1"/>
          <w:color w:val="666666"/>
        </w:rPr>
        <w:t>Committees:</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color w:val="666666"/>
        </w:rPr>
        <w:t>• Compensation</w:t>
      </w:r>
    </w:p>
    <w:p>
      <w:pPr>
        <w:ind w:left="40"/>
        <w:spacing w:after="0"/>
        <w:rPr>
          <w:sz w:val="20"/>
          <w:szCs w:val="20"/>
          <w:color w:val="auto"/>
        </w:rPr>
      </w:pPr>
      <w:r>
        <w:rPr>
          <w:rFonts w:ascii="Arial" w:cs="Arial" w:eastAsia="Arial" w:hAnsi="Arial"/>
          <w:sz w:val="12"/>
          <w:szCs w:val="12"/>
          <w:color w:val="666666"/>
        </w:rPr>
        <w:t>• Nominating and Corporate Governance (Chair)</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3"/>
          <w:szCs w:val="13"/>
          <w:color w:val="666666"/>
        </w:rPr>
        <w:t>• Operating experience;</w:t>
      </w:r>
    </w:p>
    <w:p>
      <w:pPr>
        <w:spacing w:after="0" w:line="232" w:lineRule="auto"/>
        <w:rPr>
          <w:sz w:val="20"/>
          <w:szCs w:val="20"/>
          <w:color w:val="auto"/>
        </w:rPr>
      </w:pPr>
      <w:r>
        <w:rPr>
          <w:rFonts w:ascii="Arial" w:cs="Arial" w:eastAsia="Arial" w:hAnsi="Arial"/>
          <w:sz w:val="13"/>
          <w:szCs w:val="13"/>
          <w:color w:val="666666"/>
        </w:rPr>
        <w:t>• Understanding of government contracting;</w:t>
      </w:r>
    </w:p>
    <w:p>
      <w:pPr>
        <w:spacing w:after="0" w:line="231" w:lineRule="auto"/>
        <w:rPr>
          <w:sz w:val="20"/>
          <w:szCs w:val="20"/>
          <w:color w:val="auto"/>
        </w:rPr>
      </w:pPr>
      <w:r>
        <w:rPr>
          <w:rFonts w:ascii="Arial" w:cs="Arial" w:eastAsia="Arial" w:hAnsi="Arial"/>
          <w:sz w:val="13"/>
          <w:szCs w:val="13"/>
          <w:color w:val="666666"/>
        </w:rPr>
        <w:t>• Core business skills, including financial and strategic planning;</w:t>
      </w:r>
    </w:p>
    <w:p>
      <w:pPr>
        <w:spacing w:after="0" w:line="231" w:lineRule="auto"/>
        <w:rPr>
          <w:sz w:val="20"/>
          <w:szCs w:val="20"/>
          <w:color w:val="auto"/>
        </w:rPr>
      </w:pPr>
      <w:r>
        <w:rPr>
          <w:rFonts w:ascii="Arial" w:cs="Arial" w:eastAsia="Arial" w:hAnsi="Arial"/>
          <w:sz w:val="13"/>
          <w:szCs w:val="13"/>
          <w:color w:val="666666"/>
        </w:rPr>
        <w:t>• Public company directorship and committee experience; and</w:t>
      </w:r>
    </w:p>
    <w:p>
      <w:pPr>
        <w:spacing w:after="0"/>
        <w:rPr>
          <w:sz w:val="20"/>
          <w:szCs w:val="20"/>
          <w:color w:val="auto"/>
        </w:rPr>
      </w:pPr>
      <w:r>
        <w:rPr>
          <w:rFonts w:ascii="Arial" w:cs="Arial" w:eastAsia="Arial" w:hAnsi="Arial"/>
          <w:sz w:val="12"/>
          <w:szCs w:val="12"/>
          <w:color w:val="666666"/>
        </w:rPr>
        <w:t>• Expertise in finance, financial reporting, compliance and controls, and global businesses.</w:t>
      </w:r>
    </w:p>
    <w:p>
      <w:pPr>
        <w:spacing w:after="0" w:line="344" w:lineRule="exact"/>
        <w:rPr>
          <w:sz w:val="20"/>
          <w:szCs w:val="20"/>
          <w:color w:val="auto"/>
        </w:rPr>
      </w:pPr>
    </w:p>
    <w:p>
      <w:pPr>
        <w:sectPr>
          <w:pgSz w:w="11900" w:h="16838" w:orient="portrait"/>
          <w:cols w:equalWidth="0" w:num="2">
            <w:col w:w="2780" w:space="140"/>
            <w:col w:w="8460"/>
          </w:cols>
          <w:pgMar w:left="260" w:top="565" w:right="25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666666"/>
        </w:rPr>
        <w:t>11</w:t>
      </w:r>
    </w:p>
    <w:p>
      <w:pPr>
        <w:sectPr>
          <w:pgSz w:w="11900" w:h="16838" w:orient="portrait"/>
          <w:cols w:equalWidth="0" w:num="1">
            <w:col w:w="11380"/>
          </w:cols>
          <w:pgMar w:left="260" w:top="565" w:right="2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2"/>
          <w:szCs w:val="12"/>
          <w:color w:val="666666"/>
        </w:rPr>
        <w:t>Philip A. Odeen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666666"/>
        </w:rPr>
        <w:t>(Class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817245" cy="817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7245" cy="817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3"/>
          <w:szCs w:val="13"/>
          <w:color w:val="666666"/>
        </w:rPr>
        <w:t>Mr. Odeen served as the chairman of the board of directors and lead independent director of AES Corporation from 2009 to 2013, and as a director of AES from 2003 to 2013. Mr. Odeen also served as the chairman of the board of Convergys Corporation ("Convergys") from 2008 to 2013, and as a director of Convergys from 2000 to 2013, QinetiQ North America, Inc., from 2006 to 2014, and ASC Signal Corporation, from 2009 to 2015. He has served as a director of Globant S.A. and DRS since 2013. Mr. Odeen retired as Chairman/Chief Executive Officer of TRW Inc. in December 2002. Mr. Odeen has provided leadership and guidance to our Board as a result of his varied global business, governmental, and non-profit and charitable organizational experience of over 40 years.</w:t>
      </w:r>
    </w:p>
    <w:p>
      <w:pPr>
        <w:spacing w:after="0" w:line="200" w:lineRule="exact"/>
        <w:rPr>
          <w:sz w:val="20"/>
          <w:szCs w:val="20"/>
          <w:color w:val="auto"/>
        </w:rPr>
      </w:pPr>
    </w:p>
    <w:p>
      <w:pPr>
        <w:sectPr>
          <w:pgSz w:w="11900" w:h="16838" w:orient="portrait"/>
          <w:cols w:equalWidth="0" w:num="2">
            <w:col w:w="2140" w:space="720"/>
            <w:col w:w="8520"/>
          </w:cols>
          <w:pgMar w:left="260" w:top="565" w:right="2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color w:val="666666"/>
        </w:rPr>
        <w:t>Age: 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color w:val="666666"/>
        </w:rPr>
        <w:t>Specific qualifications, experience, skills, and expertise include:</w:t>
      </w:r>
    </w:p>
    <w:p>
      <w:pPr>
        <w:spacing w:after="0" w:line="34" w:lineRule="exact"/>
        <w:rPr>
          <w:sz w:val="20"/>
          <w:szCs w:val="20"/>
          <w:color w:val="auto"/>
        </w:rPr>
      </w:pPr>
    </w:p>
    <w:p>
      <w:pPr>
        <w:sectPr>
          <w:pgSz w:w="11900" w:h="16838" w:orient="portrait"/>
          <w:cols w:equalWidth="0" w:num="2">
            <w:col w:w="2140" w:space="720"/>
            <w:col w:w="8520"/>
          </w:cols>
          <w:pgMar w:left="260" w:top="565" w:right="259" w:bottom="1440" w:gutter="0" w:footer="0" w:header="0"/>
          <w:type w:val="continuous"/>
        </w:sectPr>
      </w:pPr>
    </w:p>
    <w:p>
      <w:pPr>
        <w:spacing w:after="0"/>
        <w:rPr>
          <w:sz w:val="20"/>
          <w:szCs w:val="20"/>
          <w:color w:val="auto"/>
        </w:rPr>
      </w:pPr>
      <w:r>
        <w:rPr>
          <w:rFonts w:ascii="Arial" w:cs="Arial" w:eastAsia="Arial" w:hAnsi="Arial"/>
          <w:sz w:val="12"/>
          <w:szCs w:val="12"/>
          <w:color w:val="666666"/>
        </w:rPr>
        <w:t>Director since: 2008</w:t>
      </w:r>
    </w:p>
    <w:p>
      <w:pPr>
        <w:sectPr>
          <w:pgSz w:w="11900" w:h="16838" w:orient="portrait"/>
          <w:cols w:equalWidth="0" w:num="1">
            <w:col w:w="11380"/>
          </w:cols>
          <w:pgMar w:left="260" w:top="565" w:right="25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666666"/>
        </w:rPr>
        <w:t>Independent</w:t>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i w:val="1"/>
          <w:iCs w:val="1"/>
          <w:color w:val="666666"/>
        </w:rPr>
        <w:t>Committees:</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color w:val="666666"/>
        </w:rPr>
        <w:t>• Compensation (Chair)</w:t>
      </w:r>
    </w:p>
    <w:p>
      <w:pPr>
        <w:ind w:left="40"/>
        <w:spacing w:after="0"/>
        <w:rPr>
          <w:sz w:val="20"/>
          <w:szCs w:val="20"/>
          <w:color w:val="auto"/>
        </w:rPr>
      </w:pPr>
      <w:r>
        <w:rPr>
          <w:rFonts w:ascii="Arial" w:cs="Arial" w:eastAsia="Arial" w:hAnsi="Arial"/>
          <w:sz w:val="12"/>
          <w:szCs w:val="12"/>
          <w:color w:val="666666"/>
        </w:rPr>
        <w:t>• Nominating and Corporate Governance</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3"/>
          <w:szCs w:val="13"/>
          <w:color w:val="666666"/>
        </w:rPr>
        <w:t>• Operating and management experience;</w:t>
      </w:r>
    </w:p>
    <w:p>
      <w:pPr>
        <w:spacing w:after="0" w:line="232" w:lineRule="auto"/>
        <w:rPr>
          <w:sz w:val="20"/>
          <w:szCs w:val="20"/>
          <w:color w:val="auto"/>
        </w:rPr>
      </w:pPr>
      <w:r>
        <w:rPr>
          <w:rFonts w:ascii="Arial" w:cs="Arial" w:eastAsia="Arial" w:hAnsi="Arial"/>
          <w:sz w:val="13"/>
          <w:szCs w:val="13"/>
          <w:color w:val="666666"/>
        </w:rPr>
        <w:t>• Core business skills, including financial and strategic planning;</w:t>
      </w:r>
    </w:p>
    <w:p>
      <w:pPr>
        <w:spacing w:after="0" w:line="231" w:lineRule="auto"/>
        <w:rPr>
          <w:sz w:val="20"/>
          <w:szCs w:val="20"/>
          <w:color w:val="auto"/>
        </w:rPr>
      </w:pPr>
      <w:r>
        <w:rPr>
          <w:rFonts w:ascii="Arial" w:cs="Arial" w:eastAsia="Arial" w:hAnsi="Arial"/>
          <w:sz w:val="13"/>
          <w:szCs w:val="13"/>
          <w:color w:val="666666"/>
        </w:rPr>
        <w:t>• Understanding of government contracting;</w:t>
      </w:r>
    </w:p>
    <w:p>
      <w:pPr>
        <w:spacing w:after="0"/>
        <w:rPr>
          <w:sz w:val="20"/>
          <w:szCs w:val="20"/>
          <w:color w:val="auto"/>
        </w:rPr>
      </w:pPr>
      <w:r>
        <w:rPr>
          <w:rFonts w:ascii="Arial" w:cs="Arial" w:eastAsia="Arial" w:hAnsi="Arial"/>
          <w:sz w:val="12"/>
          <w:szCs w:val="12"/>
          <w:color w:val="666666"/>
        </w:rPr>
        <w:t>• Expertise in executive compensation and corporate governance; and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666666"/>
        </w:rPr>
        <w:t>• Public company directorship and committee experience.</w:t>
      </w:r>
    </w:p>
    <w:p>
      <w:pPr>
        <w:spacing w:after="0" w:line="332" w:lineRule="exact"/>
        <w:rPr>
          <w:sz w:val="20"/>
          <w:szCs w:val="20"/>
          <w:color w:val="auto"/>
        </w:rPr>
      </w:pPr>
    </w:p>
    <w:p>
      <w:pPr>
        <w:sectPr>
          <w:pgSz w:w="11900" w:h="16838" w:orient="portrait"/>
          <w:cols w:equalWidth="0" w:num="2">
            <w:col w:w="2340" w:space="580"/>
            <w:col w:w="8460"/>
          </w:cols>
          <w:pgMar w:left="260" w:top="56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666666"/>
        </w:rPr>
        <w:t>12</w:t>
      </w:r>
    </w:p>
    <w:p>
      <w:pPr>
        <w:sectPr>
          <w:pgSz w:w="11900" w:h="16838" w:orient="portrait"/>
          <w:cols w:equalWidth="0" w:num="1">
            <w:col w:w="11380"/>
          </w:cols>
          <w:pgMar w:left="260" w:top="565" w:right="259" w:bottom="1440" w:gutter="0" w:footer="0" w:header="0"/>
          <w:type w:val="continuous"/>
        </w:sectPr>
      </w:pPr>
    </w:p>
    <w:bookmarkStart w:id="21" w:name="page22"/>
    <w:bookmarkEnd w:id="21"/>
    <w:p>
      <w:pPr>
        <w:jc w:val="center"/>
        <w:spacing w:after="0" w:line="297" w:lineRule="auto"/>
        <w:rPr>
          <w:sz w:val="20"/>
          <w:szCs w:val="20"/>
          <w:color w:val="auto"/>
        </w:rPr>
      </w:pPr>
      <w:r>
        <w:rPr>
          <w:rFonts w:ascii="Arial" w:cs="Arial" w:eastAsia="Arial" w:hAnsi="Arial"/>
          <w:sz w:val="22"/>
          <w:szCs w:val="22"/>
          <w:b w:val="1"/>
          <w:bCs w:val="1"/>
          <w:color w:val="547BCC"/>
        </w:rPr>
        <w:t>CORPORATE GOVERNANCE AND GENERAL INFORMATION CONCERNING THE BOARD OF DIRECTORS AND ITS COMMITTEES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Our Board of Directors</w:t>
      </w:r>
    </w:p>
    <w:p>
      <w:pPr>
        <w:spacing w:after="0" w:line="119"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4"/>
          <w:szCs w:val="14"/>
          <w:color w:val="666666"/>
        </w:rPr>
        <w:t>The Board is responsible for providing governance and oversight over the strategy, risk, operations, and management of the Company. The primary focus of the Board is promoting stockholder value by fostering the long-term success of the Company. The Board is responsible for supporting and overseeing management, to which the Board has delegated the responsibility to manage the day-to-day strategy and operations of the Company.</w:t>
      </w:r>
    </w:p>
    <w:p>
      <w:pPr>
        <w:spacing w:after="0" w:line="74" w:lineRule="exact"/>
        <w:rPr>
          <w:sz w:val="20"/>
          <w:szCs w:val="20"/>
          <w:color w:val="auto"/>
        </w:rPr>
      </w:pPr>
    </w:p>
    <w:p>
      <w:pPr>
        <w:jc w:val="both"/>
        <w:ind w:right="20" w:firstLine="230"/>
        <w:spacing w:after="0" w:line="257" w:lineRule="auto"/>
        <w:rPr>
          <w:sz w:val="20"/>
          <w:szCs w:val="20"/>
          <w:color w:val="auto"/>
        </w:rPr>
      </w:pPr>
      <w:r>
        <w:rPr>
          <w:rFonts w:ascii="Arial" w:cs="Arial" w:eastAsia="Arial" w:hAnsi="Arial"/>
          <w:sz w:val="14"/>
          <w:szCs w:val="14"/>
          <w:color w:val="666666"/>
        </w:rPr>
        <w:t>The Board generally holds four regular meetings per year, and special meetings as necessary. The Board meets in executive session during each regular meeting; non-management directors also typically meet in executive sessions during each regular meeting. Consistent with the Company’s Corporate Governance Guidelines, Mr. Clare was appointed by the non-management directors to serve as the Presiding Director on May 23, 2013. The Presiding Director presides over executive sessions at which the Chairman is not present. At least annually, independent directors also meet in executive session during a regular Board meeting.</w:t>
      </w:r>
    </w:p>
    <w:p>
      <w:pPr>
        <w:spacing w:after="0" w:line="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4"/>
          <w:szCs w:val="14"/>
          <w:color w:val="666666"/>
        </w:rPr>
        <w:t>The Board and its committees establish annual calendars of activities to guide the development of their agendas during the year. All directors are invited to propose agenda topics when the annual calendars are established as well as in advance of each regular Board meeting. In addition, directors are encouraged to raise topics that are not on a meeting agenda or suggest topics for future agendas. Each director is provided written materials in advance of each meeting, and the Board and its committees provide feedback to and make requests of management at each of their meetings.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Corporate Governance Guidelines</w:t>
      </w:r>
    </w:p>
    <w:p>
      <w:pPr>
        <w:spacing w:after="0" w:line="119"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4"/>
          <w:szCs w:val="14"/>
          <w:color w:val="666666"/>
        </w:rPr>
        <w:t>As noted above, the Board has adopted Corporate Governance Guidelines. The Board and the Nominating and Corporate Governance Committee are responsible for reviewing and amending these guidelines as they deem necessary and appropriate. The Nominating and Corporate Governance Committee is responsible for overseeing the system of corporate governance of the Company. The Corporate Governance Guidelines are available without charge on the Investor Relations portion of our website, www.boozallen.com.</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Codes of Conduct and Ethics</w:t>
      </w:r>
    </w:p>
    <w:p>
      <w:pPr>
        <w:spacing w:after="0" w:line="119"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4"/>
          <w:szCs w:val="14"/>
          <w:color w:val="666666"/>
        </w:rPr>
        <w:t>Our website also includes the Company’s Code of Business Ethics and Conduct, which is applicable to our directors and all employees, and the Company's Code of Ethics for Senior Financial Officers, each of which was adopted by the Board and each of which may be accessed without charge. The Code of Ethics for Senior Financial Officers applies to the Company’s Chief Executive Officer, Chief Financial Officer, Controller and any other persons performing similar functions. We will disclose on the Investor Relations portion of our website any amendments to the Code of Business Ethics and Conduct or Code of Ethics for Senior Financial Officers and any waiver granted to an executive officer or director under these codes. In fiscal year 2018, no such waivers were sought or granted. The information found on the Company's website is not part of this proxy statement nor is it incorporated into any other filings the Company makes with the Securities and Exchange Commission (the "SEC").</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Board Meetings and Attendance</w:t>
      </w:r>
    </w:p>
    <w:p>
      <w:pPr>
        <w:spacing w:after="0" w:line="11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4"/>
          <w:szCs w:val="14"/>
          <w:color w:val="666666"/>
        </w:rPr>
        <w:t>Directors are expected to attend each Board meeting, each meeting of the committees on which they serve, and the Annual Meeting of Stockholders. During fiscal year 2018, the Board held eight meetings. Each of our directors who served as a director during fiscal year 2018 attended 75% or more of the aggregate total number of meetings of the Board. In addition, each of our directors, except for Mr. Clare, attended 75% or more of the aggregate total number of meetings of the Board Committees on which he or she served. On average, director attendance at Board and Board committee meetings was approximately 88% and 88%, respectively, during fiscal year 2018. All directors who served at the time of our 2017 Annual Meeting of Stockholders attended that meeting.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13</w:t>
      </w:r>
    </w:p>
    <w:p>
      <w:pPr>
        <w:sectPr>
          <w:pgSz w:w="11900" w:h="16838" w:orient="portrait"/>
          <w:cols w:equalWidth="0" w:num="1">
            <w:col w:w="11480"/>
          </w:cols>
          <w:pgMar w:left="220" w:top="441" w:right="19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547BCC"/>
        </w:rPr>
        <w:t>Board Leadership Structure</w:t>
      </w:r>
    </w:p>
    <w:p>
      <w:pPr>
        <w:spacing w:after="0" w:line="119"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4"/>
          <w:szCs w:val="14"/>
          <w:color w:val="666666"/>
        </w:rPr>
        <w:t>As noted in our Corporate Governance Guidelines, the Board has no policy with respect to the separation of the offices of Chairman and Chief Executive Officer. The Board believes that it is important to retain its flexibility to allocate the responsibilities of the offices of the Chairman and Chief Executive Officer in any way that is in the best interests of the Company at a given point in time. The Board has concluded that it is currently in the best interest of the stockholders for Dr. Shrader to continue his service as Chairman, retaining his four decades of experience at the Company with a focus on continuing to build stockholder value, managing risk, and supporting the Company's executive management. In his role as President and Chief Executive Officer, Mr. Rozanski will continue to work closely with the Board in establishing the overall strategy and direction of the Company, and to effectively communicate our strategy to our stockholders, clients, and employees.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Succession Planning and Talent Reviews</w:t>
      </w:r>
    </w:p>
    <w:p>
      <w:pPr>
        <w:spacing w:after="0" w:line="167" w:lineRule="exact"/>
        <w:rPr>
          <w:sz w:val="20"/>
          <w:szCs w:val="20"/>
          <w:color w:val="auto"/>
        </w:rPr>
      </w:pPr>
    </w:p>
    <w:p>
      <w:pPr>
        <w:jc w:val="both"/>
        <w:ind w:right="20" w:firstLine="230"/>
        <w:spacing w:after="0" w:line="253" w:lineRule="auto"/>
        <w:rPr>
          <w:sz w:val="20"/>
          <w:szCs w:val="20"/>
          <w:color w:val="auto"/>
        </w:rPr>
      </w:pPr>
      <w:r>
        <w:rPr>
          <w:rFonts w:ascii="Arial" w:cs="Arial" w:eastAsia="Arial" w:hAnsi="Arial"/>
          <w:sz w:val="14"/>
          <w:szCs w:val="14"/>
          <w:color w:val="666666"/>
        </w:rPr>
        <w:t>The Board believes that executive management succession planning is one of its most important responsibilities. Accordingly, the Board regularly undertakes executive management succession planning and talent reviews. On an annual basis, the Chairman leads the Board in an in-depth discussion concerning Chief Executive Officer succession and the Chief Executive Officer leads the Board in a discussion concerning senior management succession. Chief Executive Officer succession is also discussed by the Board in an executive session outside the presence of any management directors. Management also updates the Board on key talent indicators such as recruiting and retention for the overall employee population throughout the year.</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Risk Oversight</w:t>
      </w:r>
    </w:p>
    <w:p>
      <w:pPr>
        <w:spacing w:after="0" w:line="167" w:lineRule="exact"/>
        <w:rPr>
          <w:sz w:val="20"/>
          <w:szCs w:val="20"/>
          <w:color w:val="auto"/>
        </w:rPr>
      </w:pPr>
    </w:p>
    <w:p>
      <w:pPr>
        <w:jc w:val="both"/>
        <w:ind w:right="20" w:firstLine="230"/>
        <w:spacing w:after="0" w:line="257" w:lineRule="auto"/>
        <w:rPr>
          <w:sz w:val="20"/>
          <w:szCs w:val="20"/>
          <w:color w:val="auto"/>
        </w:rPr>
      </w:pPr>
      <w:r>
        <w:rPr>
          <w:rFonts w:ascii="Arial" w:cs="Arial" w:eastAsia="Arial" w:hAnsi="Arial"/>
          <w:sz w:val="14"/>
          <w:szCs w:val="14"/>
          <w:color w:val="666666"/>
        </w:rPr>
        <w:t>The Board and its committees play an important role in overseeing the Company's risk management processes, and risk management considerations form a regular element of the Board's dialogue with management. One of the primary tools that facilitates the Board’s oversight of risk (and actions being taken to mitigate it) is the Company’s Enterprise Risk Management Framework, or ERM Framework. Under the leadership of our President and Chief Executive Officer, the ERM Framework is designed to enable effective and efficient identification of risks and facilitate the evaluation of risks as an integral part of decision making. As part of the ERM Framework, the Company:</w:t>
      </w:r>
    </w:p>
    <w:p>
      <w:pPr>
        <w:spacing w:after="0" w:line="127" w:lineRule="exact"/>
        <w:rPr>
          <w:sz w:val="20"/>
          <w:szCs w:val="20"/>
          <w:color w:val="auto"/>
        </w:rPr>
      </w:pPr>
    </w:p>
    <w:p>
      <w:pPr>
        <w:ind w:left="460" w:hanging="233"/>
        <w:spacing w:after="0"/>
        <w:tabs>
          <w:tab w:leader="none" w:pos="460" w:val="left"/>
        </w:tabs>
        <w:numPr>
          <w:ilvl w:val="0"/>
          <w:numId w:val="15"/>
        </w:numPr>
        <w:rPr>
          <w:rFonts w:ascii="Arial" w:cs="Arial" w:eastAsia="Arial" w:hAnsi="Arial"/>
          <w:sz w:val="14"/>
          <w:szCs w:val="14"/>
          <w:color w:val="666666"/>
        </w:rPr>
      </w:pPr>
      <w:r>
        <w:rPr>
          <w:rFonts w:ascii="Arial" w:cs="Arial" w:eastAsia="Arial" w:hAnsi="Arial"/>
          <w:sz w:val="14"/>
          <w:szCs w:val="14"/>
          <w:color w:val="666666"/>
        </w:rPr>
        <w:t>Identifies and classifies into tiers the top risks facing the business;</w:t>
      </w:r>
    </w:p>
    <w:p>
      <w:pPr>
        <w:spacing w:after="0" w:line="40" w:lineRule="exact"/>
        <w:rPr>
          <w:rFonts w:ascii="Arial" w:cs="Arial" w:eastAsia="Arial" w:hAnsi="Arial"/>
          <w:sz w:val="14"/>
          <w:szCs w:val="14"/>
          <w:color w:val="666666"/>
        </w:rPr>
      </w:pPr>
    </w:p>
    <w:p>
      <w:pPr>
        <w:ind w:left="460" w:hanging="233"/>
        <w:spacing w:after="0"/>
        <w:tabs>
          <w:tab w:leader="none" w:pos="460" w:val="left"/>
        </w:tabs>
        <w:numPr>
          <w:ilvl w:val="0"/>
          <w:numId w:val="15"/>
        </w:numPr>
        <w:rPr>
          <w:rFonts w:ascii="Arial" w:cs="Arial" w:eastAsia="Arial" w:hAnsi="Arial"/>
          <w:sz w:val="14"/>
          <w:szCs w:val="14"/>
          <w:color w:val="666666"/>
        </w:rPr>
      </w:pPr>
      <w:r>
        <w:rPr>
          <w:rFonts w:ascii="Arial" w:cs="Arial" w:eastAsia="Arial" w:hAnsi="Arial"/>
          <w:sz w:val="14"/>
          <w:szCs w:val="14"/>
          <w:color w:val="666666"/>
        </w:rPr>
        <w:t>Discusses and evaluates the Company’s risk appetite with respect to different types of operational risk; and</w:t>
      </w:r>
    </w:p>
    <w:p>
      <w:pPr>
        <w:spacing w:after="0" w:line="40" w:lineRule="exact"/>
        <w:rPr>
          <w:rFonts w:ascii="Arial" w:cs="Arial" w:eastAsia="Arial" w:hAnsi="Arial"/>
          <w:sz w:val="14"/>
          <w:szCs w:val="14"/>
          <w:color w:val="666666"/>
        </w:rPr>
      </w:pPr>
    </w:p>
    <w:p>
      <w:pPr>
        <w:ind w:left="460" w:hanging="233"/>
        <w:spacing w:after="0"/>
        <w:tabs>
          <w:tab w:leader="none" w:pos="460" w:val="left"/>
        </w:tabs>
        <w:numPr>
          <w:ilvl w:val="0"/>
          <w:numId w:val="15"/>
        </w:numPr>
        <w:rPr>
          <w:rFonts w:ascii="Arial" w:cs="Arial" w:eastAsia="Arial" w:hAnsi="Arial"/>
          <w:sz w:val="14"/>
          <w:szCs w:val="14"/>
          <w:color w:val="666666"/>
        </w:rPr>
      </w:pPr>
      <w:r>
        <w:rPr>
          <w:rFonts w:ascii="Arial" w:cs="Arial" w:eastAsia="Arial" w:hAnsi="Arial"/>
          <w:sz w:val="14"/>
          <w:szCs w:val="14"/>
          <w:color w:val="666666"/>
        </w:rPr>
        <w:t>Develops action plans to mitigate and monitor risk.</w:t>
      </w:r>
    </w:p>
    <w:p>
      <w:pPr>
        <w:spacing w:after="0" w:line="165" w:lineRule="exact"/>
        <w:rPr>
          <w:sz w:val="20"/>
          <w:szCs w:val="20"/>
          <w:color w:val="auto"/>
        </w:rPr>
      </w:pPr>
    </w:p>
    <w:p>
      <w:pPr>
        <w:jc w:val="both"/>
        <w:ind w:right="20" w:firstLine="230"/>
        <w:spacing w:after="0" w:line="251" w:lineRule="auto"/>
        <w:rPr>
          <w:sz w:val="20"/>
          <w:szCs w:val="20"/>
          <w:color w:val="auto"/>
        </w:rPr>
      </w:pPr>
      <w:r>
        <w:rPr>
          <w:rFonts w:ascii="Arial" w:cs="Arial" w:eastAsia="Arial" w:hAnsi="Arial"/>
          <w:sz w:val="14"/>
          <w:szCs w:val="14"/>
          <w:color w:val="666666"/>
        </w:rPr>
        <w:t>The process for regularly updating the ERM Framework enables effective and efficient identification of risks and facilitates the evaluation of risks as an integral part of decision making. Under the ERM Framework, our President and Chief Executive Officer leads an annual risk identification, analysis, and mitigation discussion with the Board and prepares a quarterly update for the Board of our enterprise risks. In addition to updates provided through the ERM Framework, the Board receives other information and briefings as part of its risk oversight role. During the course of the year, the lead management official with responsibility for each of our major markets provides a comprehensive overview of the market, including risks and challenges. The Board is also regularly updated by other elements of management, including the Chief Financial Officer, Chief Legal Officer and Chief Administrative Officer concerning significant risks facing the Company and processes that have been implemented to mitigate these risks.</w:t>
      </w:r>
    </w:p>
    <w:p>
      <w:pPr>
        <w:spacing w:after="0" w:line="132" w:lineRule="exact"/>
        <w:rPr>
          <w:sz w:val="20"/>
          <w:szCs w:val="20"/>
          <w:color w:val="auto"/>
        </w:rPr>
      </w:pPr>
    </w:p>
    <w:p>
      <w:pPr>
        <w:jc w:val="both"/>
        <w:ind w:right="20" w:firstLine="230"/>
        <w:spacing w:after="0" w:line="285" w:lineRule="auto"/>
        <w:rPr>
          <w:sz w:val="20"/>
          <w:szCs w:val="20"/>
          <w:color w:val="auto"/>
        </w:rPr>
      </w:pPr>
      <w:r>
        <w:rPr>
          <w:rFonts w:ascii="Arial" w:cs="Arial" w:eastAsia="Arial" w:hAnsi="Arial"/>
          <w:sz w:val="14"/>
          <w:szCs w:val="14"/>
          <w:color w:val="666666"/>
        </w:rPr>
        <w:t>In addition to this dialogue between management and the entire Board, the Board's committees have more specific roles concerning elements of the Company's risk management processes.</w:t>
      </w:r>
    </w:p>
    <w:p>
      <w:pPr>
        <w:spacing w:after="0" w:line="107" w:lineRule="exact"/>
        <w:rPr>
          <w:sz w:val="20"/>
          <w:szCs w:val="20"/>
          <w:color w:val="auto"/>
        </w:rPr>
      </w:pPr>
    </w:p>
    <w:p>
      <w:pPr>
        <w:jc w:val="both"/>
        <w:ind w:left="460" w:right="20" w:hanging="233"/>
        <w:spacing w:after="0" w:line="257" w:lineRule="auto"/>
        <w:tabs>
          <w:tab w:leader="none" w:pos="460" w:val="left"/>
        </w:tabs>
        <w:numPr>
          <w:ilvl w:val="0"/>
          <w:numId w:val="16"/>
        </w:numPr>
        <w:rPr>
          <w:rFonts w:ascii="Arial" w:cs="Arial" w:eastAsia="Arial" w:hAnsi="Arial"/>
          <w:sz w:val="14"/>
          <w:szCs w:val="14"/>
          <w:color w:val="666666"/>
        </w:rPr>
      </w:pPr>
      <w:r>
        <w:rPr>
          <w:rFonts w:ascii="Arial" w:cs="Arial" w:eastAsia="Arial" w:hAnsi="Arial"/>
          <w:sz w:val="14"/>
          <w:szCs w:val="14"/>
          <w:i w:val="1"/>
          <w:iCs w:val="1"/>
          <w:color w:val="666666"/>
        </w:rPr>
        <w:t>Audit Committee</w:t>
      </w:r>
      <w:r>
        <w:rPr>
          <w:rFonts w:ascii="Arial" w:cs="Arial" w:eastAsia="Arial" w:hAnsi="Arial"/>
          <w:sz w:val="14"/>
          <w:szCs w:val="14"/>
          <w:color w:val="666666"/>
        </w:rPr>
        <w:t>: The Audit Committee is regularly updated by the Chief Legal Officer, Chief Ethics and Compliance Officer, Director of Internal Audit, Chief Information Officer,</w:t>
      </w:r>
      <w:r>
        <w:rPr>
          <w:rFonts w:ascii="Arial" w:cs="Arial" w:eastAsia="Arial" w:hAnsi="Arial"/>
          <w:sz w:val="14"/>
          <w:szCs w:val="14"/>
          <w:i w:val="1"/>
          <w:iCs w:val="1"/>
          <w:color w:val="666666"/>
        </w:rPr>
        <w:t xml:space="preserve"> </w:t>
      </w:r>
      <w:r>
        <w:rPr>
          <w:rFonts w:ascii="Arial" w:cs="Arial" w:eastAsia="Arial" w:hAnsi="Arial"/>
          <w:sz w:val="14"/>
          <w:szCs w:val="14"/>
          <w:color w:val="666666"/>
        </w:rPr>
        <w:t>and Chief Information Security Officer and receives regular reports concerning the status of the Company's ethics and compliance program, internal controls over financial reporting and other operational compliance areas, and significant communications from the Company's regulators. The Audit Committee also leads the Board's efforts with respect to the oversight of cybersecurity risk.</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14</w:t>
      </w:r>
    </w:p>
    <w:p>
      <w:pPr>
        <w:sectPr>
          <w:pgSz w:w="11900" w:h="16838" w:orient="portrait"/>
          <w:cols w:equalWidth="0" w:num="1">
            <w:col w:w="11480"/>
          </w:cols>
          <w:pgMar w:left="220" w:top="559" w:right="199" w:bottom="1440" w:gutter="0" w:footer="0" w:header="0"/>
        </w:sectPr>
      </w:pPr>
    </w:p>
    <w:bookmarkStart w:id="23" w:name="page24"/>
    <w:bookmarkEnd w:id="23"/>
    <w:p>
      <w:pPr>
        <w:ind w:left="460" w:hanging="233"/>
        <w:spacing w:after="0"/>
        <w:tabs>
          <w:tab w:leader="none" w:pos="460" w:val="left"/>
        </w:tabs>
        <w:numPr>
          <w:ilvl w:val="0"/>
          <w:numId w:val="17"/>
        </w:numPr>
        <w:rPr>
          <w:rFonts w:ascii="Arial" w:cs="Arial" w:eastAsia="Arial" w:hAnsi="Arial"/>
          <w:sz w:val="14"/>
          <w:szCs w:val="14"/>
          <w:color w:val="666666"/>
        </w:rPr>
      </w:pPr>
      <w:r>
        <w:rPr>
          <w:rFonts w:ascii="Arial" w:cs="Arial" w:eastAsia="Arial" w:hAnsi="Arial"/>
          <w:sz w:val="14"/>
          <w:szCs w:val="14"/>
          <w:i w:val="1"/>
          <w:iCs w:val="1"/>
          <w:color w:val="666666"/>
        </w:rPr>
        <w:t>Compensation Committee</w:t>
      </w:r>
      <w:r>
        <w:rPr>
          <w:rFonts w:ascii="Arial" w:cs="Arial" w:eastAsia="Arial" w:hAnsi="Arial"/>
          <w:sz w:val="14"/>
          <w:szCs w:val="14"/>
          <w:color w:val="666666"/>
        </w:rPr>
        <w:t>: The Compensation Committee is responsible for overseeing risks related to the Company's executive compensation policies and practices.</w:t>
      </w:r>
    </w:p>
    <w:p>
      <w:pPr>
        <w:spacing w:after="0" w:line="40" w:lineRule="exact"/>
        <w:rPr>
          <w:rFonts w:ascii="Arial" w:cs="Arial" w:eastAsia="Arial" w:hAnsi="Arial"/>
          <w:sz w:val="14"/>
          <w:szCs w:val="14"/>
          <w:color w:val="666666"/>
        </w:rPr>
      </w:pPr>
    </w:p>
    <w:p>
      <w:pPr>
        <w:ind w:left="460" w:hanging="233"/>
        <w:spacing w:after="0"/>
        <w:tabs>
          <w:tab w:leader="none" w:pos="460" w:val="left"/>
        </w:tabs>
        <w:numPr>
          <w:ilvl w:val="0"/>
          <w:numId w:val="17"/>
        </w:numPr>
        <w:rPr>
          <w:rFonts w:ascii="Arial" w:cs="Arial" w:eastAsia="Arial" w:hAnsi="Arial"/>
          <w:sz w:val="14"/>
          <w:szCs w:val="14"/>
          <w:color w:val="666666"/>
        </w:rPr>
      </w:pPr>
      <w:r>
        <w:rPr>
          <w:rFonts w:ascii="Arial" w:cs="Arial" w:eastAsia="Arial" w:hAnsi="Arial"/>
          <w:sz w:val="14"/>
          <w:szCs w:val="14"/>
          <w:i w:val="1"/>
          <w:iCs w:val="1"/>
          <w:color w:val="666666"/>
        </w:rPr>
        <w:t>Nominating and Corporate Governance Committee</w:t>
      </w:r>
      <w:r>
        <w:rPr>
          <w:rFonts w:ascii="Arial" w:cs="Arial" w:eastAsia="Arial" w:hAnsi="Arial"/>
          <w:sz w:val="14"/>
          <w:szCs w:val="14"/>
          <w:color w:val="666666"/>
        </w:rPr>
        <w:t>: The Nominating and Corporate Governance Committee oversees risks arising from the Company's governance processes.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Annual Board Performance Assessment</w:t>
      </w:r>
    </w:p>
    <w:p>
      <w:pPr>
        <w:spacing w:after="0" w:line="16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4"/>
          <w:szCs w:val="14"/>
          <w:color w:val="666666"/>
        </w:rPr>
        <w:t>The Board and each of the Audit, Compensation, and Nominating and Corporate Governance committees perform an annual assessment of their operations and effectiveness, and set goals for the future. The core of this process involves our Secretary interviewing each director individually. The comments of the directors are compiled and presented, as applicable, to the Chairman, the full Board or the appropriate committee. The key matters to be addressed are identified, and these matters become part of future agendas for the Board and its committees.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Board Independence</w:t>
      </w:r>
    </w:p>
    <w:p>
      <w:pPr>
        <w:spacing w:after="0" w:line="119" w:lineRule="exact"/>
        <w:rPr>
          <w:sz w:val="20"/>
          <w:szCs w:val="20"/>
          <w:color w:val="auto"/>
        </w:rPr>
      </w:pPr>
    </w:p>
    <w:p>
      <w:pPr>
        <w:jc w:val="both"/>
        <w:ind w:right="20" w:firstLine="230"/>
        <w:spacing w:after="0" w:line="257" w:lineRule="auto"/>
        <w:rPr>
          <w:sz w:val="20"/>
          <w:szCs w:val="20"/>
          <w:color w:val="auto"/>
        </w:rPr>
      </w:pPr>
      <w:r>
        <w:rPr>
          <w:rFonts w:ascii="Arial" w:cs="Arial" w:eastAsia="Arial" w:hAnsi="Arial"/>
          <w:sz w:val="14"/>
          <w:szCs w:val="14"/>
          <w:color w:val="666666"/>
        </w:rPr>
        <w:t>Ten of our current directors are independent under our Corporate Governance Guidelines and applicable New York Stock Exchange ("NYSE") listing standards. In order for a director to be considered independent, the Board must determine, after consideration of all relevant facts and circumstances, that he or she has no material relationship with the Company directly or as a partner, stockholder, or officer of an organization that has a relationship with the Company. The independence criteria adopted by the Board are set forth in the Company's Corporate Governance Guidelines.</w:t>
      </w:r>
    </w:p>
    <w:p>
      <w:pPr>
        <w:spacing w:after="0" w:line="79" w:lineRule="exact"/>
        <w:rPr>
          <w:sz w:val="20"/>
          <w:szCs w:val="20"/>
          <w:color w:val="auto"/>
        </w:rPr>
      </w:pPr>
    </w:p>
    <w:p>
      <w:pPr>
        <w:jc w:val="both"/>
        <w:ind w:right="20" w:firstLine="230"/>
        <w:spacing w:after="0" w:line="257" w:lineRule="auto"/>
        <w:rPr>
          <w:sz w:val="20"/>
          <w:szCs w:val="20"/>
          <w:color w:val="auto"/>
        </w:rPr>
      </w:pPr>
      <w:r>
        <w:rPr>
          <w:rFonts w:ascii="Arial" w:cs="Arial" w:eastAsia="Arial" w:hAnsi="Arial"/>
          <w:sz w:val="14"/>
          <w:szCs w:val="14"/>
          <w:color w:val="666666"/>
        </w:rPr>
        <w:t>The Board has determined that Messrs. Clare, Fujiyama, Odeen, Gaumond, Johnson, Rossotti, and Shrader, and Mses. Amble, Barnes, and McClain are independent under the independence criteria for directors established by the NYSE and the independence criteria adopted by the Board. As a result, we currently have a majority of independent directors and satisfy the applicable rule of the NYSE. Mr. Rozanski is an employee of the Company and is not independent under the NYSE listing standards or our Corporate Governance Guidelines, which can be found in the investor relations portion of our website, www.boozallen.com.</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Selection of Nominees for Election to the Board</w:t>
      </w:r>
    </w:p>
    <w:p>
      <w:pPr>
        <w:spacing w:after="0" w:line="119" w:lineRule="exact"/>
        <w:rPr>
          <w:sz w:val="20"/>
          <w:szCs w:val="20"/>
          <w:color w:val="auto"/>
        </w:rPr>
      </w:pPr>
    </w:p>
    <w:p>
      <w:pPr>
        <w:jc w:val="both"/>
        <w:ind w:right="20" w:firstLine="230"/>
        <w:spacing w:after="0" w:line="250" w:lineRule="auto"/>
        <w:rPr>
          <w:sz w:val="20"/>
          <w:szCs w:val="20"/>
          <w:color w:val="auto"/>
        </w:rPr>
      </w:pPr>
      <w:r>
        <w:rPr>
          <w:rFonts w:ascii="Arial" w:cs="Arial" w:eastAsia="Arial" w:hAnsi="Arial"/>
          <w:sz w:val="14"/>
          <w:szCs w:val="14"/>
          <w:color w:val="666666"/>
        </w:rPr>
        <w:t>The Nominating and Corporate Governance Committee recommends to the Board appropriate criteria for the selection of new directors based on the strategic needs of the Company and the Board, and periodically reviews the criteria adopted by the Board and, if deemed desirable, recommends to the Board changes to such criteria. The Board seeks members from diverse backgrounds who combine a broad spectrum of experience and expertise with a reputation for integrity. While the Board does not have a formal policy with respect to diversity, it is a critical factor the Nominating and Corporate Governance Committee considers when recommending director nominees to the Board. The Nominating and Corporate Governance Committee defines diversity in an expansive manner to be reflective of the diversity of the Company and representative of the clients it serves. Exceptional candidates who do not meet all of these criteria may still be considered. The Board seeks director candidates who have experience in positions with a high degree of responsibility and are, or have been, leaders in the companies or institutions with which they are, or have been, affiliated, and are selected based upon the contributions they can make to the Company.</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547BCC"/>
        </w:rPr>
        <w:t>Our Commitment to Board Diversity</w:t>
      </w:r>
    </w:p>
    <w:p>
      <w:pPr>
        <w:spacing w:after="0" w:line="115" w:lineRule="exact"/>
        <w:rPr>
          <w:sz w:val="20"/>
          <w:szCs w:val="20"/>
          <w:color w:val="auto"/>
        </w:rPr>
      </w:pPr>
    </w:p>
    <w:p>
      <w:pPr>
        <w:jc w:val="both"/>
        <w:ind w:right="20" w:firstLine="230"/>
        <w:spacing w:after="0" w:line="285" w:lineRule="auto"/>
        <w:rPr>
          <w:sz w:val="20"/>
          <w:szCs w:val="20"/>
          <w:color w:val="auto"/>
        </w:rPr>
      </w:pPr>
      <w:r>
        <w:rPr>
          <w:rFonts w:ascii="Arial" w:cs="Arial" w:eastAsia="Arial" w:hAnsi="Arial"/>
          <w:sz w:val="14"/>
          <w:szCs w:val="14"/>
          <w:color w:val="666666"/>
        </w:rPr>
        <w:t>Consistent with the Company's long-standing commitment in this regard, the Nominating and Corporate Governance Committee is focused on enhancing the diversity of the Board and works actively to achieve this goal, as reflected below:</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3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547BCC"/>
              </w:rPr>
              <w:t>Women</w:t>
            </w:r>
          </w:p>
        </w:tc>
        <w:tc>
          <w:tcPr>
            <w:tcW w:w="2080" w:type="dxa"/>
            <w:vAlign w:val="bottom"/>
            <w:tcBorders>
              <w:bottom w:val="single" w:sz="8" w:color="auto"/>
            </w:tcBorders>
          </w:tcPr>
          <w:p>
            <w:pPr>
              <w:jc w:val="center"/>
              <w:ind w:left="111"/>
              <w:spacing w:after="0"/>
              <w:rPr>
                <w:sz w:val="20"/>
                <w:szCs w:val="20"/>
                <w:color w:val="auto"/>
              </w:rPr>
            </w:pPr>
            <w:r>
              <w:rPr>
                <w:rFonts w:ascii="Arial" w:cs="Arial" w:eastAsia="Arial" w:hAnsi="Arial"/>
                <w:sz w:val="14"/>
                <w:szCs w:val="14"/>
                <w:b w:val="1"/>
                <w:bCs w:val="1"/>
                <w:color w:val="547BCC"/>
                <w:w w:val="99"/>
              </w:rPr>
              <w:t>Hispanic</w:t>
            </w:r>
          </w:p>
        </w:tc>
        <w:tc>
          <w:tcPr>
            <w:tcW w:w="25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547BCC"/>
              </w:rPr>
              <w:t>African-American</w:t>
            </w:r>
          </w:p>
        </w:tc>
        <w:tc>
          <w:tcPr>
            <w:tcW w:w="20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547BCC"/>
              </w:rPr>
              <w:t>Asian</w:t>
            </w:r>
          </w:p>
        </w:tc>
      </w:tr>
      <w:tr>
        <w:trPr>
          <w:trHeight w:val="182"/>
        </w:trPr>
        <w:tc>
          <w:tcPr>
            <w:tcW w:w="2360" w:type="dxa"/>
            <w:vAlign w:val="bottom"/>
            <w:shd w:val="clear" w:color="auto" w:fill="E9E5FF"/>
          </w:tcPr>
          <w:p>
            <w:pPr>
              <w:jc w:val="center"/>
              <w:ind w:right="70"/>
              <w:spacing w:after="0"/>
              <w:rPr>
                <w:sz w:val="20"/>
                <w:szCs w:val="20"/>
                <w:color w:val="auto"/>
              </w:rPr>
            </w:pPr>
            <w:r>
              <w:rPr>
                <w:rFonts w:ascii="Arial" w:cs="Arial" w:eastAsia="Arial" w:hAnsi="Arial"/>
                <w:sz w:val="14"/>
                <w:szCs w:val="14"/>
                <w:b w:val="1"/>
                <w:bCs w:val="1"/>
                <w:color w:val="5E5E61"/>
              </w:rPr>
              <w:t>No. of Directors</w:t>
            </w:r>
          </w:p>
        </w:tc>
        <w:tc>
          <w:tcPr>
            <w:tcW w:w="2060" w:type="dxa"/>
            <w:vAlign w:val="bottom"/>
            <w:shd w:val="clear" w:color="auto" w:fill="E9E5FF"/>
          </w:tcPr>
          <w:p>
            <w:pPr>
              <w:jc w:val="right"/>
              <w:ind w:right="990"/>
              <w:spacing w:after="0"/>
              <w:rPr>
                <w:sz w:val="20"/>
                <w:szCs w:val="20"/>
                <w:color w:val="auto"/>
              </w:rPr>
            </w:pPr>
            <w:r>
              <w:rPr>
                <w:rFonts w:ascii="Arial" w:cs="Arial" w:eastAsia="Arial" w:hAnsi="Arial"/>
                <w:sz w:val="14"/>
                <w:szCs w:val="14"/>
                <w:b w:val="1"/>
                <w:bCs w:val="1"/>
                <w:color w:val="5E5E61"/>
              </w:rPr>
              <w:t>3</w:t>
            </w:r>
          </w:p>
        </w:tc>
        <w:tc>
          <w:tcPr>
            <w:tcW w:w="2080" w:type="dxa"/>
            <w:vAlign w:val="bottom"/>
            <w:shd w:val="clear" w:color="auto" w:fill="E9E5FF"/>
          </w:tcPr>
          <w:p>
            <w:pPr>
              <w:jc w:val="right"/>
              <w:ind w:right="851"/>
              <w:spacing w:after="0"/>
              <w:rPr>
                <w:sz w:val="20"/>
                <w:szCs w:val="20"/>
                <w:color w:val="auto"/>
              </w:rPr>
            </w:pPr>
            <w:r>
              <w:rPr>
                <w:rFonts w:ascii="Arial" w:cs="Arial" w:eastAsia="Arial" w:hAnsi="Arial"/>
                <w:sz w:val="14"/>
                <w:szCs w:val="14"/>
                <w:b w:val="1"/>
                <w:bCs w:val="1"/>
                <w:color w:val="5E5E61"/>
              </w:rPr>
              <w:t>1</w:t>
            </w:r>
          </w:p>
        </w:tc>
        <w:tc>
          <w:tcPr>
            <w:tcW w:w="2560" w:type="dxa"/>
            <w:vAlign w:val="bottom"/>
            <w:shd w:val="clear" w:color="auto" w:fill="E9E5FF"/>
          </w:tcPr>
          <w:p>
            <w:pPr>
              <w:jc w:val="right"/>
              <w:ind w:right="1190"/>
              <w:spacing w:after="0"/>
              <w:rPr>
                <w:sz w:val="20"/>
                <w:szCs w:val="20"/>
                <w:color w:val="auto"/>
              </w:rPr>
            </w:pPr>
            <w:r>
              <w:rPr>
                <w:rFonts w:ascii="Arial" w:cs="Arial" w:eastAsia="Arial" w:hAnsi="Arial"/>
                <w:sz w:val="14"/>
                <w:szCs w:val="14"/>
                <w:b w:val="1"/>
                <w:bCs w:val="1"/>
                <w:color w:val="5E5E61"/>
              </w:rPr>
              <w:t>2</w:t>
            </w:r>
          </w:p>
        </w:tc>
        <w:tc>
          <w:tcPr>
            <w:tcW w:w="2000" w:type="dxa"/>
            <w:vAlign w:val="bottom"/>
            <w:shd w:val="clear" w:color="auto" w:fill="E9E5FF"/>
          </w:tcPr>
          <w:p>
            <w:pPr>
              <w:jc w:val="right"/>
              <w:ind w:right="990"/>
              <w:spacing w:after="0"/>
              <w:rPr>
                <w:sz w:val="20"/>
                <w:szCs w:val="20"/>
                <w:color w:val="auto"/>
              </w:rPr>
            </w:pPr>
            <w:r>
              <w:rPr>
                <w:rFonts w:ascii="Arial" w:cs="Arial" w:eastAsia="Arial" w:hAnsi="Arial"/>
                <w:sz w:val="14"/>
                <w:szCs w:val="14"/>
                <w:b w:val="1"/>
                <w:bCs w:val="1"/>
                <w:color w:val="5E5E61"/>
              </w:rPr>
              <w:t>1</w:t>
            </w:r>
          </w:p>
        </w:tc>
      </w:tr>
      <w:tr>
        <w:trPr>
          <w:trHeight w:val="192"/>
        </w:trPr>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5E5E61"/>
                <w:w w:val="98"/>
              </w:rPr>
              <w:t>% of Directors</w:t>
            </w:r>
          </w:p>
        </w:tc>
        <w:tc>
          <w:tcPr>
            <w:tcW w:w="2060" w:type="dxa"/>
            <w:vAlign w:val="bottom"/>
            <w:tcBorders>
              <w:bottom w:val="single" w:sz="8" w:color="auto"/>
            </w:tcBorders>
          </w:tcPr>
          <w:p>
            <w:pPr>
              <w:jc w:val="right"/>
              <w:ind w:right="870"/>
              <w:spacing w:after="0"/>
              <w:rPr>
                <w:sz w:val="20"/>
                <w:szCs w:val="20"/>
                <w:color w:val="auto"/>
              </w:rPr>
            </w:pPr>
            <w:r>
              <w:rPr>
                <w:rFonts w:ascii="Arial" w:cs="Arial" w:eastAsia="Arial" w:hAnsi="Arial"/>
                <w:sz w:val="14"/>
                <w:szCs w:val="14"/>
                <w:b w:val="1"/>
                <w:bCs w:val="1"/>
                <w:color w:val="5E5E61"/>
              </w:rPr>
              <w:t>27%</w:t>
            </w:r>
          </w:p>
        </w:tc>
        <w:tc>
          <w:tcPr>
            <w:tcW w:w="208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5E5E61"/>
              </w:rPr>
              <w:t>9%</w:t>
            </w:r>
          </w:p>
        </w:tc>
        <w:tc>
          <w:tcPr>
            <w:tcW w:w="2560" w:type="dxa"/>
            <w:vAlign w:val="bottom"/>
            <w:tcBorders>
              <w:bottom w:val="single" w:sz="8" w:color="auto"/>
            </w:tcBorders>
          </w:tcPr>
          <w:p>
            <w:pPr>
              <w:jc w:val="right"/>
              <w:ind w:right="1090"/>
              <w:spacing w:after="0"/>
              <w:rPr>
                <w:sz w:val="20"/>
                <w:szCs w:val="20"/>
                <w:color w:val="auto"/>
              </w:rPr>
            </w:pPr>
            <w:r>
              <w:rPr>
                <w:rFonts w:ascii="Arial" w:cs="Arial" w:eastAsia="Arial" w:hAnsi="Arial"/>
                <w:sz w:val="14"/>
                <w:szCs w:val="14"/>
                <w:b w:val="1"/>
                <w:bCs w:val="1"/>
                <w:color w:val="5E5E61"/>
              </w:rPr>
              <w:t>18%</w:t>
            </w:r>
          </w:p>
        </w:tc>
        <w:tc>
          <w:tcPr>
            <w:tcW w:w="2000" w:type="dxa"/>
            <w:vAlign w:val="bottom"/>
            <w:tcBorders>
              <w:bottom w:val="single" w:sz="8" w:color="auto"/>
            </w:tcBorders>
          </w:tcPr>
          <w:p>
            <w:pPr>
              <w:jc w:val="right"/>
              <w:ind w:right="930"/>
              <w:spacing w:after="0"/>
              <w:rPr>
                <w:sz w:val="20"/>
                <w:szCs w:val="20"/>
                <w:color w:val="auto"/>
              </w:rPr>
            </w:pPr>
            <w:r>
              <w:rPr>
                <w:rFonts w:ascii="Arial" w:cs="Arial" w:eastAsia="Arial" w:hAnsi="Arial"/>
                <w:sz w:val="14"/>
                <w:szCs w:val="14"/>
                <w:b w:val="1"/>
                <w:bCs w:val="1"/>
                <w:color w:val="5E5E61"/>
              </w:rPr>
              <w:t>9%</w:t>
            </w:r>
          </w:p>
        </w:tc>
      </w:tr>
      <w:tr>
        <w:trPr>
          <w:trHeight w:val="318"/>
        </w:trPr>
        <w:tc>
          <w:tcPr>
            <w:tcW w:w="2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80" w:type="dxa"/>
            <w:vAlign w:val="bottom"/>
          </w:tcPr>
          <w:p>
            <w:pPr>
              <w:jc w:val="right"/>
              <w:ind w:right="831"/>
              <w:spacing w:after="0"/>
              <w:rPr>
                <w:sz w:val="20"/>
                <w:szCs w:val="20"/>
                <w:color w:val="auto"/>
              </w:rPr>
            </w:pPr>
            <w:r>
              <w:rPr>
                <w:rFonts w:ascii="Arial" w:cs="Arial" w:eastAsia="Arial" w:hAnsi="Arial"/>
                <w:sz w:val="13"/>
                <w:szCs w:val="13"/>
                <w:color w:val="666666"/>
              </w:rPr>
              <w:t>15</w:t>
            </w:r>
          </w:p>
        </w:tc>
        <w:tc>
          <w:tcPr>
            <w:tcW w:w="256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480"/>
          </w:cols>
          <w:pgMar w:left="220" w:top="484" w:right="199" w:bottom="1440" w:gutter="0" w:footer="0" w:header="0"/>
        </w:sectPr>
      </w:pPr>
    </w:p>
    <w:bookmarkStart w:id="24" w:name="page25"/>
    <w:bookmarkEnd w:id="24"/>
    <w:p>
      <w:pPr>
        <w:ind w:left="220"/>
        <w:spacing w:after="0"/>
        <w:rPr>
          <w:sz w:val="20"/>
          <w:szCs w:val="20"/>
          <w:color w:val="auto"/>
        </w:rPr>
      </w:pPr>
      <w:r>
        <w:rPr>
          <w:rFonts w:ascii="Arial" w:cs="Arial" w:eastAsia="Arial" w:hAnsi="Arial"/>
          <w:sz w:val="14"/>
          <w:szCs w:val="14"/>
          <w:b w:val="1"/>
          <w:bCs w:val="1"/>
          <w:i w:val="1"/>
          <w:iCs w:val="1"/>
          <w:color w:val="547BCC"/>
        </w:rPr>
        <w:t>Board Tenure</w:t>
      </w:r>
    </w:p>
    <w:p>
      <w:pPr>
        <w:spacing w:after="0" w:line="115"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4"/>
          <w:szCs w:val="14"/>
          <w:color w:val="666666"/>
        </w:rPr>
        <w:t>We believe that Board tenure diversity is important and directors with many years of service provide the Board with a deep knowledge of our Company, while newer directors lend fresh perspectives. The chart below reflects the Board tenure of our current directors, which on average is approximately seven years.</w:t>
      </w:r>
    </w:p>
    <w:p>
      <w:pPr>
        <w:spacing w:after="0" w:line="57"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5E5E61"/>
        </w:rPr>
        <w:t>Board Tenure is Diversified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186690</wp:posOffset>
            </wp:positionV>
            <wp:extent cx="2152015" cy="1012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2015"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547BCC"/>
        </w:rPr>
        <w:t>Process for Stockholders to Recommend Director Nominees</w:t>
      </w:r>
    </w:p>
    <w:p>
      <w:pPr>
        <w:spacing w:after="0" w:line="11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4"/>
          <w:szCs w:val="14"/>
          <w:color w:val="666666"/>
        </w:rPr>
        <w:t>Stockholders wishing to nominate a candidate for director must provide written notice in care of the Secretary to 8283 Greensboro Drive, McLean, Virginia 22102, not fewer than 90 days nor more than 120 days prior to the first anniversary of the preceding year's annual meeting. Our bylaws set forth the requirements for direct nomination of an individual by a stockholder for election to the Board.</w:t>
      </w:r>
    </w:p>
    <w:p>
      <w:pPr>
        <w:spacing w:after="0" w:line="74"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4"/>
          <w:szCs w:val="14"/>
          <w:color w:val="666666"/>
        </w:rPr>
        <w:t>There is no difference in the manner in which the Nominating and Corporate Governance Committee evaluates a nominee for director designated by our Chief Executive Officer or recommended by a stockholder.</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Director Orientation and Continuing Education</w:t>
      </w:r>
    </w:p>
    <w:p>
      <w:pPr>
        <w:spacing w:after="0" w:line="167"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4"/>
          <w:szCs w:val="14"/>
          <w:color w:val="666666"/>
        </w:rPr>
        <w:t>New directors are provided a multi-phase orientation generally timed to coincide with our Board meetings as part of our effort to integrate them in their role as directors and familiarize them with the Company. Orientation sessions are led by members of management and are focused on various elements of our business strategy, client service offerings, internal business operations, and corporate governance, among other areas. During the course of the year, representatives of management brief the Board on topics designed to provide directors a deeper understanding of various aspects of our business such as applicable legal developments, ethics and compliance programs, and the evolving regulatory environment. In addition, the Board holds an annual business strategy session with management. Directors are also encouraged to participate in continuing education programs to better understand and execute their duties and responsibilities.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Communications with the Board</w:t>
      </w:r>
    </w:p>
    <w:p>
      <w:pPr>
        <w:spacing w:after="0" w:line="119" w:lineRule="exact"/>
        <w:rPr>
          <w:sz w:val="20"/>
          <w:szCs w:val="20"/>
          <w:color w:val="auto"/>
        </w:rPr>
      </w:pPr>
    </w:p>
    <w:p>
      <w:pPr>
        <w:jc w:val="both"/>
        <w:ind w:firstLine="230"/>
        <w:spacing w:after="0" w:line="249" w:lineRule="auto"/>
        <w:rPr>
          <w:sz w:val="20"/>
          <w:szCs w:val="20"/>
          <w:color w:val="auto"/>
        </w:rPr>
      </w:pPr>
      <w:r>
        <w:rPr>
          <w:rFonts w:ascii="Arial" w:cs="Arial" w:eastAsia="Arial" w:hAnsi="Arial"/>
          <w:sz w:val="14"/>
          <w:szCs w:val="14"/>
          <w:color w:val="666666"/>
        </w:rPr>
        <w:t>Stockholders, or other interested third parties, who wish to contact our Board may send written correspondence, in care of the Secretary, to 8283 Greensboro Drive, McLean, Virginia 22102. Communications may be addressed to an individual director, to the non-management directors as a group, or to the Board as a whole, marked as confidential or otherwise. Communications not submitted confidentially, which are addressed to directors that discuss business or other matters relevant to the activities of our Board, will be preliminarily reviewed by the office of the Secretary and then distributed either in summary form or by delivering a copy of the communication. Communications marked as confidential will be distributed, without review by the office of the Secretary, to the director, or group of directors, to whom they are addressed. With respect to other correspondence received by the Company that is addressed to one or more directors, the Board has requested that the following items not be distributed to directors, because they generally fall into the purview of management, rather than the Board: junk mail and mass mailings, service complaints and inquiries, résumés and other forms of job inquiries, solicitations for charitable donations, surveys, business solicitations, and advertisements.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16</w:t>
      </w:r>
    </w:p>
    <w:p>
      <w:pPr>
        <w:sectPr>
          <w:pgSz w:w="11900" w:h="16838" w:orient="portrait"/>
          <w:cols w:equalWidth="0" w:num="1">
            <w:col w:w="11460"/>
          </w:cols>
          <w:pgMar w:left="220" w:top="563" w:right="2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547BCC"/>
        </w:rPr>
        <w:t>Board Committees</w:t>
      </w:r>
    </w:p>
    <w:p>
      <w:pPr>
        <w:spacing w:after="0" w:line="119" w:lineRule="exact"/>
        <w:rPr>
          <w:sz w:val="20"/>
          <w:szCs w:val="20"/>
          <w:color w:val="auto"/>
        </w:rPr>
      </w:pPr>
    </w:p>
    <w:p>
      <w:pPr>
        <w:jc w:val="both"/>
        <w:ind w:right="20" w:firstLine="230"/>
        <w:spacing w:after="0" w:line="285" w:lineRule="auto"/>
        <w:rPr>
          <w:sz w:val="20"/>
          <w:szCs w:val="20"/>
          <w:color w:val="auto"/>
        </w:rPr>
      </w:pPr>
      <w:r>
        <w:rPr>
          <w:rFonts w:ascii="Arial" w:cs="Arial" w:eastAsia="Arial" w:hAnsi="Arial"/>
          <w:sz w:val="14"/>
          <w:szCs w:val="14"/>
          <w:color w:val="666666"/>
        </w:rPr>
        <w:t>Our Board has four standing committees: an Executive Committee, an Audit Committee, a Compensation Committee, and a Nominating and Corporate Governance Committee. The charter of each committee is available without charge on the Investor Relations portion of our website, www.boozallen.com.</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The following chart identifies the members and chair of each standing committee, as well as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87630</wp:posOffset>
            </wp:positionV>
            <wp:extent cx="4158615" cy="2341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58615"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The following is a brief description of our committees.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547BCC"/>
        </w:rPr>
        <w:t>The Executive Committee</w:t>
      </w:r>
    </w:p>
    <w:p>
      <w:pPr>
        <w:spacing w:after="0" w:line="11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4"/>
          <w:szCs w:val="14"/>
          <w:color w:val="666666"/>
        </w:rPr>
        <w:t>Our Executive Committee is responsible, among its other duties and responsibilities, for assisting our Board in fulfilling its responsibilities. Our Executive Committee is responsible for approving certain corporate actions and transactions, including acquisitions of assets other than in the ordinary course of business. The members of our Executive Committee are Dr. Shrader (Chairman) and Messrs. Fujiyama, Gaumond, and Rozanski. Mr. Gaumond was appointed to the Executive Committee on January 31, 2018, replacing Mr. Clare, who resigned from the Executive Committee on that date. The Executive Committee met twice during fiscal year 2018 as well as acted by written consent.</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547BCC"/>
        </w:rPr>
        <w:t>The Audit Committee</w:t>
      </w:r>
    </w:p>
    <w:p>
      <w:pPr>
        <w:spacing w:after="0" w:line="115"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4"/>
          <w:szCs w:val="14"/>
          <w:color w:val="666666"/>
        </w:rPr>
        <w:t>Our Audit Committee is responsible, among its other duties and responsibilities, for overseeing our accounting and financial reporting processes, the audits of our financial statements, the qualifications and independence of our independent registered public accounting firm, the effectiveness of our internal control over financial reporting, and the performance of our internal audit function and independent registered public accounting firm. Our Audit Committee reviews and assesses the qualitative aspects of our financial reporting, our processes to manage business and financial risks, and our compliance with significant applicable legal, ethical, and regulatory requirements. Our Audit Committee is directly responsible for the appointment, compensation, retention, and oversight of our independent registered public accounting firm.</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17</w:t>
      </w:r>
    </w:p>
    <w:p>
      <w:pPr>
        <w:sectPr>
          <w:pgSz w:w="11900" w:h="16838" w:orient="portrait"/>
          <w:cols w:equalWidth="0" w:num="1">
            <w:col w:w="11480"/>
          </w:cols>
          <w:pgMar w:left="220" w:top="559" w:right="199" w:bottom="1440" w:gutter="0" w:footer="0" w:header="0"/>
        </w:sectPr>
      </w:pPr>
    </w:p>
    <w:bookmarkStart w:id="26" w:name="page27"/>
    <w:bookmarkEnd w:id="26"/>
    <w:p>
      <w:pPr>
        <w:jc w:val="both"/>
        <w:ind w:firstLine="230"/>
        <w:spacing w:after="0" w:line="257" w:lineRule="auto"/>
        <w:rPr>
          <w:sz w:val="20"/>
          <w:szCs w:val="20"/>
          <w:color w:val="auto"/>
        </w:rPr>
      </w:pPr>
      <w:r>
        <w:rPr>
          <w:rFonts w:ascii="Arial" w:cs="Arial" w:eastAsia="Arial" w:hAnsi="Arial"/>
          <w:sz w:val="14"/>
          <w:szCs w:val="14"/>
          <w:color w:val="666666"/>
        </w:rPr>
        <w:t>The members of our Audit Committee are Messrs. Gaumond (Chairman), Johnson, and Rossotti, and Ms. Amble, each of whom is an independent director as required by NYSE listing standards and Rule 10A-3 of the Securities Exchange Act of 1934, as amended, or the Exchange Act. The Board has determined that each member of our Audit Committee is financially literate and has determined that Messrs. Gaumond and Rossotti and Ms. Amble are each an “audit committee financial expert” as such term is defined under Item 407(d)(5) of Regulation S-K promulgated under the Securities Act of 1933, as amended, or the Securities Act.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The Audit Committee met four times during fiscal year 2018.</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547BCC"/>
        </w:rPr>
        <w:t>The Compensation Committee</w:t>
      </w:r>
    </w:p>
    <w:p>
      <w:pPr>
        <w:spacing w:after="0" w:line="11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4"/>
          <w:szCs w:val="14"/>
          <w:color w:val="666666"/>
        </w:rPr>
        <w:t>Our Compensation Committee is responsible for, among its other duties and responsibilities, reviewing and approving all forms of compensation to be provided to, and employment letter agreements with, the executives and directors of our Company and its subsidiaries (including the Chief Executive Officer), establishing and reviewing the general compensation philosophy of our Company and its subsidiaries, and reviewing, approving, and overseeing the administration of the employee benefits plans of our Company and its subsidiaries.</w:t>
      </w:r>
    </w:p>
    <w:p>
      <w:pPr>
        <w:spacing w:after="0" w:line="74"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4"/>
          <w:szCs w:val="14"/>
          <w:color w:val="666666"/>
        </w:rPr>
        <w:t>The members of our Compensation Committee are Messrs. Odeen (Chairman), Clare, and Fujiyama, and Mses. Barnes and McClain, each of whom is an independent director as required by NYSE listing standards. The Compensation Committee charter requires that at least two members of the Compensation Committee must satisfy the requirements of “non-employee director” for purposes of Rule 16b-3 under the Exchange Act. Each of the members currently satisfies these requirements.</w:t>
      </w:r>
    </w:p>
    <w:p>
      <w:pPr>
        <w:spacing w:after="0" w:line="74" w:lineRule="exact"/>
        <w:rPr>
          <w:sz w:val="20"/>
          <w:szCs w:val="20"/>
          <w:color w:val="auto"/>
        </w:rPr>
      </w:pPr>
    </w:p>
    <w:p>
      <w:pPr>
        <w:jc w:val="both"/>
        <w:ind w:firstLine="230"/>
        <w:spacing w:after="0" w:line="246" w:lineRule="auto"/>
        <w:rPr>
          <w:sz w:val="20"/>
          <w:szCs w:val="20"/>
          <w:color w:val="auto"/>
        </w:rPr>
      </w:pPr>
      <w:r>
        <w:rPr>
          <w:rFonts w:ascii="Arial" w:cs="Arial" w:eastAsia="Arial" w:hAnsi="Arial"/>
          <w:sz w:val="14"/>
          <w:szCs w:val="14"/>
          <w:color w:val="666666"/>
        </w:rPr>
        <w:t>The Compensation Committee has the authority to delegate any of its responsibilities to subcommittees as the Compensation Committee may deem appropriate, provided that the subcommittees are composed entirely of directors satisfying the independence standards then applicable to the Compensation Committee generally. The Compensation Committee had previously delegated to a Rule 16b-3 subcommittee its responsibility under the Company's Second Amended and Restated Equity Incentive Plan with respect to the approval of acquisitions and dispositions of Company securities by officers and directors of the Company for purposes of Section 16(b) of the Exchange Act. The members of the Rule 16b-3 subcommittee were Messrs. Odeen and Fujiyama. In May 2018, the Compensation Committee determined that each member of the Compensation Committee is a “non-employee director” as defined by Section 16b-3 of the Exchange Act, and, as a result, equity-based awards to and transactions with our officers intended to be exempt from Section 16(b) of the Exchange Act could be approved by the full Compensation Committee without the need for a separate subcommittee. In addition, the Compensation Committee had previously delegated to a Section 162(m) subcommittee its authority to approve performance-based compensation for purposes of Section 162(m) of the Internal Revenue Code of 1986, as amended, or the Code. The members of the Section 162(m) subcommittee are Mr. Odeen and Ms. McClain, each of whom satisfies the requirements of an "outside director" for purposes of Section 162(m) of the Code. In May 2018, the Compensation Committee elected to disband this subcommittee after determining that each member of the Compensation Committee is an “outside director” as defined by Section 162(m) of the Code, and, as a result, compensation intended to be performance-based compensation for purposes of Section 162(m) of the Code could be approved by the full Compensation Committee</w:t>
      </w:r>
      <w:r>
        <w:rPr>
          <w:rFonts w:ascii="Times New Roman" w:cs="Times New Roman" w:eastAsia="Times New Roman" w:hAnsi="Times New Roman"/>
          <w:sz w:val="14"/>
          <w:szCs w:val="14"/>
          <w:color w:val="666666"/>
        </w:rPr>
        <w:t>.</w:t>
      </w:r>
      <w:r>
        <w:rPr>
          <w:rFonts w:ascii="Arial" w:cs="Arial" w:eastAsia="Arial" w:hAnsi="Arial"/>
          <w:sz w:val="14"/>
          <w:szCs w:val="14"/>
          <w:color w:val="666666"/>
        </w:rPr>
        <w:t xml:space="preserve"> With the enactment of the Tax Cuts and Jobs Act in late 2017, the “performance-based compensation” exception has been eliminated except with respect to certain grandfathered arrangements.</w:t>
      </w:r>
    </w:p>
    <w:p>
      <w:pPr>
        <w:spacing w:after="0" w:line="91" w:lineRule="exact"/>
        <w:rPr>
          <w:sz w:val="20"/>
          <w:szCs w:val="20"/>
          <w:color w:val="auto"/>
        </w:rPr>
      </w:pPr>
    </w:p>
    <w:p>
      <w:pPr>
        <w:jc w:val="both"/>
        <w:ind w:firstLine="230"/>
        <w:spacing w:after="0" w:line="250" w:lineRule="auto"/>
        <w:rPr>
          <w:sz w:val="20"/>
          <w:szCs w:val="20"/>
          <w:color w:val="auto"/>
        </w:rPr>
      </w:pPr>
      <w:r>
        <w:rPr>
          <w:rFonts w:ascii="Arial" w:cs="Arial" w:eastAsia="Arial" w:hAnsi="Arial"/>
          <w:sz w:val="14"/>
          <w:szCs w:val="14"/>
          <w:color w:val="666666"/>
        </w:rPr>
        <w:t>The Compensation Committee has not engaged a compensation consultant; however, the Compensation Committee is briefed by management, which consults with Korn Ferry Hay Group, or KFHG, who replaced ClearBridge Compensation Group, LLC, or ClearBridge, during fiscal year 2018. The Company engaged ClearBridge to provide market assessments and recommendations on the Company’s director compensation and additionally, on the finalization of the design related to the Company’s long-term performance plan. KFHG provided analyses and market assessments to assist management with compensation decisions regarding our named executive officers, executive compensation philosophy and strategy, and other matters related to the Company’s long-term performance plan as well as insight related to the Company’s compensation disclosure in the proxy statement. In addition, KFHG provided other consulting services. The aggregate fees paid to KFHG for services related to executive compensation and other consulting services were $100,233 and $1,528,910, respectively, for fiscal year 2018. The Compensation Committee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18</w:t>
      </w:r>
    </w:p>
    <w:p>
      <w:pPr>
        <w:sectPr>
          <w:pgSz w:w="11900" w:h="16838" w:orient="portrait"/>
          <w:cols w:equalWidth="0" w:num="1">
            <w:col w:w="11480"/>
          </w:cols>
          <w:pgMar w:left="220" w:top="561" w:right="19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666666"/>
        </w:rPr>
        <w:t>assessed the independence of each of ClearBridge and KFHG and concluded that neither ClearBridge's nor KFHG's work for the Company raised any conflicts of interest.</w:t>
      </w:r>
    </w:p>
    <w:p>
      <w:pPr>
        <w:spacing w:after="0" w:line="117" w:lineRule="exact"/>
        <w:rPr>
          <w:sz w:val="20"/>
          <w:szCs w:val="20"/>
          <w:color w:val="auto"/>
        </w:rPr>
      </w:pPr>
    </w:p>
    <w:p>
      <w:pPr>
        <w:jc w:val="both"/>
        <w:ind w:right="20" w:firstLine="230"/>
        <w:spacing w:after="0" w:line="285" w:lineRule="auto"/>
        <w:rPr>
          <w:sz w:val="20"/>
          <w:szCs w:val="20"/>
          <w:color w:val="auto"/>
        </w:rPr>
      </w:pPr>
      <w:r>
        <w:rPr>
          <w:rFonts w:ascii="Arial" w:cs="Arial" w:eastAsia="Arial" w:hAnsi="Arial"/>
          <w:sz w:val="14"/>
          <w:szCs w:val="14"/>
          <w:color w:val="666666"/>
        </w:rPr>
        <w:t>Each of our executive officers, who collectively comprise our Leadership Team, participates in the discussion and consideration of compensation to be awarded to all executives. See “Compensation Discussion and Analysis—Setting Executive Compensation.”</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The Compensation Committee met five times during fiscal year 2018.</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547BCC"/>
        </w:rPr>
        <w:t>Nominating and Corporate Governance Committee</w:t>
      </w:r>
    </w:p>
    <w:p>
      <w:pPr>
        <w:spacing w:after="0" w:line="115"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4"/>
          <w:szCs w:val="14"/>
          <w:color w:val="666666"/>
        </w:rPr>
        <w:t>Our Nominating and Corporate Governance Committee is responsible for, among its other duties and responsibilities, identifying and recommending candidates to the Board for election to our Board (including candidates proposed by stockholders), reviewing the composition of the Board and its committees, developing and recommending to the Board corporate governance guidelines that are applicable to us, and overseeing Board and Board committee evaluations.</w:t>
      </w:r>
    </w:p>
    <w:p>
      <w:pPr>
        <w:spacing w:after="0" w:line="74" w:lineRule="exact"/>
        <w:rPr>
          <w:sz w:val="20"/>
          <w:szCs w:val="20"/>
          <w:color w:val="auto"/>
        </w:rPr>
      </w:pPr>
    </w:p>
    <w:p>
      <w:pPr>
        <w:jc w:val="both"/>
        <w:ind w:right="20" w:firstLine="230"/>
        <w:spacing w:after="0" w:line="285" w:lineRule="auto"/>
        <w:rPr>
          <w:sz w:val="20"/>
          <w:szCs w:val="20"/>
          <w:color w:val="auto"/>
        </w:rPr>
      </w:pPr>
      <w:r>
        <w:rPr>
          <w:rFonts w:ascii="Arial" w:cs="Arial" w:eastAsia="Arial" w:hAnsi="Arial"/>
          <w:sz w:val="14"/>
          <w:szCs w:val="14"/>
          <w:color w:val="666666"/>
        </w:rPr>
        <w:t>The members of our Nominating and Corporate Governance Committee are Mr. Clare (Chairman), Ms. Barnes, Mr. Odeen, and Ms. McClain, each of whom is an independent director as required by NYSE listing standards.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The Nominating and Corporate Governance Committee met four times during fiscal year 2018.</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Director Compensation</w:t>
      </w:r>
    </w:p>
    <w:p>
      <w:pPr>
        <w:spacing w:after="0" w:line="119"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4"/>
          <w:szCs w:val="14"/>
          <w:color w:val="666666"/>
        </w:rPr>
        <w:t>Directors who are employed by us do not receive any additional compensation for their services as directors. The Compensation Committee reviews director compensation on an annual basis. In August 2017, with assistance from ClearBridge, the Committee reviewed director compensation data for the peer group used for benchmarking executive compensation and the general market. Based on that review, the Compensation Committee made no changes to compensation levels for directors for fiscal 2018.</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666666"/>
        </w:rPr>
        <w:t xml:space="preserve">Fiscal Year 2018 Compensation: </w:t>
      </w:r>
      <w:r>
        <w:rPr>
          <w:rFonts w:ascii="Arial" w:cs="Arial" w:eastAsia="Arial" w:hAnsi="Arial"/>
          <w:sz w:val="14"/>
          <w:szCs w:val="14"/>
          <w:color w:val="666666"/>
        </w:rPr>
        <w:t>Director compensation for fiscal year 2018 included the following:</w:t>
      </w:r>
    </w:p>
    <w:p>
      <w:pPr>
        <w:spacing w:after="0" w:line="245" w:lineRule="exact"/>
        <w:rPr>
          <w:sz w:val="20"/>
          <w:szCs w:val="20"/>
          <w:color w:val="auto"/>
        </w:rPr>
      </w:pPr>
    </w:p>
    <w:tbl>
      <w:tblPr>
        <w:tblLayout w:type="fixed"/>
        <w:tblInd w:w="2020" w:type="dxa"/>
        <w:tblCellMar>
          <w:top w:w="0" w:type="dxa"/>
          <w:left w:w="0" w:type="dxa"/>
          <w:bottom w:w="0" w:type="dxa"/>
          <w:right w:w="0" w:type="dxa"/>
        </w:tblCellMar>
      </w:tblPr>
      <w:tr>
        <w:trPr>
          <w:trHeight w:val="14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666666"/>
              </w:rPr>
              <w:t>Component</w:t>
            </w:r>
          </w:p>
        </w:tc>
        <w:tc>
          <w:tcPr>
            <w:tcW w:w="3940" w:type="dxa"/>
            <w:vAlign w:val="bottom"/>
            <w:tcBorders>
              <w:bottom w:val="single" w:sz="8" w:color="auto"/>
            </w:tcBorders>
          </w:tcPr>
          <w:p>
            <w:pPr>
              <w:ind w:left="1120"/>
              <w:spacing w:after="0"/>
              <w:rPr>
                <w:sz w:val="20"/>
                <w:szCs w:val="20"/>
                <w:color w:val="auto"/>
              </w:rPr>
            </w:pPr>
            <w:r>
              <w:rPr>
                <w:rFonts w:ascii="Arial" w:cs="Arial" w:eastAsia="Arial" w:hAnsi="Arial"/>
                <w:sz w:val="10"/>
                <w:szCs w:val="10"/>
                <w:b w:val="1"/>
                <w:bCs w:val="1"/>
                <w:color w:val="666666"/>
              </w:rPr>
              <w:t>Annual Amount</w:t>
            </w:r>
          </w:p>
        </w:tc>
      </w:tr>
      <w:tr>
        <w:trPr>
          <w:trHeight w:val="143"/>
        </w:trPr>
        <w:tc>
          <w:tcPr>
            <w:tcW w:w="3500" w:type="dxa"/>
            <w:vAlign w:val="bottom"/>
            <w:shd w:val="clear" w:color="auto" w:fill="E9E5FF"/>
          </w:tcPr>
          <w:p>
            <w:pPr>
              <w:ind w:left="20"/>
              <w:spacing w:after="0"/>
              <w:rPr>
                <w:sz w:val="20"/>
                <w:szCs w:val="20"/>
                <w:color w:val="auto"/>
              </w:rPr>
            </w:pPr>
            <w:r>
              <w:rPr>
                <w:rFonts w:ascii="Arial" w:cs="Arial" w:eastAsia="Arial" w:hAnsi="Arial"/>
                <w:sz w:val="10"/>
                <w:szCs w:val="10"/>
                <w:color w:val="666666"/>
              </w:rPr>
              <w:t>Annual Board Chairman Retainer</w:t>
            </w:r>
          </w:p>
        </w:tc>
        <w:tc>
          <w:tcPr>
            <w:tcW w:w="3940" w:type="dxa"/>
            <w:vAlign w:val="bottom"/>
            <w:shd w:val="clear" w:color="auto" w:fill="E9E5FF"/>
          </w:tcPr>
          <w:p>
            <w:pPr>
              <w:ind w:left="1120"/>
              <w:spacing w:after="0"/>
              <w:rPr>
                <w:sz w:val="20"/>
                <w:szCs w:val="20"/>
                <w:color w:val="auto"/>
              </w:rPr>
            </w:pPr>
            <w:r>
              <w:rPr>
                <w:rFonts w:ascii="Arial" w:cs="Arial" w:eastAsia="Arial" w:hAnsi="Arial"/>
                <w:sz w:val="10"/>
                <w:szCs w:val="10"/>
                <w:color w:val="666666"/>
              </w:rPr>
              <w:t>$290,000</w:t>
            </w:r>
          </w:p>
        </w:tc>
      </w:tr>
      <w:tr>
        <w:trPr>
          <w:trHeight w:val="150"/>
        </w:trPr>
        <w:tc>
          <w:tcPr>
            <w:tcW w:w="3500" w:type="dxa"/>
            <w:vAlign w:val="bottom"/>
          </w:tcPr>
          <w:p>
            <w:pPr>
              <w:ind w:left="20"/>
              <w:spacing w:after="0"/>
              <w:rPr>
                <w:sz w:val="20"/>
                <w:szCs w:val="20"/>
                <w:color w:val="auto"/>
              </w:rPr>
            </w:pPr>
            <w:r>
              <w:rPr>
                <w:rFonts w:ascii="Arial" w:cs="Arial" w:eastAsia="Arial" w:hAnsi="Arial"/>
                <w:sz w:val="10"/>
                <w:szCs w:val="10"/>
                <w:color w:val="666666"/>
              </w:rPr>
              <w:t>Annual Board Retainer (non-Chairman)</w:t>
            </w:r>
          </w:p>
        </w:tc>
        <w:tc>
          <w:tcPr>
            <w:tcW w:w="3940" w:type="dxa"/>
            <w:vAlign w:val="bottom"/>
          </w:tcPr>
          <w:p>
            <w:pPr>
              <w:ind w:left="1120"/>
              <w:spacing w:after="0"/>
              <w:rPr>
                <w:sz w:val="20"/>
                <w:szCs w:val="20"/>
                <w:color w:val="auto"/>
              </w:rPr>
            </w:pPr>
            <w:r>
              <w:rPr>
                <w:rFonts w:ascii="Arial" w:cs="Arial" w:eastAsia="Arial" w:hAnsi="Arial"/>
                <w:sz w:val="10"/>
                <w:szCs w:val="10"/>
                <w:color w:val="666666"/>
              </w:rPr>
              <w:t>$90,000</w:t>
            </w:r>
          </w:p>
        </w:tc>
      </w:tr>
      <w:tr>
        <w:trPr>
          <w:trHeight w:val="157"/>
        </w:trPr>
        <w:tc>
          <w:tcPr>
            <w:tcW w:w="3500" w:type="dxa"/>
            <w:vAlign w:val="bottom"/>
            <w:shd w:val="clear" w:color="auto" w:fill="E9E5FF"/>
          </w:tcPr>
          <w:p>
            <w:pPr>
              <w:ind w:left="20"/>
              <w:spacing w:after="0"/>
              <w:rPr>
                <w:sz w:val="20"/>
                <w:szCs w:val="20"/>
                <w:color w:val="auto"/>
              </w:rPr>
            </w:pPr>
            <w:r>
              <w:rPr>
                <w:rFonts w:ascii="Arial" w:cs="Arial" w:eastAsia="Arial" w:hAnsi="Arial"/>
                <w:sz w:val="10"/>
                <w:szCs w:val="10"/>
                <w:color w:val="666666"/>
              </w:rPr>
              <w:t>Annual Equity Award</w:t>
            </w:r>
          </w:p>
        </w:tc>
        <w:tc>
          <w:tcPr>
            <w:tcW w:w="3940" w:type="dxa"/>
            <w:vAlign w:val="bottom"/>
            <w:shd w:val="clear" w:color="auto" w:fill="E9E5FF"/>
          </w:tcPr>
          <w:p>
            <w:pPr>
              <w:ind w:left="1120"/>
              <w:spacing w:after="0"/>
              <w:rPr>
                <w:sz w:val="20"/>
                <w:szCs w:val="20"/>
                <w:color w:val="auto"/>
              </w:rPr>
            </w:pPr>
            <w:r>
              <w:rPr>
                <w:rFonts w:ascii="Arial" w:cs="Arial" w:eastAsia="Arial" w:hAnsi="Arial"/>
                <w:sz w:val="10"/>
                <w:szCs w:val="10"/>
                <w:color w:val="666666"/>
              </w:rPr>
              <w:t>$120,000</w:t>
            </w:r>
          </w:p>
        </w:tc>
      </w:tr>
      <w:tr>
        <w:trPr>
          <w:trHeight w:val="150"/>
        </w:trPr>
        <w:tc>
          <w:tcPr>
            <w:tcW w:w="3500" w:type="dxa"/>
            <w:vAlign w:val="bottom"/>
          </w:tcPr>
          <w:p>
            <w:pPr>
              <w:ind w:left="20"/>
              <w:spacing w:after="0"/>
              <w:rPr>
                <w:sz w:val="20"/>
                <w:szCs w:val="20"/>
                <w:color w:val="auto"/>
              </w:rPr>
            </w:pPr>
            <w:r>
              <w:rPr>
                <w:rFonts w:ascii="Arial" w:cs="Arial" w:eastAsia="Arial" w:hAnsi="Arial"/>
                <w:sz w:val="10"/>
                <w:szCs w:val="10"/>
                <w:color w:val="666666"/>
              </w:rPr>
              <w:t>Audit Committee Chair Additional Retainer</w:t>
            </w:r>
          </w:p>
        </w:tc>
        <w:tc>
          <w:tcPr>
            <w:tcW w:w="3940" w:type="dxa"/>
            <w:vAlign w:val="bottom"/>
          </w:tcPr>
          <w:p>
            <w:pPr>
              <w:ind w:left="1120"/>
              <w:spacing w:after="0"/>
              <w:rPr>
                <w:sz w:val="20"/>
                <w:szCs w:val="20"/>
                <w:color w:val="auto"/>
              </w:rPr>
            </w:pPr>
            <w:r>
              <w:rPr>
                <w:rFonts w:ascii="Arial" w:cs="Arial" w:eastAsia="Arial" w:hAnsi="Arial"/>
                <w:sz w:val="10"/>
                <w:szCs w:val="10"/>
                <w:color w:val="666666"/>
              </w:rPr>
              <w:t>$30,000</w:t>
            </w:r>
          </w:p>
        </w:tc>
      </w:tr>
      <w:tr>
        <w:trPr>
          <w:trHeight w:val="157"/>
        </w:trPr>
        <w:tc>
          <w:tcPr>
            <w:tcW w:w="3500" w:type="dxa"/>
            <w:vAlign w:val="bottom"/>
            <w:shd w:val="clear" w:color="auto" w:fill="E9E5FF"/>
          </w:tcPr>
          <w:p>
            <w:pPr>
              <w:ind w:left="20"/>
              <w:spacing w:after="0"/>
              <w:rPr>
                <w:sz w:val="20"/>
                <w:szCs w:val="20"/>
                <w:color w:val="auto"/>
              </w:rPr>
            </w:pPr>
            <w:r>
              <w:rPr>
                <w:rFonts w:ascii="Arial" w:cs="Arial" w:eastAsia="Arial" w:hAnsi="Arial"/>
                <w:sz w:val="10"/>
                <w:szCs w:val="10"/>
                <w:color w:val="666666"/>
              </w:rPr>
              <w:t>Compensation Committee Chair Additional Retainer</w:t>
            </w:r>
          </w:p>
        </w:tc>
        <w:tc>
          <w:tcPr>
            <w:tcW w:w="3940" w:type="dxa"/>
            <w:vAlign w:val="bottom"/>
            <w:shd w:val="clear" w:color="auto" w:fill="E9E5FF"/>
          </w:tcPr>
          <w:p>
            <w:pPr>
              <w:ind w:left="1120"/>
              <w:spacing w:after="0"/>
              <w:rPr>
                <w:sz w:val="20"/>
                <w:szCs w:val="20"/>
                <w:color w:val="auto"/>
              </w:rPr>
            </w:pPr>
            <w:r>
              <w:rPr>
                <w:rFonts w:ascii="Arial" w:cs="Arial" w:eastAsia="Arial" w:hAnsi="Arial"/>
                <w:sz w:val="10"/>
                <w:szCs w:val="10"/>
                <w:color w:val="666666"/>
              </w:rPr>
              <w:t>$15,000</w:t>
            </w:r>
          </w:p>
        </w:tc>
      </w:tr>
    </w:tbl>
    <w:p>
      <w:pPr>
        <w:spacing w:after="0" w:line="9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4"/>
          <w:szCs w:val="14"/>
          <w:color w:val="666666"/>
        </w:rPr>
        <w:t>Directors may elect to receive all or a portion of their annual retainer and any additional payments for service as a committee chair in the form of restricted stock, which will be granted under our Second Amended and Restated Equity Incentive Plan, which we refer to as our Equity Incentive Plan. Our directors do not receive additional fees for attending Board or committee meetings.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19</w:t>
      </w:r>
    </w:p>
    <w:p>
      <w:pPr>
        <w:sectPr>
          <w:pgSz w:w="11900" w:h="16838" w:orient="portrait"/>
          <w:cols w:equalWidth="0" w:num="1">
            <w:col w:w="11480"/>
          </w:cols>
          <w:pgMar w:left="220" w:top="561" w:right="199" w:bottom="1440" w:gutter="0" w:footer="0" w:header="0"/>
        </w:sectPr>
      </w:pPr>
    </w:p>
    <w:bookmarkStart w:id="28" w:name="page29"/>
    <w:bookmarkEnd w:id="28"/>
    <w:p>
      <w:pPr>
        <w:jc w:val="center"/>
        <w:ind w:right="93"/>
        <w:spacing w:after="0"/>
        <w:rPr>
          <w:sz w:val="20"/>
          <w:szCs w:val="20"/>
          <w:color w:val="auto"/>
        </w:rPr>
      </w:pPr>
      <w:r>
        <w:rPr>
          <w:rFonts w:ascii="Arial" w:cs="Arial" w:eastAsia="Arial" w:hAnsi="Arial"/>
          <w:sz w:val="14"/>
          <w:szCs w:val="14"/>
          <w:b w:val="1"/>
          <w:bCs w:val="1"/>
          <w:i w:val="1"/>
          <w:iCs w:val="1"/>
          <w:color w:val="547BCC"/>
        </w:rPr>
        <w:t>Director Compensation Table</w:t>
      </w:r>
    </w:p>
    <w:p>
      <w:pPr>
        <w:spacing w:after="0" w:line="260" w:lineRule="exact"/>
        <w:rPr>
          <w:sz w:val="20"/>
          <w:szCs w:val="20"/>
          <w:color w:val="auto"/>
        </w:rPr>
      </w:pPr>
    </w:p>
    <w:tbl>
      <w:tblPr>
        <w:tblLayout w:type="fixed"/>
        <w:tblInd w:w="367" w:type="dxa"/>
        <w:tblCellMar>
          <w:top w:w="0" w:type="dxa"/>
          <w:left w:w="0" w:type="dxa"/>
          <w:bottom w:w="0" w:type="dxa"/>
          <w:right w:w="0" w:type="dxa"/>
        </w:tblCellMar>
      </w:tblPr>
      <w:tr>
        <w:trPr>
          <w:trHeight w:val="115"/>
        </w:trPr>
        <w:tc>
          <w:tcPr>
            <w:tcW w:w="2740" w:type="dxa"/>
            <w:vAlign w:val="bottom"/>
          </w:tcPr>
          <w:p>
            <w:pPr>
              <w:spacing w:after="0"/>
              <w:rPr>
                <w:sz w:val="10"/>
                <w:szCs w:val="10"/>
                <w:color w:val="auto"/>
              </w:rPr>
            </w:pPr>
          </w:p>
        </w:tc>
        <w:tc>
          <w:tcPr>
            <w:tcW w:w="1580" w:type="dxa"/>
            <w:vAlign w:val="bottom"/>
            <w:gridSpan w:val="2"/>
            <w:vMerge w:val="restart"/>
          </w:tcPr>
          <w:p>
            <w:pPr>
              <w:ind w:left="440"/>
              <w:spacing w:after="0"/>
              <w:rPr>
                <w:sz w:val="20"/>
                <w:szCs w:val="20"/>
                <w:color w:val="auto"/>
              </w:rPr>
            </w:pPr>
            <w:r>
              <w:rPr>
                <w:rFonts w:ascii="Arial" w:cs="Arial" w:eastAsia="Arial" w:hAnsi="Arial"/>
                <w:sz w:val="10"/>
                <w:szCs w:val="10"/>
                <w:b w:val="1"/>
                <w:bCs w:val="1"/>
                <w:color w:val="666666"/>
              </w:rPr>
              <w:t>Fees Earned</w:t>
            </w:r>
          </w:p>
        </w:tc>
        <w:tc>
          <w:tcPr>
            <w:tcW w:w="1100" w:type="dxa"/>
            <w:vAlign w:val="bottom"/>
          </w:tcPr>
          <w:p>
            <w:pPr>
              <w:jc w:val="center"/>
              <w:ind w:left="349"/>
              <w:spacing w:after="0"/>
              <w:rPr>
                <w:sz w:val="20"/>
                <w:szCs w:val="20"/>
                <w:color w:val="auto"/>
              </w:rPr>
            </w:pPr>
            <w:r>
              <w:rPr>
                <w:rFonts w:ascii="Arial" w:cs="Arial" w:eastAsia="Arial" w:hAnsi="Arial"/>
                <w:sz w:val="10"/>
                <w:szCs w:val="10"/>
                <w:b w:val="1"/>
                <w:bCs w:val="1"/>
                <w:color w:val="666666"/>
              </w:rPr>
              <w:t>Option</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666666"/>
              </w:rPr>
              <w:t>Stock</w:t>
            </w:r>
          </w:p>
        </w:tc>
        <w:tc>
          <w:tcPr>
            <w:tcW w:w="1580" w:type="dxa"/>
            <w:vAlign w:val="bottom"/>
            <w:gridSpan w:val="2"/>
            <w:vMerge w:val="restart"/>
          </w:tcPr>
          <w:p>
            <w:pPr>
              <w:ind w:left="600"/>
              <w:spacing w:after="0"/>
              <w:rPr>
                <w:sz w:val="20"/>
                <w:szCs w:val="20"/>
                <w:color w:val="auto"/>
              </w:rPr>
            </w:pPr>
            <w:r>
              <w:rPr>
                <w:rFonts w:ascii="Arial" w:cs="Arial" w:eastAsia="Arial" w:hAnsi="Arial"/>
                <w:sz w:val="10"/>
                <w:szCs w:val="10"/>
                <w:b w:val="1"/>
                <w:bCs w:val="1"/>
                <w:color w:val="666666"/>
              </w:rPr>
              <w:t>Other</w:t>
            </w:r>
          </w:p>
        </w:tc>
        <w:tc>
          <w:tcPr>
            <w:tcW w:w="1480" w:type="dxa"/>
            <w:vAlign w:val="bottom"/>
            <w:vMerge w:val="restart"/>
          </w:tcPr>
          <w:p>
            <w:pPr>
              <w:jc w:val="right"/>
              <w:ind w:right="569"/>
              <w:spacing w:after="0"/>
              <w:rPr>
                <w:sz w:val="20"/>
                <w:szCs w:val="20"/>
                <w:color w:val="auto"/>
              </w:rPr>
            </w:pPr>
            <w:r>
              <w:rPr>
                <w:rFonts w:ascii="Arial" w:cs="Arial" w:eastAsia="Arial" w:hAnsi="Arial"/>
                <w:sz w:val="10"/>
                <w:szCs w:val="10"/>
                <w:b w:val="1"/>
                <w:bCs w:val="1"/>
                <w:color w:val="666666"/>
              </w:rPr>
              <w:t>Total</w:t>
            </w:r>
          </w:p>
        </w:tc>
        <w:tc>
          <w:tcPr>
            <w:tcW w:w="0" w:type="dxa"/>
            <w:vAlign w:val="bottom"/>
          </w:tcPr>
          <w:p>
            <w:pPr>
              <w:spacing w:after="0"/>
              <w:rPr>
                <w:sz w:val="1"/>
                <w:szCs w:val="1"/>
                <w:color w:val="auto"/>
              </w:rPr>
            </w:pPr>
          </w:p>
        </w:tc>
      </w:tr>
      <w:tr>
        <w:trPr>
          <w:trHeight w:val="115"/>
        </w:trPr>
        <w:tc>
          <w:tcPr>
            <w:tcW w:w="2740" w:type="dxa"/>
            <w:vAlign w:val="bottom"/>
            <w:vMerge w:val="restart"/>
          </w:tcPr>
          <w:p>
            <w:pPr>
              <w:spacing w:after="0"/>
              <w:rPr>
                <w:sz w:val="20"/>
                <w:szCs w:val="20"/>
                <w:color w:val="auto"/>
              </w:rPr>
            </w:pPr>
            <w:r>
              <w:rPr>
                <w:rFonts w:ascii="Arial" w:cs="Arial" w:eastAsia="Arial" w:hAnsi="Arial"/>
                <w:sz w:val="10"/>
                <w:szCs w:val="10"/>
                <w:b w:val="1"/>
                <w:bCs w:val="1"/>
                <w:color w:val="666666"/>
              </w:rPr>
              <w:t>Name</w:t>
            </w:r>
          </w:p>
        </w:tc>
        <w:tc>
          <w:tcPr>
            <w:tcW w:w="1580" w:type="dxa"/>
            <w:vAlign w:val="bottom"/>
            <w:gridSpan w:val="2"/>
            <w:vMerge w:val="continue"/>
          </w:tcPr>
          <w:p>
            <w:pPr>
              <w:spacing w:after="0"/>
              <w:rPr>
                <w:sz w:val="10"/>
                <w:szCs w:val="10"/>
                <w:color w:val="auto"/>
              </w:rPr>
            </w:pPr>
          </w:p>
        </w:tc>
        <w:tc>
          <w:tcPr>
            <w:tcW w:w="1100" w:type="dxa"/>
            <w:vAlign w:val="bottom"/>
          </w:tcPr>
          <w:p>
            <w:pPr>
              <w:jc w:val="center"/>
              <w:ind w:left="349"/>
              <w:spacing w:after="0"/>
              <w:rPr>
                <w:sz w:val="20"/>
                <w:szCs w:val="20"/>
                <w:color w:val="auto"/>
              </w:rPr>
            </w:pPr>
            <w:r>
              <w:rPr>
                <w:rFonts w:ascii="Arial" w:cs="Arial" w:eastAsia="Arial" w:hAnsi="Arial"/>
                <w:sz w:val="10"/>
                <w:szCs w:val="10"/>
                <w:b w:val="1"/>
                <w:bCs w:val="1"/>
                <w:color w:val="666666"/>
              </w:rPr>
              <w:t>Awards</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666666"/>
              </w:rPr>
              <w:t>Awards</w:t>
            </w:r>
          </w:p>
        </w:tc>
        <w:tc>
          <w:tcPr>
            <w:tcW w:w="1580" w:type="dxa"/>
            <w:vAlign w:val="bottom"/>
            <w:gridSpan w:val="2"/>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740" w:type="dxa"/>
            <w:vAlign w:val="bottom"/>
            <w:vMerge w:val="continue"/>
          </w:tcPr>
          <w:p>
            <w:pPr>
              <w:spacing w:after="0"/>
              <w:rPr>
                <w:sz w:val="12"/>
                <w:szCs w:val="12"/>
                <w:color w:val="auto"/>
              </w:rPr>
            </w:pPr>
          </w:p>
        </w:tc>
        <w:tc>
          <w:tcPr>
            <w:tcW w:w="1480" w:type="dxa"/>
            <w:vAlign w:val="bottom"/>
            <w:tcBorders>
              <w:bottom w:val="single" w:sz="8" w:color="666666"/>
            </w:tcBorders>
          </w:tcPr>
          <w:p>
            <w:pPr>
              <w:jc w:val="right"/>
              <w:ind w:right="629"/>
              <w:spacing w:after="0"/>
              <w:rPr>
                <w:sz w:val="20"/>
                <w:szCs w:val="20"/>
                <w:color w:val="auto"/>
              </w:rPr>
            </w:pPr>
            <w:r>
              <w:rPr>
                <w:rFonts w:ascii="Arial" w:cs="Arial" w:eastAsia="Arial" w:hAnsi="Arial"/>
                <w:sz w:val="10"/>
                <w:szCs w:val="10"/>
                <w:b w:val="1"/>
                <w:bCs w:val="1"/>
                <w:color w:val="666666"/>
              </w:rPr>
              <w:t>($)</w:t>
            </w:r>
          </w:p>
        </w:tc>
        <w:tc>
          <w:tcPr>
            <w:tcW w:w="100" w:type="dxa"/>
            <w:vAlign w:val="bottom"/>
          </w:tcPr>
          <w:p>
            <w:pPr>
              <w:spacing w:after="0"/>
              <w:rPr>
                <w:sz w:val="12"/>
                <w:szCs w:val="12"/>
                <w:color w:val="auto"/>
              </w:rPr>
            </w:pPr>
          </w:p>
        </w:tc>
        <w:tc>
          <w:tcPr>
            <w:tcW w:w="1100" w:type="dxa"/>
            <w:vAlign w:val="bottom"/>
            <w:tcBorders>
              <w:bottom w:val="single" w:sz="8" w:color="666666"/>
            </w:tcBorders>
          </w:tcPr>
          <w:p>
            <w:pPr>
              <w:jc w:val="center"/>
              <w:ind w:left="349"/>
              <w:spacing w:after="0"/>
              <w:rPr>
                <w:sz w:val="20"/>
                <w:szCs w:val="20"/>
                <w:color w:val="auto"/>
              </w:rPr>
            </w:pPr>
            <w:r>
              <w:rPr>
                <w:rFonts w:ascii="Arial" w:cs="Arial" w:eastAsia="Arial" w:hAnsi="Arial"/>
                <w:sz w:val="10"/>
                <w:szCs w:val="10"/>
                <w:b w:val="1"/>
                <w:bCs w:val="1"/>
                <w:color w:val="666666"/>
              </w:rPr>
              <w:t>($)</w:t>
            </w:r>
          </w:p>
        </w:tc>
        <w:tc>
          <w:tcPr>
            <w:tcW w:w="380" w:type="dxa"/>
            <w:vAlign w:val="bottom"/>
            <w:tcBorders>
              <w:bottom w:val="single" w:sz="8" w:color="666666"/>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bottom w:val="single" w:sz="8" w:color="666666"/>
            </w:tcBorders>
          </w:tcPr>
          <w:p>
            <w:pPr>
              <w:jc w:val="center"/>
              <w:spacing w:after="0"/>
              <w:rPr>
                <w:sz w:val="20"/>
                <w:szCs w:val="20"/>
                <w:color w:val="auto"/>
              </w:rPr>
            </w:pPr>
            <w:r>
              <w:rPr>
                <w:rFonts w:ascii="Arial" w:cs="Arial" w:eastAsia="Arial" w:hAnsi="Arial"/>
                <w:sz w:val="10"/>
                <w:szCs w:val="10"/>
                <w:b w:val="1"/>
                <w:bCs w:val="1"/>
                <w:color w:val="666666"/>
                <w:w w:val="99"/>
              </w:rPr>
              <w:t>($)(1)(12)</w:t>
            </w:r>
          </w:p>
        </w:tc>
        <w:tc>
          <w:tcPr>
            <w:tcW w:w="100" w:type="dxa"/>
            <w:vAlign w:val="bottom"/>
          </w:tcPr>
          <w:p>
            <w:pPr>
              <w:spacing w:after="0"/>
              <w:rPr>
                <w:sz w:val="12"/>
                <w:szCs w:val="12"/>
                <w:color w:val="auto"/>
              </w:rPr>
            </w:pPr>
          </w:p>
        </w:tc>
        <w:tc>
          <w:tcPr>
            <w:tcW w:w="1480" w:type="dxa"/>
            <w:vAlign w:val="bottom"/>
            <w:tcBorders>
              <w:bottom w:val="single" w:sz="8" w:color="666666"/>
            </w:tcBorders>
          </w:tcPr>
          <w:p>
            <w:pPr>
              <w:ind w:left="680"/>
              <w:spacing w:after="0"/>
              <w:rPr>
                <w:sz w:val="20"/>
                <w:szCs w:val="20"/>
                <w:color w:val="auto"/>
              </w:rPr>
            </w:pPr>
            <w:r>
              <w:rPr>
                <w:rFonts w:ascii="Arial" w:cs="Arial" w:eastAsia="Arial" w:hAnsi="Arial"/>
                <w:sz w:val="10"/>
                <w:szCs w:val="10"/>
                <w:b w:val="1"/>
                <w:bCs w:val="1"/>
                <w:color w:val="666666"/>
              </w:rPr>
              <w:t>($)</w:t>
            </w:r>
          </w:p>
        </w:tc>
        <w:tc>
          <w:tcPr>
            <w:tcW w:w="100" w:type="dxa"/>
            <w:vAlign w:val="bottom"/>
          </w:tcPr>
          <w:p>
            <w:pPr>
              <w:spacing w:after="0"/>
              <w:rPr>
                <w:sz w:val="12"/>
                <w:szCs w:val="12"/>
                <w:color w:val="auto"/>
              </w:rPr>
            </w:pPr>
          </w:p>
        </w:tc>
        <w:tc>
          <w:tcPr>
            <w:tcW w:w="1480" w:type="dxa"/>
            <w:vAlign w:val="bottom"/>
            <w:tcBorders>
              <w:bottom w:val="single" w:sz="8" w:color="666666"/>
            </w:tcBorders>
          </w:tcPr>
          <w:p>
            <w:pPr>
              <w:jc w:val="right"/>
              <w:ind w:right="629"/>
              <w:spacing w:after="0"/>
              <w:rPr>
                <w:sz w:val="20"/>
                <w:szCs w:val="20"/>
                <w:color w:val="auto"/>
              </w:rPr>
            </w:pPr>
            <w:r>
              <w:rPr>
                <w:rFonts w:ascii="Arial" w:cs="Arial" w:eastAsia="Arial" w:hAnsi="Arial"/>
                <w:sz w:val="10"/>
                <w:szCs w:val="10"/>
                <w:b w:val="1"/>
                <w:bCs w:val="1"/>
                <w:color w:val="666666"/>
              </w:rPr>
              <w:t>($)</w:t>
            </w:r>
          </w:p>
        </w:tc>
        <w:tc>
          <w:tcPr>
            <w:tcW w:w="0" w:type="dxa"/>
            <w:vAlign w:val="bottom"/>
          </w:tcPr>
          <w:p>
            <w:pPr>
              <w:spacing w:after="0"/>
              <w:rPr>
                <w:sz w:val="1"/>
                <w:szCs w:val="1"/>
                <w:color w:val="auto"/>
              </w:rPr>
            </w:pPr>
          </w:p>
        </w:tc>
      </w:tr>
      <w:tr>
        <w:trPr>
          <w:trHeight w:val="183"/>
        </w:trPr>
        <w:tc>
          <w:tcPr>
            <w:tcW w:w="2740" w:type="dxa"/>
            <w:vAlign w:val="bottom"/>
          </w:tcPr>
          <w:p>
            <w:pPr>
              <w:spacing w:after="0"/>
              <w:rPr>
                <w:sz w:val="20"/>
                <w:szCs w:val="20"/>
                <w:color w:val="auto"/>
              </w:rPr>
            </w:pPr>
            <w:r>
              <w:rPr>
                <w:rFonts w:ascii="Arial" w:cs="Arial" w:eastAsia="Arial" w:hAnsi="Arial"/>
                <w:sz w:val="10"/>
                <w:szCs w:val="10"/>
                <w:color w:val="666666"/>
              </w:rPr>
              <w:t>Joan Lordi C. Amble</w:t>
            </w:r>
          </w:p>
        </w:tc>
        <w:tc>
          <w:tcPr>
            <w:tcW w:w="1480" w:type="dxa"/>
            <w:vAlign w:val="bottom"/>
          </w:tcPr>
          <w:p>
            <w:pPr>
              <w:jc w:val="right"/>
              <w:spacing w:after="0" w:line="183" w:lineRule="exact"/>
              <w:rPr>
                <w:sz w:val="20"/>
                <w:szCs w:val="20"/>
                <w:color w:val="auto"/>
              </w:rPr>
            </w:pPr>
            <w:r>
              <w:rPr>
                <w:rFonts w:ascii="Arial" w:cs="Arial" w:eastAsia="Arial" w:hAnsi="Arial"/>
                <w:sz w:val="10"/>
                <w:szCs w:val="10"/>
                <w:color w:val="666666"/>
              </w:rPr>
              <w:t>90,000</w:t>
            </w:r>
            <w:r>
              <w:rPr>
                <w:rFonts w:ascii="Arial" w:cs="Arial" w:eastAsia="Arial" w:hAnsi="Arial"/>
                <w:sz w:val="17"/>
                <w:szCs w:val="17"/>
                <w:color w:val="666666"/>
                <w:vertAlign w:val="superscript"/>
              </w:rPr>
              <w:t>(2)</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gridSpan w:val="2"/>
          </w:tcPr>
          <w:p>
            <w:pPr>
              <w:ind w:left="180"/>
              <w:spacing w:after="0"/>
              <w:rPr>
                <w:sz w:val="20"/>
                <w:szCs w:val="20"/>
                <w:color w:val="auto"/>
              </w:rPr>
            </w:pPr>
            <w:r>
              <w:rPr>
                <w:rFonts w:ascii="Arial" w:cs="Arial" w:eastAsia="Arial" w:hAnsi="Arial"/>
                <w:sz w:val="10"/>
                <w:szCs w:val="10"/>
                <w:color w:val="666666"/>
              </w:rPr>
              <w:t>—</w:t>
            </w:r>
          </w:p>
        </w:tc>
        <w:tc>
          <w:tcPr>
            <w:tcW w:w="1480" w:type="dxa"/>
            <w:vAlign w:val="bottom"/>
          </w:tcPr>
          <w:p>
            <w:pPr>
              <w:jc w:val="right"/>
              <w:spacing w:after="0" w:line="183" w:lineRule="exact"/>
              <w:rPr>
                <w:sz w:val="20"/>
                <w:szCs w:val="20"/>
                <w:color w:val="auto"/>
              </w:rPr>
            </w:pPr>
            <w:r>
              <w:rPr>
                <w:rFonts w:ascii="Arial" w:cs="Arial" w:eastAsia="Arial" w:hAnsi="Arial"/>
                <w:sz w:val="10"/>
                <w:szCs w:val="10"/>
                <w:color w:val="666666"/>
              </w:rPr>
              <w:t>120,003</w:t>
            </w:r>
            <w:r>
              <w:rPr>
                <w:rFonts w:ascii="Arial" w:cs="Arial" w:eastAsia="Arial" w:hAnsi="Arial"/>
                <w:sz w:val="17"/>
                <w:szCs w:val="17"/>
                <w:color w:val="666666"/>
                <w:vertAlign w:val="superscript"/>
              </w:rPr>
              <w:t>(2)</w:t>
            </w:r>
          </w:p>
        </w:tc>
        <w:tc>
          <w:tcPr>
            <w:tcW w:w="100" w:type="dxa"/>
            <w:vAlign w:val="bottom"/>
          </w:tcPr>
          <w:p>
            <w:pPr>
              <w:spacing w:after="0"/>
              <w:rPr>
                <w:sz w:val="15"/>
                <w:szCs w:val="15"/>
                <w:color w:val="auto"/>
              </w:rPr>
            </w:pPr>
          </w:p>
        </w:tc>
        <w:tc>
          <w:tcPr>
            <w:tcW w:w="1580" w:type="dxa"/>
            <w:vAlign w:val="bottom"/>
            <w:gridSpan w:val="2"/>
          </w:tcPr>
          <w:p>
            <w:pPr>
              <w:ind w:left="1260"/>
              <w:spacing w:after="0"/>
              <w:rPr>
                <w:sz w:val="20"/>
                <w:szCs w:val="20"/>
                <w:color w:val="auto"/>
              </w:rPr>
            </w:pPr>
            <w:r>
              <w:rPr>
                <w:rFonts w:ascii="Arial" w:cs="Arial" w:eastAsia="Arial" w:hAnsi="Arial"/>
                <w:sz w:val="10"/>
                <w:szCs w:val="10"/>
                <w:color w:val="666666"/>
              </w:rPr>
              <w:t>—</w:t>
            </w:r>
          </w:p>
        </w:tc>
        <w:tc>
          <w:tcPr>
            <w:tcW w:w="1480" w:type="dxa"/>
            <w:vAlign w:val="bottom"/>
          </w:tcPr>
          <w:p>
            <w:pPr>
              <w:jc w:val="right"/>
              <w:ind w:right="49"/>
              <w:spacing w:after="0"/>
              <w:rPr>
                <w:sz w:val="20"/>
                <w:szCs w:val="20"/>
                <w:color w:val="auto"/>
              </w:rPr>
            </w:pPr>
            <w:r>
              <w:rPr>
                <w:rFonts w:ascii="Arial" w:cs="Arial" w:eastAsia="Arial" w:hAnsi="Arial"/>
                <w:sz w:val="10"/>
                <w:szCs w:val="10"/>
                <w:color w:val="666666"/>
              </w:rPr>
              <w:t>210,003</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0"/>
                <w:szCs w:val="10"/>
                <w:color w:val="666666"/>
              </w:rPr>
              <w:t>Melody C. Barnes</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90,000</w:t>
            </w:r>
            <w:r>
              <w:rPr>
                <w:rFonts w:ascii="Arial" w:cs="Arial" w:eastAsia="Arial" w:hAnsi="Arial"/>
                <w:sz w:val="17"/>
                <w:szCs w:val="17"/>
                <w:color w:val="666666"/>
                <w:vertAlign w:val="superscript"/>
              </w:rPr>
              <w:t>(3)</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gridSpan w:val="2"/>
          </w:tcPr>
          <w:p>
            <w:pPr>
              <w:ind w:left="180"/>
              <w:spacing w:after="0"/>
              <w:rPr>
                <w:sz w:val="20"/>
                <w:szCs w:val="20"/>
                <w:color w:val="auto"/>
              </w:rPr>
            </w:pPr>
            <w:r>
              <w:rPr>
                <w:rFonts w:ascii="Arial" w:cs="Arial" w:eastAsia="Arial" w:hAnsi="Arial"/>
                <w:sz w:val="10"/>
                <w:szCs w:val="10"/>
                <w:color w:val="666666"/>
              </w:rPr>
              <w:t>—</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120,030</w:t>
            </w:r>
            <w:r>
              <w:rPr>
                <w:rFonts w:ascii="Arial" w:cs="Arial" w:eastAsia="Arial" w:hAnsi="Arial"/>
                <w:sz w:val="17"/>
                <w:szCs w:val="17"/>
                <w:color w:val="666666"/>
                <w:vertAlign w:val="superscript"/>
              </w:rPr>
              <w:t>(3)</w:t>
            </w:r>
          </w:p>
        </w:tc>
        <w:tc>
          <w:tcPr>
            <w:tcW w:w="100" w:type="dxa"/>
            <w:vAlign w:val="bottom"/>
          </w:tcPr>
          <w:p>
            <w:pPr>
              <w:spacing w:after="0"/>
              <w:rPr>
                <w:sz w:val="16"/>
                <w:szCs w:val="16"/>
                <w:color w:val="auto"/>
              </w:rPr>
            </w:pPr>
          </w:p>
        </w:tc>
        <w:tc>
          <w:tcPr>
            <w:tcW w:w="1580" w:type="dxa"/>
            <w:vAlign w:val="bottom"/>
            <w:gridSpan w:val="2"/>
          </w:tcPr>
          <w:p>
            <w:pPr>
              <w:ind w:left="1260"/>
              <w:spacing w:after="0"/>
              <w:rPr>
                <w:sz w:val="20"/>
                <w:szCs w:val="20"/>
                <w:color w:val="auto"/>
              </w:rPr>
            </w:pPr>
            <w:r>
              <w:rPr>
                <w:rFonts w:ascii="Arial" w:cs="Arial" w:eastAsia="Arial" w:hAnsi="Arial"/>
                <w:sz w:val="10"/>
                <w:szCs w:val="10"/>
                <w:color w:val="666666"/>
              </w:rPr>
              <w:t>—</w:t>
            </w:r>
          </w:p>
        </w:tc>
        <w:tc>
          <w:tcPr>
            <w:tcW w:w="1480" w:type="dxa"/>
            <w:vAlign w:val="bottom"/>
          </w:tcPr>
          <w:p>
            <w:pPr>
              <w:jc w:val="right"/>
              <w:ind w:right="49"/>
              <w:spacing w:after="0"/>
              <w:rPr>
                <w:sz w:val="20"/>
                <w:szCs w:val="20"/>
                <w:color w:val="auto"/>
              </w:rPr>
            </w:pPr>
            <w:r>
              <w:rPr>
                <w:rFonts w:ascii="Arial" w:cs="Arial" w:eastAsia="Arial" w:hAnsi="Arial"/>
                <w:sz w:val="10"/>
                <w:szCs w:val="10"/>
                <w:color w:val="666666"/>
              </w:rPr>
              <w:t>210,030</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0"/>
                <w:szCs w:val="10"/>
                <w:color w:val="666666"/>
              </w:rPr>
              <w:t>Peter Clare</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90,000</w:t>
            </w:r>
            <w:r>
              <w:rPr>
                <w:rFonts w:ascii="Arial" w:cs="Arial" w:eastAsia="Arial" w:hAnsi="Arial"/>
                <w:sz w:val="17"/>
                <w:szCs w:val="17"/>
                <w:color w:val="666666"/>
                <w:vertAlign w:val="superscript"/>
              </w:rPr>
              <w:t>(4)</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gridSpan w:val="2"/>
          </w:tcPr>
          <w:p>
            <w:pPr>
              <w:ind w:left="180"/>
              <w:spacing w:after="0"/>
              <w:rPr>
                <w:sz w:val="20"/>
                <w:szCs w:val="20"/>
                <w:color w:val="auto"/>
              </w:rPr>
            </w:pPr>
            <w:r>
              <w:rPr>
                <w:rFonts w:ascii="Arial" w:cs="Arial" w:eastAsia="Arial" w:hAnsi="Arial"/>
                <w:sz w:val="10"/>
                <w:szCs w:val="10"/>
                <w:color w:val="666666"/>
              </w:rPr>
              <w:t>—</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120,003</w:t>
            </w:r>
            <w:r>
              <w:rPr>
                <w:rFonts w:ascii="Arial" w:cs="Arial" w:eastAsia="Arial" w:hAnsi="Arial"/>
                <w:sz w:val="17"/>
                <w:szCs w:val="17"/>
                <w:color w:val="666666"/>
                <w:vertAlign w:val="superscript"/>
              </w:rPr>
              <w:t>(4)</w:t>
            </w:r>
          </w:p>
        </w:tc>
        <w:tc>
          <w:tcPr>
            <w:tcW w:w="100" w:type="dxa"/>
            <w:vAlign w:val="bottom"/>
          </w:tcPr>
          <w:p>
            <w:pPr>
              <w:spacing w:after="0"/>
              <w:rPr>
                <w:sz w:val="16"/>
                <w:szCs w:val="16"/>
                <w:color w:val="auto"/>
              </w:rPr>
            </w:pPr>
          </w:p>
        </w:tc>
        <w:tc>
          <w:tcPr>
            <w:tcW w:w="1580" w:type="dxa"/>
            <w:vAlign w:val="bottom"/>
            <w:gridSpan w:val="2"/>
          </w:tcPr>
          <w:p>
            <w:pPr>
              <w:ind w:left="1260"/>
              <w:spacing w:after="0"/>
              <w:rPr>
                <w:sz w:val="20"/>
                <w:szCs w:val="20"/>
                <w:color w:val="auto"/>
              </w:rPr>
            </w:pPr>
            <w:r>
              <w:rPr>
                <w:rFonts w:ascii="Arial" w:cs="Arial" w:eastAsia="Arial" w:hAnsi="Arial"/>
                <w:sz w:val="10"/>
                <w:szCs w:val="10"/>
                <w:color w:val="666666"/>
              </w:rPr>
              <w:t>—</w:t>
            </w:r>
          </w:p>
        </w:tc>
        <w:tc>
          <w:tcPr>
            <w:tcW w:w="1480" w:type="dxa"/>
            <w:vAlign w:val="bottom"/>
          </w:tcPr>
          <w:p>
            <w:pPr>
              <w:jc w:val="right"/>
              <w:ind w:right="49"/>
              <w:spacing w:after="0"/>
              <w:rPr>
                <w:sz w:val="20"/>
                <w:szCs w:val="20"/>
                <w:color w:val="auto"/>
              </w:rPr>
            </w:pPr>
            <w:r>
              <w:rPr>
                <w:rFonts w:ascii="Arial" w:cs="Arial" w:eastAsia="Arial" w:hAnsi="Arial"/>
                <w:sz w:val="10"/>
                <w:szCs w:val="10"/>
                <w:color w:val="666666"/>
              </w:rPr>
              <w:t>210,003</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0"/>
                <w:szCs w:val="10"/>
                <w:color w:val="666666"/>
              </w:rPr>
              <w:t>Ian Fujiyama</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90,000</w:t>
            </w:r>
            <w:r>
              <w:rPr>
                <w:rFonts w:ascii="Arial" w:cs="Arial" w:eastAsia="Arial" w:hAnsi="Arial"/>
                <w:sz w:val="17"/>
                <w:szCs w:val="17"/>
                <w:color w:val="666666"/>
                <w:vertAlign w:val="superscript"/>
              </w:rPr>
              <w:t>(5)</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gridSpan w:val="2"/>
          </w:tcPr>
          <w:p>
            <w:pPr>
              <w:ind w:left="180"/>
              <w:spacing w:after="0"/>
              <w:rPr>
                <w:sz w:val="20"/>
                <w:szCs w:val="20"/>
                <w:color w:val="auto"/>
              </w:rPr>
            </w:pPr>
            <w:r>
              <w:rPr>
                <w:rFonts w:ascii="Arial" w:cs="Arial" w:eastAsia="Arial" w:hAnsi="Arial"/>
                <w:sz w:val="10"/>
                <w:szCs w:val="10"/>
                <w:color w:val="666666"/>
              </w:rPr>
              <w:t>—</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120,003</w:t>
            </w:r>
            <w:r>
              <w:rPr>
                <w:rFonts w:ascii="Arial" w:cs="Arial" w:eastAsia="Arial" w:hAnsi="Arial"/>
                <w:sz w:val="17"/>
                <w:szCs w:val="17"/>
                <w:color w:val="666666"/>
                <w:vertAlign w:val="superscript"/>
              </w:rPr>
              <w:t>(5)</w:t>
            </w:r>
          </w:p>
        </w:tc>
        <w:tc>
          <w:tcPr>
            <w:tcW w:w="100" w:type="dxa"/>
            <w:vAlign w:val="bottom"/>
          </w:tcPr>
          <w:p>
            <w:pPr>
              <w:spacing w:after="0"/>
              <w:rPr>
                <w:sz w:val="16"/>
                <w:szCs w:val="16"/>
                <w:color w:val="auto"/>
              </w:rPr>
            </w:pPr>
          </w:p>
        </w:tc>
        <w:tc>
          <w:tcPr>
            <w:tcW w:w="1580" w:type="dxa"/>
            <w:vAlign w:val="bottom"/>
            <w:gridSpan w:val="2"/>
          </w:tcPr>
          <w:p>
            <w:pPr>
              <w:ind w:left="1260"/>
              <w:spacing w:after="0"/>
              <w:rPr>
                <w:sz w:val="20"/>
                <w:szCs w:val="20"/>
                <w:color w:val="auto"/>
              </w:rPr>
            </w:pPr>
            <w:r>
              <w:rPr>
                <w:rFonts w:ascii="Arial" w:cs="Arial" w:eastAsia="Arial" w:hAnsi="Arial"/>
                <w:sz w:val="10"/>
                <w:szCs w:val="10"/>
                <w:color w:val="666666"/>
              </w:rPr>
              <w:t>—</w:t>
            </w:r>
          </w:p>
        </w:tc>
        <w:tc>
          <w:tcPr>
            <w:tcW w:w="1480" w:type="dxa"/>
            <w:vAlign w:val="bottom"/>
          </w:tcPr>
          <w:p>
            <w:pPr>
              <w:jc w:val="right"/>
              <w:ind w:right="49"/>
              <w:spacing w:after="0"/>
              <w:rPr>
                <w:sz w:val="20"/>
                <w:szCs w:val="20"/>
                <w:color w:val="auto"/>
              </w:rPr>
            </w:pPr>
            <w:r>
              <w:rPr>
                <w:rFonts w:ascii="Arial" w:cs="Arial" w:eastAsia="Arial" w:hAnsi="Arial"/>
                <w:sz w:val="10"/>
                <w:szCs w:val="10"/>
                <w:color w:val="666666"/>
              </w:rPr>
              <w:t>210,003</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0"/>
                <w:szCs w:val="10"/>
                <w:color w:val="666666"/>
              </w:rPr>
              <w:t>Mark E. Gaumond</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90,000</w:t>
            </w:r>
            <w:r>
              <w:rPr>
                <w:rFonts w:ascii="Arial" w:cs="Arial" w:eastAsia="Arial" w:hAnsi="Arial"/>
                <w:sz w:val="17"/>
                <w:szCs w:val="17"/>
                <w:color w:val="666666"/>
                <w:vertAlign w:val="superscript"/>
              </w:rPr>
              <w:t>(6)</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gridSpan w:val="2"/>
          </w:tcPr>
          <w:p>
            <w:pPr>
              <w:ind w:left="180"/>
              <w:spacing w:after="0"/>
              <w:rPr>
                <w:sz w:val="20"/>
                <w:szCs w:val="20"/>
                <w:color w:val="auto"/>
              </w:rPr>
            </w:pPr>
            <w:r>
              <w:rPr>
                <w:rFonts w:ascii="Arial" w:cs="Arial" w:eastAsia="Arial" w:hAnsi="Arial"/>
                <w:sz w:val="10"/>
                <w:szCs w:val="10"/>
                <w:color w:val="666666"/>
              </w:rPr>
              <w:t>—</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120,021</w:t>
            </w:r>
            <w:r>
              <w:rPr>
                <w:rFonts w:ascii="Arial" w:cs="Arial" w:eastAsia="Arial" w:hAnsi="Arial"/>
                <w:sz w:val="17"/>
                <w:szCs w:val="17"/>
                <w:color w:val="666666"/>
                <w:vertAlign w:val="superscript"/>
              </w:rPr>
              <w:t>(6)</w:t>
            </w:r>
          </w:p>
        </w:tc>
        <w:tc>
          <w:tcPr>
            <w:tcW w:w="100" w:type="dxa"/>
            <w:vAlign w:val="bottom"/>
          </w:tcPr>
          <w:p>
            <w:pPr>
              <w:spacing w:after="0"/>
              <w:rPr>
                <w:sz w:val="16"/>
                <w:szCs w:val="16"/>
                <w:color w:val="auto"/>
              </w:rPr>
            </w:pPr>
          </w:p>
        </w:tc>
        <w:tc>
          <w:tcPr>
            <w:tcW w:w="1580" w:type="dxa"/>
            <w:vAlign w:val="bottom"/>
            <w:gridSpan w:val="2"/>
          </w:tcPr>
          <w:p>
            <w:pPr>
              <w:ind w:left="1260"/>
              <w:spacing w:after="0"/>
              <w:rPr>
                <w:sz w:val="20"/>
                <w:szCs w:val="20"/>
                <w:color w:val="auto"/>
              </w:rPr>
            </w:pPr>
            <w:r>
              <w:rPr>
                <w:rFonts w:ascii="Arial" w:cs="Arial" w:eastAsia="Arial" w:hAnsi="Arial"/>
                <w:sz w:val="10"/>
                <w:szCs w:val="10"/>
                <w:color w:val="666666"/>
              </w:rPr>
              <w:t>—</w:t>
            </w:r>
          </w:p>
        </w:tc>
        <w:tc>
          <w:tcPr>
            <w:tcW w:w="1480" w:type="dxa"/>
            <w:vAlign w:val="bottom"/>
          </w:tcPr>
          <w:p>
            <w:pPr>
              <w:jc w:val="right"/>
              <w:ind w:right="49"/>
              <w:spacing w:after="0"/>
              <w:rPr>
                <w:sz w:val="20"/>
                <w:szCs w:val="20"/>
                <w:color w:val="auto"/>
              </w:rPr>
            </w:pPr>
            <w:r>
              <w:rPr>
                <w:rFonts w:ascii="Arial" w:cs="Arial" w:eastAsia="Arial" w:hAnsi="Arial"/>
                <w:sz w:val="10"/>
                <w:szCs w:val="10"/>
                <w:color w:val="666666"/>
              </w:rPr>
              <w:t>240,021</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0"/>
                <w:szCs w:val="10"/>
                <w:color w:val="666666"/>
              </w:rPr>
              <w:t>Arthur E. Johnson</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90,000</w:t>
            </w:r>
            <w:r>
              <w:rPr>
                <w:rFonts w:ascii="Arial" w:cs="Arial" w:eastAsia="Arial" w:hAnsi="Arial"/>
                <w:sz w:val="17"/>
                <w:szCs w:val="17"/>
                <w:color w:val="666666"/>
                <w:vertAlign w:val="superscript"/>
              </w:rPr>
              <w:t>(7)</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gridSpan w:val="2"/>
          </w:tcPr>
          <w:p>
            <w:pPr>
              <w:ind w:left="180"/>
              <w:spacing w:after="0"/>
              <w:rPr>
                <w:sz w:val="20"/>
                <w:szCs w:val="20"/>
                <w:color w:val="auto"/>
              </w:rPr>
            </w:pPr>
            <w:r>
              <w:rPr>
                <w:rFonts w:ascii="Arial" w:cs="Arial" w:eastAsia="Arial" w:hAnsi="Arial"/>
                <w:sz w:val="10"/>
                <w:szCs w:val="10"/>
                <w:color w:val="666666"/>
              </w:rPr>
              <w:t>—</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120,030</w:t>
            </w:r>
            <w:r>
              <w:rPr>
                <w:rFonts w:ascii="Arial" w:cs="Arial" w:eastAsia="Arial" w:hAnsi="Arial"/>
                <w:sz w:val="17"/>
                <w:szCs w:val="17"/>
                <w:color w:val="666666"/>
                <w:vertAlign w:val="superscript"/>
              </w:rPr>
              <w:t>(7)</w:t>
            </w:r>
          </w:p>
        </w:tc>
        <w:tc>
          <w:tcPr>
            <w:tcW w:w="100" w:type="dxa"/>
            <w:vAlign w:val="bottom"/>
          </w:tcPr>
          <w:p>
            <w:pPr>
              <w:spacing w:after="0"/>
              <w:rPr>
                <w:sz w:val="16"/>
                <w:szCs w:val="16"/>
                <w:color w:val="auto"/>
              </w:rPr>
            </w:pPr>
          </w:p>
        </w:tc>
        <w:tc>
          <w:tcPr>
            <w:tcW w:w="1580" w:type="dxa"/>
            <w:vAlign w:val="bottom"/>
            <w:gridSpan w:val="2"/>
          </w:tcPr>
          <w:p>
            <w:pPr>
              <w:ind w:left="1260"/>
              <w:spacing w:after="0"/>
              <w:rPr>
                <w:sz w:val="20"/>
                <w:szCs w:val="20"/>
                <w:color w:val="auto"/>
              </w:rPr>
            </w:pPr>
            <w:r>
              <w:rPr>
                <w:rFonts w:ascii="Arial" w:cs="Arial" w:eastAsia="Arial" w:hAnsi="Arial"/>
                <w:sz w:val="10"/>
                <w:szCs w:val="10"/>
                <w:color w:val="666666"/>
              </w:rPr>
              <w:t>—</w:t>
            </w:r>
          </w:p>
        </w:tc>
        <w:tc>
          <w:tcPr>
            <w:tcW w:w="1480" w:type="dxa"/>
            <w:vAlign w:val="bottom"/>
          </w:tcPr>
          <w:p>
            <w:pPr>
              <w:jc w:val="right"/>
              <w:ind w:right="49"/>
              <w:spacing w:after="0"/>
              <w:rPr>
                <w:sz w:val="20"/>
                <w:szCs w:val="20"/>
                <w:color w:val="auto"/>
              </w:rPr>
            </w:pPr>
            <w:r>
              <w:rPr>
                <w:rFonts w:ascii="Arial" w:cs="Arial" w:eastAsia="Arial" w:hAnsi="Arial"/>
                <w:sz w:val="10"/>
                <w:szCs w:val="10"/>
                <w:color w:val="666666"/>
              </w:rPr>
              <w:t>210,030</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0"/>
                <w:szCs w:val="10"/>
                <w:color w:val="666666"/>
              </w:rPr>
              <w:t>Gretchen W. McClain</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90,000</w:t>
            </w:r>
            <w:r>
              <w:rPr>
                <w:rFonts w:ascii="Arial" w:cs="Arial" w:eastAsia="Arial" w:hAnsi="Arial"/>
                <w:sz w:val="17"/>
                <w:szCs w:val="17"/>
                <w:color w:val="666666"/>
                <w:vertAlign w:val="superscript"/>
              </w:rPr>
              <w:t>(8)</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gridSpan w:val="2"/>
          </w:tcPr>
          <w:p>
            <w:pPr>
              <w:ind w:left="180"/>
              <w:spacing w:after="0"/>
              <w:rPr>
                <w:sz w:val="20"/>
                <w:szCs w:val="20"/>
                <w:color w:val="auto"/>
              </w:rPr>
            </w:pPr>
            <w:r>
              <w:rPr>
                <w:rFonts w:ascii="Arial" w:cs="Arial" w:eastAsia="Arial" w:hAnsi="Arial"/>
                <w:sz w:val="10"/>
                <w:szCs w:val="10"/>
                <w:color w:val="666666"/>
              </w:rPr>
              <w:t>—</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120,003</w:t>
            </w:r>
            <w:r>
              <w:rPr>
                <w:rFonts w:ascii="Arial" w:cs="Arial" w:eastAsia="Arial" w:hAnsi="Arial"/>
                <w:sz w:val="17"/>
                <w:szCs w:val="17"/>
                <w:color w:val="666666"/>
                <w:vertAlign w:val="superscript"/>
              </w:rPr>
              <w:t>(8)</w:t>
            </w:r>
          </w:p>
        </w:tc>
        <w:tc>
          <w:tcPr>
            <w:tcW w:w="100" w:type="dxa"/>
            <w:vAlign w:val="bottom"/>
          </w:tcPr>
          <w:p>
            <w:pPr>
              <w:spacing w:after="0"/>
              <w:rPr>
                <w:sz w:val="16"/>
                <w:szCs w:val="16"/>
                <w:color w:val="auto"/>
              </w:rPr>
            </w:pPr>
          </w:p>
        </w:tc>
        <w:tc>
          <w:tcPr>
            <w:tcW w:w="1580" w:type="dxa"/>
            <w:vAlign w:val="bottom"/>
            <w:gridSpan w:val="2"/>
          </w:tcPr>
          <w:p>
            <w:pPr>
              <w:ind w:left="1260"/>
              <w:spacing w:after="0"/>
              <w:rPr>
                <w:sz w:val="20"/>
                <w:szCs w:val="20"/>
                <w:color w:val="auto"/>
              </w:rPr>
            </w:pPr>
            <w:r>
              <w:rPr>
                <w:rFonts w:ascii="Arial" w:cs="Arial" w:eastAsia="Arial" w:hAnsi="Arial"/>
                <w:sz w:val="10"/>
                <w:szCs w:val="10"/>
                <w:color w:val="666666"/>
              </w:rPr>
              <w:t>—</w:t>
            </w:r>
          </w:p>
        </w:tc>
        <w:tc>
          <w:tcPr>
            <w:tcW w:w="1480" w:type="dxa"/>
            <w:vAlign w:val="bottom"/>
          </w:tcPr>
          <w:p>
            <w:pPr>
              <w:jc w:val="right"/>
              <w:ind w:right="49"/>
              <w:spacing w:after="0"/>
              <w:rPr>
                <w:sz w:val="20"/>
                <w:szCs w:val="20"/>
                <w:color w:val="auto"/>
              </w:rPr>
            </w:pPr>
            <w:r>
              <w:rPr>
                <w:rFonts w:ascii="Arial" w:cs="Arial" w:eastAsia="Arial" w:hAnsi="Arial"/>
                <w:sz w:val="10"/>
                <w:szCs w:val="10"/>
                <w:color w:val="666666"/>
              </w:rPr>
              <w:t>210,003</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0"/>
                <w:szCs w:val="10"/>
                <w:color w:val="666666"/>
              </w:rPr>
              <w:t>Philip A. Odeen</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105,000</w:t>
            </w:r>
            <w:r>
              <w:rPr>
                <w:rFonts w:ascii="Arial" w:cs="Arial" w:eastAsia="Arial" w:hAnsi="Arial"/>
                <w:sz w:val="17"/>
                <w:szCs w:val="17"/>
                <w:color w:val="666666"/>
                <w:vertAlign w:val="superscript"/>
              </w:rPr>
              <w:t>(9)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gridSpan w:val="2"/>
          </w:tcPr>
          <w:p>
            <w:pPr>
              <w:ind w:left="180"/>
              <w:spacing w:after="0"/>
              <w:rPr>
                <w:sz w:val="20"/>
                <w:szCs w:val="20"/>
                <w:color w:val="auto"/>
              </w:rPr>
            </w:pPr>
            <w:r>
              <w:rPr>
                <w:rFonts w:ascii="Arial" w:cs="Arial" w:eastAsia="Arial" w:hAnsi="Arial"/>
                <w:sz w:val="10"/>
                <w:szCs w:val="10"/>
                <w:color w:val="666666"/>
              </w:rPr>
              <w:t>—</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120,025</w:t>
            </w:r>
            <w:r>
              <w:rPr>
                <w:rFonts w:ascii="Arial" w:cs="Arial" w:eastAsia="Arial" w:hAnsi="Arial"/>
                <w:sz w:val="17"/>
                <w:szCs w:val="17"/>
                <w:color w:val="666666"/>
                <w:vertAlign w:val="superscript"/>
              </w:rPr>
              <w:t>(9)</w:t>
            </w:r>
          </w:p>
        </w:tc>
        <w:tc>
          <w:tcPr>
            <w:tcW w:w="100" w:type="dxa"/>
            <w:vAlign w:val="bottom"/>
          </w:tcPr>
          <w:p>
            <w:pPr>
              <w:spacing w:after="0"/>
              <w:rPr>
                <w:sz w:val="16"/>
                <w:szCs w:val="16"/>
                <w:color w:val="auto"/>
              </w:rPr>
            </w:pPr>
          </w:p>
        </w:tc>
        <w:tc>
          <w:tcPr>
            <w:tcW w:w="1580" w:type="dxa"/>
            <w:vAlign w:val="bottom"/>
            <w:gridSpan w:val="2"/>
          </w:tcPr>
          <w:p>
            <w:pPr>
              <w:ind w:left="1260"/>
              <w:spacing w:after="0"/>
              <w:rPr>
                <w:sz w:val="20"/>
                <w:szCs w:val="20"/>
                <w:color w:val="auto"/>
              </w:rPr>
            </w:pPr>
            <w:r>
              <w:rPr>
                <w:rFonts w:ascii="Arial" w:cs="Arial" w:eastAsia="Arial" w:hAnsi="Arial"/>
                <w:sz w:val="10"/>
                <w:szCs w:val="10"/>
                <w:color w:val="666666"/>
              </w:rPr>
              <w:t>—</w:t>
            </w:r>
          </w:p>
        </w:tc>
        <w:tc>
          <w:tcPr>
            <w:tcW w:w="1480" w:type="dxa"/>
            <w:vAlign w:val="bottom"/>
          </w:tcPr>
          <w:p>
            <w:pPr>
              <w:jc w:val="right"/>
              <w:ind w:right="49"/>
              <w:spacing w:after="0"/>
              <w:rPr>
                <w:sz w:val="20"/>
                <w:szCs w:val="20"/>
                <w:color w:val="auto"/>
              </w:rPr>
            </w:pPr>
            <w:r>
              <w:rPr>
                <w:rFonts w:ascii="Arial" w:cs="Arial" w:eastAsia="Arial" w:hAnsi="Arial"/>
                <w:sz w:val="10"/>
                <w:szCs w:val="10"/>
                <w:color w:val="666666"/>
              </w:rPr>
              <w:t>225,025</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20"/>
                <w:szCs w:val="20"/>
                <w:color w:val="auto"/>
              </w:rPr>
            </w:pPr>
            <w:r>
              <w:rPr>
                <w:rFonts w:ascii="Arial" w:cs="Arial" w:eastAsia="Arial" w:hAnsi="Arial"/>
                <w:sz w:val="10"/>
                <w:szCs w:val="10"/>
                <w:color w:val="666666"/>
              </w:rPr>
              <w:t>Charles O. Rossotti</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90,000</w:t>
            </w:r>
            <w:r>
              <w:rPr>
                <w:rFonts w:ascii="Arial" w:cs="Arial" w:eastAsia="Arial" w:hAnsi="Arial"/>
                <w:sz w:val="17"/>
                <w:szCs w:val="17"/>
                <w:color w:val="666666"/>
                <w:vertAlign w:val="superscript"/>
              </w:rPr>
              <w:t>(10)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gridSpan w:val="2"/>
          </w:tcPr>
          <w:p>
            <w:pPr>
              <w:ind w:left="180"/>
              <w:spacing w:after="0"/>
              <w:rPr>
                <w:sz w:val="20"/>
                <w:szCs w:val="20"/>
                <w:color w:val="auto"/>
              </w:rPr>
            </w:pPr>
            <w:r>
              <w:rPr>
                <w:rFonts w:ascii="Arial" w:cs="Arial" w:eastAsia="Arial" w:hAnsi="Arial"/>
                <w:sz w:val="10"/>
                <w:szCs w:val="10"/>
                <w:color w:val="666666"/>
              </w:rPr>
              <w:t>—</w:t>
            </w:r>
          </w:p>
        </w:tc>
        <w:tc>
          <w:tcPr>
            <w:tcW w:w="1480" w:type="dxa"/>
            <w:vAlign w:val="bottom"/>
          </w:tcPr>
          <w:p>
            <w:pPr>
              <w:jc w:val="right"/>
              <w:spacing w:after="0" w:line="192" w:lineRule="exact"/>
              <w:rPr>
                <w:sz w:val="20"/>
                <w:szCs w:val="20"/>
                <w:color w:val="auto"/>
              </w:rPr>
            </w:pPr>
            <w:r>
              <w:rPr>
                <w:rFonts w:ascii="Arial" w:cs="Arial" w:eastAsia="Arial" w:hAnsi="Arial"/>
                <w:sz w:val="10"/>
                <w:szCs w:val="10"/>
                <w:color w:val="666666"/>
              </w:rPr>
              <w:t>120,003</w:t>
            </w:r>
            <w:r>
              <w:rPr>
                <w:rFonts w:ascii="Arial" w:cs="Arial" w:eastAsia="Arial" w:hAnsi="Arial"/>
                <w:sz w:val="17"/>
                <w:szCs w:val="17"/>
                <w:color w:val="666666"/>
                <w:vertAlign w:val="superscript"/>
              </w:rPr>
              <w:t>(10)</w:t>
            </w:r>
          </w:p>
        </w:tc>
        <w:tc>
          <w:tcPr>
            <w:tcW w:w="100" w:type="dxa"/>
            <w:vAlign w:val="bottom"/>
          </w:tcPr>
          <w:p>
            <w:pPr>
              <w:spacing w:after="0"/>
              <w:rPr>
                <w:sz w:val="16"/>
                <w:szCs w:val="16"/>
                <w:color w:val="auto"/>
              </w:rPr>
            </w:pPr>
          </w:p>
        </w:tc>
        <w:tc>
          <w:tcPr>
            <w:tcW w:w="1580" w:type="dxa"/>
            <w:vAlign w:val="bottom"/>
            <w:gridSpan w:val="2"/>
          </w:tcPr>
          <w:p>
            <w:pPr>
              <w:ind w:left="1260"/>
              <w:spacing w:after="0"/>
              <w:rPr>
                <w:sz w:val="20"/>
                <w:szCs w:val="20"/>
                <w:color w:val="auto"/>
              </w:rPr>
            </w:pPr>
            <w:r>
              <w:rPr>
                <w:rFonts w:ascii="Arial" w:cs="Arial" w:eastAsia="Arial" w:hAnsi="Arial"/>
                <w:sz w:val="10"/>
                <w:szCs w:val="10"/>
                <w:color w:val="666666"/>
              </w:rPr>
              <w:t>—</w:t>
            </w:r>
          </w:p>
        </w:tc>
        <w:tc>
          <w:tcPr>
            <w:tcW w:w="1480" w:type="dxa"/>
            <w:vAlign w:val="bottom"/>
          </w:tcPr>
          <w:p>
            <w:pPr>
              <w:jc w:val="right"/>
              <w:ind w:right="49"/>
              <w:spacing w:after="0"/>
              <w:rPr>
                <w:sz w:val="20"/>
                <w:szCs w:val="20"/>
                <w:color w:val="auto"/>
              </w:rPr>
            </w:pPr>
            <w:r>
              <w:rPr>
                <w:rFonts w:ascii="Arial" w:cs="Arial" w:eastAsia="Arial" w:hAnsi="Arial"/>
                <w:sz w:val="10"/>
                <w:szCs w:val="10"/>
                <w:color w:val="666666"/>
              </w:rPr>
              <w:t>210,003</w:t>
            </w:r>
          </w:p>
        </w:tc>
        <w:tc>
          <w:tcPr>
            <w:tcW w:w="0" w:type="dxa"/>
            <w:vAlign w:val="bottom"/>
          </w:tcPr>
          <w:p>
            <w:pPr>
              <w:spacing w:after="0"/>
              <w:rPr>
                <w:sz w:val="1"/>
                <w:szCs w:val="1"/>
                <w:color w:val="auto"/>
              </w:rPr>
            </w:pPr>
          </w:p>
        </w:tc>
      </w:tr>
      <w:tr>
        <w:trPr>
          <w:trHeight w:val="266"/>
        </w:trPr>
        <w:tc>
          <w:tcPr>
            <w:tcW w:w="2740" w:type="dxa"/>
            <w:vAlign w:val="bottom"/>
          </w:tcPr>
          <w:p>
            <w:pPr>
              <w:spacing w:after="0"/>
              <w:rPr>
                <w:sz w:val="20"/>
                <w:szCs w:val="20"/>
                <w:color w:val="auto"/>
              </w:rPr>
            </w:pPr>
            <w:r>
              <w:rPr>
                <w:rFonts w:ascii="Arial" w:cs="Arial" w:eastAsia="Arial" w:hAnsi="Arial"/>
                <w:sz w:val="10"/>
                <w:szCs w:val="10"/>
                <w:color w:val="666666"/>
              </w:rPr>
              <w:t>Ralph W. Shrader</w:t>
            </w:r>
          </w:p>
        </w:tc>
        <w:tc>
          <w:tcPr>
            <w:tcW w:w="1480" w:type="dxa"/>
            <w:vAlign w:val="bottom"/>
          </w:tcPr>
          <w:p>
            <w:pPr>
              <w:jc w:val="right"/>
              <w:spacing w:after="0"/>
              <w:rPr>
                <w:sz w:val="20"/>
                <w:szCs w:val="20"/>
                <w:color w:val="auto"/>
              </w:rPr>
            </w:pPr>
            <w:r>
              <w:rPr>
                <w:rFonts w:ascii="Arial" w:cs="Arial" w:eastAsia="Arial" w:hAnsi="Arial"/>
                <w:sz w:val="10"/>
                <w:szCs w:val="10"/>
                <w:color w:val="666666"/>
              </w:rPr>
              <w:t>290,000</w:t>
            </w:r>
            <w:r>
              <w:rPr>
                <w:rFonts w:ascii="Arial" w:cs="Arial" w:eastAsia="Arial" w:hAnsi="Arial"/>
                <w:sz w:val="17"/>
                <w:szCs w:val="17"/>
                <w:color w:val="666666"/>
                <w:vertAlign w:val="superscript"/>
              </w:rPr>
              <w:t>(11)</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gridSpan w:val="2"/>
          </w:tcPr>
          <w:p>
            <w:pPr>
              <w:ind w:left="180"/>
              <w:spacing w:after="0"/>
              <w:rPr>
                <w:sz w:val="20"/>
                <w:szCs w:val="20"/>
                <w:color w:val="auto"/>
              </w:rPr>
            </w:pPr>
            <w:r>
              <w:rPr>
                <w:rFonts w:ascii="Arial" w:cs="Arial" w:eastAsia="Arial" w:hAnsi="Arial"/>
                <w:sz w:val="10"/>
                <w:szCs w:val="10"/>
                <w:color w:val="666666"/>
              </w:rPr>
              <w:t>—</w:t>
            </w:r>
          </w:p>
        </w:tc>
        <w:tc>
          <w:tcPr>
            <w:tcW w:w="1480" w:type="dxa"/>
            <w:vAlign w:val="bottom"/>
          </w:tcPr>
          <w:p>
            <w:pPr>
              <w:jc w:val="right"/>
              <w:spacing w:after="0"/>
              <w:rPr>
                <w:sz w:val="20"/>
                <w:szCs w:val="20"/>
                <w:color w:val="auto"/>
              </w:rPr>
            </w:pPr>
            <w:r>
              <w:rPr>
                <w:rFonts w:ascii="Arial" w:cs="Arial" w:eastAsia="Arial" w:hAnsi="Arial"/>
                <w:sz w:val="10"/>
                <w:szCs w:val="10"/>
                <w:color w:val="666666"/>
              </w:rPr>
              <w:t>120,030</w:t>
            </w:r>
            <w:r>
              <w:rPr>
                <w:rFonts w:ascii="Arial" w:cs="Arial" w:eastAsia="Arial" w:hAnsi="Arial"/>
                <w:sz w:val="17"/>
                <w:szCs w:val="17"/>
                <w:color w:val="666666"/>
                <w:vertAlign w:val="superscript"/>
              </w:rPr>
              <w:t>(11)</w:t>
            </w:r>
          </w:p>
        </w:tc>
        <w:tc>
          <w:tcPr>
            <w:tcW w:w="100" w:type="dxa"/>
            <w:vAlign w:val="bottom"/>
          </w:tcPr>
          <w:p>
            <w:pPr>
              <w:spacing w:after="0"/>
              <w:rPr>
                <w:sz w:val="23"/>
                <w:szCs w:val="23"/>
                <w:color w:val="auto"/>
              </w:rPr>
            </w:pPr>
          </w:p>
        </w:tc>
        <w:tc>
          <w:tcPr>
            <w:tcW w:w="1580" w:type="dxa"/>
            <w:vAlign w:val="bottom"/>
            <w:gridSpan w:val="2"/>
          </w:tcPr>
          <w:p>
            <w:pPr>
              <w:ind w:left="1260"/>
              <w:spacing w:after="0"/>
              <w:rPr>
                <w:sz w:val="20"/>
                <w:szCs w:val="20"/>
                <w:color w:val="auto"/>
              </w:rPr>
            </w:pPr>
            <w:r>
              <w:rPr>
                <w:rFonts w:ascii="Arial" w:cs="Arial" w:eastAsia="Arial" w:hAnsi="Arial"/>
                <w:sz w:val="10"/>
                <w:szCs w:val="10"/>
                <w:color w:val="666666"/>
              </w:rPr>
              <w:t>—</w:t>
            </w:r>
          </w:p>
        </w:tc>
        <w:tc>
          <w:tcPr>
            <w:tcW w:w="1480" w:type="dxa"/>
            <w:vAlign w:val="bottom"/>
          </w:tcPr>
          <w:p>
            <w:pPr>
              <w:jc w:val="right"/>
              <w:ind w:right="49"/>
              <w:spacing w:after="0"/>
              <w:rPr>
                <w:sz w:val="20"/>
                <w:szCs w:val="20"/>
                <w:color w:val="auto"/>
              </w:rPr>
            </w:pPr>
            <w:r>
              <w:rPr>
                <w:rFonts w:ascii="Arial" w:cs="Arial" w:eastAsia="Arial" w:hAnsi="Arial"/>
                <w:sz w:val="10"/>
                <w:szCs w:val="10"/>
                <w:color w:val="666666"/>
              </w:rPr>
              <w:t>410,030</w:t>
            </w:r>
          </w:p>
        </w:tc>
        <w:tc>
          <w:tcPr>
            <w:tcW w:w="0" w:type="dxa"/>
            <w:vAlign w:val="bottom"/>
          </w:tcPr>
          <w:p>
            <w:pPr>
              <w:spacing w:after="0"/>
              <w:rPr>
                <w:sz w:val="1"/>
                <w:szCs w:val="1"/>
                <w:color w:val="auto"/>
              </w:rPr>
            </w:pPr>
          </w:p>
        </w:tc>
      </w:tr>
    </w:tbl>
    <w:p>
      <w:pPr>
        <w:spacing w:after="0" w:line="61" w:lineRule="exact"/>
        <w:rPr>
          <w:sz w:val="20"/>
          <w:szCs w:val="20"/>
          <w:color w:val="auto"/>
        </w:rPr>
      </w:pPr>
    </w:p>
    <w:p>
      <w:pPr>
        <w:jc w:val="both"/>
        <w:ind w:left="307" w:hanging="288"/>
        <w:spacing w:after="0" w:line="255" w:lineRule="auto"/>
        <w:tabs>
          <w:tab w:leader="none" w:pos="307" w:val="left"/>
        </w:tabs>
        <w:numPr>
          <w:ilvl w:val="1"/>
          <w:numId w:val="18"/>
        </w:numPr>
        <w:rPr>
          <w:rFonts w:ascii="Arial" w:cs="Arial" w:eastAsia="Arial" w:hAnsi="Arial"/>
          <w:sz w:val="10"/>
          <w:szCs w:val="10"/>
          <w:color w:val="666666"/>
        </w:rPr>
      </w:pPr>
      <w:r>
        <w:rPr>
          <w:rFonts w:ascii="Arial" w:cs="Arial" w:eastAsia="Arial" w:hAnsi="Arial"/>
          <w:sz w:val="10"/>
          <w:szCs w:val="10"/>
          <w:color w:val="666666"/>
        </w:rPr>
        <w:t>This column represents the grant date fair value of the stock awards granted to our directors in fiscal year 2018. Where the stock awards were the result of voluntary elections to receive cash retainers in stock, the value reflected in the Stock Awards column represents only the excess of the fair market value of the stock awards over the cash retainer amount paid if in the form of stock. The aggregate fair value of the awards was computed in accordance with FASB ASC Topic 718 using the valuation methodology and assumptions set forth in Note 18 to our financial statements for the fiscal year ended March 31, 2018, which are incorporated by reference herein, modified to exclude any forfeiture assumptions related to service-based vesting conditions. The amounts in this column do not reflect the value, if any, that ultimately may be realized by the director.</w:t>
      </w:r>
    </w:p>
    <w:p>
      <w:pPr>
        <w:spacing w:after="0" w:line="48" w:lineRule="exact"/>
        <w:rPr>
          <w:rFonts w:ascii="Arial" w:cs="Arial" w:eastAsia="Arial" w:hAnsi="Arial"/>
          <w:sz w:val="10"/>
          <w:szCs w:val="10"/>
          <w:color w:val="666666"/>
        </w:rPr>
      </w:pPr>
    </w:p>
    <w:p>
      <w:pPr>
        <w:ind w:left="507" w:right="20" w:hanging="507"/>
        <w:spacing w:after="0" w:line="285" w:lineRule="auto"/>
        <w:tabs>
          <w:tab w:leader="none" w:pos="290" w:val="left"/>
        </w:tabs>
        <w:numPr>
          <w:ilvl w:val="0"/>
          <w:numId w:val="19"/>
        </w:numPr>
        <w:rPr>
          <w:rFonts w:ascii="Arial" w:cs="Arial" w:eastAsia="Arial" w:hAnsi="Arial"/>
          <w:sz w:val="10"/>
          <w:szCs w:val="10"/>
          <w:color w:val="666666"/>
        </w:rPr>
      </w:pPr>
      <w:r>
        <w:rPr>
          <w:rFonts w:ascii="Arial" w:cs="Arial" w:eastAsia="Arial" w:hAnsi="Arial"/>
          <w:sz w:val="10"/>
          <w:szCs w:val="10"/>
          <w:color w:val="666666"/>
        </w:rPr>
        <w:t>Ms. Amble elected to receive her annual retainer in the form of restricted stock, and was granted a total of 6,428 shares of restricted stock in lieu of the annual retainer and for her annual equity grant. The grant date fair market value of the shares was $210,003, based on the $32.67 closing price of our stock on the August 10, 2017 grant date.</w:t>
      </w:r>
    </w:p>
    <w:p>
      <w:pPr>
        <w:spacing w:after="0" w:line="34" w:lineRule="exact"/>
        <w:rPr>
          <w:rFonts w:ascii="Arial" w:cs="Arial" w:eastAsia="Arial" w:hAnsi="Arial"/>
          <w:sz w:val="10"/>
          <w:szCs w:val="10"/>
          <w:color w:val="666666"/>
        </w:rPr>
      </w:pPr>
    </w:p>
    <w:p>
      <w:pPr>
        <w:ind w:left="287" w:right="20" w:hanging="287"/>
        <w:spacing w:after="0" w:line="285" w:lineRule="auto"/>
        <w:tabs>
          <w:tab w:leader="none" w:pos="287" w:val="left"/>
        </w:tabs>
        <w:numPr>
          <w:ilvl w:val="0"/>
          <w:numId w:val="19"/>
        </w:numPr>
        <w:rPr>
          <w:rFonts w:ascii="Arial" w:cs="Arial" w:eastAsia="Arial" w:hAnsi="Arial"/>
          <w:sz w:val="10"/>
          <w:szCs w:val="10"/>
          <w:color w:val="666666"/>
        </w:rPr>
      </w:pPr>
      <w:r>
        <w:rPr>
          <w:rFonts w:ascii="Arial" w:cs="Arial" w:eastAsia="Arial" w:hAnsi="Arial"/>
          <w:sz w:val="10"/>
          <w:szCs w:val="10"/>
          <w:color w:val="666666"/>
        </w:rPr>
        <w:t>Ms. Barnes elected to receive her annual retainer in the form of cash, and was granted a total of 3,674 shares of restricted stock for her annual equity grant. The grant date fair market value of the shares was $120,030, based on the $32.67 closing price of our stock on the August 10, 2017 grant date.</w:t>
      </w:r>
    </w:p>
    <w:p>
      <w:pPr>
        <w:spacing w:after="0" w:line="34" w:lineRule="exact"/>
        <w:rPr>
          <w:rFonts w:ascii="Arial" w:cs="Arial" w:eastAsia="Arial" w:hAnsi="Arial"/>
          <w:sz w:val="10"/>
          <w:szCs w:val="10"/>
          <w:color w:val="666666"/>
        </w:rPr>
      </w:pPr>
    </w:p>
    <w:p>
      <w:pPr>
        <w:ind w:left="287" w:right="20" w:hanging="287"/>
        <w:spacing w:after="0" w:line="285" w:lineRule="auto"/>
        <w:tabs>
          <w:tab w:leader="none" w:pos="287" w:val="left"/>
        </w:tabs>
        <w:numPr>
          <w:ilvl w:val="0"/>
          <w:numId w:val="19"/>
        </w:numPr>
        <w:rPr>
          <w:rFonts w:ascii="Arial" w:cs="Arial" w:eastAsia="Arial" w:hAnsi="Arial"/>
          <w:sz w:val="10"/>
          <w:szCs w:val="10"/>
          <w:color w:val="666666"/>
        </w:rPr>
      </w:pPr>
      <w:r>
        <w:rPr>
          <w:rFonts w:ascii="Arial" w:cs="Arial" w:eastAsia="Arial" w:hAnsi="Arial"/>
          <w:sz w:val="10"/>
          <w:szCs w:val="10"/>
          <w:color w:val="666666"/>
        </w:rPr>
        <w:t>Mr. Clare elected to receive his annual retainer in the form of restricted stock, and was granted a total of 6,428 shares of restricted stock in lieu of his annual retainer and for his annual equity grant. The grant date fair market value of the shares was $210,003, based on the $32.67 closing price of our stock on the August 10, 2017 grant date.</w:t>
      </w:r>
    </w:p>
    <w:p>
      <w:pPr>
        <w:spacing w:after="0" w:line="34" w:lineRule="exact"/>
        <w:rPr>
          <w:rFonts w:ascii="Arial" w:cs="Arial" w:eastAsia="Arial" w:hAnsi="Arial"/>
          <w:sz w:val="10"/>
          <w:szCs w:val="10"/>
          <w:color w:val="666666"/>
        </w:rPr>
      </w:pPr>
    </w:p>
    <w:p>
      <w:pPr>
        <w:ind w:left="287" w:right="20" w:hanging="287"/>
        <w:spacing w:after="0" w:line="285" w:lineRule="auto"/>
        <w:tabs>
          <w:tab w:leader="none" w:pos="287" w:val="left"/>
        </w:tabs>
        <w:numPr>
          <w:ilvl w:val="0"/>
          <w:numId w:val="19"/>
        </w:numPr>
        <w:rPr>
          <w:rFonts w:ascii="Arial" w:cs="Arial" w:eastAsia="Arial" w:hAnsi="Arial"/>
          <w:sz w:val="10"/>
          <w:szCs w:val="10"/>
          <w:color w:val="666666"/>
        </w:rPr>
      </w:pPr>
      <w:r>
        <w:rPr>
          <w:rFonts w:ascii="Arial" w:cs="Arial" w:eastAsia="Arial" w:hAnsi="Arial"/>
          <w:sz w:val="10"/>
          <w:szCs w:val="10"/>
          <w:color w:val="666666"/>
        </w:rPr>
        <w:t>Mr. Fujiyama elected to receive his annual retainer in the form of restricted stock, and was granted a total of 6,428 shares of restricted stock in lieu of his annual retainer and for his annual equity grant. The grant date fair market value of the shares was $210,003, based on the $32.67 closing price of our stock on the August 10, 2017 grant date.</w:t>
      </w:r>
    </w:p>
    <w:p>
      <w:pPr>
        <w:spacing w:after="0" w:line="34" w:lineRule="exact"/>
        <w:rPr>
          <w:rFonts w:ascii="Arial" w:cs="Arial" w:eastAsia="Arial" w:hAnsi="Arial"/>
          <w:sz w:val="10"/>
          <w:szCs w:val="10"/>
          <w:color w:val="666666"/>
        </w:rPr>
      </w:pPr>
    </w:p>
    <w:p>
      <w:pPr>
        <w:ind w:left="287" w:right="20" w:hanging="287"/>
        <w:spacing w:after="0" w:line="285" w:lineRule="auto"/>
        <w:tabs>
          <w:tab w:leader="none" w:pos="287" w:val="left"/>
        </w:tabs>
        <w:numPr>
          <w:ilvl w:val="0"/>
          <w:numId w:val="19"/>
        </w:numPr>
        <w:rPr>
          <w:rFonts w:ascii="Arial" w:cs="Arial" w:eastAsia="Arial" w:hAnsi="Arial"/>
          <w:sz w:val="10"/>
          <w:szCs w:val="10"/>
          <w:color w:val="666666"/>
        </w:rPr>
      </w:pPr>
      <w:r>
        <w:rPr>
          <w:rFonts w:ascii="Arial" w:cs="Arial" w:eastAsia="Arial" w:hAnsi="Arial"/>
          <w:sz w:val="10"/>
          <w:szCs w:val="10"/>
          <w:color w:val="666666"/>
        </w:rPr>
        <w:t>Mr. Gaumond elected to receive his annual retainer in the form of cash and his additional payment for service as the chair of the Audit Committee in the form of restricted stock, and was awarded a total of 4,592 shares of restricted stock in lieu of $30,000 for the chair retainer and for his annual equity grant. The grant date fair market value of the shares was $150,021, based on the $32.67 closing price of our stock on the August 10, 2017 grant date.</w:t>
      </w:r>
    </w:p>
    <w:p>
      <w:pPr>
        <w:spacing w:after="0" w:line="34" w:lineRule="exact"/>
        <w:rPr>
          <w:rFonts w:ascii="Arial" w:cs="Arial" w:eastAsia="Arial" w:hAnsi="Arial"/>
          <w:sz w:val="10"/>
          <w:szCs w:val="10"/>
          <w:color w:val="666666"/>
        </w:rPr>
      </w:pPr>
    </w:p>
    <w:p>
      <w:pPr>
        <w:ind w:left="287" w:hanging="287"/>
        <w:spacing w:after="0" w:line="285" w:lineRule="auto"/>
        <w:tabs>
          <w:tab w:leader="none" w:pos="287" w:val="left"/>
        </w:tabs>
        <w:numPr>
          <w:ilvl w:val="0"/>
          <w:numId w:val="19"/>
        </w:numPr>
        <w:rPr>
          <w:rFonts w:ascii="Arial" w:cs="Arial" w:eastAsia="Arial" w:hAnsi="Arial"/>
          <w:sz w:val="10"/>
          <w:szCs w:val="10"/>
          <w:color w:val="666666"/>
        </w:rPr>
      </w:pPr>
      <w:r>
        <w:rPr>
          <w:rFonts w:ascii="Arial" w:cs="Arial" w:eastAsia="Arial" w:hAnsi="Arial"/>
          <w:sz w:val="10"/>
          <w:szCs w:val="10"/>
          <w:color w:val="666666"/>
        </w:rPr>
        <w:t>Mr. Johnson elected to receive his annual retainer in the form of cash, and was awarded 3,674 shares of restricted stock for his annual equity grant. The grant date fair market value of the shares was $120,030, based on the $32.67 closing price of our stock on the August 10, 2017 grant date.</w:t>
      </w:r>
    </w:p>
    <w:p>
      <w:pPr>
        <w:spacing w:after="0" w:line="34" w:lineRule="exact"/>
        <w:rPr>
          <w:rFonts w:ascii="Arial" w:cs="Arial" w:eastAsia="Arial" w:hAnsi="Arial"/>
          <w:sz w:val="10"/>
          <w:szCs w:val="10"/>
          <w:color w:val="666666"/>
        </w:rPr>
      </w:pPr>
    </w:p>
    <w:p>
      <w:pPr>
        <w:ind w:left="287" w:right="20" w:hanging="287"/>
        <w:spacing w:after="0" w:line="285" w:lineRule="auto"/>
        <w:tabs>
          <w:tab w:leader="none" w:pos="287" w:val="left"/>
        </w:tabs>
        <w:numPr>
          <w:ilvl w:val="0"/>
          <w:numId w:val="19"/>
        </w:numPr>
        <w:rPr>
          <w:rFonts w:ascii="Arial" w:cs="Arial" w:eastAsia="Arial" w:hAnsi="Arial"/>
          <w:sz w:val="10"/>
          <w:szCs w:val="10"/>
          <w:color w:val="666666"/>
        </w:rPr>
      </w:pPr>
      <w:r>
        <w:rPr>
          <w:rFonts w:ascii="Arial" w:cs="Arial" w:eastAsia="Arial" w:hAnsi="Arial"/>
          <w:sz w:val="10"/>
          <w:szCs w:val="10"/>
          <w:color w:val="666666"/>
        </w:rPr>
        <w:t>Ms. McClain elected to receive her annual retainer in the form of restricted stock, and was granted a total of 6,428 shares of restricted stock in lieu of the annual retainer and for her annual equity grant. The grant date fair market value of the shares was $210,003, based on the $32.67 closing price of our stock on the August 10, 2017 grant date.</w:t>
      </w:r>
    </w:p>
    <w:p>
      <w:pPr>
        <w:spacing w:after="0" w:line="34" w:lineRule="exact"/>
        <w:rPr>
          <w:rFonts w:ascii="Arial" w:cs="Arial" w:eastAsia="Arial" w:hAnsi="Arial"/>
          <w:sz w:val="10"/>
          <w:szCs w:val="10"/>
          <w:color w:val="666666"/>
        </w:rPr>
      </w:pPr>
    </w:p>
    <w:p>
      <w:pPr>
        <w:ind w:left="287" w:right="20" w:hanging="287"/>
        <w:spacing w:after="0" w:line="285" w:lineRule="auto"/>
        <w:tabs>
          <w:tab w:leader="none" w:pos="287" w:val="left"/>
        </w:tabs>
        <w:numPr>
          <w:ilvl w:val="0"/>
          <w:numId w:val="19"/>
        </w:numPr>
        <w:rPr>
          <w:rFonts w:ascii="Arial" w:cs="Arial" w:eastAsia="Arial" w:hAnsi="Arial"/>
          <w:sz w:val="10"/>
          <w:szCs w:val="10"/>
          <w:color w:val="666666"/>
        </w:rPr>
      </w:pPr>
      <w:r>
        <w:rPr>
          <w:rFonts w:ascii="Arial" w:cs="Arial" w:eastAsia="Arial" w:hAnsi="Arial"/>
          <w:sz w:val="10"/>
          <w:szCs w:val="10"/>
          <w:color w:val="666666"/>
        </w:rPr>
        <w:t>Mr. Odeen elected to receive his annual retainer in the form of cash and his additional payment for service as the chair of the Compensation Committee in the form of restricted stock. He was awarded a total of 4,133 shares of restricted stock for the remaining part of his annual retainer and for his annual equity grant. The grant date fair market value of the shares was $135,025, based on the $32.67 closing price of our stock on the August 10, 2017 grant date.</w:t>
      </w:r>
    </w:p>
    <w:p>
      <w:pPr>
        <w:spacing w:after="0" w:line="34" w:lineRule="exact"/>
        <w:rPr>
          <w:rFonts w:ascii="Arial" w:cs="Arial" w:eastAsia="Arial" w:hAnsi="Arial"/>
          <w:sz w:val="10"/>
          <w:szCs w:val="10"/>
          <w:color w:val="666666"/>
        </w:rPr>
      </w:pPr>
    </w:p>
    <w:p>
      <w:pPr>
        <w:ind w:left="287" w:right="20" w:hanging="287"/>
        <w:spacing w:after="0" w:line="285" w:lineRule="auto"/>
        <w:tabs>
          <w:tab w:leader="none" w:pos="287" w:val="left"/>
        </w:tabs>
        <w:numPr>
          <w:ilvl w:val="0"/>
          <w:numId w:val="19"/>
        </w:numPr>
        <w:rPr>
          <w:rFonts w:ascii="Arial" w:cs="Arial" w:eastAsia="Arial" w:hAnsi="Arial"/>
          <w:sz w:val="10"/>
          <w:szCs w:val="10"/>
          <w:color w:val="666666"/>
        </w:rPr>
      </w:pPr>
      <w:r>
        <w:rPr>
          <w:rFonts w:ascii="Arial" w:cs="Arial" w:eastAsia="Arial" w:hAnsi="Arial"/>
          <w:sz w:val="10"/>
          <w:szCs w:val="10"/>
          <w:color w:val="666666"/>
        </w:rPr>
        <w:t>Mr. Rossotti elected to receive his annual retainer in the form of restricted stock, and was granted a total of 6,428 shares of restricted stock in lieu of the annual retainer and for his annual equity grant. The grant date fair market value of the shares was $210,003, based on the $32.67 closing price of our stock on the August 10, 2017 grant date.</w:t>
      </w:r>
    </w:p>
    <w:p>
      <w:pPr>
        <w:spacing w:after="0" w:line="34" w:lineRule="exact"/>
        <w:rPr>
          <w:rFonts w:ascii="Arial" w:cs="Arial" w:eastAsia="Arial" w:hAnsi="Arial"/>
          <w:sz w:val="10"/>
          <w:szCs w:val="10"/>
          <w:color w:val="666666"/>
        </w:rPr>
      </w:pPr>
    </w:p>
    <w:p>
      <w:pPr>
        <w:ind w:left="287" w:right="20" w:hanging="287"/>
        <w:spacing w:after="0" w:line="285" w:lineRule="auto"/>
        <w:tabs>
          <w:tab w:leader="none" w:pos="287" w:val="left"/>
        </w:tabs>
        <w:numPr>
          <w:ilvl w:val="0"/>
          <w:numId w:val="19"/>
        </w:numPr>
        <w:rPr>
          <w:rFonts w:ascii="Arial" w:cs="Arial" w:eastAsia="Arial" w:hAnsi="Arial"/>
          <w:sz w:val="10"/>
          <w:szCs w:val="10"/>
          <w:color w:val="666666"/>
        </w:rPr>
      </w:pPr>
      <w:r>
        <w:rPr>
          <w:rFonts w:ascii="Arial" w:cs="Arial" w:eastAsia="Arial" w:hAnsi="Arial"/>
          <w:sz w:val="10"/>
          <w:szCs w:val="10"/>
          <w:color w:val="666666"/>
        </w:rPr>
        <w:t>Dr. Shrader elected to receive his annual retainer as Chairman in the form of cash, and was awarded 3,674 shares of restricted stock for his annual equity grant. The grant date fair market value of the shares was $120,030, based on the $32.67 closing price of our stock on the August 10, 2017 grant date.</w:t>
      </w:r>
    </w:p>
    <w:p>
      <w:pPr>
        <w:spacing w:after="0" w:line="34" w:lineRule="exact"/>
        <w:rPr>
          <w:rFonts w:ascii="Arial" w:cs="Arial" w:eastAsia="Arial" w:hAnsi="Arial"/>
          <w:sz w:val="10"/>
          <w:szCs w:val="10"/>
          <w:color w:val="666666"/>
        </w:rPr>
      </w:pPr>
    </w:p>
    <w:p>
      <w:pPr>
        <w:ind w:left="287" w:hanging="287"/>
        <w:spacing w:after="0"/>
        <w:tabs>
          <w:tab w:leader="none" w:pos="287" w:val="left"/>
        </w:tabs>
        <w:numPr>
          <w:ilvl w:val="0"/>
          <w:numId w:val="19"/>
        </w:numPr>
        <w:rPr>
          <w:rFonts w:ascii="Arial" w:cs="Arial" w:eastAsia="Arial" w:hAnsi="Arial"/>
          <w:sz w:val="10"/>
          <w:szCs w:val="10"/>
          <w:color w:val="666666"/>
        </w:rPr>
      </w:pPr>
      <w:r>
        <w:rPr>
          <w:rFonts w:ascii="Arial" w:cs="Arial" w:eastAsia="Arial" w:hAnsi="Arial"/>
          <w:sz w:val="10"/>
          <w:szCs w:val="10"/>
          <w:color w:val="666666"/>
        </w:rPr>
        <w:t>The following table sets forth the aggregate number of equity awards outstanding at the end of fiscal year 2018.</w:t>
      </w:r>
    </w:p>
    <w:p>
      <w:pPr>
        <w:spacing w:after="0" w:line="200" w:lineRule="exact"/>
        <w:rPr>
          <w:sz w:val="20"/>
          <w:szCs w:val="20"/>
          <w:color w:val="auto"/>
        </w:rPr>
      </w:pPr>
    </w:p>
    <w:p>
      <w:pPr>
        <w:spacing w:after="0" w:line="234" w:lineRule="exact"/>
        <w:rPr>
          <w:sz w:val="20"/>
          <w:szCs w:val="20"/>
          <w:color w:val="auto"/>
        </w:rPr>
      </w:pPr>
    </w:p>
    <w:p>
      <w:pPr>
        <w:jc w:val="center"/>
        <w:ind w:right="93"/>
        <w:spacing w:after="0"/>
        <w:rPr>
          <w:sz w:val="20"/>
          <w:szCs w:val="20"/>
          <w:color w:val="auto"/>
        </w:rPr>
      </w:pPr>
      <w:r>
        <w:rPr>
          <w:rFonts w:ascii="Arial" w:cs="Arial" w:eastAsia="Arial" w:hAnsi="Arial"/>
          <w:sz w:val="13"/>
          <w:szCs w:val="13"/>
          <w:color w:val="666666"/>
        </w:rPr>
        <w:t>20</w:t>
      </w:r>
    </w:p>
    <w:p>
      <w:pPr>
        <w:sectPr>
          <w:pgSz w:w="11900" w:h="16838" w:orient="portrait"/>
          <w:cols w:equalWidth="0" w:num="1">
            <w:col w:w="11387"/>
          </w:cols>
          <w:pgMar w:left="313" w:top="563" w:right="199" w:bottom="1440" w:gutter="0" w:footer="0" w:header="0"/>
        </w:sectPr>
      </w:pPr>
    </w:p>
    <w:bookmarkStart w:id="29" w:name="page30"/>
    <w:bookmarkEnd w:id="29"/>
    <w:p>
      <w:pPr>
        <w:jc w:val="center"/>
        <w:spacing w:after="0"/>
        <w:rPr>
          <w:sz w:val="20"/>
          <w:szCs w:val="20"/>
          <w:color w:val="auto"/>
        </w:rPr>
      </w:pPr>
      <w:r>
        <w:rPr>
          <w:rFonts w:ascii="Arial" w:cs="Arial" w:eastAsia="Arial" w:hAnsi="Arial"/>
          <w:sz w:val="13"/>
          <w:szCs w:val="13"/>
          <w:b w:val="1"/>
          <w:bCs w:val="1"/>
          <w:i w:val="1"/>
          <w:iCs w:val="1"/>
          <w:color w:val="547BCC"/>
        </w:rPr>
        <w:t>Equity Awards for Service as a Director</w:t>
      </w:r>
    </w:p>
    <w:p>
      <w:pPr>
        <w:spacing w:after="0" w:line="279" w:lineRule="exact"/>
        <w:rPr>
          <w:sz w:val="20"/>
          <w:szCs w:val="20"/>
          <w:color w:val="auto"/>
        </w:rPr>
      </w:pPr>
    </w:p>
    <w:tbl>
      <w:tblPr>
        <w:tblLayout w:type="fixed"/>
        <w:tblInd w:w="720" w:type="dxa"/>
        <w:tblCellMar>
          <w:top w:w="0" w:type="dxa"/>
          <w:left w:w="0" w:type="dxa"/>
          <w:bottom w:w="0" w:type="dxa"/>
          <w:right w:w="0" w:type="dxa"/>
        </w:tblCellMar>
      </w:tblPr>
      <w:tr>
        <w:trPr>
          <w:trHeight w:val="115"/>
        </w:trPr>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666666"/>
              </w:rPr>
              <w:t>Number of</w:t>
            </w: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666666"/>
              </w:rPr>
              <w:t>Securities</w:t>
            </w: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666666"/>
                <w:w w:val="99"/>
              </w:rPr>
              <w:t>Underlying</w:t>
            </w:r>
          </w:p>
        </w:tc>
        <w:tc>
          <w:tcPr>
            <w:tcW w:w="180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666666"/>
                <w:w w:val="99"/>
              </w:rPr>
              <w:t>Option</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666666"/>
              </w:rPr>
              <w:t>Option</w:t>
            </w: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666666"/>
              </w:rPr>
              <w:t>Unexercised</w:t>
            </w:r>
          </w:p>
        </w:tc>
        <w:tc>
          <w:tcPr>
            <w:tcW w:w="1800" w:type="dxa"/>
            <w:vAlign w:val="bottom"/>
            <w:gridSpan w:val="2"/>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20" w:type="dxa"/>
            <w:vAlign w:val="bottom"/>
            <w:vMerge w:val="restart"/>
          </w:tcPr>
          <w:p>
            <w:pPr>
              <w:ind w:left="1280"/>
              <w:spacing w:after="0"/>
              <w:rPr>
                <w:sz w:val="20"/>
                <w:szCs w:val="20"/>
                <w:color w:val="auto"/>
              </w:rPr>
            </w:pPr>
            <w:r>
              <w:rPr>
                <w:rFonts w:ascii="Arial" w:cs="Arial" w:eastAsia="Arial" w:hAnsi="Arial"/>
                <w:sz w:val="10"/>
                <w:szCs w:val="10"/>
                <w:b w:val="1"/>
                <w:bCs w:val="1"/>
                <w:color w:val="666666"/>
              </w:rPr>
              <w:t>Name</w:t>
            </w:r>
          </w:p>
        </w:tc>
        <w:tc>
          <w:tcPr>
            <w:tcW w:w="100" w:type="dxa"/>
            <w:vAlign w:val="bottom"/>
            <w:vMerge w:val="restart"/>
          </w:tcPr>
          <w:p>
            <w:pPr>
              <w:spacing w:after="0"/>
              <w:rPr>
                <w:sz w:val="10"/>
                <w:szCs w:val="1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666666"/>
              </w:rPr>
              <w:t>Options</w:t>
            </w:r>
          </w:p>
        </w:tc>
        <w:tc>
          <w:tcPr>
            <w:tcW w:w="1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666666"/>
              </w:rPr>
              <w:t>Exercise</w:t>
            </w:r>
          </w:p>
        </w:tc>
        <w:tc>
          <w:tcPr>
            <w:tcW w:w="1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666666"/>
              </w:rPr>
              <w:t>Expiration</w:t>
            </w:r>
          </w:p>
        </w:tc>
        <w:tc>
          <w:tcPr>
            <w:tcW w:w="168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666666"/>
              </w:rPr>
              <w:t>Unvested Restricted Stock(a)</w:t>
            </w:r>
          </w:p>
        </w:tc>
        <w:tc>
          <w:tcPr>
            <w:tcW w:w="0" w:type="dxa"/>
            <w:vAlign w:val="bottom"/>
          </w:tcPr>
          <w:p>
            <w:pPr>
              <w:spacing w:after="0"/>
              <w:rPr>
                <w:sz w:val="1"/>
                <w:szCs w:val="1"/>
                <w:color w:val="auto"/>
              </w:rPr>
            </w:pPr>
          </w:p>
        </w:tc>
      </w:tr>
      <w:tr>
        <w:trPr>
          <w:trHeight w:val="145"/>
        </w:trPr>
        <w:tc>
          <w:tcPr>
            <w:tcW w:w="2820" w:type="dxa"/>
            <w:vAlign w:val="bottom"/>
            <w:tcBorders>
              <w:bottom w:val="single" w:sz="8" w:color="666666"/>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720" w:type="dxa"/>
            <w:vAlign w:val="bottom"/>
            <w:tcBorders>
              <w:bottom w:val="single" w:sz="8" w:color="666666"/>
            </w:tcBorders>
          </w:tcPr>
          <w:p>
            <w:pPr>
              <w:jc w:val="center"/>
              <w:spacing w:after="0"/>
              <w:rPr>
                <w:sz w:val="20"/>
                <w:szCs w:val="20"/>
                <w:color w:val="auto"/>
              </w:rPr>
            </w:pPr>
            <w:r>
              <w:rPr>
                <w:rFonts w:ascii="Arial" w:cs="Arial" w:eastAsia="Arial" w:hAnsi="Arial"/>
                <w:sz w:val="10"/>
                <w:szCs w:val="10"/>
                <w:b w:val="1"/>
                <w:bCs w:val="1"/>
                <w:color w:val="666666"/>
              </w:rPr>
              <w:t>Exercisable</w:t>
            </w:r>
          </w:p>
        </w:tc>
        <w:tc>
          <w:tcPr>
            <w:tcW w:w="100" w:type="dxa"/>
            <w:vAlign w:val="bottom"/>
          </w:tcPr>
          <w:p>
            <w:pPr>
              <w:spacing w:after="0"/>
              <w:rPr>
                <w:sz w:val="12"/>
                <w:szCs w:val="12"/>
                <w:color w:val="auto"/>
              </w:rPr>
            </w:pPr>
          </w:p>
        </w:tc>
        <w:tc>
          <w:tcPr>
            <w:tcW w:w="1700" w:type="dxa"/>
            <w:vAlign w:val="bottom"/>
            <w:tcBorders>
              <w:bottom w:val="single" w:sz="8" w:color="666666"/>
            </w:tcBorders>
          </w:tcPr>
          <w:p>
            <w:pPr>
              <w:jc w:val="center"/>
              <w:spacing w:after="0"/>
              <w:rPr>
                <w:sz w:val="20"/>
                <w:szCs w:val="20"/>
                <w:color w:val="auto"/>
              </w:rPr>
            </w:pPr>
            <w:r>
              <w:rPr>
                <w:rFonts w:ascii="Arial" w:cs="Arial" w:eastAsia="Arial" w:hAnsi="Arial"/>
                <w:sz w:val="10"/>
                <w:szCs w:val="10"/>
                <w:b w:val="1"/>
                <w:bCs w:val="1"/>
                <w:color w:val="666666"/>
              </w:rPr>
              <w:t>Price ($)</w:t>
            </w:r>
          </w:p>
        </w:tc>
        <w:tc>
          <w:tcPr>
            <w:tcW w:w="100" w:type="dxa"/>
            <w:vAlign w:val="bottom"/>
          </w:tcPr>
          <w:p>
            <w:pPr>
              <w:spacing w:after="0"/>
              <w:rPr>
                <w:sz w:val="12"/>
                <w:szCs w:val="12"/>
                <w:color w:val="auto"/>
              </w:rPr>
            </w:pPr>
          </w:p>
        </w:tc>
        <w:tc>
          <w:tcPr>
            <w:tcW w:w="1700" w:type="dxa"/>
            <w:vAlign w:val="bottom"/>
            <w:tcBorders>
              <w:bottom w:val="single" w:sz="8" w:color="666666"/>
            </w:tcBorders>
          </w:tcPr>
          <w:p>
            <w:pPr>
              <w:jc w:val="center"/>
              <w:spacing w:after="0"/>
              <w:rPr>
                <w:sz w:val="20"/>
                <w:szCs w:val="20"/>
                <w:color w:val="auto"/>
              </w:rPr>
            </w:pPr>
            <w:r>
              <w:rPr>
                <w:rFonts w:ascii="Arial" w:cs="Arial" w:eastAsia="Arial" w:hAnsi="Arial"/>
                <w:sz w:val="10"/>
                <w:szCs w:val="10"/>
                <w:b w:val="1"/>
                <w:bCs w:val="1"/>
                <w:color w:val="666666"/>
              </w:rPr>
              <w:t>Date</w:t>
            </w:r>
          </w:p>
        </w:tc>
        <w:tc>
          <w:tcPr>
            <w:tcW w:w="100" w:type="dxa"/>
            <w:vAlign w:val="bottom"/>
          </w:tcPr>
          <w:p>
            <w:pPr>
              <w:spacing w:after="0"/>
              <w:rPr>
                <w:sz w:val="12"/>
                <w:szCs w:val="12"/>
                <w:color w:val="auto"/>
              </w:rPr>
            </w:pPr>
          </w:p>
        </w:tc>
        <w:tc>
          <w:tcPr>
            <w:tcW w:w="1680" w:type="dxa"/>
            <w:vAlign w:val="bottom"/>
            <w:tcBorders>
              <w:bottom w:val="single" w:sz="8" w:color="666666"/>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920" w:type="dxa"/>
            <w:vAlign w:val="bottom"/>
            <w:gridSpan w:val="2"/>
          </w:tcPr>
          <w:p>
            <w:pPr>
              <w:ind w:left="20"/>
              <w:spacing w:after="0"/>
              <w:rPr>
                <w:sz w:val="20"/>
                <w:szCs w:val="20"/>
                <w:color w:val="auto"/>
              </w:rPr>
            </w:pPr>
            <w:r>
              <w:rPr>
                <w:rFonts w:ascii="Arial" w:cs="Arial" w:eastAsia="Arial" w:hAnsi="Arial"/>
                <w:sz w:val="10"/>
                <w:szCs w:val="10"/>
                <w:color w:val="666666"/>
              </w:rPr>
              <w:t>Joan Lordi C. Amble</w:t>
            </w:r>
          </w:p>
        </w:tc>
        <w:tc>
          <w:tcPr>
            <w:tcW w:w="1820" w:type="dxa"/>
            <w:vAlign w:val="bottom"/>
            <w:gridSpan w:val="2"/>
          </w:tcPr>
          <w:p>
            <w:pPr>
              <w:jc w:val="right"/>
              <w:ind w:right="220"/>
              <w:spacing w:after="0"/>
              <w:rPr>
                <w:sz w:val="20"/>
                <w:szCs w:val="20"/>
                <w:color w:val="auto"/>
              </w:rPr>
            </w:pPr>
            <w:r>
              <w:rPr>
                <w:rFonts w:ascii="Arial" w:cs="Arial" w:eastAsia="Arial" w:hAnsi="Arial"/>
                <w:sz w:val="10"/>
                <w:szCs w:val="10"/>
                <w:color w:val="666666"/>
              </w:rPr>
              <w:t>—</w:t>
            </w:r>
          </w:p>
        </w:tc>
        <w:tc>
          <w:tcPr>
            <w:tcW w:w="1800" w:type="dxa"/>
            <w:vAlign w:val="bottom"/>
            <w:gridSpan w:val="2"/>
          </w:tcPr>
          <w:p>
            <w:pPr>
              <w:jc w:val="right"/>
              <w:ind w:right="200"/>
              <w:spacing w:after="0"/>
              <w:rPr>
                <w:sz w:val="20"/>
                <w:szCs w:val="20"/>
                <w:color w:val="auto"/>
              </w:rPr>
            </w:pPr>
            <w:r>
              <w:rPr>
                <w:rFonts w:ascii="Arial" w:cs="Arial" w:eastAsia="Arial" w:hAnsi="Arial"/>
                <w:sz w:val="10"/>
                <w:szCs w:val="10"/>
                <w:color w:val="666666"/>
              </w:rPr>
              <w:t>—</w:t>
            </w:r>
          </w:p>
        </w:tc>
        <w:tc>
          <w:tcPr>
            <w:tcW w:w="1800" w:type="dxa"/>
            <w:vAlign w:val="bottom"/>
            <w:gridSpan w:val="2"/>
          </w:tcPr>
          <w:p>
            <w:pPr>
              <w:jc w:val="right"/>
              <w:ind w:right="200"/>
              <w:spacing w:after="0"/>
              <w:rPr>
                <w:sz w:val="20"/>
                <w:szCs w:val="20"/>
                <w:color w:val="auto"/>
              </w:rPr>
            </w:pPr>
            <w:r>
              <w:rPr>
                <w:rFonts w:ascii="Arial" w:cs="Arial" w:eastAsia="Arial" w:hAnsi="Arial"/>
                <w:sz w:val="10"/>
                <w:szCs w:val="10"/>
                <w:color w:val="666666"/>
              </w:rPr>
              <w:t>—</w:t>
            </w:r>
          </w:p>
        </w:tc>
        <w:tc>
          <w:tcPr>
            <w:tcW w:w="1680" w:type="dxa"/>
            <w:vAlign w:val="bottom"/>
          </w:tcPr>
          <w:p>
            <w:pPr>
              <w:jc w:val="right"/>
              <w:ind w:right="49"/>
              <w:spacing w:after="0"/>
              <w:rPr>
                <w:sz w:val="20"/>
                <w:szCs w:val="20"/>
                <w:color w:val="auto"/>
              </w:rPr>
            </w:pPr>
            <w:r>
              <w:rPr>
                <w:rFonts w:ascii="Arial" w:cs="Arial" w:eastAsia="Arial" w:hAnsi="Arial"/>
                <w:sz w:val="10"/>
                <w:szCs w:val="10"/>
                <w:color w:val="666666"/>
              </w:rPr>
              <w:t>3,214</w:t>
            </w:r>
          </w:p>
        </w:tc>
        <w:tc>
          <w:tcPr>
            <w:tcW w:w="0" w:type="dxa"/>
            <w:vAlign w:val="bottom"/>
          </w:tcPr>
          <w:p>
            <w:pPr>
              <w:spacing w:after="0"/>
              <w:rPr>
                <w:sz w:val="1"/>
                <w:szCs w:val="1"/>
                <w:color w:val="auto"/>
              </w:rPr>
            </w:pPr>
          </w:p>
        </w:tc>
      </w:tr>
      <w:tr>
        <w:trPr>
          <w:trHeight w:val="154"/>
        </w:trPr>
        <w:tc>
          <w:tcPr>
            <w:tcW w:w="2920" w:type="dxa"/>
            <w:vAlign w:val="bottom"/>
            <w:gridSpan w:val="2"/>
          </w:tcPr>
          <w:p>
            <w:pPr>
              <w:ind w:left="20"/>
              <w:spacing w:after="0"/>
              <w:rPr>
                <w:sz w:val="20"/>
                <w:szCs w:val="20"/>
                <w:color w:val="auto"/>
              </w:rPr>
            </w:pPr>
            <w:r>
              <w:rPr>
                <w:rFonts w:ascii="Arial" w:cs="Arial" w:eastAsia="Arial" w:hAnsi="Arial"/>
                <w:sz w:val="10"/>
                <w:szCs w:val="10"/>
                <w:color w:val="666666"/>
              </w:rPr>
              <w:t>Melody C. Barnes</w:t>
            </w:r>
          </w:p>
        </w:tc>
        <w:tc>
          <w:tcPr>
            <w:tcW w:w="1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680" w:type="dxa"/>
            <w:vAlign w:val="bottom"/>
            <w:vMerge w:val="restart"/>
          </w:tcPr>
          <w:p>
            <w:pPr>
              <w:jc w:val="right"/>
              <w:ind w:right="49"/>
              <w:spacing w:after="0"/>
              <w:rPr>
                <w:sz w:val="20"/>
                <w:szCs w:val="20"/>
                <w:color w:val="auto"/>
              </w:rPr>
            </w:pPr>
            <w:r>
              <w:rPr>
                <w:rFonts w:ascii="Arial" w:cs="Arial" w:eastAsia="Arial" w:hAnsi="Arial"/>
                <w:sz w:val="10"/>
                <w:szCs w:val="10"/>
                <w:color w:val="666666"/>
              </w:rPr>
              <w:t>1,837</w:t>
            </w:r>
          </w:p>
        </w:tc>
        <w:tc>
          <w:tcPr>
            <w:tcW w:w="0" w:type="dxa"/>
            <w:vAlign w:val="bottom"/>
          </w:tcPr>
          <w:p>
            <w:pPr>
              <w:spacing w:after="0"/>
              <w:rPr>
                <w:sz w:val="1"/>
                <w:szCs w:val="1"/>
                <w:color w:val="auto"/>
              </w:rPr>
            </w:pPr>
          </w:p>
        </w:tc>
      </w:tr>
      <w:tr>
        <w:trPr>
          <w:trHeight w:val="38"/>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920" w:type="dxa"/>
            <w:vAlign w:val="bottom"/>
            <w:gridSpan w:val="2"/>
          </w:tcPr>
          <w:p>
            <w:pPr>
              <w:ind w:left="20"/>
              <w:spacing w:after="0"/>
              <w:rPr>
                <w:sz w:val="20"/>
                <w:szCs w:val="20"/>
                <w:color w:val="auto"/>
              </w:rPr>
            </w:pPr>
            <w:r>
              <w:rPr>
                <w:rFonts w:ascii="Arial" w:cs="Arial" w:eastAsia="Arial" w:hAnsi="Arial"/>
                <w:sz w:val="10"/>
                <w:szCs w:val="10"/>
                <w:color w:val="666666"/>
              </w:rPr>
              <w:t>Peter Clare</w:t>
            </w:r>
          </w:p>
        </w:tc>
        <w:tc>
          <w:tcPr>
            <w:tcW w:w="1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680" w:type="dxa"/>
            <w:vAlign w:val="bottom"/>
            <w:vMerge w:val="restart"/>
          </w:tcPr>
          <w:p>
            <w:pPr>
              <w:jc w:val="right"/>
              <w:ind w:right="49"/>
              <w:spacing w:after="0"/>
              <w:rPr>
                <w:sz w:val="20"/>
                <w:szCs w:val="20"/>
                <w:color w:val="auto"/>
              </w:rPr>
            </w:pPr>
            <w:r>
              <w:rPr>
                <w:rFonts w:ascii="Arial" w:cs="Arial" w:eastAsia="Arial" w:hAnsi="Arial"/>
                <w:sz w:val="10"/>
                <w:szCs w:val="10"/>
                <w:color w:val="666666"/>
              </w:rPr>
              <w:t>3,214</w:t>
            </w:r>
          </w:p>
        </w:tc>
        <w:tc>
          <w:tcPr>
            <w:tcW w:w="0" w:type="dxa"/>
            <w:vAlign w:val="bottom"/>
          </w:tcPr>
          <w:p>
            <w:pPr>
              <w:spacing w:after="0"/>
              <w:rPr>
                <w:sz w:val="1"/>
                <w:szCs w:val="1"/>
                <w:color w:val="auto"/>
              </w:rPr>
            </w:pPr>
          </w:p>
        </w:tc>
      </w:tr>
      <w:tr>
        <w:trPr>
          <w:trHeight w:val="38"/>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920" w:type="dxa"/>
            <w:vAlign w:val="bottom"/>
            <w:gridSpan w:val="2"/>
          </w:tcPr>
          <w:p>
            <w:pPr>
              <w:ind w:left="20"/>
              <w:spacing w:after="0"/>
              <w:rPr>
                <w:sz w:val="20"/>
                <w:szCs w:val="20"/>
                <w:color w:val="auto"/>
              </w:rPr>
            </w:pPr>
            <w:r>
              <w:rPr>
                <w:rFonts w:ascii="Arial" w:cs="Arial" w:eastAsia="Arial" w:hAnsi="Arial"/>
                <w:sz w:val="10"/>
                <w:szCs w:val="10"/>
                <w:color w:val="666666"/>
              </w:rPr>
              <w:t>Ian Fujiyama</w:t>
            </w:r>
          </w:p>
        </w:tc>
        <w:tc>
          <w:tcPr>
            <w:tcW w:w="1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680" w:type="dxa"/>
            <w:vAlign w:val="bottom"/>
            <w:vMerge w:val="restart"/>
          </w:tcPr>
          <w:p>
            <w:pPr>
              <w:jc w:val="right"/>
              <w:ind w:right="49"/>
              <w:spacing w:after="0"/>
              <w:rPr>
                <w:sz w:val="20"/>
                <w:szCs w:val="20"/>
                <w:color w:val="auto"/>
              </w:rPr>
            </w:pPr>
            <w:r>
              <w:rPr>
                <w:rFonts w:ascii="Arial" w:cs="Arial" w:eastAsia="Arial" w:hAnsi="Arial"/>
                <w:sz w:val="10"/>
                <w:szCs w:val="10"/>
                <w:color w:val="666666"/>
              </w:rPr>
              <w:t>3,214</w:t>
            </w:r>
          </w:p>
        </w:tc>
        <w:tc>
          <w:tcPr>
            <w:tcW w:w="0" w:type="dxa"/>
            <w:vAlign w:val="bottom"/>
          </w:tcPr>
          <w:p>
            <w:pPr>
              <w:spacing w:after="0"/>
              <w:rPr>
                <w:sz w:val="1"/>
                <w:szCs w:val="1"/>
                <w:color w:val="auto"/>
              </w:rPr>
            </w:pPr>
          </w:p>
        </w:tc>
      </w:tr>
      <w:tr>
        <w:trPr>
          <w:trHeight w:val="38"/>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920" w:type="dxa"/>
            <w:vAlign w:val="bottom"/>
            <w:gridSpan w:val="2"/>
          </w:tcPr>
          <w:p>
            <w:pPr>
              <w:ind w:left="20"/>
              <w:spacing w:after="0"/>
              <w:rPr>
                <w:sz w:val="20"/>
                <w:szCs w:val="20"/>
                <w:color w:val="auto"/>
              </w:rPr>
            </w:pPr>
            <w:r>
              <w:rPr>
                <w:rFonts w:ascii="Arial" w:cs="Arial" w:eastAsia="Arial" w:hAnsi="Arial"/>
                <w:sz w:val="10"/>
                <w:szCs w:val="10"/>
                <w:color w:val="666666"/>
              </w:rPr>
              <w:t>Mark E. Gaumond</w:t>
            </w:r>
          </w:p>
        </w:tc>
        <w:tc>
          <w:tcPr>
            <w:tcW w:w="1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680" w:type="dxa"/>
            <w:vAlign w:val="bottom"/>
            <w:vMerge w:val="restart"/>
          </w:tcPr>
          <w:p>
            <w:pPr>
              <w:jc w:val="right"/>
              <w:ind w:right="49"/>
              <w:spacing w:after="0"/>
              <w:rPr>
                <w:sz w:val="20"/>
                <w:szCs w:val="20"/>
                <w:color w:val="auto"/>
              </w:rPr>
            </w:pPr>
            <w:r>
              <w:rPr>
                <w:rFonts w:ascii="Arial" w:cs="Arial" w:eastAsia="Arial" w:hAnsi="Arial"/>
                <w:sz w:val="10"/>
                <w:szCs w:val="10"/>
                <w:color w:val="666666"/>
              </w:rPr>
              <w:t>2,296</w:t>
            </w:r>
          </w:p>
        </w:tc>
        <w:tc>
          <w:tcPr>
            <w:tcW w:w="0" w:type="dxa"/>
            <w:vAlign w:val="bottom"/>
          </w:tcPr>
          <w:p>
            <w:pPr>
              <w:spacing w:after="0"/>
              <w:rPr>
                <w:sz w:val="1"/>
                <w:szCs w:val="1"/>
                <w:color w:val="auto"/>
              </w:rPr>
            </w:pPr>
          </w:p>
        </w:tc>
      </w:tr>
      <w:tr>
        <w:trPr>
          <w:trHeight w:val="38"/>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920" w:type="dxa"/>
            <w:vAlign w:val="bottom"/>
            <w:gridSpan w:val="2"/>
          </w:tcPr>
          <w:p>
            <w:pPr>
              <w:ind w:left="20"/>
              <w:spacing w:after="0"/>
              <w:rPr>
                <w:sz w:val="20"/>
                <w:szCs w:val="20"/>
                <w:color w:val="auto"/>
              </w:rPr>
            </w:pPr>
            <w:r>
              <w:rPr>
                <w:rFonts w:ascii="Arial" w:cs="Arial" w:eastAsia="Arial" w:hAnsi="Arial"/>
                <w:sz w:val="10"/>
                <w:szCs w:val="10"/>
                <w:color w:val="666666"/>
              </w:rPr>
              <w:t>Arthur E. Johnson</w:t>
            </w:r>
          </w:p>
        </w:tc>
        <w:tc>
          <w:tcPr>
            <w:tcW w:w="1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680" w:type="dxa"/>
            <w:vAlign w:val="bottom"/>
            <w:vMerge w:val="restart"/>
          </w:tcPr>
          <w:p>
            <w:pPr>
              <w:jc w:val="right"/>
              <w:ind w:right="49"/>
              <w:spacing w:after="0"/>
              <w:rPr>
                <w:sz w:val="20"/>
                <w:szCs w:val="20"/>
                <w:color w:val="auto"/>
              </w:rPr>
            </w:pPr>
            <w:r>
              <w:rPr>
                <w:rFonts w:ascii="Arial" w:cs="Arial" w:eastAsia="Arial" w:hAnsi="Arial"/>
                <w:sz w:val="10"/>
                <w:szCs w:val="10"/>
                <w:color w:val="666666"/>
              </w:rPr>
              <w:t>1,837</w:t>
            </w:r>
          </w:p>
        </w:tc>
        <w:tc>
          <w:tcPr>
            <w:tcW w:w="0" w:type="dxa"/>
            <w:vAlign w:val="bottom"/>
          </w:tcPr>
          <w:p>
            <w:pPr>
              <w:spacing w:after="0"/>
              <w:rPr>
                <w:sz w:val="1"/>
                <w:szCs w:val="1"/>
                <w:color w:val="auto"/>
              </w:rPr>
            </w:pPr>
          </w:p>
        </w:tc>
      </w:tr>
      <w:tr>
        <w:trPr>
          <w:trHeight w:val="38"/>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920" w:type="dxa"/>
            <w:vAlign w:val="bottom"/>
            <w:gridSpan w:val="2"/>
          </w:tcPr>
          <w:p>
            <w:pPr>
              <w:ind w:left="20"/>
              <w:spacing w:after="0"/>
              <w:rPr>
                <w:sz w:val="20"/>
                <w:szCs w:val="20"/>
                <w:color w:val="auto"/>
              </w:rPr>
            </w:pPr>
            <w:r>
              <w:rPr>
                <w:rFonts w:ascii="Arial" w:cs="Arial" w:eastAsia="Arial" w:hAnsi="Arial"/>
                <w:sz w:val="10"/>
                <w:szCs w:val="10"/>
                <w:color w:val="666666"/>
              </w:rPr>
              <w:t>Gretchen W. McClain</w:t>
            </w:r>
          </w:p>
        </w:tc>
        <w:tc>
          <w:tcPr>
            <w:tcW w:w="1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680" w:type="dxa"/>
            <w:vAlign w:val="bottom"/>
            <w:vMerge w:val="restart"/>
          </w:tcPr>
          <w:p>
            <w:pPr>
              <w:jc w:val="right"/>
              <w:ind w:right="49"/>
              <w:spacing w:after="0"/>
              <w:rPr>
                <w:sz w:val="20"/>
                <w:szCs w:val="20"/>
                <w:color w:val="auto"/>
              </w:rPr>
            </w:pPr>
            <w:r>
              <w:rPr>
                <w:rFonts w:ascii="Arial" w:cs="Arial" w:eastAsia="Arial" w:hAnsi="Arial"/>
                <w:sz w:val="10"/>
                <w:szCs w:val="10"/>
                <w:color w:val="666666"/>
              </w:rPr>
              <w:t>3,214</w:t>
            </w:r>
          </w:p>
        </w:tc>
        <w:tc>
          <w:tcPr>
            <w:tcW w:w="0" w:type="dxa"/>
            <w:vAlign w:val="bottom"/>
          </w:tcPr>
          <w:p>
            <w:pPr>
              <w:spacing w:after="0"/>
              <w:rPr>
                <w:sz w:val="1"/>
                <w:szCs w:val="1"/>
                <w:color w:val="auto"/>
              </w:rPr>
            </w:pPr>
          </w:p>
        </w:tc>
      </w:tr>
      <w:tr>
        <w:trPr>
          <w:trHeight w:val="38"/>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920" w:type="dxa"/>
            <w:vAlign w:val="bottom"/>
            <w:gridSpan w:val="2"/>
          </w:tcPr>
          <w:p>
            <w:pPr>
              <w:ind w:left="20"/>
              <w:spacing w:after="0"/>
              <w:rPr>
                <w:sz w:val="20"/>
                <w:szCs w:val="20"/>
                <w:color w:val="auto"/>
              </w:rPr>
            </w:pPr>
            <w:r>
              <w:rPr>
                <w:rFonts w:ascii="Arial" w:cs="Arial" w:eastAsia="Arial" w:hAnsi="Arial"/>
                <w:sz w:val="10"/>
                <w:szCs w:val="10"/>
                <w:color w:val="666666"/>
              </w:rPr>
              <w:t>Philip A. Odeen</w:t>
            </w:r>
          </w:p>
        </w:tc>
        <w:tc>
          <w:tcPr>
            <w:tcW w:w="1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680" w:type="dxa"/>
            <w:vAlign w:val="bottom"/>
            <w:vMerge w:val="restart"/>
          </w:tcPr>
          <w:p>
            <w:pPr>
              <w:jc w:val="right"/>
              <w:ind w:right="49"/>
              <w:spacing w:after="0"/>
              <w:rPr>
                <w:sz w:val="20"/>
                <w:szCs w:val="20"/>
                <w:color w:val="auto"/>
              </w:rPr>
            </w:pPr>
            <w:r>
              <w:rPr>
                <w:rFonts w:ascii="Arial" w:cs="Arial" w:eastAsia="Arial" w:hAnsi="Arial"/>
                <w:sz w:val="10"/>
                <w:szCs w:val="10"/>
                <w:color w:val="666666"/>
              </w:rPr>
              <w:t>2,067</w:t>
            </w:r>
          </w:p>
        </w:tc>
        <w:tc>
          <w:tcPr>
            <w:tcW w:w="0" w:type="dxa"/>
            <w:vAlign w:val="bottom"/>
          </w:tcPr>
          <w:p>
            <w:pPr>
              <w:spacing w:after="0"/>
              <w:rPr>
                <w:sz w:val="1"/>
                <w:szCs w:val="1"/>
                <w:color w:val="auto"/>
              </w:rPr>
            </w:pPr>
          </w:p>
        </w:tc>
      </w:tr>
      <w:tr>
        <w:trPr>
          <w:trHeight w:val="38"/>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920" w:type="dxa"/>
            <w:vAlign w:val="bottom"/>
            <w:gridSpan w:val="2"/>
          </w:tcPr>
          <w:p>
            <w:pPr>
              <w:ind w:left="20"/>
              <w:spacing w:after="0"/>
              <w:rPr>
                <w:sz w:val="20"/>
                <w:szCs w:val="20"/>
                <w:color w:val="auto"/>
              </w:rPr>
            </w:pPr>
            <w:r>
              <w:rPr>
                <w:rFonts w:ascii="Arial" w:cs="Arial" w:eastAsia="Arial" w:hAnsi="Arial"/>
                <w:sz w:val="10"/>
                <w:szCs w:val="10"/>
                <w:color w:val="666666"/>
              </w:rPr>
              <w:t>Charles O. Rossotti</w:t>
            </w:r>
          </w:p>
        </w:tc>
        <w:tc>
          <w:tcPr>
            <w:tcW w:w="1720" w:type="dxa"/>
            <w:vAlign w:val="bottom"/>
            <w:vMerge w:val="restart"/>
          </w:tcPr>
          <w:p>
            <w:pPr>
              <w:jc w:val="right"/>
              <w:ind w:right="69"/>
              <w:spacing w:after="0"/>
              <w:rPr>
                <w:sz w:val="20"/>
                <w:szCs w:val="20"/>
                <w:color w:val="auto"/>
              </w:rPr>
            </w:pPr>
            <w:r>
              <w:rPr>
                <w:rFonts w:ascii="Arial" w:cs="Arial" w:eastAsia="Arial" w:hAnsi="Arial"/>
                <w:sz w:val="10"/>
                <w:szCs w:val="10"/>
                <w:color w:val="666666"/>
              </w:rPr>
              <w:t>10,000</w:t>
            </w:r>
          </w:p>
        </w:tc>
        <w:tc>
          <w:tcPr>
            <w:tcW w:w="100" w:type="dxa"/>
            <w:vAlign w:val="bottom"/>
          </w:tcPr>
          <w:p>
            <w:pPr>
              <w:spacing w:after="0"/>
              <w:rPr>
                <w:sz w:val="13"/>
                <w:szCs w:val="13"/>
                <w:color w:val="auto"/>
              </w:rPr>
            </w:pPr>
          </w:p>
        </w:tc>
        <w:tc>
          <w:tcPr>
            <w:tcW w:w="1700" w:type="dxa"/>
            <w:vAlign w:val="bottom"/>
            <w:vMerge w:val="restart"/>
          </w:tcPr>
          <w:p>
            <w:pPr>
              <w:jc w:val="right"/>
              <w:ind w:right="49"/>
              <w:spacing w:after="0"/>
              <w:rPr>
                <w:sz w:val="20"/>
                <w:szCs w:val="20"/>
                <w:color w:val="auto"/>
              </w:rPr>
            </w:pPr>
            <w:r>
              <w:rPr>
                <w:rFonts w:ascii="Arial" w:cs="Arial" w:eastAsia="Arial" w:hAnsi="Arial"/>
                <w:sz w:val="10"/>
                <w:szCs w:val="10"/>
                <w:color w:val="666666"/>
              </w:rPr>
              <w:t>6.08</w:t>
            </w:r>
          </w:p>
        </w:tc>
        <w:tc>
          <w:tcPr>
            <w:tcW w:w="100" w:type="dxa"/>
            <w:vAlign w:val="bottom"/>
          </w:tcPr>
          <w:p>
            <w:pPr>
              <w:spacing w:after="0"/>
              <w:rPr>
                <w:sz w:val="13"/>
                <w:szCs w:val="13"/>
                <w:color w:val="auto"/>
              </w:rPr>
            </w:pPr>
          </w:p>
        </w:tc>
        <w:tc>
          <w:tcPr>
            <w:tcW w:w="1700" w:type="dxa"/>
            <w:vAlign w:val="bottom"/>
            <w:vMerge w:val="restart"/>
          </w:tcPr>
          <w:p>
            <w:pPr>
              <w:jc w:val="right"/>
              <w:ind w:right="49"/>
              <w:spacing w:after="0"/>
              <w:rPr>
                <w:sz w:val="20"/>
                <w:szCs w:val="20"/>
                <w:color w:val="auto"/>
              </w:rPr>
            </w:pPr>
            <w:r>
              <w:rPr>
                <w:rFonts w:ascii="Arial" w:cs="Arial" w:eastAsia="Arial" w:hAnsi="Arial"/>
                <w:sz w:val="10"/>
                <w:szCs w:val="10"/>
                <w:color w:val="666666"/>
              </w:rPr>
              <w:t>5/7/2019</w:t>
            </w:r>
          </w:p>
        </w:tc>
        <w:tc>
          <w:tcPr>
            <w:tcW w:w="100" w:type="dxa"/>
            <w:vAlign w:val="bottom"/>
          </w:tcPr>
          <w:p>
            <w:pPr>
              <w:spacing w:after="0"/>
              <w:rPr>
                <w:sz w:val="13"/>
                <w:szCs w:val="13"/>
                <w:color w:val="auto"/>
              </w:rPr>
            </w:pPr>
          </w:p>
        </w:tc>
        <w:tc>
          <w:tcPr>
            <w:tcW w:w="1680" w:type="dxa"/>
            <w:vAlign w:val="bottom"/>
            <w:vMerge w:val="restart"/>
          </w:tcPr>
          <w:p>
            <w:pPr>
              <w:jc w:val="right"/>
              <w:ind w:right="49"/>
              <w:spacing w:after="0"/>
              <w:rPr>
                <w:sz w:val="20"/>
                <w:szCs w:val="20"/>
                <w:color w:val="auto"/>
              </w:rPr>
            </w:pPr>
            <w:r>
              <w:rPr>
                <w:rFonts w:ascii="Arial" w:cs="Arial" w:eastAsia="Arial" w:hAnsi="Arial"/>
                <w:sz w:val="10"/>
                <w:szCs w:val="10"/>
                <w:color w:val="666666"/>
              </w:rPr>
              <w:t>3,214</w:t>
            </w:r>
          </w:p>
        </w:tc>
        <w:tc>
          <w:tcPr>
            <w:tcW w:w="0" w:type="dxa"/>
            <w:vAlign w:val="bottom"/>
          </w:tcPr>
          <w:p>
            <w:pPr>
              <w:spacing w:after="0"/>
              <w:rPr>
                <w:sz w:val="1"/>
                <w:szCs w:val="1"/>
                <w:color w:val="auto"/>
              </w:rPr>
            </w:pPr>
          </w:p>
        </w:tc>
      </w:tr>
      <w:tr>
        <w:trPr>
          <w:trHeight w:val="38"/>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920" w:type="dxa"/>
            <w:vAlign w:val="bottom"/>
            <w:gridSpan w:val="2"/>
          </w:tcPr>
          <w:p>
            <w:pPr>
              <w:ind w:left="20"/>
              <w:spacing w:after="0"/>
              <w:rPr>
                <w:sz w:val="20"/>
                <w:szCs w:val="20"/>
                <w:color w:val="auto"/>
              </w:rPr>
            </w:pPr>
            <w:r>
              <w:rPr>
                <w:rFonts w:ascii="Arial" w:cs="Arial" w:eastAsia="Arial" w:hAnsi="Arial"/>
                <w:sz w:val="10"/>
                <w:szCs w:val="10"/>
                <w:color w:val="666666"/>
              </w:rPr>
              <w:t>Ralph W. Shrader</w:t>
            </w:r>
          </w:p>
        </w:tc>
        <w:tc>
          <w:tcPr>
            <w:tcW w:w="182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666666"/>
              </w:rPr>
              <w:t>—</w:t>
            </w:r>
          </w:p>
        </w:tc>
        <w:tc>
          <w:tcPr>
            <w:tcW w:w="1680" w:type="dxa"/>
            <w:vAlign w:val="bottom"/>
            <w:vMerge w:val="restart"/>
          </w:tcPr>
          <w:p>
            <w:pPr>
              <w:jc w:val="right"/>
              <w:ind w:right="49"/>
              <w:spacing w:after="0"/>
              <w:rPr>
                <w:sz w:val="20"/>
                <w:szCs w:val="20"/>
                <w:color w:val="auto"/>
              </w:rPr>
            </w:pPr>
            <w:r>
              <w:rPr>
                <w:rFonts w:ascii="Arial" w:cs="Arial" w:eastAsia="Arial" w:hAnsi="Arial"/>
                <w:sz w:val="10"/>
                <w:szCs w:val="10"/>
                <w:color w:val="666666"/>
              </w:rPr>
              <w:t>1,837</w:t>
            </w:r>
          </w:p>
        </w:tc>
        <w:tc>
          <w:tcPr>
            <w:tcW w:w="0" w:type="dxa"/>
            <w:vAlign w:val="bottom"/>
          </w:tcPr>
          <w:p>
            <w:pPr>
              <w:spacing w:after="0"/>
              <w:rPr>
                <w:sz w:val="1"/>
                <w:szCs w:val="1"/>
                <w:color w:val="auto"/>
              </w:rPr>
            </w:pPr>
          </w:p>
        </w:tc>
      </w:tr>
      <w:tr>
        <w:trPr>
          <w:trHeight w:val="38"/>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80" w:hanging="287"/>
        <w:spacing w:after="0"/>
        <w:tabs>
          <w:tab w:leader="none" w:pos="380" w:val="left"/>
        </w:tabs>
        <w:numPr>
          <w:ilvl w:val="0"/>
          <w:numId w:val="20"/>
        </w:numPr>
        <w:rPr>
          <w:rFonts w:ascii="Arial" w:cs="Arial" w:eastAsia="Arial" w:hAnsi="Arial"/>
          <w:sz w:val="10"/>
          <w:szCs w:val="10"/>
          <w:color w:val="666666"/>
        </w:rPr>
      </w:pPr>
      <w:r>
        <w:rPr>
          <w:rFonts w:ascii="Arial" w:cs="Arial" w:eastAsia="Arial" w:hAnsi="Arial"/>
          <w:sz w:val="10"/>
          <w:szCs w:val="10"/>
          <w:color w:val="666666"/>
        </w:rPr>
        <w:t>The shares of restricted stock in this column all vest on July 31, 2018.</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Director Ownership Guidelines</w:t>
      </w:r>
    </w:p>
    <w:p>
      <w:pPr>
        <w:spacing w:after="0" w:line="11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4"/>
          <w:szCs w:val="14"/>
          <w:color w:val="666666"/>
        </w:rPr>
        <w:t>Equity ownership guidelines for all of our non-employee directors are in place to further align their interests to those of our stockholders. Each of our non-employee directors has five years from the date of commencement of his/her service on the Board to achieve equity ownership with a value equivalent to four times his/her annual retainer. In calculating a director’s ownership, Class A common stock, and vested in-the-money options and vested and unvested restricted stock issued under the Equity Incentive Plan will be considered owned by the non-employee director. Each of our directors who has served on the Board for five years or more has regularly exceeded and currently exceeds the equity ownership guidelines. For a description of the guidelines applicable to executive officers, see our CD&amp;A beginning on page 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21</w:t>
      </w:r>
    </w:p>
    <w:p>
      <w:pPr>
        <w:sectPr>
          <w:pgSz w:w="11900" w:h="16838" w:orient="portrait"/>
          <w:cols w:equalWidth="0" w:num="1">
            <w:col w:w="11460"/>
          </w:cols>
          <w:pgMar w:left="220" w:top="565" w:right="21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547BCC"/>
        </w:rPr>
        <w:t>COMPENSATION COMMITTEE INTERLOCKS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47BCC"/>
        </w:rPr>
        <w:t>AND INSIDER PARTICIPATION</w:t>
      </w:r>
    </w:p>
    <w:p>
      <w:pPr>
        <w:spacing w:after="0" w:line="96"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4"/>
          <w:szCs w:val="14"/>
          <w:color w:val="666666"/>
        </w:rPr>
        <w:t>The current members of our Compensation Committee are Messrs. Odeen (Chairman), Clare, and Fujiyama, and Mses. Barnes and McClain. No member of our Compensation Committee serves as a member of the board or compensation committee of any other entity that has one or more executive officers serving as a member of our Board or Compensation Committee.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22</w:t>
      </w:r>
    </w:p>
    <w:p>
      <w:pPr>
        <w:sectPr>
          <w:pgSz w:w="11900" w:h="16838" w:orient="portrait"/>
          <w:cols w:equalWidth="0" w:num="1">
            <w:col w:w="11460"/>
          </w:cols>
          <w:pgMar w:left="220" w:top="556" w:right="219" w:bottom="1440" w:gutter="0" w:footer="0" w:header="0"/>
        </w:sectPr>
      </w:pPr>
    </w:p>
    <w:bookmarkStart w:id="31" w:name="page32"/>
    <w:bookmarkEnd w:id="31"/>
    <w:p>
      <w:pPr>
        <w:ind w:left="3700"/>
        <w:spacing w:after="0"/>
        <w:rPr>
          <w:sz w:val="20"/>
          <w:szCs w:val="20"/>
          <w:color w:val="auto"/>
        </w:rPr>
      </w:pPr>
      <w:r>
        <w:rPr>
          <w:rFonts w:ascii="Arial" w:cs="Arial" w:eastAsia="Arial" w:hAnsi="Arial"/>
          <w:sz w:val="22"/>
          <w:szCs w:val="22"/>
          <w:b w:val="1"/>
          <w:bCs w:val="1"/>
          <w:color w:val="547BCC"/>
        </w:rPr>
        <w:t>SECURITY OWNERSHIP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Security Ownership of Directors and Executive Officers</w:t>
      </w:r>
    </w:p>
    <w:p>
      <w:pPr>
        <w:spacing w:after="0" w:line="119" w:lineRule="exact"/>
        <w:rPr>
          <w:sz w:val="20"/>
          <w:szCs w:val="20"/>
          <w:color w:val="auto"/>
        </w:rPr>
      </w:pPr>
    </w:p>
    <w:p>
      <w:pPr>
        <w:jc w:val="both"/>
        <w:ind w:firstLine="307"/>
        <w:spacing w:after="0" w:line="285" w:lineRule="auto"/>
        <w:rPr>
          <w:sz w:val="20"/>
          <w:szCs w:val="20"/>
          <w:color w:val="auto"/>
        </w:rPr>
      </w:pPr>
      <w:r>
        <w:rPr>
          <w:rFonts w:ascii="Arial" w:cs="Arial" w:eastAsia="Arial" w:hAnsi="Arial"/>
          <w:sz w:val="14"/>
          <w:szCs w:val="14"/>
          <w:color w:val="666666"/>
        </w:rPr>
        <w:t>The following table indicates information as of June 1, 2018 regarding the beneficial ownership of our Class A common stock by each of our directors, each of the named executive officers, and all of our directors and executive officers as a group.</w:t>
      </w:r>
    </w:p>
    <w:p>
      <w:pPr>
        <w:spacing w:after="0" w:line="5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4"/>
          <w:szCs w:val="14"/>
          <w:color w:val="666666"/>
        </w:rPr>
        <w:t>The percentages shown are based on 143,403,861 shares of Class A common stock outstanding as of June 1, 2018. In August 2014, we converted all issued and outstanding shares of Class B non-voting common stock and Class C restricted common stock into shares of Class A common stock on a one-for-one basis. Class A common stock is entitled to one vote per share on all matters voted on by our stockholders.</w:t>
      </w:r>
    </w:p>
    <w:p>
      <w:pPr>
        <w:spacing w:after="0" w:line="74" w:lineRule="exact"/>
        <w:rPr>
          <w:sz w:val="20"/>
          <w:szCs w:val="20"/>
          <w:color w:val="auto"/>
        </w:rPr>
      </w:pPr>
    </w:p>
    <w:p>
      <w:pPr>
        <w:jc w:val="both"/>
        <w:ind w:firstLine="230"/>
        <w:spacing w:after="0" w:line="249" w:lineRule="auto"/>
        <w:rPr>
          <w:sz w:val="20"/>
          <w:szCs w:val="20"/>
          <w:color w:val="auto"/>
        </w:rPr>
      </w:pPr>
      <w:r>
        <w:rPr>
          <w:rFonts w:ascii="Arial" w:cs="Arial" w:eastAsia="Arial" w:hAnsi="Arial"/>
          <w:sz w:val="14"/>
          <w:szCs w:val="14"/>
          <w:color w:val="666666"/>
        </w:rPr>
        <w:t>The amounts and percentages owned are reported on the basis of the SEC’s rules governing the determination of beneficial ownership of securities. The SEC’s rules generally attribute beneficial ownership of securities to each person who possesses, either solely or shared with others, the voting power or investment power, which includes the power to dispose of those securities. The rules also treat as outstanding all shares of capital stock that a person would receive upon exercise of stock options or warrants held by that person that are immediately exercisable or exercisable within 60 days. These shares are deemed to be outstanding and to be beneficially owned by the person holding those options for the purpose of computing the number of shares beneficially owned and the percentage ownership of that person, but they are not treated as outstanding for the purpose of computing the percentage ownership of any other person. Under these rules, one or more persons may be a deemed beneficial owner of the same securities and a person may be deemed a beneficial owner of securities to which such person has no economic interest. Unless otherwise indicated, the persons or entities identified in this table have sole voting and investment power with respect to all shares shown as beneficially owned by them, subject to applicable community property laws.</w:t>
      </w:r>
    </w:p>
    <w:p>
      <w:pPr>
        <w:sectPr>
          <w:pgSz w:w="11900" w:h="16838" w:orient="portrait"/>
          <w:cols w:equalWidth="0" w:num="1">
            <w:col w:w="11460"/>
          </w:cols>
          <w:pgMar w:left="220" w:top="441" w:right="219" w:bottom="1440" w:gutter="0" w:footer="0" w:header="0"/>
        </w:sectPr>
      </w:pPr>
    </w:p>
    <w:p>
      <w:pPr>
        <w:spacing w:after="0" w:line="325" w:lineRule="exact"/>
        <w:rPr>
          <w:sz w:val="20"/>
          <w:szCs w:val="20"/>
          <w:color w:val="auto"/>
        </w:rPr>
      </w:pPr>
    </w:p>
    <w:p>
      <w:pPr>
        <w:ind w:left="3340"/>
        <w:spacing w:after="0"/>
        <w:rPr>
          <w:sz w:val="20"/>
          <w:szCs w:val="20"/>
          <w:color w:val="auto"/>
        </w:rPr>
      </w:pPr>
      <w:r>
        <w:rPr>
          <w:rFonts w:ascii="Arial" w:cs="Arial" w:eastAsia="Arial" w:hAnsi="Arial"/>
          <w:sz w:val="10"/>
          <w:szCs w:val="10"/>
          <w:b w:val="1"/>
          <w:bCs w:val="1"/>
          <w:color w:val="666666"/>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19050</wp:posOffset>
            </wp:positionV>
            <wp:extent cx="142684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26845" cy="6350"/>
                    </a:xfrm>
                    <a:prstGeom prst="rect">
                      <a:avLst/>
                    </a:prstGeom>
                    <a:noFill/>
                  </pic:spPr>
                </pic:pic>
              </a:graphicData>
            </a:graphic>
          </wp:anchor>
        </w:drawing>
      </w:r>
    </w:p>
    <w:p>
      <w:pPr>
        <w:spacing w:after="0" w:line="47" w:lineRule="exact"/>
        <w:rPr>
          <w:sz w:val="20"/>
          <w:szCs w:val="20"/>
          <w:color w:val="auto"/>
        </w:rPr>
      </w:pPr>
    </w:p>
    <w:p>
      <w:pPr>
        <w:ind w:left="3340"/>
        <w:spacing w:after="0"/>
        <w:rPr>
          <w:sz w:val="20"/>
          <w:szCs w:val="20"/>
          <w:color w:val="auto"/>
        </w:rPr>
      </w:pPr>
      <w:r>
        <w:rPr>
          <w:rFonts w:ascii="Arial" w:cs="Arial" w:eastAsia="Arial" w:hAnsi="Arial"/>
          <w:sz w:val="10"/>
          <w:szCs w:val="10"/>
          <w:b w:val="1"/>
          <w:bCs w:val="1"/>
          <w:u w:val="single" w:color="auto"/>
          <w:color w:val="666666"/>
        </w:rPr>
        <w:t>Directors and Nominees</w:t>
      </w:r>
    </w:p>
    <w:p>
      <w:pPr>
        <w:spacing w:after="0" w:line="79"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Joan Lordi C. Amble</w:t>
      </w:r>
    </w:p>
    <w:p>
      <w:pPr>
        <w:spacing w:after="0" w:line="115"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Melody C. Barnes</w:t>
      </w:r>
    </w:p>
    <w:p>
      <w:pPr>
        <w:spacing w:after="0" w:line="154"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Peter Clare</w:t>
      </w:r>
    </w:p>
    <w:p>
      <w:pPr>
        <w:spacing w:after="0" w:line="154"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Ian Fujiyama</w:t>
      </w:r>
    </w:p>
    <w:p>
      <w:pPr>
        <w:spacing w:after="0" w:line="154"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Mark Gaumond</w:t>
      </w:r>
    </w:p>
    <w:p>
      <w:pPr>
        <w:spacing w:after="0" w:line="154"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Arthur E. Johnson</w:t>
      </w:r>
    </w:p>
    <w:p>
      <w:pPr>
        <w:spacing w:after="0" w:line="154"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Gretchen W. McClain</w:t>
      </w:r>
    </w:p>
    <w:p>
      <w:pPr>
        <w:spacing w:after="0" w:line="154"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Philip A. Odeen</w:t>
      </w:r>
    </w:p>
    <w:p>
      <w:pPr>
        <w:spacing w:after="0" w:line="115"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Charles O. Rossotti</w:t>
      </w:r>
    </w:p>
    <w:p>
      <w:pPr>
        <w:spacing w:after="0" w:line="77"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Horacio D. Rozanski</w:t>
      </w:r>
    </w:p>
    <w:p>
      <w:pPr>
        <w:spacing w:after="0" w:line="77"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Dr. Ralph W. Shrader</w:t>
      </w:r>
    </w:p>
    <w:p>
      <w:pPr>
        <w:spacing w:after="0" w:line="133" w:lineRule="exact"/>
        <w:rPr>
          <w:sz w:val="20"/>
          <w:szCs w:val="20"/>
          <w:color w:val="auto"/>
        </w:rPr>
      </w:pPr>
    </w:p>
    <w:p>
      <w:pPr>
        <w:ind w:left="3340"/>
        <w:spacing w:after="0"/>
        <w:rPr>
          <w:sz w:val="20"/>
          <w:szCs w:val="20"/>
          <w:color w:val="auto"/>
        </w:rPr>
      </w:pPr>
      <w:r>
        <w:rPr>
          <w:rFonts w:ascii="Arial" w:cs="Arial" w:eastAsia="Arial" w:hAnsi="Arial"/>
          <w:sz w:val="10"/>
          <w:szCs w:val="10"/>
          <w:b w:val="1"/>
          <w:bCs w:val="1"/>
          <w:u w:val="single" w:color="auto"/>
          <w:color w:val="666666"/>
        </w:rPr>
        <w:t>Other named executive officers</w:t>
      </w:r>
    </w:p>
    <w:p>
      <w:pPr>
        <w:spacing w:after="0" w:line="60"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Karen M. Dahut</w:t>
      </w:r>
    </w:p>
    <w:p>
      <w:pPr>
        <w:spacing w:after="0" w:line="77"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Lloyd W. Howell, Jr.</w:t>
      </w:r>
    </w:p>
    <w:p>
      <w:pPr>
        <w:spacing w:after="0" w:line="77"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Joseph Logue</w:t>
      </w:r>
    </w:p>
    <w:p>
      <w:pPr>
        <w:spacing w:after="0" w:line="77"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Susan L. Penfield</w:t>
      </w:r>
    </w:p>
    <w:p>
      <w:pPr>
        <w:spacing w:after="0" w:line="58"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All directors and executive officers as a group</w:t>
      </w:r>
    </w:p>
    <w:p>
      <w:pPr>
        <w:spacing w:after="0" w:line="8" w:lineRule="exact"/>
        <w:rPr>
          <w:sz w:val="20"/>
          <w:szCs w:val="20"/>
          <w:color w:val="auto"/>
        </w:rPr>
      </w:pPr>
    </w:p>
    <w:p>
      <w:pPr>
        <w:ind w:left="3340"/>
        <w:spacing w:after="0"/>
        <w:rPr>
          <w:sz w:val="20"/>
          <w:szCs w:val="20"/>
          <w:color w:val="auto"/>
        </w:rPr>
      </w:pPr>
      <w:r>
        <w:rPr>
          <w:rFonts w:ascii="Arial" w:cs="Arial" w:eastAsia="Arial" w:hAnsi="Arial"/>
          <w:sz w:val="10"/>
          <w:szCs w:val="10"/>
          <w:color w:val="666666"/>
        </w:rPr>
        <w:t>(23 persons)</w:t>
      </w:r>
      <w:r>
        <w:rPr>
          <w:rFonts w:ascii="Arial" w:cs="Arial" w:eastAsia="Arial" w:hAnsi="Arial"/>
          <w:sz w:val="17"/>
          <w:szCs w:val="17"/>
          <w:color w:val="666666"/>
          <w:vertAlign w:val="superscript"/>
        </w:rPr>
        <w:t>(8)</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2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666666"/>
              </w:rPr>
              <w:t>Shares Beneficially</w:t>
            </w:r>
          </w:p>
        </w:tc>
        <w:tc>
          <w:tcPr>
            <w:tcW w:w="1120" w:type="dxa"/>
            <w:vAlign w:val="bottom"/>
            <w:vMerge w:val="restart"/>
          </w:tcPr>
          <w:p>
            <w:pPr>
              <w:ind w:left="80"/>
              <w:spacing w:after="0"/>
              <w:rPr>
                <w:sz w:val="20"/>
                <w:szCs w:val="20"/>
                <w:color w:val="auto"/>
              </w:rPr>
            </w:pPr>
            <w:r>
              <w:rPr>
                <w:rFonts w:ascii="Arial" w:cs="Arial" w:eastAsia="Arial" w:hAnsi="Arial"/>
                <w:sz w:val="10"/>
                <w:szCs w:val="10"/>
                <w:b w:val="1"/>
                <w:bCs w:val="1"/>
                <w:color w:val="666666"/>
              </w:rPr>
              <w:t>Percentage of Class</w:t>
            </w:r>
          </w:p>
        </w:tc>
        <w:tc>
          <w:tcPr>
            <w:tcW w:w="0" w:type="dxa"/>
            <w:vAlign w:val="bottom"/>
          </w:tcPr>
          <w:p>
            <w:pPr>
              <w:spacing w:after="0"/>
              <w:rPr>
                <w:sz w:val="1"/>
                <w:szCs w:val="1"/>
                <w:color w:val="auto"/>
              </w:rPr>
            </w:pPr>
          </w:p>
        </w:tc>
      </w:tr>
      <w:tr>
        <w:trPr>
          <w:trHeight w:val="145"/>
        </w:trPr>
        <w:tc>
          <w:tcPr>
            <w:tcW w:w="12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666666"/>
              </w:rPr>
              <w:t>Owned</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666666"/>
              </w:rPr>
              <w:t>31,831</w:t>
            </w:r>
          </w:p>
        </w:tc>
        <w:tc>
          <w:tcPr>
            <w:tcW w:w="160" w:type="dxa"/>
            <w:vAlign w:val="bottom"/>
          </w:tcPr>
          <w:p>
            <w:pPr>
              <w:spacing w:after="0"/>
              <w:rPr>
                <w:sz w:val="24"/>
                <w:szCs w:val="24"/>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173"/>
        </w:trPr>
        <w:tc>
          <w:tcPr>
            <w:tcW w:w="1100" w:type="dxa"/>
            <w:vAlign w:val="bottom"/>
          </w:tcPr>
          <w:p>
            <w:pPr>
              <w:jc w:val="center"/>
              <w:spacing w:after="0"/>
              <w:rPr>
                <w:sz w:val="20"/>
                <w:szCs w:val="20"/>
                <w:color w:val="auto"/>
              </w:rPr>
            </w:pPr>
            <w:r>
              <w:rPr>
                <w:rFonts w:ascii="Arial" w:cs="Arial" w:eastAsia="Arial" w:hAnsi="Arial"/>
                <w:sz w:val="10"/>
                <w:szCs w:val="10"/>
                <w:color w:val="666666"/>
              </w:rPr>
              <w:t>9,434</w:t>
            </w:r>
          </w:p>
        </w:tc>
        <w:tc>
          <w:tcPr>
            <w:tcW w:w="16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58"/>
        </w:trPr>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100" w:type="dxa"/>
            <w:vAlign w:val="bottom"/>
          </w:tcPr>
          <w:p>
            <w:pPr>
              <w:jc w:val="center"/>
              <w:spacing w:after="0"/>
              <w:rPr>
                <w:sz w:val="20"/>
                <w:szCs w:val="20"/>
                <w:color w:val="auto"/>
              </w:rPr>
            </w:pPr>
            <w:r>
              <w:rPr>
                <w:rFonts w:ascii="Arial" w:cs="Arial" w:eastAsia="Arial" w:hAnsi="Arial"/>
                <w:sz w:val="10"/>
                <w:szCs w:val="10"/>
                <w:color w:val="666666"/>
              </w:rPr>
              <w:t>19,852</w:t>
            </w:r>
          </w:p>
        </w:tc>
        <w:tc>
          <w:tcPr>
            <w:tcW w:w="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269"/>
        </w:trPr>
        <w:tc>
          <w:tcPr>
            <w:tcW w:w="1100" w:type="dxa"/>
            <w:vAlign w:val="bottom"/>
          </w:tcPr>
          <w:p>
            <w:pPr>
              <w:jc w:val="center"/>
              <w:spacing w:after="0"/>
              <w:rPr>
                <w:sz w:val="20"/>
                <w:szCs w:val="20"/>
                <w:color w:val="auto"/>
              </w:rPr>
            </w:pPr>
            <w:r>
              <w:rPr>
                <w:rFonts w:ascii="Arial" w:cs="Arial" w:eastAsia="Arial" w:hAnsi="Arial"/>
                <w:sz w:val="10"/>
                <w:szCs w:val="10"/>
                <w:color w:val="666666"/>
              </w:rPr>
              <w:t>24,852</w:t>
            </w:r>
          </w:p>
        </w:tc>
        <w:tc>
          <w:tcPr>
            <w:tcW w:w="160" w:type="dxa"/>
            <w:vAlign w:val="bottom"/>
          </w:tcPr>
          <w:p>
            <w:pPr>
              <w:spacing w:after="0"/>
              <w:rPr>
                <w:sz w:val="23"/>
                <w:szCs w:val="23"/>
                <w:color w:val="auto"/>
              </w:rPr>
            </w:pPr>
          </w:p>
        </w:tc>
        <w:tc>
          <w:tcPr>
            <w:tcW w:w="1120" w:type="dxa"/>
            <w:vAlign w:val="bottom"/>
            <w:vMerge w:val="restart"/>
          </w:tcPr>
          <w:p>
            <w:pPr>
              <w:jc w:val="center"/>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58"/>
        </w:trPr>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100" w:type="dxa"/>
            <w:vAlign w:val="bottom"/>
          </w:tcPr>
          <w:p>
            <w:pPr>
              <w:jc w:val="center"/>
              <w:spacing w:after="0"/>
              <w:rPr>
                <w:sz w:val="20"/>
                <w:szCs w:val="20"/>
                <w:color w:val="auto"/>
              </w:rPr>
            </w:pPr>
            <w:r>
              <w:rPr>
                <w:rFonts w:ascii="Arial" w:cs="Arial" w:eastAsia="Arial" w:hAnsi="Arial"/>
                <w:sz w:val="10"/>
                <w:szCs w:val="10"/>
                <w:color w:val="666666"/>
              </w:rPr>
              <w:t>42,970</w:t>
            </w:r>
          </w:p>
        </w:tc>
        <w:tc>
          <w:tcPr>
            <w:tcW w:w="16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58"/>
        </w:trPr>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100" w:type="dxa"/>
            <w:vAlign w:val="bottom"/>
          </w:tcPr>
          <w:p>
            <w:pPr>
              <w:jc w:val="center"/>
              <w:spacing w:after="0"/>
              <w:rPr>
                <w:sz w:val="20"/>
                <w:szCs w:val="20"/>
                <w:color w:val="auto"/>
              </w:rPr>
            </w:pPr>
            <w:r>
              <w:rPr>
                <w:rFonts w:ascii="Arial" w:cs="Arial" w:eastAsia="Arial" w:hAnsi="Arial"/>
                <w:sz w:val="10"/>
                <w:szCs w:val="10"/>
                <w:color w:val="666666"/>
              </w:rPr>
              <w:t>24,521</w:t>
            </w:r>
          </w:p>
        </w:tc>
        <w:tc>
          <w:tcPr>
            <w:tcW w:w="16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58"/>
        </w:trPr>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100" w:type="dxa"/>
            <w:vAlign w:val="bottom"/>
          </w:tcPr>
          <w:p>
            <w:pPr>
              <w:jc w:val="center"/>
              <w:spacing w:after="0"/>
              <w:rPr>
                <w:sz w:val="20"/>
                <w:szCs w:val="20"/>
                <w:color w:val="auto"/>
              </w:rPr>
            </w:pPr>
            <w:r>
              <w:rPr>
                <w:rFonts w:ascii="Arial" w:cs="Arial" w:eastAsia="Arial" w:hAnsi="Arial"/>
                <w:sz w:val="10"/>
                <w:szCs w:val="10"/>
                <w:color w:val="666666"/>
                <w:w w:val="97"/>
              </w:rPr>
              <w:t>25,110</w:t>
            </w:r>
          </w:p>
        </w:tc>
        <w:tc>
          <w:tcPr>
            <w:tcW w:w="16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58"/>
        </w:trPr>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100" w:type="dxa"/>
            <w:vAlign w:val="bottom"/>
          </w:tcPr>
          <w:p>
            <w:pPr>
              <w:jc w:val="center"/>
              <w:spacing w:after="0"/>
              <w:rPr>
                <w:sz w:val="20"/>
                <w:szCs w:val="20"/>
                <w:color w:val="auto"/>
              </w:rPr>
            </w:pPr>
            <w:r>
              <w:rPr>
                <w:rFonts w:ascii="Arial" w:cs="Arial" w:eastAsia="Arial" w:hAnsi="Arial"/>
                <w:sz w:val="10"/>
                <w:szCs w:val="10"/>
                <w:color w:val="666666"/>
              </w:rPr>
              <w:t>45,787</w:t>
            </w:r>
          </w:p>
        </w:tc>
        <w:tc>
          <w:tcPr>
            <w:tcW w:w="16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58"/>
        </w:trPr>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6"/>
        </w:trPr>
        <w:tc>
          <w:tcPr>
            <w:tcW w:w="1100" w:type="dxa"/>
            <w:vAlign w:val="bottom"/>
          </w:tcPr>
          <w:p>
            <w:pPr>
              <w:jc w:val="center"/>
              <w:spacing w:after="0"/>
              <w:rPr>
                <w:sz w:val="20"/>
                <w:szCs w:val="20"/>
                <w:color w:val="auto"/>
              </w:rPr>
            </w:pPr>
            <w:r>
              <w:rPr>
                <w:rFonts w:ascii="Arial" w:cs="Arial" w:eastAsia="Arial" w:hAnsi="Arial"/>
                <w:sz w:val="10"/>
                <w:szCs w:val="10"/>
                <w:color w:val="666666"/>
                <w:w w:val="95"/>
              </w:rPr>
              <w:t>122,776</w:t>
            </w:r>
            <w:r>
              <w:rPr>
                <w:rFonts w:ascii="Arial" w:cs="Arial" w:eastAsia="Arial" w:hAnsi="Arial"/>
                <w:sz w:val="17"/>
                <w:szCs w:val="17"/>
                <w:color w:val="666666"/>
                <w:w w:val="95"/>
                <w:vertAlign w:val="superscript"/>
              </w:rPr>
              <w:t>(1)</w:t>
            </w: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190"/>
        </w:trPr>
        <w:tc>
          <w:tcPr>
            <w:tcW w:w="1100" w:type="dxa"/>
            <w:vAlign w:val="bottom"/>
          </w:tcPr>
          <w:p>
            <w:pPr>
              <w:jc w:val="center"/>
              <w:spacing w:after="0" w:line="190" w:lineRule="exact"/>
              <w:rPr>
                <w:sz w:val="20"/>
                <w:szCs w:val="20"/>
                <w:color w:val="auto"/>
              </w:rPr>
            </w:pPr>
            <w:r>
              <w:rPr>
                <w:rFonts w:ascii="Arial" w:cs="Arial" w:eastAsia="Arial" w:hAnsi="Arial"/>
                <w:sz w:val="10"/>
                <w:szCs w:val="10"/>
                <w:color w:val="666666"/>
                <w:w w:val="95"/>
              </w:rPr>
              <w:t>661,585</w:t>
            </w:r>
            <w:r>
              <w:rPr>
                <w:rFonts w:ascii="Arial" w:cs="Arial" w:eastAsia="Arial" w:hAnsi="Arial"/>
                <w:sz w:val="17"/>
                <w:szCs w:val="17"/>
                <w:color w:val="666666"/>
                <w:w w:val="95"/>
                <w:vertAlign w:val="superscript"/>
              </w:rPr>
              <w:t>(2)</w:t>
            </w:r>
          </w:p>
        </w:tc>
        <w:tc>
          <w:tcPr>
            <w:tcW w:w="1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229"/>
        </w:trPr>
        <w:tc>
          <w:tcPr>
            <w:tcW w:w="1100" w:type="dxa"/>
            <w:vAlign w:val="bottom"/>
          </w:tcPr>
          <w:p>
            <w:pPr>
              <w:jc w:val="center"/>
              <w:spacing w:after="0"/>
              <w:rPr>
                <w:sz w:val="20"/>
                <w:szCs w:val="20"/>
                <w:color w:val="auto"/>
              </w:rPr>
            </w:pPr>
            <w:r>
              <w:rPr>
                <w:rFonts w:ascii="Arial" w:cs="Arial" w:eastAsia="Arial" w:hAnsi="Arial"/>
                <w:sz w:val="10"/>
                <w:szCs w:val="10"/>
                <w:color w:val="666666"/>
                <w:w w:val="95"/>
              </w:rPr>
              <w:t>1,487,927</w:t>
            </w:r>
            <w:r>
              <w:rPr>
                <w:rFonts w:ascii="Arial" w:cs="Arial" w:eastAsia="Arial" w:hAnsi="Arial"/>
                <w:sz w:val="17"/>
                <w:szCs w:val="17"/>
                <w:color w:val="666666"/>
                <w:w w:val="95"/>
                <w:vertAlign w:val="superscript"/>
              </w:rPr>
              <w:t>(3)</w:t>
            </w:r>
          </w:p>
        </w:tc>
        <w:tc>
          <w:tcPr>
            <w:tcW w:w="1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666666"/>
              </w:rPr>
              <w:t>1.04%</w:t>
            </w:r>
          </w:p>
        </w:tc>
        <w:tc>
          <w:tcPr>
            <w:tcW w:w="0" w:type="dxa"/>
            <w:vAlign w:val="bottom"/>
          </w:tcPr>
          <w:p>
            <w:pPr>
              <w:spacing w:after="0"/>
              <w:rPr>
                <w:sz w:val="1"/>
                <w:szCs w:val="1"/>
                <w:color w:val="auto"/>
              </w:rPr>
            </w:pPr>
          </w:p>
        </w:tc>
      </w:tr>
      <w:tr>
        <w:trPr>
          <w:trHeight w:val="386"/>
        </w:trPr>
        <w:tc>
          <w:tcPr>
            <w:tcW w:w="1100" w:type="dxa"/>
            <w:vAlign w:val="bottom"/>
          </w:tcPr>
          <w:p>
            <w:pPr>
              <w:jc w:val="center"/>
              <w:spacing w:after="0"/>
              <w:rPr>
                <w:sz w:val="20"/>
                <w:szCs w:val="20"/>
                <w:color w:val="auto"/>
              </w:rPr>
            </w:pPr>
            <w:r>
              <w:rPr>
                <w:rFonts w:ascii="Arial" w:cs="Arial" w:eastAsia="Arial" w:hAnsi="Arial"/>
                <w:sz w:val="10"/>
                <w:szCs w:val="10"/>
                <w:color w:val="666666"/>
                <w:w w:val="95"/>
              </w:rPr>
              <w:t>189,258</w:t>
            </w:r>
            <w:r>
              <w:rPr>
                <w:rFonts w:ascii="Arial" w:cs="Arial" w:eastAsia="Arial" w:hAnsi="Arial"/>
                <w:sz w:val="17"/>
                <w:szCs w:val="17"/>
                <w:color w:val="666666"/>
                <w:w w:val="95"/>
                <w:vertAlign w:val="superscript"/>
              </w:rPr>
              <w:t>(4)</w:t>
            </w: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194"/>
        </w:trPr>
        <w:tc>
          <w:tcPr>
            <w:tcW w:w="1100" w:type="dxa"/>
            <w:vAlign w:val="bottom"/>
          </w:tcPr>
          <w:p>
            <w:pPr>
              <w:jc w:val="center"/>
              <w:spacing w:after="0" w:line="194" w:lineRule="exact"/>
              <w:rPr>
                <w:sz w:val="20"/>
                <w:szCs w:val="20"/>
                <w:color w:val="auto"/>
              </w:rPr>
            </w:pPr>
            <w:r>
              <w:rPr>
                <w:rFonts w:ascii="Arial" w:cs="Arial" w:eastAsia="Arial" w:hAnsi="Arial"/>
                <w:sz w:val="10"/>
                <w:szCs w:val="10"/>
                <w:color w:val="666666"/>
                <w:w w:val="95"/>
              </w:rPr>
              <w:t>207,523</w:t>
            </w:r>
            <w:r>
              <w:rPr>
                <w:rFonts w:ascii="Arial" w:cs="Arial" w:eastAsia="Arial" w:hAnsi="Arial"/>
                <w:sz w:val="17"/>
                <w:szCs w:val="17"/>
                <w:color w:val="666666"/>
                <w:w w:val="95"/>
                <w:vertAlign w:val="superscript"/>
              </w:rPr>
              <w:t>(5)</w:t>
            </w:r>
          </w:p>
        </w:tc>
        <w:tc>
          <w:tcPr>
            <w:tcW w:w="1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190"/>
        </w:trPr>
        <w:tc>
          <w:tcPr>
            <w:tcW w:w="1100" w:type="dxa"/>
            <w:vAlign w:val="bottom"/>
          </w:tcPr>
          <w:p>
            <w:pPr>
              <w:jc w:val="center"/>
              <w:spacing w:after="0" w:line="190" w:lineRule="exact"/>
              <w:rPr>
                <w:sz w:val="20"/>
                <w:szCs w:val="20"/>
                <w:color w:val="auto"/>
              </w:rPr>
            </w:pPr>
            <w:r>
              <w:rPr>
                <w:rFonts w:ascii="Arial" w:cs="Arial" w:eastAsia="Arial" w:hAnsi="Arial"/>
                <w:sz w:val="10"/>
                <w:szCs w:val="10"/>
                <w:color w:val="666666"/>
                <w:w w:val="95"/>
              </w:rPr>
              <w:t>359,202</w:t>
            </w:r>
            <w:r>
              <w:rPr>
                <w:rFonts w:ascii="Arial" w:cs="Arial" w:eastAsia="Arial" w:hAnsi="Arial"/>
                <w:sz w:val="17"/>
                <w:szCs w:val="17"/>
                <w:color w:val="666666"/>
                <w:w w:val="95"/>
                <w:vertAlign w:val="superscript"/>
              </w:rPr>
              <w:t>(6)</w:t>
            </w:r>
          </w:p>
        </w:tc>
        <w:tc>
          <w:tcPr>
            <w:tcW w:w="1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229"/>
        </w:trPr>
        <w:tc>
          <w:tcPr>
            <w:tcW w:w="1100" w:type="dxa"/>
            <w:vAlign w:val="bottom"/>
          </w:tcPr>
          <w:p>
            <w:pPr>
              <w:jc w:val="center"/>
              <w:spacing w:after="0"/>
              <w:rPr>
                <w:sz w:val="20"/>
                <w:szCs w:val="20"/>
                <w:color w:val="auto"/>
              </w:rPr>
            </w:pPr>
            <w:r>
              <w:rPr>
                <w:rFonts w:ascii="Arial" w:cs="Arial" w:eastAsia="Arial" w:hAnsi="Arial"/>
                <w:sz w:val="10"/>
                <w:szCs w:val="10"/>
                <w:color w:val="666666"/>
                <w:w w:val="95"/>
              </w:rPr>
              <w:t>105,144</w:t>
            </w:r>
            <w:r>
              <w:rPr>
                <w:rFonts w:ascii="Arial" w:cs="Arial" w:eastAsia="Arial" w:hAnsi="Arial"/>
                <w:sz w:val="17"/>
                <w:szCs w:val="17"/>
                <w:color w:val="666666"/>
                <w:w w:val="95"/>
                <w:vertAlign w:val="superscript"/>
              </w:rPr>
              <w:t>(7)</w:t>
            </w:r>
          </w:p>
        </w:tc>
        <w:tc>
          <w:tcPr>
            <w:tcW w:w="1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198"/>
        </w:trPr>
        <w:tc>
          <w:tcPr>
            <w:tcW w:w="1100" w:type="dxa"/>
            <w:vAlign w:val="bottom"/>
          </w:tcPr>
          <w:p>
            <w:pPr>
              <w:jc w:val="center"/>
              <w:spacing w:after="0"/>
              <w:rPr>
                <w:sz w:val="20"/>
                <w:szCs w:val="20"/>
                <w:color w:val="auto"/>
              </w:rPr>
            </w:pPr>
            <w:r>
              <w:rPr>
                <w:rFonts w:ascii="Arial" w:cs="Arial" w:eastAsia="Arial" w:hAnsi="Arial"/>
                <w:sz w:val="10"/>
                <w:szCs w:val="10"/>
                <w:color w:val="666666"/>
              </w:rPr>
              <w:t>5,104,513</w:t>
            </w:r>
          </w:p>
        </w:tc>
        <w:tc>
          <w:tcPr>
            <w:tcW w:w="1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666666"/>
              </w:rPr>
              <w:t>3.56%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-1549400</wp:posOffset>
            </wp:positionH>
            <wp:positionV relativeFrom="paragraph">
              <wp:posOffset>-2482850</wp:posOffset>
            </wp:positionV>
            <wp:extent cx="3067050" cy="121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67050" cy="121920"/>
                    </a:xfrm>
                    <a:prstGeom prst="rect">
                      <a:avLst/>
                    </a:prstGeom>
                    <a:noFill/>
                  </pic:spPr>
                </pic:pic>
              </a:graphicData>
            </a:graphic>
          </wp:anchor>
        </w:drawing>
        <w:drawing>
          <wp:anchor simplePos="0" relativeHeight="251657728" behindDoc="1" locked="0" layoutInCell="0" allowOverlap="1">
            <wp:simplePos x="0" y="0"/>
            <wp:positionH relativeFrom="column">
              <wp:posOffset>-1549400</wp:posOffset>
            </wp:positionH>
            <wp:positionV relativeFrom="paragraph">
              <wp:posOffset>-2190115</wp:posOffset>
            </wp:positionV>
            <wp:extent cx="3067050" cy="1708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67050" cy="170815"/>
                    </a:xfrm>
                    <a:prstGeom prst="rect">
                      <a:avLst/>
                    </a:prstGeom>
                    <a:noFill/>
                  </pic:spPr>
                </pic:pic>
              </a:graphicData>
            </a:graphic>
          </wp:anchor>
        </w:drawing>
        <w:drawing>
          <wp:anchor simplePos="0" relativeHeight="251657728" behindDoc="1" locked="0" layoutInCell="0" allowOverlap="1">
            <wp:simplePos x="0" y="0"/>
            <wp:positionH relativeFrom="column">
              <wp:posOffset>-1549400</wp:posOffset>
            </wp:positionH>
            <wp:positionV relativeFrom="paragraph">
              <wp:posOffset>-1849120</wp:posOffset>
            </wp:positionV>
            <wp:extent cx="3067050" cy="170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67050" cy="170815"/>
                    </a:xfrm>
                    <a:prstGeom prst="rect">
                      <a:avLst/>
                    </a:prstGeom>
                    <a:noFill/>
                  </pic:spPr>
                </pic:pic>
              </a:graphicData>
            </a:graphic>
          </wp:anchor>
        </w:drawing>
        <w:drawing>
          <wp:anchor simplePos="0" relativeHeight="251657728" behindDoc="1" locked="0" layoutInCell="0" allowOverlap="1">
            <wp:simplePos x="0" y="0"/>
            <wp:positionH relativeFrom="column">
              <wp:posOffset>-1549400</wp:posOffset>
            </wp:positionH>
            <wp:positionV relativeFrom="paragraph">
              <wp:posOffset>-1507490</wp:posOffset>
            </wp:positionV>
            <wp:extent cx="3067050" cy="1708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67050" cy="170815"/>
                    </a:xfrm>
                    <a:prstGeom prst="rect">
                      <a:avLst/>
                    </a:prstGeom>
                    <a:noFill/>
                  </pic:spPr>
                </pic:pic>
              </a:graphicData>
            </a:graphic>
          </wp:anchor>
        </w:drawing>
        <w:drawing>
          <wp:anchor simplePos="0" relativeHeight="251657728" behindDoc="1" locked="0" layoutInCell="0" allowOverlap="1">
            <wp:simplePos x="0" y="0"/>
            <wp:positionH relativeFrom="column">
              <wp:posOffset>-1549400</wp:posOffset>
            </wp:positionH>
            <wp:positionV relativeFrom="paragraph">
              <wp:posOffset>-1165860</wp:posOffset>
            </wp:positionV>
            <wp:extent cx="3067050" cy="121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67050" cy="121920"/>
                    </a:xfrm>
                    <a:prstGeom prst="rect">
                      <a:avLst/>
                    </a:prstGeom>
                    <a:noFill/>
                  </pic:spPr>
                </pic:pic>
              </a:graphicData>
            </a:graphic>
          </wp:anchor>
        </w:drawing>
        <w:drawing>
          <wp:anchor simplePos="0" relativeHeight="251657728" behindDoc="1" locked="0" layoutInCell="0" allowOverlap="1">
            <wp:simplePos x="0" y="0"/>
            <wp:positionH relativeFrom="column">
              <wp:posOffset>-1549400</wp:posOffset>
            </wp:positionH>
            <wp:positionV relativeFrom="paragraph">
              <wp:posOffset>-922020</wp:posOffset>
            </wp:positionV>
            <wp:extent cx="3067050" cy="121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67050" cy="121920"/>
                    </a:xfrm>
                    <a:prstGeom prst="rect">
                      <a:avLst/>
                    </a:prstGeom>
                    <a:noFill/>
                  </pic:spPr>
                </pic:pic>
              </a:graphicData>
            </a:graphic>
          </wp:anchor>
        </w:drawing>
        <w:drawing>
          <wp:anchor simplePos="0" relativeHeight="251657728" behindDoc="1" locked="0" layoutInCell="0" allowOverlap="1">
            <wp:simplePos x="0" y="0"/>
            <wp:positionH relativeFrom="column">
              <wp:posOffset>-1549400</wp:posOffset>
            </wp:positionH>
            <wp:positionV relativeFrom="paragraph">
              <wp:posOffset>-532130</wp:posOffset>
            </wp:positionV>
            <wp:extent cx="3067050" cy="121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67050" cy="121920"/>
                    </a:xfrm>
                    <a:prstGeom prst="rect">
                      <a:avLst/>
                    </a:prstGeom>
                    <a:noFill/>
                  </pic:spPr>
                </pic:pic>
              </a:graphicData>
            </a:graphic>
          </wp:anchor>
        </w:drawing>
        <w:drawing>
          <wp:anchor simplePos="0" relativeHeight="251657728" behindDoc="1" locked="0" layoutInCell="0" allowOverlap="1">
            <wp:simplePos x="0" y="0"/>
            <wp:positionH relativeFrom="column">
              <wp:posOffset>-1549400</wp:posOffset>
            </wp:positionH>
            <wp:positionV relativeFrom="paragraph">
              <wp:posOffset>-287655</wp:posOffset>
            </wp:positionV>
            <wp:extent cx="3067050" cy="121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67050" cy="12192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5400" w:space="360"/>
            <w:col w:w="5700"/>
          </w:cols>
          <w:pgMar w:left="220" w:top="441" w:right="219" w:bottom="1440" w:gutter="0" w:footer="0" w:header="0"/>
          <w:type w:val="continuous"/>
        </w:sectPr>
      </w:pPr>
    </w:p>
    <w:p>
      <w:pPr>
        <w:ind w:left="460" w:hanging="204"/>
        <w:spacing w:after="0"/>
        <w:tabs>
          <w:tab w:leader="none" w:pos="460" w:val="left"/>
        </w:tabs>
        <w:numPr>
          <w:ilvl w:val="0"/>
          <w:numId w:val="21"/>
        </w:numPr>
        <w:rPr>
          <w:rFonts w:ascii="Arial" w:cs="Arial" w:eastAsia="Arial" w:hAnsi="Arial"/>
          <w:sz w:val="10"/>
          <w:szCs w:val="10"/>
          <w:color w:val="666666"/>
        </w:rPr>
      </w:pPr>
      <w:r>
        <w:rPr>
          <w:rFonts w:ascii="Arial" w:cs="Arial" w:eastAsia="Arial" w:hAnsi="Arial"/>
          <w:sz w:val="10"/>
          <w:szCs w:val="10"/>
          <w:color w:val="666666"/>
        </w:rPr>
        <w:t>Represents beneficial ownership of less than 1%.</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666666"/>
        </w:rPr>
        <w:t>23</w:t>
      </w:r>
    </w:p>
    <w:p>
      <w:pPr>
        <w:sectPr>
          <w:pgSz w:w="11900" w:h="16838" w:orient="portrait"/>
          <w:cols w:equalWidth="0" w:num="1">
            <w:col w:w="11460"/>
          </w:cols>
          <w:pgMar w:left="220" w:top="441" w:right="219" w:bottom="1440" w:gutter="0" w:footer="0" w:header="0"/>
          <w:type w:val="continuous"/>
        </w:sectPr>
      </w:pPr>
    </w:p>
    <w:bookmarkStart w:id="32" w:name="page33"/>
    <w:bookmarkEnd w:id="32"/>
    <w:p>
      <w:pPr>
        <w:ind w:left="440" w:hanging="280"/>
        <w:spacing w:after="0"/>
        <w:tabs>
          <w:tab w:leader="none" w:pos="440" w:val="left"/>
        </w:tabs>
        <w:numPr>
          <w:ilvl w:val="0"/>
          <w:numId w:val="22"/>
        </w:numPr>
        <w:rPr>
          <w:rFonts w:ascii="Arial" w:cs="Arial" w:eastAsia="Arial" w:hAnsi="Arial"/>
          <w:sz w:val="10"/>
          <w:szCs w:val="10"/>
          <w:color w:val="666666"/>
        </w:rPr>
      </w:pPr>
      <w:r>
        <w:rPr>
          <w:rFonts w:ascii="Arial" w:cs="Arial" w:eastAsia="Arial" w:hAnsi="Arial"/>
          <w:sz w:val="10"/>
          <w:szCs w:val="10"/>
          <w:color w:val="666666"/>
        </w:rPr>
        <w:t>Includes 10,000 shares that Mr. Rossotti has the right to acquire through the exercise of options.</w:t>
      </w:r>
    </w:p>
    <w:p>
      <w:pPr>
        <w:spacing w:after="0" w:line="115" w:lineRule="exact"/>
        <w:rPr>
          <w:rFonts w:ascii="Arial" w:cs="Arial" w:eastAsia="Arial" w:hAnsi="Arial"/>
          <w:sz w:val="10"/>
          <w:szCs w:val="10"/>
          <w:color w:val="666666"/>
        </w:rPr>
      </w:pPr>
    </w:p>
    <w:p>
      <w:pPr>
        <w:ind w:left="440" w:hanging="280"/>
        <w:spacing w:after="0"/>
        <w:tabs>
          <w:tab w:leader="none" w:pos="440" w:val="left"/>
        </w:tabs>
        <w:numPr>
          <w:ilvl w:val="0"/>
          <w:numId w:val="22"/>
        </w:numPr>
        <w:rPr>
          <w:rFonts w:ascii="Arial" w:cs="Arial" w:eastAsia="Arial" w:hAnsi="Arial"/>
          <w:sz w:val="10"/>
          <w:szCs w:val="10"/>
          <w:color w:val="666666"/>
        </w:rPr>
      </w:pPr>
      <w:r>
        <w:rPr>
          <w:rFonts w:ascii="Arial" w:cs="Arial" w:eastAsia="Arial" w:hAnsi="Arial"/>
          <w:sz w:val="10"/>
          <w:szCs w:val="10"/>
          <w:color w:val="666666"/>
        </w:rPr>
        <w:t>Includes 143,628 shares that Mr. Rozanski has the right to acquire through the exercise of options and 12,384 shares issuable upon settlement of restricted stock units.</w:t>
      </w:r>
    </w:p>
    <w:p>
      <w:pPr>
        <w:spacing w:after="0" w:line="115" w:lineRule="exact"/>
        <w:rPr>
          <w:rFonts w:ascii="Arial" w:cs="Arial" w:eastAsia="Arial" w:hAnsi="Arial"/>
          <w:sz w:val="10"/>
          <w:szCs w:val="10"/>
          <w:color w:val="666666"/>
        </w:rPr>
      </w:pPr>
    </w:p>
    <w:p>
      <w:pPr>
        <w:ind w:left="440" w:hanging="280"/>
        <w:spacing w:after="0"/>
        <w:tabs>
          <w:tab w:leader="none" w:pos="440" w:val="left"/>
        </w:tabs>
        <w:numPr>
          <w:ilvl w:val="0"/>
          <w:numId w:val="22"/>
        </w:numPr>
        <w:rPr>
          <w:rFonts w:ascii="Arial" w:cs="Arial" w:eastAsia="Arial" w:hAnsi="Arial"/>
          <w:sz w:val="10"/>
          <w:szCs w:val="10"/>
          <w:color w:val="666666"/>
        </w:rPr>
      </w:pPr>
      <w:r>
        <w:rPr>
          <w:rFonts w:ascii="Arial" w:cs="Arial" w:eastAsia="Arial" w:hAnsi="Arial"/>
          <w:sz w:val="10"/>
          <w:szCs w:val="10"/>
          <w:color w:val="666666"/>
        </w:rPr>
        <w:t>Dr. Shrader shares investment power and voting power with his wife, Mrs. Janice W. Shrader, for 1,486,090 shares in the Ralph W. Shrader Revocable Trust.</w:t>
      </w:r>
    </w:p>
    <w:p>
      <w:pPr>
        <w:spacing w:after="0" w:line="115" w:lineRule="exact"/>
        <w:rPr>
          <w:rFonts w:ascii="Arial" w:cs="Arial" w:eastAsia="Arial" w:hAnsi="Arial"/>
          <w:sz w:val="10"/>
          <w:szCs w:val="10"/>
          <w:color w:val="666666"/>
        </w:rPr>
      </w:pPr>
    </w:p>
    <w:p>
      <w:pPr>
        <w:ind w:left="440" w:hanging="280"/>
        <w:spacing w:after="0"/>
        <w:tabs>
          <w:tab w:leader="none" w:pos="440" w:val="left"/>
        </w:tabs>
        <w:numPr>
          <w:ilvl w:val="0"/>
          <w:numId w:val="22"/>
        </w:numPr>
        <w:rPr>
          <w:rFonts w:ascii="Arial" w:cs="Arial" w:eastAsia="Arial" w:hAnsi="Arial"/>
          <w:sz w:val="10"/>
          <w:szCs w:val="10"/>
          <w:color w:val="666666"/>
        </w:rPr>
      </w:pPr>
      <w:r>
        <w:rPr>
          <w:rFonts w:ascii="Arial" w:cs="Arial" w:eastAsia="Arial" w:hAnsi="Arial"/>
          <w:sz w:val="10"/>
          <w:szCs w:val="10"/>
          <w:color w:val="666666"/>
        </w:rPr>
        <w:t>Includes 100,552 shares that Ms. Dahut has the right to acquire through the exercise of options and 9,172 shares issuable upon settlement of restricted stock units.</w:t>
      </w:r>
    </w:p>
    <w:p>
      <w:pPr>
        <w:spacing w:after="0" w:line="115" w:lineRule="exact"/>
        <w:rPr>
          <w:rFonts w:ascii="Arial" w:cs="Arial" w:eastAsia="Arial" w:hAnsi="Arial"/>
          <w:sz w:val="10"/>
          <w:szCs w:val="10"/>
          <w:color w:val="666666"/>
        </w:rPr>
      </w:pPr>
    </w:p>
    <w:p>
      <w:pPr>
        <w:ind w:left="440" w:hanging="280"/>
        <w:spacing w:after="0"/>
        <w:tabs>
          <w:tab w:leader="none" w:pos="440" w:val="left"/>
        </w:tabs>
        <w:numPr>
          <w:ilvl w:val="0"/>
          <w:numId w:val="22"/>
        </w:numPr>
        <w:rPr>
          <w:rFonts w:ascii="Arial" w:cs="Arial" w:eastAsia="Arial" w:hAnsi="Arial"/>
          <w:sz w:val="10"/>
          <w:szCs w:val="10"/>
          <w:color w:val="666666"/>
        </w:rPr>
      </w:pPr>
      <w:r>
        <w:rPr>
          <w:rFonts w:ascii="Arial" w:cs="Arial" w:eastAsia="Arial" w:hAnsi="Arial"/>
          <w:sz w:val="10"/>
          <w:szCs w:val="10"/>
          <w:color w:val="666666"/>
        </w:rPr>
        <w:t>Includes 10,552 shares that Mr. Howell has the right to acquire through the exercise of options and 9,172 shares issuable upon settlement of restricted stock units.</w:t>
      </w:r>
    </w:p>
    <w:p>
      <w:pPr>
        <w:spacing w:after="0" w:line="115" w:lineRule="exact"/>
        <w:rPr>
          <w:rFonts w:ascii="Arial" w:cs="Arial" w:eastAsia="Arial" w:hAnsi="Arial"/>
          <w:sz w:val="10"/>
          <w:szCs w:val="10"/>
          <w:color w:val="666666"/>
        </w:rPr>
      </w:pPr>
    </w:p>
    <w:p>
      <w:pPr>
        <w:ind w:left="440" w:hanging="280"/>
        <w:spacing w:after="0"/>
        <w:tabs>
          <w:tab w:leader="none" w:pos="440" w:val="left"/>
        </w:tabs>
        <w:numPr>
          <w:ilvl w:val="0"/>
          <w:numId w:val="22"/>
        </w:numPr>
        <w:rPr>
          <w:rFonts w:ascii="Arial" w:cs="Arial" w:eastAsia="Arial" w:hAnsi="Arial"/>
          <w:sz w:val="10"/>
          <w:szCs w:val="10"/>
          <w:color w:val="666666"/>
        </w:rPr>
      </w:pPr>
      <w:r>
        <w:rPr>
          <w:rFonts w:ascii="Arial" w:cs="Arial" w:eastAsia="Arial" w:hAnsi="Arial"/>
          <w:sz w:val="10"/>
          <w:szCs w:val="10"/>
          <w:color w:val="666666"/>
        </w:rPr>
        <w:t>Includes 81,000 shares that Mr. Logue has the right to acquire through the exercise of options and 11,574 shares issuable upon settlement of restricted stock units.</w:t>
      </w:r>
    </w:p>
    <w:p>
      <w:pPr>
        <w:spacing w:after="0" w:line="115" w:lineRule="exact"/>
        <w:rPr>
          <w:rFonts w:ascii="Arial" w:cs="Arial" w:eastAsia="Arial" w:hAnsi="Arial"/>
          <w:sz w:val="10"/>
          <w:szCs w:val="10"/>
          <w:color w:val="666666"/>
        </w:rPr>
      </w:pPr>
    </w:p>
    <w:p>
      <w:pPr>
        <w:ind w:left="440" w:hanging="280"/>
        <w:spacing w:after="0"/>
        <w:tabs>
          <w:tab w:leader="none" w:pos="440" w:val="left"/>
        </w:tabs>
        <w:numPr>
          <w:ilvl w:val="0"/>
          <w:numId w:val="22"/>
        </w:numPr>
        <w:rPr>
          <w:rFonts w:ascii="Arial" w:cs="Arial" w:eastAsia="Arial" w:hAnsi="Arial"/>
          <w:sz w:val="10"/>
          <w:szCs w:val="10"/>
          <w:color w:val="666666"/>
        </w:rPr>
      </w:pPr>
      <w:r>
        <w:rPr>
          <w:rFonts w:ascii="Arial" w:cs="Arial" w:eastAsia="Arial" w:hAnsi="Arial"/>
          <w:sz w:val="10"/>
          <w:szCs w:val="10"/>
          <w:color w:val="666666"/>
        </w:rPr>
        <w:t>Includes 95,211 shares that Ms. Penfield has the right to acquire through the exercise of options and 5,591 shares issuable upon settlement of restricted stock units.</w:t>
      </w:r>
    </w:p>
    <w:p>
      <w:pPr>
        <w:spacing w:after="0" w:line="115" w:lineRule="exact"/>
        <w:rPr>
          <w:rFonts w:ascii="Arial" w:cs="Arial" w:eastAsia="Arial" w:hAnsi="Arial"/>
          <w:sz w:val="10"/>
          <w:szCs w:val="10"/>
          <w:color w:val="666666"/>
        </w:rPr>
      </w:pPr>
    </w:p>
    <w:p>
      <w:pPr>
        <w:ind w:left="440" w:hanging="280"/>
        <w:spacing w:after="0"/>
        <w:tabs>
          <w:tab w:leader="none" w:pos="440" w:val="left"/>
        </w:tabs>
        <w:numPr>
          <w:ilvl w:val="0"/>
          <w:numId w:val="22"/>
        </w:numPr>
        <w:rPr>
          <w:rFonts w:ascii="Arial" w:cs="Arial" w:eastAsia="Arial" w:hAnsi="Arial"/>
          <w:sz w:val="10"/>
          <w:szCs w:val="10"/>
          <w:color w:val="666666"/>
        </w:rPr>
      </w:pPr>
      <w:r>
        <w:rPr>
          <w:rFonts w:ascii="Arial" w:cs="Arial" w:eastAsia="Arial" w:hAnsi="Arial"/>
          <w:sz w:val="10"/>
          <w:szCs w:val="10"/>
          <w:color w:val="666666"/>
        </w:rPr>
        <w:t>Includes 790,973 shares that the directors and executive officers, in aggregate, have the right to acquire through the exercise of options and 82,422 shares issuable upon settlement of restricted stock units.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547BCC"/>
        </w:rPr>
        <w:t>Security Ownership of Certain Beneficial Owners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4"/>
          <w:szCs w:val="14"/>
          <w:color w:val="666666"/>
        </w:rPr>
        <w:t>The following table sets forth information as to any person known to us to be the beneficial owner of more than 5% of our Class A common stock.</w:t>
      </w:r>
    </w:p>
    <w:p>
      <w:pPr>
        <w:spacing w:after="0" w:line="127" w:lineRule="exact"/>
        <w:rPr>
          <w:sz w:val="20"/>
          <w:szCs w:val="20"/>
          <w:color w:val="auto"/>
        </w:rPr>
      </w:pPr>
    </w:p>
    <w:tbl>
      <w:tblPr>
        <w:tblLayout w:type="fixed"/>
        <w:tblInd w:w="2940" w:type="dxa"/>
        <w:tblCellMar>
          <w:top w:w="0" w:type="dxa"/>
          <w:left w:w="0" w:type="dxa"/>
          <w:bottom w:w="0" w:type="dxa"/>
          <w:right w:w="0" w:type="dxa"/>
        </w:tblCellMar>
      </w:tblPr>
      <w:tr>
        <w:trPr>
          <w:trHeight w:val="115"/>
        </w:trPr>
        <w:tc>
          <w:tcPr>
            <w:tcW w:w="2900" w:type="dxa"/>
            <w:vAlign w:val="bottom"/>
            <w:vMerge w:val="restart"/>
          </w:tcPr>
          <w:p>
            <w:pPr>
              <w:ind w:left="20"/>
              <w:spacing w:after="0"/>
              <w:rPr>
                <w:sz w:val="20"/>
                <w:szCs w:val="20"/>
                <w:color w:val="auto"/>
              </w:rPr>
            </w:pPr>
            <w:r>
              <w:rPr>
                <w:rFonts w:ascii="Arial" w:cs="Arial" w:eastAsia="Arial" w:hAnsi="Arial"/>
                <w:sz w:val="10"/>
                <w:szCs w:val="10"/>
                <w:b w:val="1"/>
                <w:bCs w:val="1"/>
                <w:color w:val="666666"/>
              </w:rPr>
              <w:t>Name and Address</w:t>
            </w:r>
          </w:p>
        </w:tc>
        <w:tc>
          <w:tcPr>
            <w:tcW w:w="180" w:type="dxa"/>
            <w:vAlign w:val="bottom"/>
            <w:vMerge w:val="restart"/>
          </w:tcPr>
          <w:p>
            <w:pPr>
              <w:spacing w:after="0"/>
              <w:rPr>
                <w:sz w:val="10"/>
                <w:szCs w:val="10"/>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666666"/>
              </w:rPr>
              <w:t>Shares Beneficially</w:t>
            </w:r>
          </w:p>
        </w:tc>
        <w:tc>
          <w:tcPr>
            <w:tcW w:w="1160" w:type="dxa"/>
            <w:vAlign w:val="bottom"/>
            <w:vMerge w:val="restart"/>
          </w:tcPr>
          <w:p>
            <w:pPr>
              <w:ind w:left="80"/>
              <w:spacing w:after="0"/>
              <w:rPr>
                <w:sz w:val="20"/>
                <w:szCs w:val="20"/>
                <w:color w:val="auto"/>
              </w:rPr>
            </w:pPr>
            <w:r>
              <w:rPr>
                <w:rFonts w:ascii="Arial" w:cs="Arial" w:eastAsia="Arial" w:hAnsi="Arial"/>
                <w:sz w:val="10"/>
                <w:szCs w:val="10"/>
                <w:b w:val="1"/>
                <w:bCs w:val="1"/>
                <w:color w:val="666666"/>
              </w:rPr>
              <w:t>Percentage of Class</w:t>
            </w:r>
          </w:p>
        </w:tc>
        <w:tc>
          <w:tcPr>
            <w:tcW w:w="0" w:type="dxa"/>
            <w:vAlign w:val="bottom"/>
          </w:tcPr>
          <w:p>
            <w:pPr>
              <w:spacing w:after="0"/>
              <w:rPr>
                <w:sz w:val="1"/>
                <w:szCs w:val="1"/>
                <w:color w:val="auto"/>
              </w:rPr>
            </w:pPr>
          </w:p>
        </w:tc>
      </w:tr>
      <w:tr>
        <w:trPr>
          <w:trHeight w:val="145"/>
        </w:trPr>
        <w:tc>
          <w:tcPr>
            <w:tcW w:w="29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666666"/>
              </w:rPr>
              <w:t>Owned</w:t>
            </w:r>
          </w:p>
        </w:tc>
        <w:tc>
          <w:tcPr>
            <w:tcW w:w="180" w:type="dxa"/>
            <w:vAlign w:val="bottom"/>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080" w:type="dxa"/>
            <w:vAlign w:val="bottom"/>
            <w:gridSpan w:val="2"/>
          </w:tcPr>
          <w:p>
            <w:pPr>
              <w:ind w:left="20"/>
              <w:spacing w:after="0" w:line="116" w:lineRule="exact"/>
              <w:rPr>
                <w:sz w:val="20"/>
                <w:szCs w:val="20"/>
                <w:color w:val="auto"/>
              </w:rPr>
            </w:pPr>
            <w:r>
              <w:rPr>
                <w:rFonts w:ascii="Arial" w:cs="Arial" w:eastAsia="Arial" w:hAnsi="Arial"/>
                <w:sz w:val="8"/>
                <w:szCs w:val="8"/>
                <w:b w:val="1"/>
                <w:bCs w:val="1"/>
                <w:color w:val="666666"/>
              </w:rPr>
              <w:t xml:space="preserve">The Vanguard Group </w:t>
            </w:r>
            <w:r>
              <w:rPr>
                <w:rFonts w:ascii="Arial" w:cs="Arial" w:eastAsia="Arial" w:hAnsi="Arial"/>
                <w:sz w:val="13"/>
                <w:szCs w:val="13"/>
                <w:color w:val="666666"/>
                <w:vertAlign w:val="superscript"/>
              </w:rPr>
              <w:t>(1)</w:t>
            </w: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80" w:type="dxa"/>
            <w:vAlign w:val="bottom"/>
            <w:gridSpan w:val="2"/>
          </w:tcPr>
          <w:p>
            <w:pPr>
              <w:ind w:left="20"/>
              <w:spacing w:after="0"/>
              <w:rPr>
                <w:sz w:val="20"/>
                <w:szCs w:val="20"/>
                <w:color w:val="auto"/>
              </w:rPr>
            </w:pPr>
            <w:r>
              <w:rPr>
                <w:rFonts w:ascii="Arial" w:cs="Arial" w:eastAsia="Arial" w:hAnsi="Arial"/>
                <w:sz w:val="10"/>
                <w:szCs w:val="10"/>
                <w:color w:val="666666"/>
              </w:rPr>
              <w:t>100 Vanguard Boulevard</w:t>
            </w:r>
          </w:p>
        </w:tc>
        <w:tc>
          <w:tcPr>
            <w:tcW w:w="1180" w:type="dxa"/>
            <w:vAlign w:val="bottom"/>
          </w:tcPr>
          <w:p>
            <w:pPr>
              <w:jc w:val="center"/>
              <w:spacing w:after="0"/>
              <w:rPr>
                <w:sz w:val="20"/>
                <w:szCs w:val="20"/>
                <w:color w:val="auto"/>
              </w:rPr>
            </w:pPr>
            <w:r>
              <w:rPr>
                <w:rFonts w:ascii="Arial" w:cs="Arial" w:eastAsia="Arial" w:hAnsi="Arial"/>
                <w:sz w:val="10"/>
                <w:szCs w:val="10"/>
                <w:color w:val="666666"/>
                <w:w w:val="99"/>
              </w:rPr>
              <w:t>14,652,512</w:t>
            </w:r>
          </w:p>
        </w:tc>
        <w:tc>
          <w:tcPr>
            <w:tcW w:w="180" w:type="dxa"/>
            <w:vAlign w:val="bottom"/>
          </w:tcPr>
          <w:p>
            <w:pPr>
              <w:spacing w:after="0"/>
              <w:rPr>
                <w:sz w:val="10"/>
                <w:szCs w:val="10"/>
                <w:color w:val="auto"/>
              </w:rPr>
            </w:pPr>
          </w:p>
        </w:tc>
        <w:tc>
          <w:tcPr>
            <w:tcW w:w="1160" w:type="dxa"/>
            <w:vAlign w:val="bottom"/>
          </w:tcPr>
          <w:p>
            <w:pPr>
              <w:jc w:val="right"/>
              <w:ind w:right="369"/>
              <w:spacing w:after="0"/>
              <w:rPr>
                <w:sz w:val="20"/>
                <w:szCs w:val="20"/>
                <w:color w:val="auto"/>
              </w:rPr>
            </w:pPr>
            <w:r>
              <w:rPr>
                <w:rFonts w:ascii="Arial" w:cs="Arial" w:eastAsia="Arial" w:hAnsi="Arial"/>
                <w:sz w:val="10"/>
                <w:szCs w:val="10"/>
                <w:color w:val="666666"/>
              </w:rPr>
              <w:t>10.22%</w:t>
            </w:r>
          </w:p>
        </w:tc>
        <w:tc>
          <w:tcPr>
            <w:tcW w:w="0" w:type="dxa"/>
            <w:vAlign w:val="bottom"/>
          </w:tcPr>
          <w:p>
            <w:pPr>
              <w:spacing w:after="0"/>
              <w:rPr>
                <w:sz w:val="1"/>
                <w:szCs w:val="1"/>
                <w:color w:val="auto"/>
              </w:rPr>
            </w:pPr>
          </w:p>
        </w:tc>
      </w:tr>
      <w:tr>
        <w:trPr>
          <w:trHeight w:val="137"/>
        </w:trPr>
        <w:tc>
          <w:tcPr>
            <w:tcW w:w="3080" w:type="dxa"/>
            <w:vAlign w:val="bottom"/>
            <w:gridSpan w:val="2"/>
          </w:tcPr>
          <w:p>
            <w:pPr>
              <w:ind w:left="20"/>
              <w:spacing w:after="0"/>
              <w:rPr>
                <w:sz w:val="20"/>
                <w:szCs w:val="20"/>
                <w:color w:val="auto"/>
              </w:rPr>
            </w:pPr>
            <w:r>
              <w:rPr>
                <w:rFonts w:ascii="Arial" w:cs="Arial" w:eastAsia="Arial" w:hAnsi="Arial"/>
                <w:sz w:val="10"/>
                <w:szCs w:val="10"/>
                <w:color w:val="666666"/>
              </w:rPr>
              <w:t>Malvern, Pennsylvania 19355</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80" w:type="dxa"/>
            <w:vAlign w:val="bottom"/>
            <w:gridSpan w:val="2"/>
          </w:tcPr>
          <w:p>
            <w:pPr>
              <w:ind w:left="20"/>
              <w:spacing w:after="0" w:line="132" w:lineRule="exact"/>
              <w:rPr>
                <w:sz w:val="20"/>
                <w:szCs w:val="20"/>
                <w:color w:val="auto"/>
              </w:rPr>
            </w:pPr>
            <w:r>
              <w:rPr>
                <w:rFonts w:ascii="Arial" w:cs="Arial" w:eastAsia="Arial" w:hAnsi="Arial"/>
                <w:sz w:val="9"/>
                <w:szCs w:val="9"/>
                <w:b w:val="1"/>
                <w:bCs w:val="1"/>
                <w:color w:val="666666"/>
              </w:rPr>
              <w:t xml:space="preserve">T. Rowe Price Associates, Inc. </w:t>
            </w:r>
            <w:r>
              <w:rPr>
                <w:rFonts w:ascii="Arial" w:cs="Arial" w:eastAsia="Arial" w:hAnsi="Arial"/>
                <w:sz w:val="15"/>
                <w:szCs w:val="15"/>
                <w:color w:val="666666"/>
                <w:vertAlign w:val="superscript"/>
              </w:rPr>
              <w:t>(2)</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80" w:type="dxa"/>
            <w:vAlign w:val="bottom"/>
            <w:gridSpan w:val="2"/>
          </w:tcPr>
          <w:p>
            <w:pPr>
              <w:ind w:left="20"/>
              <w:spacing w:after="0"/>
              <w:rPr>
                <w:sz w:val="20"/>
                <w:szCs w:val="20"/>
                <w:color w:val="auto"/>
              </w:rPr>
            </w:pPr>
            <w:r>
              <w:rPr>
                <w:rFonts w:ascii="Arial" w:cs="Arial" w:eastAsia="Arial" w:hAnsi="Arial"/>
                <w:sz w:val="10"/>
                <w:szCs w:val="10"/>
                <w:color w:val="666666"/>
              </w:rPr>
              <w:t>100 E. Pratt Street</w:t>
            </w:r>
          </w:p>
        </w:tc>
        <w:tc>
          <w:tcPr>
            <w:tcW w:w="1180" w:type="dxa"/>
            <w:vAlign w:val="bottom"/>
          </w:tcPr>
          <w:p>
            <w:pPr>
              <w:jc w:val="center"/>
              <w:spacing w:after="0"/>
              <w:rPr>
                <w:sz w:val="20"/>
                <w:szCs w:val="20"/>
                <w:color w:val="auto"/>
              </w:rPr>
            </w:pPr>
            <w:r>
              <w:rPr>
                <w:rFonts w:ascii="Arial" w:cs="Arial" w:eastAsia="Arial" w:hAnsi="Arial"/>
                <w:sz w:val="10"/>
                <w:szCs w:val="10"/>
                <w:color w:val="666666"/>
                <w:w w:val="99"/>
              </w:rPr>
              <w:t>10,320,137</w:t>
            </w:r>
          </w:p>
        </w:tc>
        <w:tc>
          <w:tcPr>
            <w:tcW w:w="180" w:type="dxa"/>
            <w:vAlign w:val="bottom"/>
          </w:tcPr>
          <w:p>
            <w:pPr>
              <w:spacing w:after="0"/>
              <w:rPr>
                <w:sz w:val="10"/>
                <w:szCs w:val="10"/>
                <w:color w:val="auto"/>
              </w:rPr>
            </w:pPr>
          </w:p>
        </w:tc>
        <w:tc>
          <w:tcPr>
            <w:tcW w:w="1160" w:type="dxa"/>
            <w:vAlign w:val="bottom"/>
          </w:tcPr>
          <w:p>
            <w:pPr>
              <w:jc w:val="right"/>
              <w:ind w:right="389"/>
              <w:spacing w:after="0"/>
              <w:rPr>
                <w:sz w:val="20"/>
                <w:szCs w:val="20"/>
                <w:color w:val="auto"/>
              </w:rPr>
            </w:pPr>
            <w:r>
              <w:rPr>
                <w:rFonts w:ascii="Arial" w:cs="Arial" w:eastAsia="Arial" w:hAnsi="Arial"/>
                <w:sz w:val="10"/>
                <w:szCs w:val="10"/>
                <w:color w:val="666666"/>
              </w:rPr>
              <w:t>7.20%</w:t>
            </w:r>
          </w:p>
        </w:tc>
        <w:tc>
          <w:tcPr>
            <w:tcW w:w="0" w:type="dxa"/>
            <w:vAlign w:val="bottom"/>
          </w:tcPr>
          <w:p>
            <w:pPr>
              <w:spacing w:after="0"/>
              <w:rPr>
                <w:sz w:val="1"/>
                <w:szCs w:val="1"/>
                <w:color w:val="auto"/>
              </w:rPr>
            </w:pPr>
          </w:p>
        </w:tc>
      </w:tr>
      <w:tr>
        <w:trPr>
          <w:trHeight w:val="137"/>
        </w:trPr>
        <w:tc>
          <w:tcPr>
            <w:tcW w:w="3080" w:type="dxa"/>
            <w:vAlign w:val="bottom"/>
            <w:gridSpan w:val="2"/>
          </w:tcPr>
          <w:p>
            <w:pPr>
              <w:ind w:left="20"/>
              <w:spacing w:after="0"/>
              <w:rPr>
                <w:sz w:val="20"/>
                <w:szCs w:val="20"/>
                <w:color w:val="auto"/>
              </w:rPr>
            </w:pPr>
            <w:r>
              <w:rPr>
                <w:rFonts w:ascii="Arial" w:cs="Arial" w:eastAsia="Arial" w:hAnsi="Arial"/>
                <w:sz w:val="10"/>
                <w:szCs w:val="10"/>
                <w:color w:val="666666"/>
              </w:rPr>
              <w:t>Baltimore, Maryland 21202</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jc w:val="both"/>
        <w:ind w:left="440" w:hanging="280"/>
        <w:spacing w:after="0" w:line="263" w:lineRule="auto"/>
        <w:tabs>
          <w:tab w:leader="none" w:pos="440" w:val="left"/>
        </w:tabs>
        <w:numPr>
          <w:ilvl w:val="0"/>
          <w:numId w:val="23"/>
        </w:numPr>
        <w:rPr>
          <w:rFonts w:ascii="Arial" w:cs="Arial" w:eastAsia="Arial" w:hAnsi="Arial"/>
          <w:sz w:val="10"/>
          <w:szCs w:val="10"/>
          <w:color w:val="666666"/>
        </w:rPr>
      </w:pPr>
      <w:r>
        <w:rPr>
          <w:rFonts w:ascii="Arial" w:cs="Arial" w:eastAsia="Arial" w:hAnsi="Arial"/>
          <w:sz w:val="10"/>
          <w:szCs w:val="10"/>
          <w:color w:val="666666"/>
        </w:rPr>
        <w:t>The Vanguard Group has filed with the Securities and Exchange Commission a Schedule 13G/A dated February 8, 2018, which reports the beneficial ownership of 14,652,512 shares of Class A common stock by it as of December 31, 2017. As reported in the Schedule 13G/A, The Vanguard Group had sole voting power with respect to 80,444 shares of our Class A common stock, sole dispositive power with respect to 14,567,876 shares of our Class A common stock, shared voting power with respect to 15,410 shares of our Class A common stock and shared dispositive power with respect to 84,636 shares of our Class A common stock.</w:t>
      </w:r>
    </w:p>
    <w:p>
      <w:pPr>
        <w:spacing w:after="0" w:line="159" w:lineRule="exact"/>
        <w:rPr>
          <w:rFonts w:ascii="Arial" w:cs="Arial" w:eastAsia="Arial" w:hAnsi="Arial"/>
          <w:sz w:val="10"/>
          <w:szCs w:val="10"/>
          <w:color w:val="666666"/>
        </w:rPr>
      </w:pPr>
    </w:p>
    <w:p>
      <w:pPr>
        <w:jc w:val="both"/>
        <w:ind w:left="440" w:hanging="280"/>
        <w:spacing w:after="0" w:line="270" w:lineRule="auto"/>
        <w:tabs>
          <w:tab w:leader="none" w:pos="440" w:val="left"/>
        </w:tabs>
        <w:numPr>
          <w:ilvl w:val="0"/>
          <w:numId w:val="23"/>
        </w:numPr>
        <w:rPr>
          <w:rFonts w:ascii="Arial" w:cs="Arial" w:eastAsia="Arial" w:hAnsi="Arial"/>
          <w:sz w:val="10"/>
          <w:szCs w:val="10"/>
          <w:color w:val="666666"/>
        </w:rPr>
      </w:pPr>
      <w:r>
        <w:rPr>
          <w:rFonts w:ascii="Arial" w:cs="Arial" w:eastAsia="Arial" w:hAnsi="Arial"/>
          <w:sz w:val="10"/>
          <w:szCs w:val="10"/>
          <w:color w:val="666666"/>
        </w:rPr>
        <w:t>T. Rowe Price Associates, Inc. has filed with the Securities and Exchange Commission a Schedule 13G dated February 14, 2018, which reports the beneficial ownership of 10,320,137 shares of Class A common stock by it as of December 31, 2017. As reported in the Schedule 13G, T. Rowe Price Associates, Inc. had sole voting power with respect to 2,068,660 shares of our Class A common stock and sole dispositive power with respect to 10,320,137 shares of our Class A common stock.</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47BCC"/>
        </w:rPr>
        <w:t>SECTION 16(a) BENEFICIAL OWNERSHIP REPORTING COMPLIANCE</w:t>
      </w:r>
    </w:p>
    <w:p>
      <w:pPr>
        <w:spacing w:after="0" w:line="126"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4"/>
          <w:szCs w:val="14"/>
          <w:color w:val="666666"/>
        </w:rPr>
        <w:t>Based on a review of reports filed by the Company’s directors, executive officers, and beneficial holders of 10% or more of our outstanding shares, and upon representations from those persons, the Company believes that all reports required to be filed by the Company’s reporting persons during fiscal year 2018 were filed on or prior to their respective due dates, except for one Form 4 that was filed on behalf of Laura S. Adams on the next business day.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24</w:t>
      </w:r>
    </w:p>
    <w:p>
      <w:pPr>
        <w:sectPr>
          <w:pgSz w:w="11900" w:h="16838" w:orient="portrait"/>
          <w:cols w:equalWidth="0" w:num="1">
            <w:col w:w="11460"/>
          </w:cols>
          <w:pgMar w:left="220" w:top="457" w:right="219" w:bottom="1440" w:gutter="0" w:footer="0" w:header="0"/>
        </w:sectPr>
      </w:pPr>
    </w:p>
    <w:bookmarkStart w:id="33" w:name="page34"/>
    <w:bookmarkEnd w:id="33"/>
    <w:p>
      <w:pPr>
        <w:ind w:left="2260"/>
        <w:spacing w:after="0"/>
        <w:rPr>
          <w:sz w:val="20"/>
          <w:szCs w:val="20"/>
          <w:color w:val="auto"/>
        </w:rPr>
      </w:pPr>
      <w:r>
        <w:rPr>
          <w:rFonts w:ascii="Arial" w:cs="Arial" w:eastAsia="Arial" w:hAnsi="Arial"/>
          <w:sz w:val="22"/>
          <w:szCs w:val="22"/>
          <w:b w:val="1"/>
          <w:bCs w:val="1"/>
          <w:color w:val="547BCC"/>
        </w:rPr>
        <w:t>CERTAIN RELATIONSHIPS AND RELATED PARTY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Policies and Procedures for Related Person Transactions</w:t>
      </w:r>
    </w:p>
    <w:p>
      <w:pPr>
        <w:spacing w:after="0" w:line="119" w:lineRule="exact"/>
        <w:rPr>
          <w:sz w:val="20"/>
          <w:szCs w:val="20"/>
          <w:color w:val="auto"/>
        </w:rPr>
      </w:pPr>
    </w:p>
    <w:p>
      <w:pPr>
        <w:jc w:val="both"/>
        <w:ind w:right="20" w:firstLine="230"/>
        <w:spacing w:after="0" w:line="249" w:lineRule="auto"/>
        <w:rPr>
          <w:sz w:val="20"/>
          <w:szCs w:val="20"/>
          <w:color w:val="auto"/>
        </w:rPr>
      </w:pPr>
      <w:r>
        <w:rPr>
          <w:rFonts w:ascii="Arial" w:cs="Arial" w:eastAsia="Arial" w:hAnsi="Arial"/>
          <w:sz w:val="14"/>
          <w:szCs w:val="14"/>
          <w:color w:val="666666"/>
        </w:rPr>
        <w:t>We adopted a written related person transactions policy pursuant to which related persons, namely our executive officers, directors, and principal stockholders, and their immediate family members, are not permitted to enter into certain transactions, or materially modify or amend an ongoing transaction, with us, in which the amount involved exceeds $120,000, without the consent of our Audit Committee or any designated member of the Audit Committee. Any request for us to enter into or materially modify or amend certain such transactions is required to be presented to our Audit Committee for review, consideration, and approval. All of our directors and executive officers are required to report to our Audit Committee any such related person transaction. In approving or rejecting the proposed transaction, our Audit Committee will take into account, among other factors it deems appropriate, whether the proposed related person transaction is on terms no less favorable than terms generally available to an unaffiliated third party under the same or similar circumstances, the extent of the related person’s interest in the transaction and, if applicable, the impact on a director’s independence. Under the policy, if we should discover related person transactions that have not been approved, our Audit Committee will be notified and will determine the appropriate action, including ratification, rescission, or amendment of the transaction.</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Related Person Transactions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547BCC"/>
        </w:rPr>
        <w:t>Indemnification Agreements</w:t>
      </w:r>
    </w:p>
    <w:p>
      <w:pPr>
        <w:spacing w:after="0" w:line="11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4"/>
          <w:szCs w:val="14"/>
          <w:color w:val="666666"/>
        </w:rPr>
        <w:t>We have entered into indemnification agreements with each of our directors and certain of our executive officers pursuant to which we have agreed to indemnify such individuals against certain liabilities arising out of service as a director or officer of the Company and its subsidiaries. The indemnification agreements provide our directors and such executive officers with contractual rights to the indemnification and expense advancement rights provided under our third amended and restated bylaws, as well as contractual rights to additional indemnification as provided in the indemnification agreements.</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547BCC"/>
        </w:rPr>
        <w:t>The Acquisition</w:t>
      </w:r>
    </w:p>
    <w:p>
      <w:pPr>
        <w:spacing w:after="0" w:line="115" w:lineRule="exact"/>
        <w:rPr>
          <w:sz w:val="20"/>
          <w:szCs w:val="20"/>
          <w:color w:val="auto"/>
        </w:rPr>
      </w:pPr>
    </w:p>
    <w:p>
      <w:pPr>
        <w:jc w:val="both"/>
        <w:ind w:right="20" w:firstLine="230"/>
        <w:spacing w:after="0" w:line="253" w:lineRule="auto"/>
        <w:rPr>
          <w:sz w:val="20"/>
          <w:szCs w:val="20"/>
          <w:color w:val="auto"/>
        </w:rPr>
      </w:pPr>
      <w:r>
        <w:rPr>
          <w:rFonts w:ascii="Arial" w:cs="Arial" w:eastAsia="Arial" w:hAnsi="Arial"/>
          <w:sz w:val="14"/>
          <w:szCs w:val="14"/>
          <w:color w:val="666666"/>
        </w:rPr>
        <w:t>In connection with the acquisition of Booz Allen Hamilton by Carlyle, our current and former executive officers (or their related family trusts) received a combination of current and deferred cash consideration as well as stock and options in Booz Allen Holding. Of the overall cash consideration, $158.0 million was structured as an interest in the deferred payment obligation and $80.0 million was deposited into escrow to fund certain purchase price adjustments, future indemnification claims under the merger agreement and for certain other adjustments. The remainder of the cash consideration was paid on the closing date as part of the acquisition. The current and former executive officers (or their related family trusts) receive their pro rata share of any payments of the deferred payment obligation and any release of funds held in escrow to selling stockholders.</w:t>
      </w:r>
    </w:p>
    <w:p>
      <w:pPr>
        <w:spacing w:after="0" w:line="83" w:lineRule="exact"/>
        <w:rPr>
          <w:sz w:val="20"/>
          <w:szCs w:val="20"/>
          <w:color w:val="auto"/>
        </w:rPr>
      </w:pPr>
    </w:p>
    <w:p>
      <w:pPr>
        <w:jc w:val="both"/>
        <w:ind w:right="20" w:firstLine="230"/>
        <w:spacing w:after="0" w:line="259" w:lineRule="auto"/>
        <w:rPr>
          <w:sz w:val="20"/>
          <w:szCs w:val="20"/>
          <w:color w:val="auto"/>
        </w:rPr>
      </w:pPr>
      <w:r>
        <w:rPr>
          <w:rFonts w:ascii="Arial" w:cs="Arial" w:eastAsia="Arial" w:hAnsi="Arial"/>
          <w:sz w:val="14"/>
          <w:szCs w:val="14"/>
          <w:color w:val="666666"/>
        </w:rPr>
        <w:t>As of March 31, 2018, there was approximately $81.3 million of the deferred payment obligation outstanding, which includes accrued interest of approximately $1.3 million. Remaining potential claims outstanding that may be indemnified under the deferred payment obligation relate to former officers and stockholders’ suits that are still in litigation. The ultimate value of our current and former executive officers’ (or their related family trusts’) interests in the deferred payment obligation will not be known until all such matters are resolved.</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547BCC"/>
        </w:rPr>
        <w:t>Other Relationships</w:t>
      </w:r>
    </w:p>
    <w:p>
      <w:pPr>
        <w:spacing w:after="0" w:line="163" w:lineRule="exact"/>
        <w:rPr>
          <w:sz w:val="20"/>
          <w:szCs w:val="20"/>
          <w:color w:val="auto"/>
        </w:rPr>
      </w:pPr>
    </w:p>
    <w:p>
      <w:pPr>
        <w:ind w:right="220" w:firstLine="230"/>
        <w:spacing w:after="0" w:line="253" w:lineRule="auto"/>
        <w:rPr>
          <w:sz w:val="20"/>
          <w:szCs w:val="20"/>
          <w:color w:val="auto"/>
        </w:rPr>
      </w:pPr>
      <w:r>
        <w:rPr>
          <w:rFonts w:ascii="Arial" w:cs="Arial" w:eastAsia="Arial" w:hAnsi="Arial"/>
          <w:sz w:val="14"/>
          <w:szCs w:val="14"/>
          <w:color w:val="666666"/>
        </w:rPr>
        <w:t>Bryan E. Shrader, a Vice President at the Company, is the son of Dr. Ralph Shrader, our former Chief Executive Officer and current Chairman of the Board. He received a base salary of $225,000, a cash bonus of $67,500, and retirement contributions of $13,500 in fiscal year 2018. He also received two grants of restricted stock units in fiscal year 2018. The first was 230 restricted stock units with a grant date fair value of $7,487 and the second grant was 529 restricted stock units with a grant date fair value of $19,980. Additionally, he participates in the Company’s other benefit programs on the same basis as other employees at the same level. Mr. Shrader continues to be employed by us during fiscal year 2019 under similar terms, and received a salary increase to $245,000 at the start of fiscal year 2019.</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25</w:t>
      </w:r>
    </w:p>
    <w:p>
      <w:pPr>
        <w:sectPr>
          <w:pgSz w:w="11900" w:h="16838" w:orient="portrait"/>
          <w:cols w:equalWidth="0" w:num="1">
            <w:col w:w="11480"/>
          </w:cols>
          <w:pgMar w:left="220" w:top="441" w:right="19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22"/>
          <w:szCs w:val="22"/>
          <w:b w:val="1"/>
          <w:bCs w:val="1"/>
          <w:color w:val="547BCC"/>
        </w:rPr>
        <w:t>COMPENSATION DISCUSSION AND ANALYSIS</w:t>
      </w:r>
    </w:p>
    <w:p>
      <w:pPr>
        <w:spacing w:after="0" w:line="165" w:lineRule="exact"/>
        <w:rPr>
          <w:sz w:val="20"/>
          <w:szCs w:val="20"/>
          <w:color w:val="auto"/>
        </w:rPr>
      </w:pPr>
    </w:p>
    <w:p>
      <w:pPr>
        <w:ind w:right="20" w:firstLine="230"/>
        <w:spacing w:after="0" w:line="285" w:lineRule="auto"/>
        <w:rPr>
          <w:sz w:val="20"/>
          <w:szCs w:val="20"/>
          <w:color w:val="auto"/>
        </w:rPr>
      </w:pPr>
      <w:r>
        <w:rPr>
          <w:rFonts w:ascii="Arial" w:cs="Arial" w:eastAsia="Arial" w:hAnsi="Arial"/>
          <w:sz w:val="14"/>
          <w:szCs w:val="14"/>
          <w:color w:val="666666"/>
        </w:rPr>
        <w:t>The Compensation Discussion and Analysis (CD&amp;A), together with the compensation tables and related disclosures, provides a narrative of our executive compensation philosophy and programs as reviewed and determined by the Compensation Committee of the Board of Directors.</w:t>
      </w:r>
    </w:p>
    <w:p>
      <w:pPr>
        <w:spacing w:after="0" w:line="107" w:lineRule="exact"/>
        <w:rPr>
          <w:sz w:val="20"/>
          <w:szCs w:val="20"/>
          <w:color w:val="auto"/>
        </w:rPr>
      </w:pPr>
    </w:p>
    <w:p>
      <w:pPr>
        <w:ind w:right="20" w:firstLine="230"/>
        <w:spacing w:after="0" w:line="285" w:lineRule="auto"/>
        <w:rPr>
          <w:sz w:val="20"/>
          <w:szCs w:val="20"/>
          <w:color w:val="auto"/>
        </w:rPr>
      </w:pPr>
      <w:r>
        <w:rPr>
          <w:rFonts w:ascii="Arial" w:cs="Arial" w:eastAsia="Arial" w:hAnsi="Arial"/>
          <w:sz w:val="14"/>
          <w:szCs w:val="14"/>
          <w:color w:val="666666"/>
        </w:rPr>
        <w:t>At Booz Allen, our purpose is to empower people to change the world. Our leadership philosophy and partnership culture are foundational to how we drive transformation and guide our people to solve our client's toughest challenges.</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Our executive compensation strategy is uniquely designed to achieve the following:</w:t>
      </w:r>
    </w:p>
    <w:p>
      <w:pPr>
        <w:spacing w:after="0" w:line="165" w:lineRule="exact"/>
        <w:rPr>
          <w:sz w:val="20"/>
          <w:szCs w:val="20"/>
          <w:color w:val="auto"/>
        </w:rPr>
      </w:pPr>
    </w:p>
    <w:p>
      <w:pPr>
        <w:ind w:left="680" w:hanging="165"/>
        <w:spacing w:after="0"/>
        <w:tabs>
          <w:tab w:leader="none" w:pos="680" w:val="left"/>
        </w:tabs>
        <w:numPr>
          <w:ilvl w:val="0"/>
          <w:numId w:val="24"/>
        </w:numPr>
        <w:rPr>
          <w:rFonts w:ascii="Arial" w:cs="Arial" w:eastAsia="Arial" w:hAnsi="Arial"/>
          <w:sz w:val="14"/>
          <w:szCs w:val="14"/>
          <w:color w:val="666666"/>
        </w:rPr>
      </w:pPr>
      <w:r>
        <w:rPr>
          <w:rFonts w:ascii="Arial" w:cs="Arial" w:eastAsia="Arial" w:hAnsi="Arial"/>
          <w:sz w:val="14"/>
          <w:szCs w:val="14"/>
          <w:color w:val="666666"/>
        </w:rPr>
        <w:t>Align executives' compensation with our long-term strategy and performance, as well as the creation of long-term stockholder value.</w:t>
      </w:r>
    </w:p>
    <w:p>
      <w:pPr>
        <w:spacing w:after="0" w:line="165" w:lineRule="exact"/>
        <w:rPr>
          <w:rFonts w:ascii="Arial" w:cs="Arial" w:eastAsia="Arial" w:hAnsi="Arial"/>
          <w:sz w:val="14"/>
          <w:szCs w:val="14"/>
          <w:color w:val="666666"/>
        </w:rPr>
      </w:pPr>
    </w:p>
    <w:p>
      <w:pPr>
        <w:ind w:left="680" w:hanging="165"/>
        <w:spacing w:after="0"/>
        <w:tabs>
          <w:tab w:leader="none" w:pos="680" w:val="left"/>
        </w:tabs>
        <w:numPr>
          <w:ilvl w:val="0"/>
          <w:numId w:val="24"/>
        </w:numPr>
        <w:rPr>
          <w:rFonts w:ascii="Arial" w:cs="Arial" w:eastAsia="Arial" w:hAnsi="Arial"/>
          <w:sz w:val="14"/>
          <w:szCs w:val="14"/>
          <w:color w:val="666666"/>
        </w:rPr>
      </w:pPr>
      <w:r>
        <w:rPr>
          <w:rFonts w:ascii="Arial" w:cs="Arial" w:eastAsia="Arial" w:hAnsi="Arial"/>
          <w:sz w:val="14"/>
          <w:szCs w:val="14"/>
          <w:color w:val="666666"/>
        </w:rPr>
        <w:t>Attract and retain top talent from across the global marketplace who will continue to propel us forward for the future.</w:t>
      </w:r>
    </w:p>
    <w:p>
      <w:pPr>
        <w:spacing w:after="0" w:line="165" w:lineRule="exact"/>
        <w:rPr>
          <w:rFonts w:ascii="Arial" w:cs="Arial" w:eastAsia="Arial" w:hAnsi="Arial"/>
          <w:sz w:val="14"/>
          <w:szCs w:val="14"/>
          <w:color w:val="666666"/>
        </w:rPr>
      </w:pPr>
    </w:p>
    <w:p>
      <w:pPr>
        <w:ind w:left="680" w:hanging="165"/>
        <w:spacing w:after="0" w:line="285" w:lineRule="auto"/>
        <w:tabs>
          <w:tab w:leader="none" w:pos="680" w:val="left"/>
        </w:tabs>
        <w:numPr>
          <w:ilvl w:val="0"/>
          <w:numId w:val="24"/>
        </w:numPr>
        <w:rPr>
          <w:rFonts w:ascii="Arial" w:cs="Arial" w:eastAsia="Arial" w:hAnsi="Arial"/>
          <w:sz w:val="14"/>
          <w:szCs w:val="14"/>
          <w:color w:val="666666"/>
        </w:rPr>
      </w:pPr>
      <w:r>
        <w:rPr>
          <w:rFonts w:ascii="Arial" w:cs="Arial" w:eastAsia="Arial" w:hAnsi="Arial"/>
          <w:sz w:val="14"/>
          <w:szCs w:val="14"/>
          <w:color w:val="666666"/>
        </w:rPr>
        <w:t>Support our partnership-style culture which differentiates our ability to come to market as an institution rather than as individuals, fosters a culture of collaboration among our leaders, and encourages rapid and efficient deployment of our people across clients and opportunities.</w:t>
      </w:r>
    </w:p>
    <w:p>
      <w:pPr>
        <w:spacing w:after="0" w:line="107" w:lineRule="exact"/>
        <w:rPr>
          <w:sz w:val="20"/>
          <w:szCs w:val="20"/>
          <w:color w:val="auto"/>
        </w:rPr>
      </w:pPr>
    </w:p>
    <w:p>
      <w:pPr>
        <w:ind w:right="220" w:firstLine="230"/>
        <w:spacing w:after="0" w:line="285" w:lineRule="auto"/>
        <w:rPr>
          <w:sz w:val="20"/>
          <w:szCs w:val="20"/>
          <w:color w:val="auto"/>
        </w:rPr>
      </w:pPr>
      <w:r>
        <w:rPr>
          <w:rFonts w:ascii="Arial" w:cs="Arial" w:eastAsia="Arial" w:hAnsi="Arial"/>
          <w:sz w:val="14"/>
          <w:szCs w:val="14"/>
          <w:color w:val="666666"/>
        </w:rPr>
        <w:t>The tenure of our executive team is a testament to their longstanding commitment to the Company and its long-term business goals. Our named executive officers for fiscal year 2018 were:</w:t>
      </w:r>
    </w:p>
    <w:p>
      <w:pPr>
        <w:spacing w:after="0" w:line="156" w:lineRule="exact"/>
        <w:rPr>
          <w:sz w:val="20"/>
          <w:szCs w:val="20"/>
          <w:color w:val="auto"/>
        </w:rPr>
      </w:pPr>
    </w:p>
    <w:tbl>
      <w:tblPr>
        <w:tblLayout w:type="fixed"/>
        <w:tblInd w:w="270" w:type="dxa"/>
        <w:tblCellMar>
          <w:top w:w="0" w:type="dxa"/>
          <w:left w:w="0" w:type="dxa"/>
          <w:bottom w:w="0" w:type="dxa"/>
          <w:right w:w="0" w:type="dxa"/>
        </w:tblCellMar>
      </w:tblPr>
      <w:tr>
        <w:trPr>
          <w:trHeight w:val="1323"/>
        </w:trPr>
        <w:tc>
          <w:tcPr>
            <w:tcW w:w="2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666666"/>
                <w:w w:val="97"/>
              </w:rPr>
              <w:t>Horacio D. Rozanski</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666666"/>
                <w:w w:val="97"/>
              </w:rPr>
              <w:t>Lloyd W. Howell, Jr.</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666666"/>
                <w:w w:val="98"/>
              </w:rPr>
              <w:t>Karen M. Dahut</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666666"/>
                <w:w w:val="97"/>
              </w:rPr>
              <w:t>Joseph Logue</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666666"/>
                <w:w w:val="97"/>
              </w:rPr>
              <w:t>Susan L. Penfield</w:t>
            </w:r>
          </w:p>
        </w:tc>
      </w:tr>
      <w:tr>
        <w:trPr>
          <w:trHeight w:val="143"/>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666666"/>
                <w:w w:val="94"/>
              </w:rPr>
              <w:t>President and</w:t>
            </w:r>
          </w:p>
        </w:tc>
        <w:tc>
          <w:tcPr>
            <w:tcW w:w="2200" w:type="dxa"/>
            <w:vAlign w:val="bottom"/>
            <w:tcBorders>
              <w:right w:val="single" w:sz="8" w:color="auto"/>
            </w:tcBorders>
          </w:tcPr>
          <w:p>
            <w:pPr>
              <w:jc w:val="center"/>
              <w:ind w:right="4"/>
              <w:spacing w:after="0"/>
              <w:rPr>
                <w:sz w:val="20"/>
                <w:szCs w:val="20"/>
                <w:color w:val="auto"/>
              </w:rPr>
            </w:pPr>
            <w:r>
              <w:rPr>
                <w:rFonts w:ascii="Arial" w:cs="Arial" w:eastAsia="Arial" w:hAnsi="Arial"/>
                <w:sz w:val="12"/>
                <w:szCs w:val="12"/>
                <w:color w:val="666666"/>
                <w:w w:val="95"/>
              </w:rPr>
              <w:t>Executive Vice President, Chief Financial</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666666"/>
                <w:w w:val="93"/>
              </w:rPr>
              <w:t>Executive Vice</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666666"/>
                <w:w w:val="93"/>
              </w:rPr>
              <w:t>Executive Vice</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666666"/>
                <w:w w:val="93"/>
              </w:rPr>
              <w:t>Executive Vice</w:t>
            </w:r>
          </w:p>
        </w:tc>
      </w:tr>
      <w:tr>
        <w:trPr>
          <w:trHeight w:val="15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666666"/>
                <w:w w:val="96"/>
              </w:rPr>
              <w:t>Chief Executive Officer</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666666"/>
                <w:w w:val="94"/>
              </w:rPr>
              <w:t>Officer and Treasurer</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666666"/>
                <w:w w:val="98"/>
              </w:rPr>
              <w:t>President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666666"/>
                <w:w w:val="98"/>
              </w:rPr>
              <w:t>President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666666"/>
                <w:w w:val="98"/>
              </w:rPr>
              <w:t>President</w:t>
            </w:r>
          </w:p>
        </w:tc>
      </w:tr>
      <w:tr>
        <w:trPr>
          <w:trHeight w:val="138"/>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color w:val="666666"/>
              </w:rPr>
              <w:t>Executive Tenure: 18 years</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666666"/>
              </w:rPr>
              <w:t>Executive Tenure: 17 years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666666"/>
              </w:rPr>
              <w:t>Executive Tenure: 13 years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666666"/>
              </w:rPr>
              <w:t>Executive Tenure: 16 years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666666"/>
              </w:rPr>
              <w:t>Executive Tenure: 15 years</w:t>
            </w:r>
          </w:p>
        </w:tc>
      </w:tr>
      <w:tr>
        <w:trPr>
          <w:trHeight w:val="13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color w:val="666666"/>
              </w:rPr>
              <w:t>Total Tenure: 25 years</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666666"/>
                <w:w w:val="99"/>
              </w:rPr>
              <w:t>Total Tenure: 29 years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666666"/>
              </w:rPr>
              <w:t>Total Tenure: 15 years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666666"/>
              </w:rPr>
              <w:t>Total Tenure: 20 years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666666"/>
              </w:rPr>
              <w:t>Total Tenure: 23 years</w:t>
            </w:r>
          </w:p>
        </w:tc>
      </w:tr>
      <w:tr>
        <w:trPr>
          <w:trHeight w:val="122"/>
        </w:trPr>
        <w:tc>
          <w:tcPr>
            <w:tcW w:w="2220" w:type="dxa"/>
            <w:vAlign w:val="bottom"/>
            <w:tcBorders>
              <w:left w:val="single" w:sz="8" w:color="auto"/>
              <w:bottom w:val="single" w:sz="8" w:color="auto"/>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-1261745</wp:posOffset>
            </wp:positionV>
            <wp:extent cx="688975" cy="688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8975" cy="688975"/>
                    </a:xfrm>
                    <a:prstGeom prst="rect">
                      <a:avLst/>
                    </a:prstGeom>
                    <a:noFill/>
                  </pic:spPr>
                </pic:pic>
              </a:graphicData>
            </a:graphic>
          </wp:anchor>
        </w:drawing>
        <w:drawing>
          <wp:anchor simplePos="0" relativeHeight="251657728" behindDoc="1" locked="0" layoutInCell="0" allowOverlap="1">
            <wp:simplePos x="0" y="0"/>
            <wp:positionH relativeFrom="column">
              <wp:posOffset>1918335</wp:posOffset>
            </wp:positionH>
            <wp:positionV relativeFrom="paragraph">
              <wp:posOffset>-1261745</wp:posOffset>
            </wp:positionV>
            <wp:extent cx="688975" cy="688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8975" cy="688975"/>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-1261745</wp:posOffset>
            </wp:positionV>
            <wp:extent cx="695325" cy="688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5325" cy="68897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-1261745</wp:posOffset>
            </wp:positionV>
            <wp:extent cx="688975" cy="688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8975" cy="68897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-1261745</wp:posOffset>
            </wp:positionV>
            <wp:extent cx="688975" cy="688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8975" cy="688975"/>
                    </a:xfrm>
                    <a:prstGeom prst="rect">
                      <a:avLst/>
                    </a:prstGeom>
                    <a:noFill/>
                  </pic:spPr>
                </pic:pic>
              </a:graphicData>
            </a:graphic>
          </wp:anchor>
        </w:drawing>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666666"/>
        </w:rPr>
        <w:t>(Tenure as executive and total tenure calculated as number of full years completed as of the last day of fiscal year 2018.)</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4F7CBA"/>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547BCC"/>
        </w:rPr>
        <w:t>Company Performance and Highlights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547BCC"/>
        </w:rPr>
        <w:t>Delivering Significant Returns to Stockholders</w:t>
      </w:r>
    </w:p>
    <w:p>
      <w:pPr>
        <w:spacing w:after="0" w:line="119"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666666"/>
        </w:rPr>
        <w:t>In fiscal year 2018, we continued to deliver strong returns to our stockholders through appreciation in our stock price, the payment of regular dividends, and share repurchases.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666666"/>
        </w:rPr>
        <w:t>26</w:t>
      </w:r>
    </w:p>
    <w:p>
      <w:pPr>
        <w:sectPr>
          <w:pgSz w:w="11900" w:h="16838" w:orient="portrait"/>
          <w:cols w:equalWidth="0" w:num="1">
            <w:col w:w="11420"/>
          </w:cols>
          <w:pgMar w:left="220" w:top="441" w:right="25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2826385</wp:posOffset>
            </wp:positionH>
            <wp:positionV relativeFrom="page">
              <wp:posOffset>344805</wp:posOffset>
            </wp:positionV>
            <wp:extent cx="1908175" cy="1170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908175" cy="1170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20"/>
        <w:spacing w:after="0"/>
        <w:rPr>
          <w:sz w:val="20"/>
          <w:szCs w:val="20"/>
          <w:color w:val="auto"/>
        </w:rPr>
      </w:pPr>
      <w:r>
        <w:rPr>
          <w:rFonts w:ascii="Arial" w:cs="Arial" w:eastAsia="Arial" w:hAnsi="Arial"/>
          <w:sz w:val="10"/>
          <w:szCs w:val="10"/>
          <w:color w:val="666666"/>
        </w:rPr>
        <w:t>Note: Total shareholder return assumes dividends are reinvested.</w:t>
      </w:r>
    </w:p>
    <w:p>
      <w:pPr>
        <w:spacing w:after="0" w:line="161" w:lineRule="exact"/>
        <w:rPr>
          <w:sz w:val="20"/>
          <w:szCs w:val="20"/>
          <w:color w:val="auto"/>
        </w:rPr>
      </w:pPr>
    </w:p>
    <w:p>
      <w:pPr>
        <w:ind w:left="240" w:hanging="233"/>
        <w:spacing w:after="0"/>
        <w:tabs>
          <w:tab w:leader="none" w:pos="240" w:val="left"/>
        </w:tabs>
        <w:numPr>
          <w:ilvl w:val="0"/>
          <w:numId w:val="25"/>
        </w:numPr>
        <w:rPr>
          <w:rFonts w:ascii="Arial" w:cs="Arial" w:eastAsia="Arial" w:hAnsi="Arial"/>
          <w:sz w:val="14"/>
          <w:szCs w:val="14"/>
          <w:color w:val="666666"/>
        </w:rPr>
      </w:pPr>
      <w:r>
        <w:rPr>
          <w:rFonts w:ascii="Arial" w:cs="Arial" w:eastAsia="Arial" w:hAnsi="Arial"/>
          <w:sz w:val="14"/>
          <w:szCs w:val="14"/>
          <w:color w:val="666666"/>
        </w:rPr>
        <w:t>Our stock price increased by 9% and total stockholder return was approximately 12% during fiscal year 2018.</w:t>
      </w:r>
    </w:p>
    <w:p>
      <w:pPr>
        <w:spacing w:after="0" w:line="20" w:lineRule="exact"/>
        <w:rPr>
          <w:rFonts w:ascii="Arial" w:cs="Arial" w:eastAsia="Arial" w:hAnsi="Arial"/>
          <w:sz w:val="14"/>
          <w:szCs w:val="14"/>
          <w:color w:val="666666"/>
        </w:rPr>
      </w:pPr>
    </w:p>
    <w:p>
      <w:pPr>
        <w:ind w:left="240" w:hanging="233"/>
        <w:spacing w:after="0" w:line="242" w:lineRule="auto"/>
        <w:tabs>
          <w:tab w:leader="none" w:pos="240" w:val="left"/>
        </w:tabs>
        <w:numPr>
          <w:ilvl w:val="0"/>
          <w:numId w:val="25"/>
        </w:numPr>
        <w:rPr>
          <w:rFonts w:ascii="Arial" w:cs="Arial" w:eastAsia="Arial" w:hAnsi="Arial"/>
          <w:sz w:val="14"/>
          <w:szCs w:val="14"/>
          <w:color w:val="666666"/>
        </w:rPr>
      </w:pPr>
      <w:r>
        <w:rPr>
          <w:rFonts w:ascii="Arial" w:cs="Arial" w:eastAsia="Arial" w:hAnsi="Arial"/>
          <w:sz w:val="14"/>
          <w:szCs w:val="14"/>
          <w:color w:val="666666"/>
        </w:rPr>
        <w:t xml:space="preserve">During fiscal year 2018, we declared and paid </w:t>
      </w:r>
      <w:r>
        <w:rPr>
          <w:rFonts w:ascii="Times New Roman" w:cs="Times New Roman" w:eastAsia="Times New Roman" w:hAnsi="Times New Roman"/>
          <w:sz w:val="14"/>
          <w:szCs w:val="14"/>
          <w:color w:val="666666"/>
        </w:rPr>
        <w:t>$103.4 million</w:t>
      </w:r>
      <w:r>
        <w:rPr>
          <w:rFonts w:ascii="Arial" w:cs="Arial" w:eastAsia="Arial" w:hAnsi="Arial"/>
          <w:sz w:val="14"/>
          <w:szCs w:val="14"/>
          <w:color w:val="666666"/>
        </w:rPr>
        <w:t xml:space="preserve"> in recurring dividends to stockholders—three regular dividends of $0.17 per share each, and one regular dividend of $0.19 per share.</w:t>
      </w:r>
    </w:p>
    <w:p>
      <w:pPr>
        <w:spacing w:after="0" w:line="1" w:lineRule="exact"/>
        <w:rPr>
          <w:rFonts w:ascii="Arial" w:cs="Arial" w:eastAsia="Arial" w:hAnsi="Arial"/>
          <w:sz w:val="14"/>
          <w:szCs w:val="14"/>
          <w:color w:val="666666"/>
        </w:rPr>
      </w:pPr>
    </w:p>
    <w:p>
      <w:pPr>
        <w:jc w:val="both"/>
        <w:ind w:left="240" w:hanging="233"/>
        <w:spacing w:after="0" w:line="243" w:lineRule="auto"/>
        <w:tabs>
          <w:tab w:leader="none" w:pos="240" w:val="left"/>
        </w:tabs>
        <w:numPr>
          <w:ilvl w:val="0"/>
          <w:numId w:val="25"/>
        </w:numPr>
        <w:rPr>
          <w:rFonts w:ascii="Arial" w:cs="Arial" w:eastAsia="Arial" w:hAnsi="Arial"/>
          <w:sz w:val="14"/>
          <w:szCs w:val="14"/>
          <w:color w:val="666666"/>
        </w:rPr>
      </w:pPr>
      <w:r>
        <w:rPr>
          <w:rFonts w:ascii="Arial" w:cs="Arial" w:eastAsia="Arial" w:hAnsi="Arial"/>
          <w:sz w:val="14"/>
          <w:szCs w:val="14"/>
          <w:color w:val="666666"/>
        </w:rPr>
        <w:t>The dividend rate was increased by 12%, effective in the fourth quarter of fiscal year 2018. As of March 31, 2018, we had $197.9 million remaining in our share repurchase authorization. Following the Board’s approval of an increase to the Company’s share repurchase authorization, the Company had approximately $493.7 million of shares of common stock remaining under its share repurchase authorization as of May 24, 2018.</w:t>
      </w:r>
    </w:p>
    <w:p>
      <w:pPr>
        <w:jc w:val="both"/>
        <w:ind w:left="240" w:hanging="233"/>
        <w:spacing w:after="0" w:line="243" w:lineRule="auto"/>
        <w:tabs>
          <w:tab w:leader="none" w:pos="240" w:val="left"/>
        </w:tabs>
        <w:numPr>
          <w:ilvl w:val="0"/>
          <w:numId w:val="25"/>
        </w:numPr>
        <w:rPr>
          <w:rFonts w:ascii="Arial" w:cs="Arial" w:eastAsia="Arial" w:hAnsi="Arial"/>
          <w:sz w:val="14"/>
          <w:szCs w:val="14"/>
          <w:color w:val="666666"/>
        </w:rPr>
      </w:pPr>
      <w:r>
        <w:rPr>
          <w:rFonts w:ascii="Arial" w:cs="Arial" w:eastAsia="Arial" w:hAnsi="Arial"/>
          <w:sz w:val="14"/>
          <w:szCs w:val="14"/>
          <w:color w:val="666666"/>
        </w:rPr>
        <w:t>We expect to declare and pay regular quarterly cash dividends in the future. However, the actual declaration of any such future dividends and the establishment of the per share amounts, record dates, and payment dates are subject to the discretion of the Board, which will take into consideration future earnings, cash flows, financial requirements, and other factors.</w:t>
      </w:r>
    </w:p>
    <w:p>
      <w:pPr>
        <w:ind w:left="240" w:hanging="233"/>
        <w:spacing w:after="0"/>
        <w:tabs>
          <w:tab w:leader="none" w:pos="240" w:val="left"/>
        </w:tabs>
        <w:numPr>
          <w:ilvl w:val="0"/>
          <w:numId w:val="25"/>
        </w:numPr>
        <w:rPr>
          <w:rFonts w:ascii="Arial" w:cs="Arial" w:eastAsia="Arial" w:hAnsi="Arial"/>
          <w:sz w:val="14"/>
          <w:szCs w:val="14"/>
          <w:color w:val="666666"/>
        </w:rPr>
      </w:pPr>
      <w:r>
        <w:rPr>
          <w:rFonts w:ascii="Arial" w:cs="Arial" w:eastAsia="Arial" w:hAnsi="Arial"/>
          <w:sz w:val="14"/>
          <w:szCs w:val="14"/>
          <w:color w:val="666666"/>
        </w:rPr>
        <w:t>During fiscal year 2018, we repurchased 7.6 million shares for $269.6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547BCC"/>
        </w:rPr>
        <w:t>Fiscal Year 2018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15875</wp:posOffset>
            </wp:positionV>
            <wp:extent cx="2054860" cy="11099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4860" cy="1109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40" w:hanging="233"/>
        <w:spacing w:after="0"/>
        <w:tabs>
          <w:tab w:leader="none" w:pos="240" w:val="left"/>
        </w:tabs>
        <w:numPr>
          <w:ilvl w:val="0"/>
          <w:numId w:val="26"/>
        </w:numPr>
        <w:rPr>
          <w:rFonts w:ascii="Arial" w:cs="Arial" w:eastAsia="Arial" w:hAnsi="Arial"/>
          <w:sz w:val="14"/>
          <w:szCs w:val="14"/>
          <w:color w:val="666666"/>
        </w:rPr>
      </w:pPr>
      <w:r>
        <w:rPr>
          <w:rFonts w:ascii="Arial" w:cs="Arial" w:eastAsia="Arial" w:hAnsi="Arial"/>
          <w:sz w:val="14"/>
          <w:szCs w:val="14"/>
          <w:color w:val="666666"/>
        </w:rPr>
        <w:t>Fiscal year 2018 marked the third consecutive year of top-line revenue growth.</w:t>
      </w:r>
    </w:p>
    <w:p>
      <w:pPr>
        <w:spacing w:after="0" w:line="20" w:lineRule="exact"/>
        <w:rPr>
          <w:rFonts w:ascii="Arial" w:cs="Arial" w:eastAsia="Arial" w:hAnsi="Arial"/>
          <w:sz w:val="14"/>
          <w:szCs w:val="14"/>
          <w:color w:val="666666"/>
        </w:rPr>
      </w:pPr>
    </w:p>
    <w:p>
      <w:pPr>
        <w:ind w:left="240" w:hanging="233"/>
        <w:spacing w:after="0"/>
        <w:tabs>
          <w:tab w:leader="none" w:pos="240" w:val="left"/>
        </w:tabs>
        <w:numPr>
          <w:ilvl w:val="0"/>
          <w:numId w:val="26"/>
        </w:numPr>
        <w:rPr>
          <w:rFonts w:ascii="Arial" w:cs="Arial" w:eastAsia="Arial" w:hAnsi="Arial"/>
          <w:sz w:val="14"/>
          <w:szCs w:val="14"/>
          <w:color w:val="666666"/>
        </w:rPr>
      </w:pPr>
      <w:r>
        <w:rPr>
          <w:rFonts w:ascii="Arial" w:cs="Arial" w:eastAsia="Arial" w:hAnsi="Arial"/>
          <w:sz w:val="14"/>
          <w:szCs w:val="14"/>
          <w:color w:val="666666"/>
        </w:rPr>
        <w:t>Continued focus on investments in markets, capabilities, and people is positioning Booz Allen Hamilton for sustainable quality growth.</w:t>
      </w:r>
    </w:p>
    <w:p>
      <w:pPr>
        <w:spacing w:after="0" w:line="2" w:lineRule="exact"/>
        <w:rPr>
          <w:rFonts w:ascii="Arial" w:cs="Arial" w:eastAsia="Arial" w:hAnsi="Arial"/>
          <w:sz w:val="14"/>
          <w:szCs w:val="14"/>
          <w:color w:val="666666"/>
        </w:rPr>
      </w:pPr>
    </w:p>
    <w:p>
      <w:pPr>
        <w:ind w:left="240" w:hanging="233"/>
        <w:spacing w:after="0"/>
        <w:tabs>
          <w:tab w:leader="none" w:pos="240" w:val="left"/>
        </w:tabs>
        <w:numPr>
          <w:ilvl w:val="0"/>
          <w:numId w:val="26"/>
        </w:numPr>
        <w:rPr>
          <w:rFonts w:ascii="Arial" w:cs="Arial" w:eastAsia="Arial" w:hAnsi="Arial"/>
          <w:sz w:val="14"/>
          <w:szCs w:val="14"/>
          <w:color w:val="666666"/>
        </w:rPr>
      </w:pPr>
      <w:r>
        <w:rPr>
          <w:rFonts w:ascii="Arial" w:cs="Arial" w:eastAsia="Arial" w:hAnsi="Arial"/>
          <w:sz w:val="14"/>
          <w:szCs w:val="14"/>
          <w:color w:val="666666"/>
        </w:rPr>
        <w:t xml:space="preserve">Full year revenue up </w:t>
      </w:r>
      <w:r>
        <w:rPr>
          <w:rFonts w:ascii="Times New Roman" w:cs="Times New Roman" w:eastAsia="Times New Roman" w:hAnsi="Times New Roman"/>
          <w:sz w:val="14"/>
          <w:szCs w:val="14"/>
          <w:color w:val="666666"/>
        </w:rPr>
        <w:t>6%</w:t>
      </w:r>
      <w:r>
        <w:rPr>
          <w:rFonts w:ascii="Arial" w:cs="Arial" w:eastAsia="Arial" w:hAnsi="Arial"/>
          <w:sz w:val="14"/>
          <w:szCs w:val="14"/>
          <w:color w:val="666666"/>
        </w:rPr>
        <w:t xml:space="preserve"> to </w:t>
      </w:r>
      <w:r>
        <w:rPr>
          <w:rFonts w:ascii="Times New Roman" w:cs="Times New Roman" w:eastAsia="Times New Roman" w:hAnsi="Times New Roman"/>
          <w:sz w:val="14"/>
          <w:szCs w:val="14"/>
          <w:color w:val="666666"/>
        </w:rPr>
        <w:t>$6.2 billion</w:t>
      </w:r>
    </w:p>
    <w:p>
      <w:pPr>
        <w:spacing w:after="0" w:line="1" w:lineRule="exact"/>
        <w:rPr>
          <w:rFonts w:ascii="Arial" w:cs="Arial" w:eastAsia="Arial" w:hAnsi="Arial"/>
          <w:sz w:val="14"/>
          <w:szCs w:val="14"/>
          <w:color w:val="666666"/>
        </w:rPr>
      </w:pPr>
    </w:p>
    <w:p>
      <w:pPr>
        <w:ind w:left="240" w:hanging="233"/>
        <w:spacing w:after="0"/>
        <w:tabs>
          <w:tab w:leader="none" w:pos="240" w:val="left"/>
        </w:tabs>
        <w:numPr>
          <w:ilvl w:val="0"/>
          <w:numId w:val="26"/>
        </w:numPr>
        <w:rPr>
          <w:rFonts w:ascii="Arial" w:cs="Arial" w:eastAsia="Arial" w:hAnsi="Arial"/>
          <w:sz w:val="14"/>
          <w:szCs w:val="14"/>
          <w:color w:val="666666"/>
        </w:rPr>
      </w:pPr>
      <w:r>
        <w:rPr>
          <w:rFonts w:ascii="Arial" w:cs="Arial" w:eastAsia="Arial" w:hAnsi="Arial"/>
          <w:sz w:val="14"/>
          <w:szCs w:val="14"/>
          <w:color w:val="666666"/>
        </w:rPr>
        <w:t xml:space="preserve">Adjusted EBITDA increased </w:t>
      </w:r>
      <w:r>
        <w:rPr>
          <w:rFonts w:ascii="Times New Roman" w:cs="Times New Roman" w:eastAsia="Times New Roman" w:hAnsi="Times New Roman"/>
          <w:sz w:val="14"/>
          <w:szCs w:val="14"/>
          <w:color w:val="666666"/>
        </w:rPr>
        <w:t>7%</w:t>
      </w:r>
      <w:r>
        <w:rPr>
          <w:rFonts w:ascii="Arial" w:cs="Arial" w:eastAsia="Arial" w:hAnsi="Arial"/>
          <w:sz w:val="14"/>
          <w:szCs w:val="14"/>
          <w:color w:val="666666"/>
        </w:rPr>
        <w:t xml:space="preserve"> to </w:t>
      </w:r>
      <w:r>
        <w:rPr>
          <w:rFonts w:ascii="Times New Roman" w:cs="Times New Roman" w:eastAsia="Times New Roman" w:hAnsi="Times New Roman"/>
          <w:sz w:val="14"/>
          <w:szCs w:val="14"/>
          <w:color w:val="666666"/>
        </w:rPr>
        <w:t>$584.8 million</w:t>
      </w:r>
    </w:p>
    <w:p>
      <w:pPr>
        <w:spacing w:after="0" w:line="1" w:lineRule="exact"/>
        <w:rPr>
          <w:rFonts w:ascii="Arial" w:cs="Arial" w:eastAsia="Arial" w:hAnsi="Arial"/>
          <w:sz w:val="14"/>
          <w:szCs w:val="14"/>
          <w:color w:val="666666"/>
        </w:rPr>
      </w:pPr>
    </w:p>
    <w:p>
      <w:pPr>
        <w:ind w:left="240" w:hanging="233"/>
        <w:spacing w:after="0"/>
        <w:tabs>
          <w:tab w:leader="none" w:pos="240" w:val="left"/>
        </w:tabs>
        <w:numPr>
          <w:ilvl w:val="0"/>
          <w:numId w:val="26"/>
        </w:numPr>
        <w:rPr>
          <w:rFonts w:ascii="Arial" w:cs="Arial" w:eastAsia="Arial" w:hAnsi="Arial"/>
          <w:sz w:val="14"/>
          <w:szCs w:val="14"/>
          <w:color w:val="666666"/>
        </w:rPr>
      </w:pPr>
      <w:r>
        <w:rPr>
          <w:rFonts w:ascii="Arial" w:cs="Arial" w:eastAsia="Arial" w:hAnsi="Arial"/>
          <w:sz w:val="14"/>
          <w:szCs w:val="14"/>
          <w:color w:val="666666"/>
        </w:rPr>
        <w:t xml:space="preserve">Adjusted Diluted EPS increased </w:t>
      </w:r>
      <w:r>
        <w:rPr>
          <w:rFonts w:ascii="Times New Roman" w:cs="Times New Roman" w:eastAsia="Times New Roman" w:hAnsi="Times New Roman"/>
          <w:sz w:val="14"/>
          <w:szCs w:val="14"/>
          <w:color w:val="666666"/>
        </w:rPr>
        <w:t>15%</w:t>
      </w:r>
      <w:r>
        <w:rPr>
          <w:rFonts w:ascii="Arial" w:cs="Arial" w:eastAsia="Arial" w:hAnsi="Arial"/>
          <w:sz w:val="14"/>
          <w:szCs w:val="14"/>
          <w:color w:val="666666"/>
        </w:rPr>
        <w:t xml:space="preserve"> to </w:t>
      </w:r>
      <w:r>
        <w:rPr>
          <w:rFonts w:ascii="Times New Roman" w:cs="Times New Roman" w:eastAsia="Times New Roman" w:hAnsi="Times New Roman"/>
          <w:sz w:val="14"/>
          <w:szCs w:val="14"/>
          <w:color w:val="666666"/>
        </w:rPr>
        <w:t>$2.01</w:t>
      </w:r>
    </w:p>
    <w:p>
      <w:pPr>
        <w:spacing w:after="0" w:line="1" w:lineRule="exact"/>
        <w:rPr>
          <w:rFonts w:ascii="Arial" w:cs="Arial" w:eastAsia="Arial" w:hAnsi="Arial"/>
          <w:sz w:val="14"/>
          <w:szCs w:val="14"/>
          <w:color w:val="666666"/>
        </w:rPr>
      </w:pPr>
    </w:p>
    <w:p>
      <w:pPr>
        <w:ind w:left="240" w:hanging="233"/>
        <w:spacing w:after="0"/>
        <w:tabs>
          <w:tab w:leader="none" w:pos="240" w:val="left"/>
        </w:tabs>
        <w:numPr>
          <w:ilvl w:val="0"/>
          <w:numId w:val="26"/>
        </w:numPr>
        <w:rPr>
          <w:rFonts w:ascii="Arial" w:cs="Arial" w:eastAsia="Arial" w:hAnsi="Arial"/>
          <w:sz w:val="14"/>
          <w:szCs w:val="14"/>
          <w:color w:val="666666"/>
        </w:rPr>
      </w:pPr>
      <w:r>
        <w:rPr>
          <w:rFonts w:ascii="Arial" w:cs="Arial" w:eastAsia="Arial" w:hAnsi="Arial"/>
          <w:sz w:val="14"/>
          <w:szCs w:val="14"/>
          <w:color w:val="666666"/>
        </w:rPr>
        <w:t xml:space="preserve">Total backlog increased </w:t>
      </w:r>
      <w:r>
        <w:rPr>
          <w:rFonts w:ascii="Times New Roman" w:cs="Times New Roman" w:eastAsia="Times New Roman" w:hAnsi="Times New Roman"/>
          <w:sz w:val="14"/>
          <w:szCs w:val="14"/>
          <w:color w:val="666666"/>
        </w:rPr>
        <w:t>18%</w:t>
      </w:r>
      <w:r>
        <w:rPr>
          <w:rFonts w:ascii="Arial" w:cs="Arial" w:eastAsia="Arial" w:hAnsi="Arial"/>
          <w:sz w:val="14"/>
          <w:szCs w:val="14"/>
          <w:color w:val="666666"/>
        </w:rPr>
        <w:t xml:space="preserve"> to </w:t>
      </w:r>
      <w:r>
        <w:rPr>
          <w:rFonts w:ascii="Times New Roman" w:cs="Times New Roman" w:eastAsia="Times New Roman" w:hAnsi="Times New Roman"/>
          <w:sz w:val="14"/>
          <w:szCs w:val="14"/>
          <w:color w:val="666666"/>
        </w:rPr>
        <w:t>$16.0 billion</w:t>
      </w:r>
    </w:p>
    <w:p>
      <w:pPr>
        <w:spacing w:after="0" w:line="1" w:lineRule="exact"/>
        <w:rPr>
          <w:rFonts w:ascii="Arial" w:cs="Arial" w:eastAsia="Arial" w:hAnsi="Arial"/>
          <w:sz w:val="14"/>
          <w:szCs w:val="14"/>
          <w:color w:val="666666"/>
        </w:rPr>
      </w:pPr>
    </w:p>
    <w:p>
      <w:pPr>
        <w:ind w:left="240" w:hanging="233"/>
        <w:spacing w:after="0"/>
        <w:tabs>
          <w:tab w:leader="none" w:pos="240" w:val="left"/>
        </w:tabs>
        <w:numPr>
          <w:ilvl w:val="0"/>
          <w:numId w:val="26"/>
        </w:numPr>
        <w:rPr>
          <w:rFonts w:ascii="Arial" w:cs="Arial" w:eastAsia="Arial" w:hAnsi="Arial"/>
          <w:sz w:val="14"/>
          <w:szCs w:val="14"/>
          <w:color w:val="666666"/>
        </w:rPr>
      </w:pPr>
      <w:r>
        <w:rPr>
          <w:rFonts w:ascii="Arial" w:cs="Arial" w:eastAsia="Arial" w:hAnsi="Arial"/>
          <w:sz w:val="14"/>
          <w:szCs w:val="14"/>
          <w:color w:val="666666"/>
        </w:rPr>
        <w:t xml:space="preserve">Free cash flow was </w:t>
      </w:r>
      <w:r>
        <w:rPr>
          <w:rFonts w:ascii="Times New Roman" w:cs="Times New Roman" w:eastAsia="Times New Roman" w:hAnsi="Times New Roman"/>
          <w:sz w:val="14"/>
          <w:szCs w:val="14"/>
          <w:color w:val="666666"/>
        </w:rPr>
        <w:t>$290.7 million</w:t>
      </w:r>
      <w:r>
        <w:rPr>
          <w:rFonts w:ascii="Arial" w:cs="Arial" w:eastAsia="Arial" w:hAnsi="Arial"/>
          <w:sz w:val="14"/>
          <w:szCs w:val="14"/>
          <w:color w:val="666666"/>
        </w:rPr>
        <w:t xml:space="preserve"> in fiscal year 2018</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i w:val="1"/>
          <w:iCs w:val="1"/>
          <w:color w:val="666666"/>
        </w:rPr>
        <w:t>Adjusted EBITDA, Adjusted EBITDA Margin on Revenue, Adjusted Diluted Earnings Per Share, and Free Cash Flow may differ from similarly titled measures presented by other companies in our industry and are not recognized measures under U.S. Generally Accepted Accounting Principles, or GAAP. A reconciliation between these non-GAAP financial measures and the most directly comparable financial measure calculated and presented in accordance with GAAP can be found in Appendix A to this proxy statement.</w:t>
      </w:r>
    </w:p>
    <w:p>
      <w:pPr>
        <w:spacing w:after="0" w:line="13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666666"/>
        </w:rPr>
        <w:t>27</w:t>
      </w:r>
    </w:p>
    <w:p>
      <w:pPr>
        <w:sectPr>
          <w:pgSz w:w="11900" w:h="16838" w:orient="portrait"/>
          <w:cols w:equalWidth="0" w:num="1">
            <w:col w:w="11240"/>
          </w:cols>
          <w:pgMar w:left="440" w:top="1440" w:right="21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i w:val="1"/>
          <w:iCs w:val="1"/>
          <w:color w:val="547BCC"/>
        </w:rPr>
        <w:t>Compensation Philosophy</w:t>
      </w:r>
    </w:p>
    <w:p>
      <w:pPr>
        <w:spacing w:after="0" w:line="115" w:lineRule="exact"/>
        <w:rPr>
          <w:sz w:val="20"/>
          <w:szCs w:val="20"/>
          <w:color w:val="auto"/>
        </w:rPr>
      </w:pPr>
    </w:p>
    <w:p>
      <w:pPr>
        <w:ind w:right="300" w:firstLine="230"/>
        <w:spacing w:after="0" w:line="285" w:lineRule="auto"/>
        <w:rPr>
          <w:sz w:val="20"/>
          <w:szCs w:val="20"/>
          <w:color w:val="auto"/>
        </w:rPr>
      </w:pPr>
      <w:r>
        <w:rPr>
          <w:rFonts w:ascii="Arial" w:cs="Arial" w:eastAsia="Arial" w:hAnsi="Arial"/>
          <w:sz w:val="14"/>
          <w:szCs w:val="14"/>
          <w:color w:val="666666"/>
        </w:rPr>
        <w:t>We are a values-driven organization where our partnership culture motivates executives to consistently act in the best interests of the Company. Our executive compensation program is intrinsically tied to our purpose and values.</w:t>
      </w:r>
    </w:p>
    <w:p>
      <w:pPr>
        <w:spacing w:after="0" w:line="109" w:lineRule="exact"/>
        <w:rPr>
          <w:sz w:val="20"/>
          <w:szCs w:val="20"/>
          <w:color w:val="auto"/>
        </w:rPr>
      </w:pPr>
    </w:p>
    <w:tbl>
      <w:tblPr>
        <w:tblLayout w:type="fixed"/>
        <w:tblInd w:w="630" w:type="dxa"/>
        <w:tblCellMar>
          <w:top w:w="0" w:type="dxa"/>
          <w:left w:w="0" w:type="dxa"/>
          <w:bottom w:w="0" w:type="dxa"/>
          <w:right w:w="0" w:type="dxa"/>
        </w:tblCellMar>
      </w:tblPr>
      <w:tr>
        <w:trPr>
          <w:trHeight w:val="202"/>
        </w:trPr>
        <w:tc>
          <w:tcPr>
            <w:tcW w:w="5300" w:type="dxa"/>
            <w:vAlign w:val="bottom"/>
            <w:tcBorders>
              <w:left w:val="single" w:sz="8" w:color="4472C4"/>
              <w:right w:val="single" w:sz="8" w:color="4472C4"/>
            </w:tcBorders>
            <w:shd w:val="clear" w:color="auto" w:fill="4472C4"/>
          </w:tcPr>
          <w:p>
            <w:pPr>
              <w:ind w:left="2160"/>
              <w:spacing w:after="0"/>
              <w:rPr>
                <w:sz w:val="20"/>
                <w:szCs w:val="20"/>
                <w:color w:val="auto"/>
              </w:rPr>
            </w:pPr>
            <w:r>
              <w:rPr>
                <w:rFonts w:ascii="Arial" w:cs="Arial" w:eastAsia="Arial" w:hAnsi="Arial"/>
                <w:sz w:val="13"/>
                <w:szCs w:val="13"/>
                <w:b w:val="1"/>
                <w:bCs w:val="1"/>
                <w:i w:val="1"/>
                <w:iCs w:val="1"/>
                <w:color w:val="FFFFFF"/>
              </w:rPr>
              <w:t>Our Philosophy</w:t>
            </w:r>
          </w:p>
        </w:tc>
        <w:tc>
          <w:tcPr>
            <w:tcW w:w="5260" w:type="dxa"/>
            <w:vAlign w:val="bottom"/>
            <w:tcBorders>
              <w:right w:val="single" w:sz="8" w:color="4472C4"/>
            </w:tcBorders>
            <w:shd w:val="clear" w:color="auto" w:fill="4472C4"/>
          </w:tcPr>
          <w:p>
            <w:pPr>
              <w:ind w:left="1660"/>
              <w:spacing w:after="0"/>
              <w:rPr>
                <w:sz w:val="20"/>
                <w:szCs w:val="20"/>
                <w:color w:val="auto"/>
              </w:rPr>
            </w:pPr>
            <w:r>
              <w:rPr>
                <w:rFonts w:ascii="Arial" w:cs="Arial" w:eastAsia="Arial" w:hAnsi="Arial"/>
                <w:sz w:val="13"/>
                <w:szCs w:val="13"/>
                <w:b w:val="1"/>
                <w:bCs w:val="1"/>
                <w:i w:val="1"/>
                <w:iCs w:val="1"/>
                <w:color w:val="FFFFFF"/>
              </w:rPr>
              <w:t>What Our Philosophy Achieves</w:t>
            </w:r>
          </w:p>
        </w:tc>
        <w:tc>
          <w:tcPr>
            <w:tcW w:w="0" w:type="dxa"/>
            <w:vAlign w:val="bottom"/>
          </w:tcPr>
          <w:p>
            <w:pPr>
              <w:spacing w:after="0"/>
              <w:rPr>
                <w:sz w:val="1"/>
                <w:szCs w:val="1"/>
                <w:color w:val="auto"/>
              </w:rPr>
            </w:pPr>
          </w:p>
        </w:tc>
      </w:tr>
      <w:tr>
        <w:trPr>
          <w:trHeight w:val="291"/>
        </w:trPr>
        <w:tc>
          <w:tcPr>
            <w:tcW w:w="5300" w:type="dxa"/>
            <w:vAlign w:val="bottom"/>
            <w:tcBorders>
              <w:left w:val="single" w:sz="8" w:color="8EAADB"/>
              <w:right w:val="single" w:sz="8" w:color="8EAADB"/>
            </w:tcBorders>
            <w:shd w:val="clear" w:color="auto" w:fill="D9E2F3"/>
          </w:tcPr>
          <w:p>
            <w:pPr>
              <w:ind w:left="20"/>
              <w:spacing w:after="0"/>
              <w:rPr>
                <w:sz w:val="20"/>
                <w:szCs w:val="20"/>
                <w:color w:val="auto"/>
              </w:rPr>
            </w:pPr>
            <w:r>
              <w:rPr>
                <w:rFonts w:ascii="Arial" w:cs="Arial" w:eastAsia="Arial" w:hAnsi="Arial"/>
                <w:sz w:val="13"/>
                <w:szCs w:val="13"/>
                <w:color w:val="666666"/>
              </w:rPr>
              <w:t>- Guides executives to live the Company's purpose and values in their client work and</w:t>
            </w:r>
          </w:p>
        </w:tc>
        <w:tc>
          <w:tcPr>
            <w:tcW w:w="5260" w:type="dxa"/>
            <w:vAlign w:val="bottom"/>
            <w:tcBorders>
              <w:right w:val="single" w:sz="8" w:color="8EAADB"/>
            </w:tcBorders>
            <w:shd w:val="clear" w:color="auto" w:fill="D9E2F3"/>
          </w:tcPr>
          <w:p>
            <w:pPr>
              <w:spacing w:after="0"/>
              <w:rPr>
                <w:sz w:val="20"/>
                <w:szCs w:val="20"/>
                <w:color w:val="auto"/>
              </w:rPr>
            </w:pPr>
            <w:r>
              <w:rPr>
                <w:rFonts w:ascii="Arial" w:cs="Arial" w:eastAsia="Arial" w:hAnsi="Arial"/>
                <w:sz w:val="13"/>
                <w:szCs w:val="13"/>
                <w:color w:val="666666"/>
              </w:rPr>
              <w:t>- Empowers executives to think and act in the best interests of the Company.</w:t>
            </w:r>
          </w:p>
        </w:tc>
        <w:tc>
          <w:tcPr>
            <w:tcW w:w="0" w:type="dxa"/>
            <w:vAlign w:val="bottom"/>
          </w:tcPr>
          <w:p>
            <w:pPr>
              <w:spacing w:after="0"/>
              <w:rPr>
                <w:sz w:val="1"/>
                <w:szCs w:val="1"/>
                <w:color w:val="auto"/>
              </w:rPr>
            </w:pPr>
          </w:p>
        </w:tc>
      </w:tr>
      <w:tr>
        <w:trPr>
          <w:trHeight w:val="172"/>
        </w:trPr>
        <w:tc>
          <w:tcPr>
            <w:tcW w:w="5300" w:type="dxa"/>
            <w:vAlign w:val="bottom"/>
            <w:tcBorders>
              <w:left w:val="single" w:sz="8" w:color="8EAADB"/>
              <w:right w:val="single" w:sz="8" w:color="8EAADB"/>
            </w:tcBorders>
            <w:shd w:val="clear" w:color="auto" w:fill="D9E2F3"/>
          </w:tcPr>
          <w:p>
            <w:pPr>
              <w:ind w:left="140"/>
              <w:spacing w:after="0"/>
              <w:rPr>
                <w:sz w:val="20"/>
                <w:szCs w:val="20"/>
                <w:color w:val="auto"/>
              </w:rPr>
            </w:pPr>
            <w:r>
              <w:rPr>
                <w:rFonts w:ascii="Arial" w:cs="Arial" w:eastAsia="Arial" w:hAnsi="Arial"/>
                <w:sz w:val="13"/>
                <w:szCs w:val="13"/>
                <w:color w:val="666666"/>
              </w:rPr>
              <w:t>employee interactions.</w:t>
            </w:r>
          </w:p>
        </w:tc>
        <w:tc>
          <w:tcPr>
            <w:tcW w:w="5260" w:type="dxa"/>
            <w:vAlign w:val="bottom"/>
            <w:tcBorders>
              <w:right w:val="single" w:sz="8" w:color="8EAADB"/>
            </w:tcBorders>
            <w:vMerge w:val="restart"/>
            <w:shd w:val="clear" w:color="auto" w:fill="D9E2F3"/>
          </w:tcPr>
          <w:p>
            <w:pPr>
              <w:spacing w:after="0"/>
              <w:rPr>
                <w:sz w:val="20"/>
                <w:szCs w:val="20"/>
                <w:color w:val="auto"/>
              </w:rPr>
            </w:pPr>
            <w:r>
              <w:rPr>
                <w:rFonts w:ascii="Arial" w:cs="Arial" w:eastAsia="Arial" w:hAnsi="Arial"/>
                <w:sz w:val="13"/>
                <w:szCs w:val="13"/>
                <w:color w:val="666666"/>
              </w:rPr>
              <w:t>- Focuses on optimizing stockholder value and fostering an ownership culture.</w:t>
            </w:r>
          </w:p>
        </w:tc>
        <w:tc>
          <w:tcPr>
            <w:tcW w:w="0" w:type="dxa"/>
            <w:vAlign w:val="bottom"/>
          </w:tcPr>
          <w:p>
            <w:pPr>
              <w:spacing w:after="0"/>
              <w:rPr>
                <w:sz w:val="1"/>
                <w:szCs w:val="1"/>
                <w:color w:val="auto"/>
              </w:rPr>
            </w:pPr>
          </w:p>
        </w:tc>
      </w:tr>
      <w:tr>
        <w:trPr>
          <w:trHeight w:val="144"/>
        </w:trPr>
        <w:tc>
          <w:tcPr>
            <w:tcW w:w="5300" w:type="dxa"/>
            <w:vAlign w:val="bottom"/>
            <w:tcBorders>
              <w:left w:val="single" w:sz="8" w:color="8EAADB"/>
              <w:right w:val="single" w:sz="8" w:color="8EAADB"/>
            </w:tcBorders>
            <w:vMerge w:val="restart"/>
            <w:shd w:val="clear" w:color="auto" w:fill="D9E2F3"/>
          </w:tcPr>
          <w:p>
            <w:pPr>
              <w:ind w:left="20"/>
              <w:spacing w:after="0"/>
              <w:rPr>
                <w:sz w:val="20"/>
                <w:szCs w:val="20"/>
                <w:color w:val="auto"/>
              </w:rPr>
            </w:pPr>
            <w:r>
              <w:rPr>
                <w:rFonts w:ascii="Arial" w:cs="Arial" w:eastAsia="Arial" w:hAnsi="Arial"/>
                <w:sz w:val="13"/>
                <w:szCs w:val="13"/>
                <w:color w:val="666666"/>
                <w:w w:val="99"/>
              </w:rPr>
              <w:t>- Aligns executives' compensation with Company performance and the creation of long-term</w:t>
            </w:r>
          </w:p>
        </w:tc>
        <w:tc>
          <w:tcPr>
            <w:tcW w:w="5260" w:type="dxa"/>
            <w:vAlign w:val="bottom"/>
            <w:tcBorders>
              <w:right w:val="single" w:sz="8" w:color="8EAADB"/>
            </w:tcBorders>
            <w:vMerge w:val="continue"/>
            <w:shd w:val="clear" w:color="auto" w:fill="D9E2F3"/>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5300" w:type="dxa"/>
            <w:vAlign w:val="bottom"/>
            <w:tcBorders>
              <w:left w:val="single" w:sz="8" w:color="8EAADB"/>
              <w:right w:val="single" w:sz="8" w:color="8EAADB"/>
            </w:tcBorders>
            <w:vMerge w:val="continue"/>
            <w:shd w:val="clear" w:color="auto" w:fill="D9E2F3"/>
          </w:tcPr>
          <w:p>
            <w:pPr>
              <w:spacing w:after="0"/>
              <w:rPr>
                <w:sz w:val="10"/>
                <w:szCs w:val="10"/>
                <w:color w:val="auto"/>
              </w:rPr>
            </w:pPr>
          </w:p>
        </w:tc>
        <w:tc>
          <w:tcPr>
            <w:tcW w:w="5260" w:type="dxa"/>
            <w:vAlign w:val="bottom"/>
            <w:tcBorders>
              <w:right w:val="single" w:sz="8" w:color="8EAADB"/>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300" w:type="dxa"/>
            <w:vAlign w:val="bottom"/>
            <w:tcBorders>
              <w:left w:val="single" w:sz="8" w:color="8EAADB"/>
              <w:right w:val="single" w:sz="8" w:color="8EAADB"/>
            </w:tcBorders>
            <w:shd w:val="clear" w:color="auto" w:fill="D9E2F3"/>
          </w:tcPr>
          <w:p>
            <w:pPr>
              <w:ind w:left="140"/>
              <w:spacing w:after="0" w:line="144" w:lineRule="exact"/>
              <w:rPr>
                <w:sz w:val="20"/>
                <w:szCs w:val="20"/>
                <w:color w:val="auto"/>
              </w:rPr>
            </w:pPr>
            <w:r>
              <w:rPr>
                <w:rFonts w:ascii="Arial" w:cs="Arial" w:eastAsia="Arial" w:hAnsi="Arial"/>
                <w:sz w:val="13"/>
                <w:szCs w:val="13"/>
                <w:color w:val="666666"/>
              </w:rPr>
              <w:t>sustainable stockholder value.</w:t>
            </w:r>
          </w:p>
        </w:tc>
        <w:tc>
          <w:tcPr>
            <w:tcW w:w="5260" w:type="dxa"/>
            <w:vAlign w:val="bottom"/>
            <w:tcBorders>
              <w:right w:val="single" w:sz="8" w:color="8EAADB"/>
            </w:tcBorders>
            <w:shd w:val="clear" w:color="auto" w:fill="D9E2F3"/>
          </w:tcPr>
          <w:p>
            <w:pPr>
              <w:spacing w:after="0" w:line="144" w:lineRule="exact"/>
              <w:rPr>
                <w:sz w:val="20"/>
                <w:szCs w:val="20"/>
                <w:color w:val="auto"/>
              </w:rPr>
            </w:pPr>
            <w:r>
              <w:rPr>
                <w:rFonts w:ascii="Arial" w:cs="Arial" w:eastAsia="Arial" w:hAnsi="Arial"/>
                <w:sz w:val="13"/>
                <w:szCs w:val="13"/>
                <w:color w:val="666666"/>
              </w:rPr>
              <w:t>- Encourages and rewards executives with an emphasis on problem solving, passionate</w:t>
            </w:r>
          </w:p>
        </w:tc>
        <w:tc>
          <w:tcPr>
            <w:tcW w:w="0" w:type="dxa"/>
            <w:vAlign w:val="bottom"/>
          </w:tcPr>
          <w:p>
            <w:pPr>
              <w:spacing w:after="0"/>
              <w:rPr>
                <w:sz w:val="1"/>
                <w:szCs w:val="1"/>
                <w:color w:val="auto"/>
              </w:rPr>
            </w:pPr>
          </w:p>
        </w:tc>
      </w:tr>
      <w:tr>
        <w:trPr>
          <w:trHeight w:val="172"/>
        </w:trPr>
        <w:tc>
          <w:tcPr>
            <w:tcW w:w="5300" w:type="dxa"/>
            <w:vAlign w:val="bottom"/>
            <w:tcBorders>
              <w:left w:val="single" w:sz="8" w:color="8EAADB"/>
              <w:right w:val="single" w:sz="8" w:color="8EAADB"/>
            </w:tcBorders>
            <w:vMerge w:val="restart"/>
            <w:shd w:val="clear" w:color="auto" w:fill="D9E2F3"/>
          </w:tcPr>
          <w:p>
            <w:pPr>
              <w:ind w:left="20"/>
              <w:spacing w:after="0"/>
              <w:rPr>
                <w:sz w:val="20"/>
                <w:szCs w:val="20"/>
                <w:color w:val="auto"/>
              </w:rPr>
            </w:pPr>
            <w:r>
              <w:rPr>
                <w:rFonts w:ascii="Arial" w:cs="Arial" w:eastAsia="Arial" w:hAnsi="Arial"/>
                <w:sz w:val="13"/>
                <w:szCs w:val="13"/>
                <w:color w:val="666666"/>
              </w:rPr>
              <w:t>- Attracts, motivates, and retains executives of exceptional ability to meet and exceed the</w:t>
            </w:r>
          </w:p>
        </w:tc>
        <w:tc>
          <w:tcPr>
            <w:tcW w:w="5260" w:type="dxa"/>
            <w:vAlign w:val="bottom"/>
            <w:tcBorders>
              <w:right w:val="single" w:sz="8" w:color="8EAADB"/>
            </w:tcBorders>
            <w:shd w:val="clear" w:color="auto" w:fill="D9E2F3"/>
          </w:tcPr>
          <w:p>
            <w:pPr>
              <w:ind w:left="120"/>
              <w:spacing w:after="0"/>
              <w:rPr>
                <w:sz w:val="20"/>
                <w:szCs w:val="20"/>
                <w:color w:val="auto"/>
              </w:rPr>
            </w:pPr>
            <w:r>
              <w:rPr>
                <w:rFonts w:ascii="Arial" w:cs="Arial" w:eastAsia="Arial" w:hAnsi="Arial"/>
                <w:sz w:val="13"/>
                <w:szCs w:val="13"/>
                <w:color w:val="666666"/>
              </w:rPr>
              <w:t>service, and collective ingenuity.</w:t>
            </w:r>
          </w:p>
        </w:tc>
        <w:tc>
          <w:tcPr>
            <w:tcW w:w="0" w:type="dxa"/>
            <w:vAlign w:val="bottom"/>
          </w:tcPr>
          <w:p>
            <w:pPr>
              <w:spacing w:after="0"/>
              <w:rPr>
                <w:sz w:val="1"/>
                <w:szCs w:val="1"/>
                <w:color w:val="auto"/>
              </w:rPr>
            </w:pPr>
          </w:p>
        </w:tc>
      </w:tr>
      <w:tr>
        <w:trPr>
          <w:trHeight w:val="116"/>
        </w:trPr>
        <w:tc>
          <w:tcPr>
            <w:tcW w:w="5300" w:type="dxa"/>
            <w:vAlign w:val="bottom"/>
            <w:tcBorders>
              <w:left w:val="single" w:sz="8" w:color="8EAADB"/>
              <w:right w:val="single" w:sz="8" w:color="8EAADB"/>
            </w:tcBorders>
            <w:vMerge w:val="continue"/>
            <w:shd w:val="clear" w:color="auto" w:fill="D9E2F3"/>
          </w:tcPr>
          <w:p>
            <w:pPr>
              <w:spacing w:after="0"/>
              <w:rPr>
                <w:sz w:val="10"/>
                <w:szCs w:val="10"/>
                <w:color w:val="auto"/>
              </w:rPr>
            </w:pPr>
          </w:p>
        </w:tc>
        <w:tc>
          <w:tcPr>
            <w:tcW w:w="5260" w:type="dxa"/>
            <w:vAlign w:val="bottom"/>
            <w:tcBorders>
              <w:right w:val="single" w:sz="8" w:color="8EAADB"/>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300" w:type="dxa"/>
            <w:vAlign w:val="bottom"/>
            <w:tcBorders>
              <w:left w:val="single" w:sz="8" w:color="8EAADB"/>
              <w:right w:val="single" w:sz="8" w:color="8EAADB"/>
            </w:tcBorders>
            <w:shd w:val="clear" w:color="auto" w:fill="D9E2F3"/>
          </w:tcPr>
          <w:p>
            <w:pPr>
              <w:ind w:left="140"/>
              <w:spacing w:after="0" w:line="144" w:lineRule="exact"/>
              <w:rPr>
                <w:sz w:val="20"/>
                <w:szCs w:val="20"/>
                <w:color w:val="auto"/>
              </w:rPr>
            </w:pPr>
            <w:r>
              <w:rPr>
                <w:rFonts w:ascii="Arial" w:cs="Arial" w:eastAsia="Arial" w:hAnsi="Arial"/>
                <w:sz w:val="13"/>
                <w:szCs w:val="13"/>
                <w:color w:val="666666"/>
              </w:rPr>
              <w:t>demands of our clients.</w:t>
            </w:r>
          </w:p>
        </w:tc>
        <w:tc>
          <w:tcPr>
            <w:tcW w:w="5260" w:type="dxa"/>
            <w:vAlign w:val="bottom"/>
            <w:tcBorders>
              <w:right w:val="single" w:sz="8" w:color="8EAADB"/>
            </w:tcBorders>
            <w:shd w:val="clear" w:color="auto" w:fill="D9E2F3"/>
          </w:tcPr>
          <w:p>
            <w:pPr>
              <w:spacing w:after="0" w:line="144" w:lineRule="exact"/>
              <w:rPr>
                <w:sz w:val="20"/>
                <w:szCs w:val="20"/>
                <w:color w:val="auto"/>
              </w:rPr>
            </w:pPr>
            <w:r>
              <w:rPr>
                <w:rFonts w:ascii="Arial" w:cs="Arial" w:eastAsia="Arial" w:hAnsi="Arial"/>
                <w:sz w:val="13"/>
                <w:szCs w:val="13"/>
                <w:color w:val="666666"/>
              </w:rPr>
              <w:t>- Creates and enables agility within our leadership and the Company overall, allowing us to</w:t>
            </w:r>
          </w:p>
        </w:tc>
        <w:tc>
          <w:tcPr>
            <w:tcW w:w="0" w:type="dxa"/>
            <w:vAlign w:val="bottom"/>
          </w:tcPr>
          <w:p>
            <w:pPr>
              <w:spacing w:after="0"/>
              <w:rPr>
                <w:sz w:val="1"/>
                <w:szCs w:val="1"/>
                <w:color w:val="auto"/>
              </w:rPr>
            </w:pPr>
          </w:p>
        </w:tc>
      </w:tr>
      <w:tr>
        <w:trPr>
          <w:trHeight w:val="172"/>
        </w:trPr>
        <w:tc>
          <w:tcPr>
            <w:tcW w:w="5300" w:type="dxa"/>
            <w:vAlign w:val="bottom"/>
            <w:tcBorders>
              <w:left w:val="single" w:sz="8" w:color="8EAADB"/>
              <w:right w:val="single" w:sz="8" w:color="8EAADB"/>
            </w:tcBorders>
            <w:vMerge w:val="restart"/>
            <w:shd w:val="clear" w:color="auto" w:fill="D9E2F3"/>
          </w:tcPr>
          <w:p>
            <w:pPr>
              <w:ind w:left="20"/>
              <w:spacing w:after="0"/>
              <w:rPr>
                <w:sz w:val="20"/>
                <w:szCs w:val="20"/>
                <w:color w:val="auto"/>
              </w:rPr>
            </w:pPr>
            <w:r>
              <w:rPr>
                <w:rFonts w:ascii="Arial" w:cs="Arial" w:eastAsia="Arial" w:hAnsi="Arial"/>
                <w:sz w:val="13"/>
                <w:szCs w:val="13"/>
                <w:color w:val="666666"/>
                <w:w w:val="99"/>
              </w:rPr>
              <w:t>- Creates appropriate rewards and penalties for exceeding or falling short of Company-level</w:t>
            </w:r>
          </w:p>
        </w:tc>
        <w:tc>
          <w:tcPr>
            <w:tcW w:w="5260" w:type="dxa"/>
            <w:vAlign w:val="bottom"/>
            <w:tcBorders>
              <w:right w:val="single" w:sz="8" w:color="8EAADB"/>
            </w:tcBorders>
            <w:shd w:val="clear" w:color="auto" w:fill="D9E2F3"/>
          </w:tcPr>
          <w:p>
            <w:pPr>
              <w:ind w:left="120"/>
              <w:spacing w:after="0"/>
              <w:rPr>
                <w:sz w:val="20"/>
                <w:szCs w:val="20"/>
                <w:color w:val="auto"/>
              </w:rPr>
            </w:pPr>
            <w:r>
              <w:rPr>
                <w:rFonts w:ascii="Arial" w:cs="Arial" w:eastAsia="Arial" w:hAnsi="Arial"/>
                <w:sz w:val="13"/>
                <w:szCs w:val="13"/>
                <w:color w:val="666666"/>
              </w:rPr>
              <w:t>quickly adjust, align, and advance in an ever-changing global marketplace.</w:t>
            </w:r>
          </w:p>
        </w:tc>
        <w:tc>
          <w:tcPr>
            <w:tcW w:w="0" w:type="dxa"/>
            <w:vAlign w:val="bottom"/>
          </w:tcPr>
          <w:p>
            <w:pPr>
              <w:spacing w:after="0"/>
              <w:rPr>
                <w:sz w:val="1"/>
                <w:szCs w:val="1"/>
                <w:color w:val="auto"/>
              </w:rPr>
            </w:pPr>
          </w:p>
        </w:tc>
      </w:tr>
      <w:tr>
        <w:trPr>
          <w:trHeight w:val="116"/>
        </w:trPr>
        <w:tc>
          <w:tcPr>
            <w:tcW w:w="5300" w:type="dxa"/>
            <w:vAlign w:val="bottom"/>
            <w:tcBorders>
              <w:left w:val="single" w:sz="8" w:color="8EAADB"/>
              <w:right w:val="single" w:sz="8" w:color="8EAADB"/>
            </w:tcBorders>
            <w:vMerge w:val="continue"/>
            <w:shd w:val="clear" w:color="auto" w:fill="D9E2F3"/>
          </w:tcPr>
          <w:p>
            <w:pPr>
              <w:spacing w:after="0"/>
              <w:rPr>
                <w:sz w:val="10"/>
                <w:szCs w:val="10"/>
                <w:color w:val="auto"/>
              </w:rPr>
            </w:pPr>
          </w:p>
        </w:tc>
        <w:tc>
          <w:tcPr>
            <w:tcW w:w="5260" w:type="dxa"/>
            <w:vAlign w:val="bottom"/>
            <w:tcBorders>
              <w:right w:val="single" w:sz="8" w:color="8EAADB"/>
            </w:tcBorders>
            <w:shd w:val="clear" w:color="auto" w:fill="D9E2F3"/>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300" w:type="dxa"/>
            <w:vAlign w:val="bottom"/>
            <w:tcBorders>
              <w:left w:val="single" w:sz="8" w:color="8EAADB"/>
              <w:bottom w:val="single" w:sz="8" w:color="8EAADB"/>
              <w:right w:val="single" w:sz="8" w:color="8EAADB"/>
            </w:tcBorders>
            <w:shd w:val="clear" w:color="auto" w:fill="D9E2F3"/>
          </w:tcPr>
          <w:p>
            <w:pPr>
              <w:ind w:left="140"/>
              <w:spacing w:after="0"/>
              <w:rPr>
                <w:sz w:val="20"/>
                <w:szCs w:val="20"/>
                <w:color w:val="auto"/>
              </w:rPr>
            </w:pPr>
            <w:r>
              <w:rPr>
                <w:rFonts w:ascii="Arial" w:cs="Arial" w:eastAsia="Arial" w:hAnsi="Arial"/>
                <w:sz w:val="13"/>
                <w:szCs w:val="13"/>
                <w:color w:val="666666"/>
              </w:rPr>
              <w:t>performance targets.</w:t>
            </w:r>
          </w:p>
        </w:tc>
        <w:tc>
          <w:tcPr>
            <w:tcW w:w="5260" w:type="dxa"/>
            <w:vAlign w:val="bottom"/>
            <w:tcBorders>
              <w:bottom w:val="single" w:sz="8" w:color="8EAADB"/>
              <w:right w:val="single" w:sz="8" w:color="8EAADB"/>
            </w:tcBorders>
            <w:shd w:val="clear" w:color="auto" w:fill="D9E2F3"/>
          </w:tcPr>
          <w:p>
            <w:pPr>
              <w:spacing w:after="0"/>
              <w:rPr>
                <w:sz w:val="15"/>
                <w:szCs w:val="15"/>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547BCC"/>
        </w:rPr>
        <w:t>Redesigned Fiscal Year 2018 Compensation Program</w:t>
      </w:r>
    </w:p>
    <w:p>
      <w:pPr>
        <w:spacing w:after="0" w:line="115" w:lineRule="exact"/>
        <w:rPr>
          <w:sz w:val="20"/>
          <w:szCs w:val="20"/>
          <w:color w:val="auto"/>
        </w:rPr>
      </w:pPr>
    </w:p>
    <w:p>
      <w:pPr>
        <w:ind w:right="20" w:firstLine="230"/>
        <w:spacing w:after="0" w:line="264" w:lineRule="auto"/>
        <w:rPr>
          <w:sz w:val="20"/>
          <w:szCs w:val="20"/>
          <w:color w:val="auto"/>
        </w:rPr>
      </w:pPr>
      <w:r>
        <w:rPr>
          <w:rFonts w:ascii="Arial" w:cs="Arial" w:eastAsia="Arial" w:hAnsi="Arial"/>
          <w:sz w:val="14"/>
          <w:szCs w:val="14"/>
          <w:color w:val="666666"/>
        </w:rPr>
        <w:t>Together with our Compensation Committee, we implemented several enhancements to our executive compensation program in fiscal year 2018. These enhancements are designed to meet the current and future needs of our dynamic business and further reinforce our compensation philosophy for our executives, who we define as our named executive officers, Executive Vice Presidents, and Senior Vice Presidents. Key enhancements, which are explained in greater detail in subsequent sections, include:</w:t>
      </w:r>
    </w:p>
    <w:p>
      <w:pPr>
        <w:spacing w:after="0" w:line="35" w:lineRule="exact"/>
        <w:rPr>
          <w:sz w:val="20"/>
          <w:szCs w:val="20"/>
          <w:color w:val="auto"/>
        </w:rPr>
      </w:pPr>
    </w:p>
    <w:p>
      <w:pPr>
        <w:ind w:left="460" w:hanging="233"/>
        <w:spacing w:after="0" w:line="285" w:lineRule="auto"/>
        <w:tabs>
          <w:tab w:leader="none" w:pos="460" w:val="left"/>
        </w:tabs>
        <w:numPr>
          <w:ilvl w:val="0"/>
          <w:numId w:val="27"/>
        </w:numPr>
        <w:rPr>
          <w:rFonts w:ascii="Arial" w:cs="Arial" w:eastAsia="Arial" w:hAnsi="Arial"/>
          <w:sz w:val="14"/>
          <w:szCs w:val="14"/>
          <w:color w:val="666666"/>
        </w:rPr>
      </w:pPr>
      <w:r>
        <w:rPr>
          <w:rFonts w:ascii="Arial" w:cs="Arial" w:eastAsia="Arial" w:hAnsi="Arial"/>
          <w:sz w:val="14"/>
          <w:szCs w:val="14"/>
          <w:color w:val="666666"/>
        </w:rPr>
        <w:t>Implemented performance restricted stock units as a key component of our long-term incentive plan, tied to top-line and bottom-line Company financial objectives with a three-year performance cycle for our executives, including our named executive officers.</w:t>
      </w:r>
    </w:p>
    <w:p>
      <w:pPr>
        <w:spacing w:after="0" w:line="20" w:lineRule="exact"/>
        <w:rPr>
          <w:rFonts w:ascii="Arial" w:cs="Arial" w:eastAsia="Arial" w:hAnsi="Arial"/>
          <w:sz w:val="14"/>
          <w:szCs w:val="14"/>
          <w:color w:val="666666"/>
        </w:rPr>
      </w:pPr>
    </w:p>
    <w:p>
      <w:pPr>
        <w:ind w:left="460" w:hanging="233"/>
        <w:spacing w:after="0"/>
        <w:tabs>
          <w:tab w:leader="none" w:pos="460" w:val="left"/>
        </w:tabs>
        <w:numPr>
          <w:ilvl w:val="0"/>
          <w:numId w:val="27"/>
        </w:numPr>
        <w:rPr>
          <w:rFonts w:ascii="Arial" w:cs="Arial" w:eastAsia="Arial" w:hAnsi="Arial"/>
          <w:sz w:val="14"/>
          <w:szCs w:val="14"/>
          <w:color w:val="666666"/>
        </w:rPr>
      </w:pPr>
      <w:r>
        <w:rPr>
          <w:rFonts w:ascii="Arial" w:cs="Arial" w:eastAsia="Arial" w:hAnsi="Arial"/>
          <w:sz w:val="14"/>
          <w:szCs w:val="14"/>
          <w:color w:val="666666"/>
        </w:rPr>
        <w:t>Increased annual equity compensation grant amounts, delivered in both time-vested and long-term performance-vested components.</w:t>
      </w:r>
    </w:p>
    <w:p>
      <w:pPr>
        <w:spacing w:after="0" w:line="79" w:lineRule="exact"/>
        <w:rPr>
          <w:rFonts w:ascii="Arial" w:cs="Arial" w:eastAsia="Arial" w:hAnsi="Arial"/>
          <w:sz w:val="14"/>
          <w:szCs w:val="14"/>
          <w:color w:val="666666"/>
        </w:rPr>
      </w:pPr>
    </w:p>
    <w:p>
      <w:pPr>
        <w:ind w:left="460" w:hanging="233"/>
        <w:spacing w:after="0"/>
        <w:tabs>
          <w:tab w:leader="none" w:pos="460" w:val="left"/>
        </w:tabs>
        <w:numPr>
          <w:ilvl w:val="0"/>
          <w:numId w:val="27"/>
        </w:numPr>
        <w:rPr>
          <w:rFonts w:ascii="Arial" w:cs="Arial" w:eastAsia="Arial" w:hAnsi="Arial"/>
          <w:sz w:val="14"/>
          <w:szCs w:val="14"/>
          <w:color w:val="666666"/>
        </w:rPr>
      </w:pPr>
      <w:r>
        <w:rPr>
          <w:rFonts w:ascii="Arial" w:cs="Arial" w:eastAsia="Arial" w:hAnsi="Arial"/>
          <w:sz w:val="14"/>
          <w:szCs w:val="14"/>
          <w:color w:val="666666"/>
        </w:rPr>
        <w:t>Retained our unique point-based compensation structure for annual performance bonus calculation.</w:t>
      </w:r>
    </w:p>
    <w:p>
      <w:pPr>
        <w:spacing w:after="0" w:line="79" w:lineRule="exact"/>
        <w:rPr>
          <w:rFonts w:ascii="Arial" w:cs="Arial" w:eastAsia="Arial" w:hAnsi="Arial"/>
          <w:sz w:val="14"/>
          <w:szCs w:val="14"/>
          <w:color w:val="666666"/>
        </w:rPr>
      </w:pPr>
    </w:p>
    <w:p>
      <w:pPr>
        <w:ind w:left="460" w:hanging="233"/>
        <w:spacing w:after="0"/>
        <w:tabs>
          <w:tab w:leader="none" w:pos="460" w:val="left"/>
        </w:tabs>
        <w:numPr>
          <w:ilvl w:val="0"/>
          <w:numId w:val="27"/>
        </w:numPr>
        <w:rPr>
          <w:rFonts w:ascii="Arial" w:cs="Arial" w:eastAsia="Arial" w:hAnsi="Arial"/>
          <w:sz w:val="14"/>
          <w:szCs w:val="14"/>
          <w:color w:val="666666"/>
        </w:rPr>
      </w:pPr>
      <w:r>
        <w:rPr>
          <w:rFonts w:ascii="Arial" w:cs="Arial" w:eastAsia="Arial" w:hAnsi="Arial"/>
          <w:sz w:val="14"/>
          <w:szCs w:val="14"/>
          <w:color w:val="666666"/>
        </w:rPr>
        <w:t>Paid the annual performance bonus entirely in cash, rather than a mix of cash and equity, due to the changes we made in our long-term incentive program.</w:t>
      </w:r>
    </w:p>
    <w:p>
      <w:pPr>
        <w:spacing w:after="0" w:line="79" w:lineRule="exact"/>
        <w:rPr>
          <w:rFonts w:ascii="Arial" w:cs="Arial" w:eastAsia="Arial" w:hAnsi="Arial"/>
          <w:sz w:val="14"/>
          <w:szCs w:val="14"/>
          <w:color w:val="666666"/>
        </w:rPr>
      </w:pPr>
    </w:p>
    <w:p>
      <w:pPr>
        <w:ind w:left="460" w:hanging="233"/>
        <w:spacing w:after="0"/>
        <w:tabs>
          <w:tab w:leader="none" w:pos="460" w:val="left"/>
        </w:tabs>
        <w:numPr>
          <w:ilvl w:val="0"/>
          <w:numId w:val="27"/>
        </w:numPr>
        <w:rPr>
          <w:rFonts w:ascii="Arial" w:cs="Arial" w:eastAsia="Arial" w:hAnsi="Arial"/>
          <w:sz w:val="14"/>
          <w:szCs w:val="14"/>
          <w:color w:val="666666"/>
        </w:rPr>
      </w:pPr>
      <w:r>
        <w:rPr>
          <w:rFonts w:ascii="Arial" w:cs="Arial" w:eastAsia="Arial" w:hAnsi="Arial"/>
          <w:sz w:val="14"/>
          <w:szCs w:val="14"/>
          <w:color w:val="666666"/>
        </w:rPr>
        <w:t>Increased equity ownership requirements for our CEO and our other named executive officers.</w:t>
      </w:r>
    </w:p>
    <w:p>
      <w:pPr>
        <w:spacing w:after="0" w:line="79" w:lineRule="exact"/>
        <w:rPr>
          <w:rFonts w:ascii="Arial" w:cs="Arial" w:eastAsia="Arial" w:hAnsi="Arial"/>
          <w:sz w:val="14"/>
          <w:szCs w:val="14"/>
          <w:color w:val="666666"/>
        </w:rPr>
      </w:pPr>
    </w:p>
    <w:p>
      <w:pPr>
        <w:ind w:left="460" w:hanging="233"/>
        <w:spacing w:after="0"/>
        <w:tabs>
          <w:tab w:leader="none" w:pos="460" w:val="left"/>
        </w:tabs>
        <w:numPr>
          <w:ilvl w:val="0"/>
          <w:numId w:val="27"/>
        </w:numPr>
        <w:rPr>
          <w:rFonts w:ascii="Arial" w:cs="Arial" w:eastAsia="Arial" w:hAnsi="Arial"/>
          <w:sz w:val="14"/>
          <w:szCs w:val="14"/>
          <w:color w:val="666666"/>
        </w:rPr>
      </w:pPr>
      <w:r>
        <w:rPr>
          <w:rFonts w:ascii="Arial" w:cs="Arial" w:eastAsia="Arial" w:hAnsi="Arial"/>
          <w:sz w:val="14"/>
          <w:szCs w:val="14"/>
          <w:color w:val="666666"/>
        </w:rPr>
        <w:t>Eliminated certain perquisites for our named executive officers, specifically reimbursement for club dues and the tax gross-up on Company-paid life insurance premiums.</w:t>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666666"/>
        </w:rPr>
        <w:t>28</w:t>
      </w:r>
    </w:p>
    <w:p>
      <w:pPr>
        <w:sectPr>
          <w:pgSz w:w="11900" w:h="16838" w:orient="portrait"/>
          <w:cols w:equalWidth="0" w:num="1">
            <w:col w:w="11300"/>
          </w:cols>
          <w:pgMar w:left="220" w:top="447" w:right="37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i w:val="1"/>
          <w:iCs w:val="1"/>
          <w:color w:val="547BCC"/>
        </w:rPr>
        <w:t>Key Executive Compensation Practices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To ensure strong corporate governance, our compensation program incorporates the following key practices:</w:t>
      </w:r>
    </w:p>
    <w:p>
      <w:pPr>
        <w:spacing w:after="0" w:line="11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340" w:type="dxa"/>
            <w:vAlign w:val="bottom"/>
            <w:shd w:val="clear" w:color="auto" w:fill="4472C4"/>
          </w:tcPr>
          <w:p>
            <w:pPr>
              <w:spacing w:after="0"/>
              <w:rPr>
                <w:sz w:val="16"/>
                <w:szCs w:val="16"/>
                <w:color w:val="auto"/>
              </w:rPr>
            </w:pPr>
          </w:p>
        </w:tc>
        <w:tc>
          <w:tcPr>
            <w:tcW w:w="5220" w:type="dxa"/>
            <w:vAlign w:val="bottom"/>
            <w:shd w:val="clear" w:color="auto" w:fill="4472C4"/>
          </w:tcPr>
          <w:p>
            <w:pPr>
              <w:ind w:left="1580"/>
              <w:spacing w:after="0"/>
              <w:rPr>
                <w:sz w:val="20"/>
                <w:szCs w:val="20"/>
                <w:color w:val="auto"/>
              </w:rPr>
            </w:pPr>
            <w:r>
              <w:rPr>
                <w:rFonts w:ascii="Arial" w:cs="Arial" w:eastAsia="Arial" w:hAnsi="Arial"/>
                <w:sz w:val="13"/>
                <w:szCs w:val="13"/>
                <w:b w:val="1"/>
                <w:bCs w:val="1"/>
                <w:i w:val="1"/>
                <w:iCs w:val="1"/>
                <w:color w:val="FFFFFF"/>
              </w:rPr>
              <w:t>At Booz Allen Hamilton, We:</w:t>
            </w:r>
          </w:p>
        </w:tc>
        <w:tc>
          <w:tcPr>
            <w:tcW w:w="120" w:type="dxa"/>
            <w:vAlign w:val="bottom"/>
          </w:tcPr>
          <w:p>
            <w:pPr>
              <w:spacing w:after="0"/>
              <w:rPr>
                <w:sz w:val="16"/>
                <w:szCs w:val="16"/>
                <w:color w:val="auto"/>
              </w:rPr>
            </w:pPr>
          </w:p>
        </w:tc>
        <w:tc>
          <w:tcPr>
            <w:tcW w:w="260" w:type="dxa"/>
            <w:vAlign w:val="bottom"/>
            <w:shd w:val="clear" w:color="auto" w:fill="4472C4"/>
          </w:tcPr>
          <w:p>
            <w:pPr>
              <w:spacing w:after="0"/>
              <w:rPr>
                <w:sz w:val="16"/>
                <w:szCs w:val="16"/>
                <w:color w:val="auto"/>
              </w:rPr>
            </w:pPr>
          </w:p>
        </w:tc>
        <w:tc>
          <w:tcPr>
            <w:tcW w:w="5160" w:type="dxa"/>
            <w:vAlign w:val="bottom"/>
            <w:shd w:val="clear" w:color="auto" w:fill="4472C4"/>
          </w:tcPr>
          <w:p>
            <w:pPr>
              <w:ind w:left="1400"/>
              <w:spacing w:after="0"/>
              <w:rPr>
                <w:sz w:val="20"/>
                <w:szCs w:val="20"/>
                <w:color w:val="auto"/>
              </w:rPr>
            </w:pPr>
            <w:r>
              <w:rPr>
                <w:rFonts w:ascii="Arial" w:cs="Arial" w:eastAsia="Arial" w:hAnsi="Arial"/>
                <w:sz w:val="13"/>
                <w:szCs w:val="13"/>
                <w:b w:val="1"/>
                <w:bCs w:val="1"/>
                <w:i w:val="1"/>
                <w:iCs w:val="1"/>
                <w:color w:val="FFFFFF"/>
              </w:rPr>
              <w:t>At Booz Allen Hamilton, We Don't:</w:t>
            </w:r>
          </w:p>
        </w:tc>
      </w:tr>
      <w:tr>
        <w:trPr>
          <w:trHeight w:val="175"/>
        </w:trPr>
        <w:tc>
          <w:tcPr>
            <w:tcW w:w="340" w:type="dxa"/>
            <w:vAlign w:val="bottom"/>
            <w:shd w:val="clear" w:color="auto" w:fill="D9E2F3"/>
          </w:tcPr>
          <w:p>
            <w:pPr>
              <w:ind w:left="20"/>
              <w:spacing w:after="0"/>
              <w:rPr>
                <w:sz w:val="20"/>
                <w:szCs w:val="20"/>
                <w:color w:val="auto"/>
              </w:rPr>
            </w:pPr>
            <w:r>
              <w:rPr>
                <w:rFonts w:ascii="Times New Roman" w:cs="Times New Roman" w:eastAsia="Times New Roman" w:hAnsi="Times New Roman"/>
                <w:sz w:val="13"/>
                <w:szCs w:val="13"/>
                <w:color w:val="424242"/>
              </w:rPr>
              <w:t>ü</w:t>
            </w:r>
          </w:p>
        </w:tc>
        <w:tc>
          <w:tcPr>
            <w:tcW w:w="5220" w:type="dxa"/>
            <w:vAlign w:val="bottom"/>
            <w:shd w:val="clear" w:color="auto" w:fill="D9E2F3"/>
          </w:tcPr>
          <w:p>
            <w:pPr>
              <w:ind w:left="240"/>
              <w:spacing w:after="0"/>
              <w:rPr>
                <w:sz w:val="20"/>
                <w:szCs w:val="20"/>
                <w:color w:val="auto"/>
              </w:rPr>
            </w:pPr>
            <w:r>
              <w:rPr>
                <w:rFonts w:ascii="Arial" w:cs="Arial" w:eastAsia="Arial" w:hAnsi="Arial"/>
                <w:sz w:val="13"/>
                <w:szCs w:val="13"/>
                <w:color w:val="666666"/>
              </w:rPr>
              <w:t>Require our executives and directors to satisfy meaningful stock ownership</w:t>
            </w:r>
          </w:p>
        </w:tc>
        <w:tc>
          <w:tcPr>
            <w:tcW w:w="120" w:type="dxa"/>
            <w:vAlign w:val="bottom"/>
          </w:tcPr>
          <w:p>
            <w:pPr>
              <w:spacing w:after="0"/>
              <w:rPr>
                <w:sz w:val="15"/>
                <w:szCs w:val="15"/>
                <w:color w:val="auto"/>
              </w:rPr>
            </w:pPr>
          </w:p>
        </w:tc>
        <w:tc>
          <w:tcPr>
            <w:tcW w:w="260" w:type="dxa"/>
            <w:vAlign w:val="bottom"/>
            <w:shd w:val="clear" w:color="auto" w:fill="D9E2F3"/>
          </w:tcPr>
          <w:p>
            <w:pPr>
              <w:jc w:val="right"/>
              <w:ind w:right="116"/>
              <w:spacing w:after="0"/>
              <w:rPr>
                <w:sz w:val="20"/>
                <w:szCs w:val="20"/>
                <w:color w:val="auto"/>
              </w:rPr>
            </w:pPr>
            <w:r>
              <w:rPr>
                <w:rFonts w:ascii="Times New Roman" w:cs="Times New Roman" w:eastAsia="Times New Roman" w:hAnsi="Times New Roman"/>
                <w:sz w:val="13"/>
                <w:szCs w:val="13"/>
                <w:color w:val="424242"/>
                <w:w w:val="91"/>
              </w:rPr>
              <w:t>û</w:t>
            </w:r>
          </w:p>
        </w:tc>
        <w:tc>
          <w:tcPr>
            <w:tcW w:w="5160" w:type="dxa"/>
            <w:vAlign w:val="bottom"/>
            <w:shd w:val="clear" w:color="auto" w:fill="D9E2F3"/>
          </w:tcPr>
          <w:p>
            <w:pPr>
              <w:ind w:left="200"/>
              <w:spacing w:after="0"/>
              <w:rPr>
                <w:sz w:val="20"/>
                <w:szCs w:val="20"/>
                <w:color w:val="auto"/>
              </w:rPr>
            </w:pPr>
            <w:r>
              <w:rPr>
                <w:rFonts w:ascii="Arial" w:cs="Arial" w:eastAsia="Arial" w:hAnsi="Arial"/>
                <w:sz w:val="13"/>
                <w:szCs w:val="13"/>
                <w:color w:val="666666"/>
              </w:rPr>
              <w:t>Reprice underwater stock options</w:t>
            </w:r>
          </w:p>
        </w:tc>
      </w:tr>
      <w:tr>
        <w:trPr>
          <w:trHeight w:val="180"/>
        </w:trPr>
        <w:tc>
          <w:tcPr>
            <w:tcW w:w="340" w:type="dxa"/>
            <w:vAlign w:val="bottom"/>
            <w:shd w:val="clear" w:color="auto" w:fill="D9E2F3"/>
          </w:tcPr>
          <w:p>
            <w:pPr>
              <w:spacing w:after="0"/>
              <w:rPr>
                <w:sz w:val="15"/>
                <w:szCs w:val="15"/>
                <w:color w:val="auto"/>
              </w:rPr>
            </w:pPr>
          </w:p>
        </w:tc>
        <w:tc>
          <w:tcPr>
            <w:tcW w:w="5220" w:type="dxa"/>
            <w:vAlign w:val="bottom"/>
            <w:shd w:val="clear" w:color="auto" w:fill="D9E2F3"/>
          </w:tcPr>
          <w:p>
            <w:pPr>
              <w:ind w:left="240"/>
              <w:spacing w:after="0"/>
              <w:rPr>
                <w:sz w:val="20"/>
                <w:szCs w:val="20"/>
                <w:color w:val="auto"/>
              </w:rPr>
            </w:pPr>
            <w:r>
              <w:rPr>
                <w:rFonts w:ascii="Arial" w:cs="Arial" w:eastAsia="Arial" w:hAnsi="Arial"/>
                <w:sz w:val="13"/>
                <w:szCs w:val="13"/>
                <w:color w:val="666666"/>
              </w:rPr>
              <w:t>requirements</w:t>
            </w:r>
          </w:p>
        </w:tc>
        <w:tc>
          <w:tcPr>
            <w:tcW w:w="120" w:type="dxa"/>
            <w:vAlign w:val="bottom"/>
          </w:tcPr>
          <w:p>
            <w:pPr>
              <w:spacing w:after="0"/>
              <w:rPr>
                <w:sz w:val="15"/>
                <w:szCs w:val="15"/>
                <w:color w:val="auto"/>
              </w:rPr>
            </w:pPr>
          </w:p>
        </w:tc>
        <w:tc>
          <w:tcPr>
            <w:tcW w:w="260" w:type="dxa"/>
            <w:vAlign w:val="bottom"/>
            <w:shd w:val="clear" w:color="auto" w:fill="D9E2F3"/>
          </w:tcPr>
          <w:p>
            <w:pPr>
              <w:spacing w:after="0"/>
              <w:rPr>
                <w:sz w:val="15"/>
                <w:szCs w:val="15"/>
                <w:color w:val="auto"/>
              </w:rPr>
            </w:pPr>
          </w:p>
        </w:tc>
        <w:tc>
          <w:tcPr>
            <w:tcW w:w="5160" w:type="dxa"/>
            <w:vAlign w:val="bottom"/>
            <w:shd w:val="clear" w:color="auto" w:fill="D9E2F3"/>
          </w:tcPr>
          <w:p>
            <w:pPr>
              <w:spacing w:after="0"/>
              <w:rPr>
                <w:sz w:val="15"/>
                <w:szCs w:val="15"/>
                <w:color w:val="auto"/>
              </w:rPr>
            </w:pPr>
          </w:p>
        </w:tc>
      </w:tr>
      <w:tr>
        <w:trPr>
          <w:trHeight w:val="174"/>
        </w:trPr>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424242"/>
              </w:rPr>
              <w:t>ü</w:t>
            </w:r>
          </w:p>
        </w:tc>
        <w:tc>
          <w:tcPr>
            <w:tcW w:w="5220" w:type="dxa"/>
            <w:vAlign w:val="bottom"/>
          </w:tcPr>
          <w:p>
            <w:pPr>
              <w:ind w:left="240"/>
              <w:spacing w:after="0"/>
              <w:rPr>
                <w:sz w:val="20"/>
                <w:szCs w:val="20"/>
                <w:color w:val="auto"/>
              </w:rPr>
            </w:pPr>
            <w:r>
              <w:rPr>
                <w:rFonts w:ascii="Arial" w:cs="Arial" w:eastAsia="Arial" w:hAnsi="Arial"/>
                <w:sz w:val="13"/>
                <w:szCs w:val="13"/>
                <w:color w:val="666666"/>
              </w:rPr>
              <w:t>Include compensation recovery provisions (clawbacks) in our incentive plans</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424242"/>
              </w:rPr>
              <w:t>û</w:t>
            </w:r>
          </w:p>
        </w:tc>
        <w:tc>
          <w:tcPr>
            <w:tcW w:w="5160" w:type="dxa"/>
            <w:vAlign w:val="bottom"/>
          </w:tcPr>
          <w:p>
            <w:pPr>
              <w:ind w:left="200"/>
              <w:spacing w:after="0"/>
              <w:rPr>
                <w:sz w:val="20"/>
                <w:szCs w:val="20"/>
                <w:color w:val="auto"/>
              </w:rPr>
            </w:pPr>
            <w:r>
              <w:rPr>
                <w:rFonts w:ascii="Arial" w:cs="Arial" w:eastAsia="Arial" w:hAnsi="Arial"/>
                <w:sz w:val="13"/>
                <w:szCs w:val="13"/>
                <w:color w:val="666666"/>
              </w:rPr>
              <w:t>Offer individual supplemental executive retirement plans</w:t>
            </w:r>
          </w:p>
        </w:tc>
      </w:tr>
      <w:tr>
        <w:trPr>
          <w:trHeight w:val="164"/>
        </w:trPr>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424242"/>
              </w:rPr>
              <w:t>ü</w:t>
            </w:r>
          </w:p>
        </w:tc>
        <w:tc>
          <w:tcPr>
            <w:tcW w:w="5220" w:type="dxa"/>
            <w:vAlign w:val="bottom"/>
          </w:tcPr>
          <w:p>
            <w:pPr>
              <w:ind w:left="240"/>
              <w:spacing w:after="0"/>
              <w:rPr>
                <w:sz w:val="20"/>
                <w:szCs w:val="20"/>
                <w:color w:val="auto"/>
              </w:rPr>
            </w:pPr>
            <w:r>
              <w:rPr>
                <w:rFonts w:ascii="Arial" w:cs="Arial" w:eastAsia="Arial" w:hAnsi="Arial"/>
                <w:sz w:val="13"/>
                <w:szCs w:val="13"/>
                <w:color w:val="666666"/>
              </w:rPr>
              <w:t>Perform annual review of appropriate peer group to benchmark executive</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424242"/>
              </w:rPr>
              <w:t>û</w:t>
            </w:r>
          </w:p>
        </w:tc>
        <w:tc>
          <w:tcPr>
            <w:tcW w:w="5160" w:type="dxa"/>
            <w:vAlign w:val="bottom"/>
          </w:tcPr>
          <w:p>
            <w:pPr>
              <w:ind w:left="200"/>
              <w:spacing w:after="0"/>
              <w:rPr>
                <w:sz w:val="20"/>
                <w:szCs w:val="20"/>
                <w:color w:val="auto"/>
              </w:rPr>
            </w:pPr>
            <w:r>
              <w:rPr>
                <w:rFonts w:ascii="Arial" w:cs="Arial" w:eastAsia="Arial" w:hAnsi="Arial"/>
                <w:sz w:val="13"/>
                <w:szCs w:val="13"/>
                <w:color w:val="666666"/>
              </w:rPr>
              <w:t>Grant stock options below fair market value</w:t>
            </w:r>
          </w:p>
        </w:tc>
      </w:tr>
      <w:tr>
        <w:trPr>
          <w:trHeight w:val="172"/>
        </w:trPr>
        <w:tc>
          <w:tcPr>
            <w:tcW w:w="340" w:type="dxa"/>
            <w:vAlign w:val="bottom"/>
          </w:tcPr>
          <w:p>
            <w:pPr>
              <w:spacing w:after="0"/>
              <w:rPr>
                <w:sz w:val="14"/>
                <w:szCs w:val="14"/>
                <w:color w:val="auto"/>
              </w:rPr>
            </w:pPr>
          </w:p>
        </w:tc>
        <w:tc>
          <w:tcPr>
            <w:tcW w:w="5220" w:type="dxa"/>
            <w:vAlign w:val="bottom"/>
          </w:tcPr>
          <w:p>
            <w:pPr>
              <w:ind w:left="240"/>
              <w:spacing w:after="0"/>
              <w:rPr>
                <w:sz w:val="20"/>
                <w:szCs w:val="20"/>
                <w:color w:val="auto"/>
              </w:rPr>
            </w:pPr>
            <w:r>
              <w:rPr>
                <w:rFonts w:ascii="Arial" w:cs="Arial" w:eastAsia="Arial" w:hAnsi="Arial"/>
                <w:sz w:val="13"/>
                <w:szCs w:val="13"/>
                <w:color w:val="666666"/>
              </w:rPr>
              <w:t>compensation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160" w:type="dxa"/>
            <w:vAlign w:val="bottom"/>
          </w:tcPr>
          <w:p>
            <w:pPr>
              <w:spacing w:after="0"/>
              <w:rPr>
                <w:sz w:val="14"/>
                <w:szCs w:val="14"/>
                <w:color w:val="auto"/>
              </w:rPr>
            </w:pPr>
          </w:p>
        </w:tc>
      </w:tr>
      <w:tr>
        <w:trPr>
          <w:trHeight w:val="155"/>
        </w:trPr>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424242"/>
              </w:rPr>
              <w:t>ü</w:t>
            </w:r>
          </w:p>
        </w:tc>
        <w:tc>
          <w:tcPr>
            <w:tcW w:w="5220" w:type="dxa"/>
            <w:vAlign w:val="bottom"/>
          </w:tcPr>
          <w:p>
            <w:pPr>
              <w:ind w:left="240"/>
              <w:spacing w:after="0"/>
              <w:rPr>
                <w:sz w:val="20"/>
                <w:szCs w:val="20"/>
                <w:color w:val="auto"/>
              </w:rPr>
            </w:pPr>
            <w:r>
              <w:rPr>
                <w:rFonts w:ascii="Arial" w:cs="Arial" w:eastAsia="Arial" w:hAnsi="Arial"/>
                <w:sz w:val="13"/>
                <w:szCs w:val="13"/>
                <w:color w:val="666666"/>
              </w:rPr>
              <w:t>Conduct annual risk assessment of incentive-based compensation to identify any</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424242"/>
              </w:rPr>
              <w:t>û</w:t>
            </w:r>
          </w:p>
        </w:tc>
        <w:tc>
          <w:tcPr>
            <w:tcW w:w="5160" w:type="dxa"/>
            <w:vAlign w:val="bottom"/>
          </w:tcPr>
          <w:p>
            <w:pPr>
              <w:ind w:left="200"/>
              <w:spacing w:after="0"/>
              <w:rPr>
                <w:sz w:val="20"/>
                <w:szCs w:val="20"/>
                <w:color w:val="auto"/>
              </w:rPr>
            </w:pPr>
            <w:r>
              <w:rPr>
                <w:rFonts w:ascii="Arial" w:cs="Arial" w:eastAsia="Arial" w:hAnsi="Arial"/>
                <w:sz w:val="13"/>
                <w:szCs w:val="13"/>
                <w:color w:val="666666"/>
              </w:rPr>
              <w:t>Provide tax gross-ups on golden parachute payments for CEO or other officers</w:t>
            </w:r>
          </w:p>
        </w:tc>
      </w:tr>
      <w:tr>
        <w:trPr>
          <w:trHeight w:val="172"/>
        </w:trPr>
        <w:tc>
          <w:tcPr>
            <w:tcW w:w="340" w:type="dxa"/>
            <w:vAlign w:val="bottom"/>
          </w:tcPr>
          <w:p>
            <w:pPr>
              <w:spacing w:after="0"/>
              <w:rPr>
                <w:sz w:val="14"/>
                <w:szCs w:val="14"/>
                <w:color w:val="auto"/>
              </w:rPr>
            </w:pPr>
          </w:p>
        </w:tc>
        <w:tc>
          <w:tcPr>
            <w:tcW w:w="5220" w:type="dxa"/>
            <w:vAlign w:val="bottom"/>
          </w:tcPr>
          <w:p>
            <w:pPr>
              <w:ind w:left="240"/>
              <w:spacing w:after="0"/>
              <w:rPr>
                <w:sz w:val="20"/>
                <w:szCs w:val="20"/>
                <w:color w:val="auto"/>
              </w:rPr>
            </w:pPr>
            <w:r>
              <w:rPr>
                <w:rFonts w:ascii="Arial" w:cs="Arial" w:eastAsia="Arial" w:hAnsi="Arial"/>
                <w:sz w:val="13"/>
                <w:szCs w:val="13"/>
                <w:color w:val="666666"/>
              </w:rPr>
              <w:t>issues that could have a material, adverse impact on the Company</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160" w:type="dxa"/>
            <w:vAlign w:val="bottom"/>
          </w:tcPr>
          <w:p>
            <w:pPr>
              <w:ind w:left="200"/>
              <w:spacing w:after="0"/>
              <w:rPr>
                <w:sz w:val="20"/>
                <w:szCs w:val="20"/>
                <w:color w:val="auto"/>
              </w:rPr>
            </w:pPr>
            <w:r>
              <w:rPr>
                <w:rFonts w:ascii="Arial" w:cs="Arial" w:eastAsia="Arial" w:hAnsi="Arial"/>
                <w:sz w:val="13"/>
                <w:szCs w:val="13"/>
                <w:color w:val="666666"/>
              </w:rPr>
              <w:t>following a change in control</w:t>
            </w:r>
          </w:p>
        </w:tc>
      </w:tr>
      <w:tr>
        <w:trPr>
          <w:trHeight w:val="182"/>
        </w:trPr>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424242"/>
              </w:rPr>
              <w:t>ü</w:t>
            </w:r>
          </w:p>
        </w:tc>
        <w:tc>
          <w:tcPr>
            <w:tcW w:w="5220" w:type="dxa"/>
            <w:vAlign w:val="bottom"/>
          </w:tcPr>
          <w:p>
            <w:pPr>
              <w:ind w:left="240"/>
              <w:spacing w:after="0"/>
              <w:rPr>
                <w:sz w:val="20"/>
                <w:szCs w:val="20"/>
                <w:color w:val="auto"/>
              </w:rPr>
            </w:pPr>
            <w:r>
              <w:rPr>
                <w:rFonts w:ascii="Arial" w:cs="Arial" w:eastAsia="Arial" w:hAnsi="Arial"/>
                <w:sz w:val="13"/>
                <w:szCs w:val="13"/>
                <w:color w:val="666666"/>
              </w:rPr>
              <w:t>Hold regular reviews of executive talent, performance, deployments, and succession</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424242"/>
              </w:rPr>
              <w:t>û</w:t>
            </w:r>
          </w:p>
        </w:tc>
        <w:tc>
          <w:tcPr>
            <w:tcW w:w="5160" w:type="dxa"/>
            <w:vAlign w:val="bottom"/>
          </w:tcPr>
          <w:p>
            <w:pPr>
              <w:ind w:left="200"/>
              <w:spacing w:after="0"/>
              <w:rPr>
                <w:sz w:val="20"/>
                <w:szCs w:val="20"/>
                <w:color w:val="auto"/>
              </w:rPr>
            </w:pPr>
            <w:r>
              <w:rPr>
                <w:rFonts w:ascii="Arial" w:cs="Arial" w:eastAsia="Arial" w:hAnsi="Arial"/>
                <w:sz w:val="13"/>
                <w:szCs w:val="13"/>
                <w:color w:val="666666"/>
              </w:rPr>
              <w:t>Allow for change in control agreements for named executive officers</w:t>
            </w:r>
          </w:p>
        </w:tc>
      </w:tr>
      <w:tr>
        <w:trPr>
          <w:trHeight w:val="192"/>
        </w:trPr>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424242"/>
              </w:rPr>
              <w:t>ü</w:t>
            </w:r>
          </w:p>
        </w:tc>
        <w:tc>
          <w:tcPr>
            <w:tcW w:w="5220" w:type="dxa"/>
            <w:vAlign w:val="bottom"/>
          </w:tcPr>
          <w:p>
            <w:pPr>
              <w:ind w:left="240"/>
              <w:spacing w:after="0"/>
              <w:rPr>
                <w:sz w:val="20"/>
                <w:szCs w:val="20"/>
                <w:color w:val="auto"/>
              </w:rPr>
            </w:pPr>
            <w:r>
              <w:rPr>
                <w:rFonts w:ascii="Arial" w:cs="Arial" w:eastAsia="Arial" w:hAnsi="Arial"/>
                <w:sz w:val="13"/>
                <w:szCs w:val="13"/>
                <w:color w:val="666666"/>
              </w:rPr>
              <w:t>Mitigate dilutive effect of equity awards through share repurchase program</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424242"/>
              </w:rPr>
              <w:t>û</w:t>
            </w:r>
          </w:p>
        </w:tc>
        <w:tc>
          <w:tcPr>
            <w:tcW w:w="5160" w:type="dxa"/>
            <w:vAlign w:val="bottom"/>
          </w:tcPr>
          <w:p>
            <w:pPr>
              <w:ind w:left="200"/>
              <w:spacing w:after="0"/>
              <w:rPr>
                <w:sz w:val="20"/>
                <w:szCs w:val="20"/>
                <w:color w:val="auto"/>
              </w:rPr>
            </w:pPr>
            <w:r>
              <w:rPr>
                <w:rFonts w:ascii="Arial" w:cs="Arial" w:eastAsia="Arial" w:hAnsi="Arial"/>
                <w:sz w:val="13"/>
                <w:szCs w:val="13"/>
                <w:color w:val="666666"/>
              </w:rPr>
              <w:t>Allow employees or directors to engage in hedging transactions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-994410</wp:posOffset>
            </wp:positionV>
            <wp:extent cx="7042150" cy="1127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42150" cy="1127760"/>
                    </a:xfrm>
                    <a:prstGeom prst="rect">
                      <a:avLst/>
                    </a:prstGeom>
                    <a:noFill/>
                  </pic:spPr>
                </pic:pic>
              </a:graphicData>
            </a:graphic>
          </wp:anchor>
        </w:drawing>
      </w:r>
    </w:p>
    <w:p>
      <w:pPr>
        <w:ind w:left="760" w:hanging="552"/>
        <w:spacing w:after="0"/>
        <w:tabs>
          <w:tab w:leader="none" w:pos="760" w:val="left"/>
        </w:tabs>
        <w:numPr>
          <w:ilvl w:val="0"/>
          <w:numId w:val="28"/>
        </w:numPr>
        <w:rPr>
          <w:rFonts w:ascii="Times New Roman" w:cs="Times New Roman" w:eastAsia="Times New Roman" w:hAnsi="Times New Roman"/>
          <w:sz w:val="13"/>
          <w:szCs w:val="13"/>
          <w:color w:val="424242"/>
        </w:rPr>
      </w:pPr>
      <w:r>
        <w:rPr>
          <w:rFonts w:ascii="Arial" w:cs="Arial" w:eastAsia="Arial" w:hAnsi="Arial"/>
          <w:sz w:val="13"/>
          <w:szCs w:val="13"/>
          <w:color w:val="666666"/>
        </w:rPr>
        <w:t>Align executive pay with short- and long-term performance</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4F7CBA"/>
        </w:rPr>
        <w:t>Benchmarking and Setting Executive Compensation</w:t>
      </w:r>
    </w:p>
    <w:p>
      <w:pPr>
        <w:spacing w:after="0" w:line="167" w:lineRule="exact"/>
        <w:rPr>
          <w:sz w:val="20"/>
          <w:szCs w:val="20"/>
          <w:color w:val="auto"/>
        </w:rPr>
      </w:pPr>
    </w:p>
    <w:p>
      <w:pPr>
        <w:ind w:right="40" w:firstLine="230"/>
        <w:spacing w:after="0" w:line="264" w:lineRule="auto"/>
        <w:rPr>
          <w:sz w:val="20"/>
          <w:szCs w:val="20"/>
          <w:color w:val="auto"/>
        </w:rPr>
      </w:pPr>
      <w:r>
        <w:rPr>
          <w:rFonts w:ascii="Arial" w:cs="Arial" w:eastAsia="Arial" w:hAnsi="Arial"/>
          <w:sz w:val="14"/>
          <w:szCs w:val="14"/>
          <w:color w:val="666666"/>
        </w:rPr>
        <w:t>To establish compensation for our named executive officers in fiscal year 2018, we engaged ClearBridge to benchmark and evaluate our named executive officers' compensation relative to compensation of peer organizations that are similar in size, industry, and operations. ClearBridge partnered with the Compensation Committee, as well as the CEO and Chief People Officer, to establish and review criteria to select peer companies, as described below:</w:t>
      </w:r>
    </w:p>
    <w:p>
      <w:pPr>
        <w:spacing w:after="0" w:line="122" w:lineRule="exact"/>
        <w:rPr>
          <w:sz w:val="20"/>
          <w:szCs w:val="20"/>
          <w:color w:val="auto"/>
        </w:rPr>
      </w:pPr>
    </w:p>
    <w:p>
      <w:pPr>
        <w:ind w:left="460" w:hanging="233"/>
        <w:spacing w:after="0" w:line="285" w:lineRule="auto"/>
        <w:tabs>
          <w:tab w:leader="none" w:pos="460" w:val="left"/>
        </w:tabs>
        <w:numPr>
          <w:ilvl w:val="0"/>
          <w:numId w:val="29"/>
        </w:numPr>
        <w:rPr>
          <w:rFonts w:ascii="Arial" w:cs="Arial" w:eastAsia="Arial" w:hAnsi="Arial"/>
          <w:sz w:val="14"/>
          <w:szCs w:val="14"/>
          <w:color w:val="666666"/>
        </w:rPr>
      </w:pPr>
      <w:r>
        <w:rPr>
          <w:rFonts w:ascii="Arial" w:cs="Arial" w:eastAsia="Arial" w:hAnsi="Arial"/>
          <w:sz w:val="14"/>
          <w:szCs w:val="14"/>
          <w:color w:val="666666"/>
        </w:rPr>
        <w:t>Company size: Organizations with revenues approximately 0.5x to 2.0x of our revenue, with peer median revenue approximating Company revenue, with flexibility outside of this range to accommodate organizations that are a good match from a business perspective.</w:t>
      </w:r>
    </w:p>
    <w:p>
      <w:pPr>
        <w:spacing w:after="0" w:line="20" w:lineRule="exact"/>
        <w:rPr>
          <w:rFonts w:ascii="Arial" w:cs="Arial" w:eastAsia="Arial" w:hAnsi="Arial"/>
          <w:sz w:val="14"/>
          <w:szCs w:val="14"/>
          <w:color w:val="666666"/>
        </w:rPr>
      </w:pPr>
    </w:p>
    <w:p>
      <w:pPr>
        <w:ind w:left="460" w:hanging="233"/>
        <w:spacing w:after="0" w:line="285" w:lineRule="auto"/>
        <w:tabs>
          <w:tab w:leader="none" w:pos="460" w:val="left"/>
        </w:tabs>
        <w:numPr>
          <w:ilvl w:val="0"/>
          <w:numId w:val="29"/>
        </w:numPr>
        <w:rPr>
          <w:rFonts w:ascii="Arial" w:cs="Arial" w:eastAsia="Arial" w:hAnsi="Arial"/>
          <w:sz w:val="14"/>
          <w:szCs w:val="14"/>
          <w:color w:val="666666"/>
        </w:rPr>
      </w:pPr>
      <w:r>
        <w:rPr>
          <w:rFonts w:ascii="Arial" w:cs="Arial" w:eastAsia="Arial" w:hAnsi="Arial"/>
          <w:sz w:val="14"/>
          <w:szCs w:val="14"/>
          <w:color w:val="666666"/>
        </w:rPr>
        <w:t>Industry: Includes government services organizations and other "comparables" that our Investor Relations department tracks and other organizations that benchmark to our Company.</w:t>
      </w:r>
    </w:p>
    <w:p>
      <w:pPr>
        <w:spacing w:after="0" w:line="107" w:lineRule="exact"/>
        <w:rPr>
          <w:sz w:val="20"/>
          <w:szCs w:val="20"/>
          <w:color w:val="auto"/>
        </w:rPr>
      </w:pPr>
    </w:p>
    <w:p>
      <w:pPr>
        <w:ind w:right="320" w:firstLine="230"/>
        <w:spacing w:after="0" w:line="285" w:lineRule="auto"/>
        <w:rPr>
          <w:sz w:val="20"/>
          <w:szCs w:val="20"/>
          <w:color w:val="auto"/>
        </w:rPr>
      </w:pPr>
      <w:r>
        <w:rPr>
          <w:rFonts w:ascii="Arial" w:cs="Arial" w:eastAsia="Arial" w:hAnsi="Arial"/>
          <w:sz w:val="14"/>
          <w:szCs w:val="14"/>
          <w:color w:val="666666"/>
        </w:rPr>
        <w:t>As a result, for fiscal year 2018, peer comparisons of the compensation of our named executive officers were performed against ten companies as shown below. There were no changes to our peer group from the group used for purposes of benchmarking our named executive officers' compensation in fiscal year 2017.</w:t>
      </w:r>
    </w:p>
    <w:p>
      <w:pPr>
        <w:spacing w:after="0" w:line="214" w:lineRule="exact"/>
        <w:rPr>
          <w:sz w:val="20"/>
          <w:szCs w:val="20"/>
          <w:color w:val="auto"/>
        </w:rPr>
      </w:pPr>
    </w:p>
    <w:tbl>
      <w:tblPr>
        <w:tblLayout w:type="fixed"/>
        <w:tblInd w:w="1190" w:type="dxa"/>
        <w:tblCellMar>
          <w:top w:w="0" w:type="dxa"/>
          <w:left w:w="0" w:type="dxa"/>
          <w:bottom w:w="0" w:type="dxa"/>
          <w:right w:w="0" w:type="dxa"/>
        </w:tblCellMar>
      </w:tblPr>
      <w:tr>
        <w:trPr>
          <w:trHeight w:val="202"/>
        </w:trPr>
        <w:tc>
          <w:tcPr>
            <w:tcW w:w="2560" w:type="dxa"/>
            <w:vAlign w:val="bottom"/>
            <w:tcBorders>
              <w:left w:val="single" w:sz="8" w:color="4472C4"/>
            </w:tcBorders>
            <w:shd w:val="clear" w:color="auto" w:fill="4472C4"/>
          </w:tcPr>
          <w:p>
            <w:pPr>
              <w:spacing w:after="0"/>
              <w:rPr>
                <w:sz w:val="17"/>
                <w:szCs w:val="17"/>
                <w:color w:val="auto"/>
              </w:rPr>
            </w:pPr>
          </w:p>
        </w:tc>
        <w:tc>
          <w:tcPr>
            <w:tcW w:w="6580" w:type="dxa"/>
            <w:vAlign w:val="bottom"/>
            <w:tcBorders>
              <w:right w:val="single" w:sz="8" w:color="4472C4"/>
            </w:tcBorders>
            <w:gridSpan w:val="2"/>
            <w:shd w:val="clear" w:color="auto" w:fill="4472C4"/>
          </w:tcPr>
          <w:p>
            <w:pPr>
              <w:ind w:left="1140"/>
              <w:spacing w:after="0"/>
              <w:rPr>
                <w:sz w:val="20"/>
                <w:szCs w:val="20"/>
                <w:color w:val="auto"/>
              </w:rPr>
            </w:pPr>
            <w:r>
              <w:rPr>
                <w:rFonts w:ascii="Arial" w:cs="Arial" w:eastAsia="Arial" w:hAnsi="Arial"/>
                <w:sz w:val="13"/>
                <w:szCs w:val="13"/>
                <w:b w:val="1"/>
                <w:bCs w:val="1"/>
                <w:i w:val="1"/>
                <w:iCs w:val="1"/>
                <w:color w:val="FFFFFF"/>
              </w:rPr>
              <w:t>Fiscal Year 2018 Peer Group</w:t>
            </w:r>
          </w:p>
        </w:tc>
      </w:tr>
      <w:tr>
        <w:trPr>
          <w:trHeight w:val="174"/>
        </w:trPr>
        <w:tc>
          <w:tcPr>
            <w:tcW w:w="2560" w:type="dxa"/>
            <w:vAlign w:val="bottom"/>
            <w:tcBorders>
              <w:left w:val="single" w:sz="8" w:color="8EAADB"/>
            </w:tcBorders>
            <w:shd w:val="clear" w:color="auto" w:fill="D9E2F3"/>
          </w:tcPr>
          <w:p>
            <w:pPr>
              <w:ind w:left="20"/>
              <w:spacing w:after="0"/>
              <w:rPr>
                <w:sz w:val="20"/>
                <w:szCs w:val="20"/>
                <w:color w:val="auto"/>
              </w:rPr>
            </w:pPr>
            <w:r>
              <w:rPr>
                <w:rFonts w:ascii="Arial" w:cs="Arial" w:eastAsia="Arial" w:hAnsi="Arial"/>
                <w:sz w:val="13"/>
                <w:szCs w:val="13"/>
                <w:color w:val="666666"/>
              </w:rPr>
              <w:t>- CACI International, Inc.</w:t>
            </w:r>
          </w:p>
        </w:tc>
        <w:tc>
          <w:tcPr>
            <w:tcW w:w="2020" w:type="dxa"/>
            <w:vAlign w:val="bottom"/>
            <w:tcBorders>
              <w:right w:val="single" w:sz="8" w:color="8EAADB"/>
            </w:tcBorders>
            <w:shd w:val="clear" w:color="auto" w:fill="D9E2F3"/>
          </w:tcPr>
          <w:p>
            <w:pPr>
              <w:spacing w:after="0"/>
              <w:rPr>
                <w:sz w:val="15"/>
                <w:szCs w:val="15"/>
                <w:color w:val="auto"/>
              </w:rPr>
            </w:pPr>
          </w:p>
        </w:tc>
        <w:tc>
          <w:tcPr>
            <w:tcW w:w="4560" w:type="dxa"/>
            <w:vAlign w:val="bottom"/>
            <w:tcBorders>
              <w:right w:val="single" w:sz="8" w:color="8EAADB"/>
            </w:tcBorders>
            <w:shd w:val="clear" w:color="auto" w:fill="D9E2F3"/>
          </w:tcPr>
          <w:p>
            <w:pPr>
              <w:spacing w:after="0"/>
              <w:rPr>
                <w:sz w:val="20"/>
                <w:szCs w:val="20"/>
                <w:color w:val="auto"/>
              </w:rPr>
            </w:pPr>
            <w:r>
              <w:rPr>
                <w:rFonts w:ascii="Arial" w:cs="Arial" w:eastAsia="Arial" w:hAnsi="Arial"/>
                <w:sz w:val="13"/>
                <w:szCs w:val="13"/>
                <w:color w:val="666666"/>
              </w:rPr>
              <w:t>- L-3 Communications Holdings, Inc.</w:t>
            </w:r>
          </w:p>
        </w:tc>
      </w:tr>
      <w:tr>
        <w:trPr>
          <w:trHeight w:val="288"/>
        </w:trPr>
        <w:tc>
          <w:tcPr>
            <w:tcW w:w="2560" w:type="dxa"/>
            <w:vAlign w:val="bottom"/>
            <w:tcBorders>
              <w:left w:val="single" w:sz="8" w:color="8EAADB"/>
            </w:tcBorders>
            <w:shd w:val="clear" w:color="auto" w:fill="D9E2F3"/>
          </w:tcPr>
          <w:p>
            <w:pPr>
              <w:ind w:left="20"/>
              <w:spacing w:after="0"/>
              <w:rPr>
                <w:sz w:val="20"/>
                <w:szCs w:val="20"/>
                <w:color w:val="auto"/>
              </w:rPr>
            </w:pPr>
            <w:r>
              <w:rPr>
                <w:rFonts w:ascii="Arial" w:cs="Arial" w:eastAsia="Arial" w:hAnsi="Arial"/>
                <w:sz w:val="13"/>
                <w:szCs w:val="13"/>
                <w:color w:val="666666"/>
              </w:rPr>
              <w:t>- CGI Group, Inc.</w:t>
            </w:r>
          </w:p>
        </w:tc>
        <w:tc>
          <w:tcPr>
            <w:tcW w:w="2020" w:type="dxa"/>
            <w:vAlign w:val="bottom"/>
            <w:tcBorders>
              <w:right w:val="single" w:sz="8" w:color="8EAADB"/>
            </w:tcBorders>
            <w:shd w:val="clear" w:color="auto" w:fill="D9E2F3"/>
          </w:tcPr>
          <w:p>
            <w:pPr>
              <w:spacing w:after="0"/>
              <w:rPr>
                <w:sz w:val="24"/>
                <w:szCs w:val="24"/>
                <w:color w:val="auto"/>
              </w:rPr>
            </w:pPr>
          </w:p>
        </w:tc>
        <w:tc>
          <w:tcPr>
            <w:tcW w:w="4560" w:type="dxa"/>
            <w:vAlign w:val="bottom"/>
            <w:tcBorders>
              <w:right w:val="single" w:sz="8" w:color="8EAADB"/>
            </w:tcBorders>
            <w:shd w:val="clear" w:color="auto" w:fill="D9E2F3"/>
          </w:tcPr>
          <w:p>
            <w:pPr>
              <w:spacing w:after="0"/>
              <w:rPr>
                <w:sz w:val="20"/>
                <w:szCs w:val="20"/>
                <w:color w:val="auto"/>
              </w:rPr>
            </w:pPr>
            <w:r>
              <w:rPr>
                <w:rFonts w:ascii="Arial" w:cs="Arial" w:eastAsia="Arial" w:hAnsi="Arial"/>
                <w:sz w:val="13"/>
                <w:szCs w:val="13"/>
                <w:color w:val="666666"/>
              </w:rPr>
              <w:t>- Leidos Holdings, Inc.</w:t>
            </w:r>
          </w:p>
        </w:tc>
      </w:tr>
      <w:tr>
        <w:trPr>
          <w:trHeight w:val="288"/>
        </w:trPr>
        <w:tc>
          <w:tcPr>
            <w:tcW w:w="2560" w:type="dxa"/>
            <w:vAlign w:val="bottom"/>
            <w:tcBorders>
              <w:left w:val="single" w:sz="8" w:color="8EAADB"/>
            </w:tcBorders>
            <w:shd w:val="clear" w:color="auto" w:fill="D9E2F3"/>
          </w:tcPr>
          <w:p>
            <w:pPr>
              <w:ind w:left="20"/>
              <w:spacing w:after="0"/>
              <w:rPr>
                <w:sz w:val="20"/>
                <w:szCs w:val="20"/>
                <w:color w:val="auto"/>
              </w:rPr>
            </w:pPr>
            <w:r>
              <w:rPr>
                <w:rFonts w:ascii="Arial" w:cs="Arial" w:eastAsia="Arial" w:hAnsi="Arial"/>
                <w:sz w:val="13"/>
                <w:szCs w:val="13"/>
                <w:color w:val="666666"/>
              </w:rPr>
              <w:t>- CSRA, Inc.</w:t>
            </w:r>
          </w:p>
        </w:tc>
        <w:tc>
          <w:tcPr>
            <w:tcW w:w="2020" w:type="dxa"/>
            <w:vAlign w:val="bottom"/>
            <w:tcBorders>
              <w:right w:val="single" w:sz="8" w:color="8EAADB"/>
            </w:tcBorders>
            <w:shd w:val="clear" w:color="auto" w:fill="D9E2F3"/>
          </w:tcPr>
          <w:p>
            <w:pPr>
              <w:spacing w:after="0"/>
              <w:rPr>
                <w:sz w:val="24"/>
                <w:szCs w:val="24"/>
                <w:color w:val="auto"/>
              </w:rPr>
            </w:pPr>
          </w:p>
        </w:tc>
        <w:tc>
          <w:tcPr>
            <w:tcW w:w="4560" w:type="dxa"/>
            <w:vAlign w:val="bottom"/>
            <w:tcBorders>
              <w:right w:val="single" w:sz="8" w:color="8EAADB"/>
            </w:tcBorders>
            <w:shd w:val="clear" w:color="auto" w:fill="D9E2F3"/>
          </w:tcPr>
          <w:p>
            <w:pPr>
              <w:spacing w:after="0"/>
              <w:rPr>
                <w:sz w:val="20"/>
                <w:szCs w:val="20"/>
                <w:color w:val="auto"/>
              </w:rPr>
            </w:pPr>
            <w:r>
              <w:rPr>
                <w:rFonts w:ascii="Arial" w:cs="Arial" w:eastAsia="Arial" w:hAnsi="Arial"/>
                <w:sz w:val="13"/>
                <w:szCs w:val="13"/>
                <w:color w:val="666666"/>
              </w:rPr>
              <w:t>- ManTech International Corporation</w:t>
            </w:r>
          </w:p>
        </w:tc>
      </w:tr>
      <w:tr>
        <w:trPr>
          <w:trHeight w:val="288"/>
        </w:trPr>
        <w:tc>
          <w:tcPr>
            <w:tcW w:w="2560" w:type="dxa"/>
            <w:vAlign w:val="bottom"/>
            <w:tcBorders>
              <w:left w:val="single" w:sz="8" w:color="8EAADB"/>
            </w:tcBorders>
            <w:shd w:val="clear" w:color="auto" w:fill="D9E2F3"/>
          </w:tcPr>
          <w:p>
            <w:pPr>
              <w:ind w:left="20"/>
              <w:spacing w:after="0"/>
              <w:rPr>
                <w:sz w:val="20"/>
                <w:szCs w:val="20"/>
                <w:color w:val="auto"/>
              </w:rPr>
            </w:pPr>
            <w:r>
              <w:rPr>
                <w:rFonts w:ascii="Arial" w:cs="Arial" w:eastAsia="Arial" w:hAnsi="Arial"/>
                <w:sz w:val="13"/>
                <w:szCs w:val="13"/>
                <w:color w:val="666666"/>
              </w:rPr>
              <w:t>- Engility Holdings, Inc.</w:t>
            </w:r>
          </w:p>
        </w:tc>
        <w:tc>
          <w:tcPr>
            <w:tcW w:w="2020" w:type="dxa"/>
            <w:vAlign w:val="bottom"/>
            <w:tcBorders>
              <w:right w:val="single" w:sz="8" w:color="8EAADB"/>
            </w:tcBorders>
            <w:shd w:val="clear" w:color="auto" w:fill="D9E2F3"/>
          </w:tcPr>
          <w:p>
            <w:pPr>
              <w:spacing w:after="0"/>
              <w:rPr>
                <w:sz w:val="24"/>
                <w:szCs w:val="24"/>
                <w:color w:val="auto"/>
              </w:rPr>
            </w:pPr>
          </w:p>
        </w:tc>
        <w:tc>
          <w:tcPr>
            <w:tcW w:w="4560" w:type="dxa"/>
            <w:vAlign w:val="bottom"/>
            <w:tcBorders>
              <w:right w:val="single" w:sz="8" w:color="8EAADB"/>
            </w:tcBorders>
            <w:shd w:val="clear" w:color="auto" w:fill="D9E2F3"/>
          </w:tcPr>
          <w:p>
            <w:pPr>
              <w:spacing w:after="0"/>
              <w:rPr>
                <w:sz w:val="20"/>
                <w:szCs w:val="20"/>
                <w:color w:val="auto"/>
              </w:rPr>
            </w:pPr>
            <w:r>
              <w:rPr>
                <w:rFonts w:ascii="Arial" w:cs="Arial" w:eastAsia="Arial" w:hAnsi="Arial"/>
                <w:sz w:val="13"/>
                <w:szCs w:val="13"/>
                <w:color w:val="666666"/>
              </w:rPr>
              <w:t>- Rockwell Collins, Inc.</w:t>
            </w:r>
          </w:p>
        </w:tc>
      </w:tr>
      <w:tr>
        <w:trPr>
          <w:trHeight w:val="292"/>
        </w:trPr>
        <w:tc>
          <w:tcPr>
            <w:tcW w:w="2560" w:type="dxa"/>
            <w:vAlign w:val="bottom"/>
            <w:tcBorders>
              <w:left w:val="single" w:sz="8" w:color="8EAADB"/>
              <w:bottom w:val="single" w:sz="8" w:color="8EAADB"/>
            </w:tcBorders>
            <w:shd w:val="clear" w:color="auto" w:fill="D9E2F3"/>
          </w:tcPr>
          <w:p>
            <w:pPr>
              <w:ind w:left="20"/>
              <w:spacing w:after="0"/>
              <w:rPr>
                <w:sz w:val="20"/>
                <w:szCs w:val="20"/>
                <w:color w:val="auto"/>
              </w:rPr>
            </w:pPr>
            <w:r>
              <w:rPr>
                <w:rFonts w:ascii="Arial" w:cs="Arial" w:eastAsia="Arial" w:hAnsi="Arial"/>
                <w:sz w:val="13"/>
                <w:szCs w:val="13"/>
                <w:color w:val="666666"/>
              </w:rPr>
              <w:t>- Harris Corporation</w:t>
            </w:r>
          </w:p>
        </w:tc>
        <w:tc>
          <w:tcPr>
            <w:tcW w:w="2020" w:type="dxa"/>
            <w:vAlign w:val="bottom"/>
            <w:tcBorders>
              <w:bottom w:val="single" w:sz="8" w:color="8EAADB"/>
              <w:right w:val="single" w:sz="8" w:color="8EAADB"/>
            </w:tcBorders>
            <w:shd w:val="clear" w:color="auto" w:fill="D9E2F3"/>
          </w:tcPr>
          <w:p>
            <w:pPr>
              <w:spacing w:after="0"/>
              <w:rPr>
                <w:sz w:val="24"/>
                <w:szCs w:val="24"/>
                <w:color w:val="auto"/>
              </w:rPr>
            </w:pPr>
          </w:p>
        </w:tc>
        <w:tc>
          <w:tcPr>
            <w:tcW w:w="4560" w:type="dxa"/>
            <w:vAlign w:val="bottom"/>
            <w:tcBorders>
              <w:bottom w:val="single" w:sz="8" w:color="8EAADB"/>
              <w:right w:val="single" w:sz="8" w:color="8EAADB"/>
            </w:tcBorders>
            <w:shd w:val="clear" w:color="auto" w:fill="D9E2F3"/>
          </w:tcPr>
          <w:p>
            <w:pPr>
              <w:spacing w:after="0"/>
              <w:rPr>
                <w:sz w:val="20"/>
                <w:szCs w:val="20"/>
                <w:color w:val="auto"/>
              </w:rPr>
            </w:pPr>
            <w:r>
              <w:rPr>
                <w:rFonts w:ascii="Arial" w:cs="Arial" w:eastAsia="Arial" w:hAnsi="Arial"/>
                <w:sz w:val="13"/>
                <w:szCs w:val="13"/>
                <w:color w:val="666666"/>
              </w:rPr>
              <w:t>- Science Applications International Corporation</w:t>
            </w:r>
          </w:p>
        </w:tc>
      </w:tr>
    </w:tbl>
    <w:p>
      <w:pPr>
        <w:spacing w:after="0" w:line="133" w:lineRule="exact"/>
        <w:rPr>
          <w:sz w:val="20"/>
          <w:szCs w:val="20"/>
          <w:color w:val="auto"/>
        </w:rPr>
      </w:pPr>
    </w:p>
    <w:p>
      <w:pPr>
        <w:jc w:val="both"/>
        <w:ind w:right="400" w:firstLine="230"/>
        <w:spacing w:after="0" w:line="264" w:lineRule="auto"/>
        <w:rPr>
          <w:sz w:val="20"/>
          <w:szCs w:val="20"/>
          <w:color w:val="auto"/>
        </w:rPr>
      </w:pPr>
      <w:r>
        <w:rPr>
          <w:rFonts w:ascii="Arial" w:cs="Arial" w:eastAsia="Arial" w:hAnsi="Arial"/>
          <w:sz w:val="14"/>
          <w:szCs w:val="14"/>
          <w:color w:val="666666"/>
        </w:rPr>
        <w:t>The Compensation Committee then used data from the benchmarking analysis and input from ClearBridge, along with feedback from the CEO in the case of named executive officers who are direct reports to the CEO, and based on the Committee's collective judgment and discretion, established fiscal year target compensation for the named executive officers. This includes the fiscal year salary amount, target annual equity grant value, and the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29</w:t>
      </w:r>
    </w:p>
    <w:p>
      <w:pPr>
        <w:sectPr>
          <w:pgSz w:w="11900" w:h="16838" w:orient="portrait"/>
          <w:cols w:equalWidth="0" w:num="1">
            <w:col w:w="11460"/>
          </w:cols>
          <w:pgMar w:left="220" w:top="563" w:right="219" w:bottom="1440" w:gutter="0" w:footer="0" w:header="0"/>
        </w:sectPr>
      </w:pPr>
    </w:p>
    <w:bookmarkStart w:id="38" w:name="page39"/>
    <w:bookmarkEnd w:id="38"/>
    <w:p>
      <w:pPr>
        <w:ind w:right="840"/>
        <w:spacing w:after="0" w:line="285" w:lineRule="auto"/>
        <w:rPr>
          <w:sz w:val="20"/>
          <w:szCs w:val="20"/>
          <w:color w:val="auto"/>
        </w:rPr>
      </w:pPr>
      <w:r>
        <w:rPr>
          <w:rFonts w:ascii="Arial" w:cs="Arial" w:eastAsia="Arial" w:hAnsi="Arial"/>
          <w:sz w:val="14"/>
          <w:szCs w:val="14"/>
          <w:color w:val="666666"/>
        </w:rPr>
        <w:t>target annual cash incentive which is established as a number of points and target value per point. Additional information on each of these items can be found below under "Compensation Elements."</w:t>
      </w:r>
    </w:p>
    <w:p>
      <w:pPr>
        <w:spacing w:after="0" w:line="107" w:lineRule="exact"/>
        <w:rPr>
          <w:sz w:val="20"/>
          <w:szCs w:val="20"/>
          <w:color w:val="auto"/>
        </w:rPr>
      </w:pPr>
    </w:p>
    <w:p>
      <w:pPr>
        <w:ind w:right="200" w:firstLine="230"/>
        <w:spacing w:after="0" w:line="257" w:lineRule="auto"/>
        <w:rPr>
          <w:sz w:val="20"/>
          <w:szCs w:val="20"/>
          <w:color w:val="auto"/>
        </w:rPr>
      </w:pPr>
      <w:r>
        <w:rPr>
          <w:rFonts w:ascii="Arial" w:cs="Arial" w:eastAsia="Arial" w:hAnsi="Arial"/>
          <w:sz w:val="14"/>
          <w:szCs w:val="14"/>
          <w:color w:val="666666"/>
        </w:rPr>
        <w:t>Any form of adjustment to our named executive officers' compensation is not based solely on peer group compensation data. While the Compensation Committee considers peer group benchmarking and market compensation data as critical inputs in its overall assessment of competitiveness of our executive compensation, in determining target and actual compensation amounts, the Compensation Committee takes into account other factors such as responsibilities, performance, contributions, and experience of each named executive officer.</w:t>
      </w:r>
    </w:p>
    <w:p>
      <w:pPr>
        <w:spacing w:after="0" w:line="127" w:lineRule="exact"/>
        <w:rPr>
          <w:sz w:val="20"/>
          <w:szCs w:val="20"/>
          <w:color w:val="auto"/>
        </w:rPr>
      </w:pPr>
    </w:p>
    <w:p>
      <w:pPr>
        <w:ind w:right="100" w:firstLine="230"/>
        <w:spacing w:after="0" w:line="285" w:lineRule="auto"/>
        <w:rPr>
          <w:sz w:val="20"/>
          <w:szCs w:val="20"/>
          <w:color w:val="auto"/>
        </w:rPr>
      </w:pPr>
      <w:r>
        <w:rPr>
          <w:rFonts w:ascii="Arial" w:cs="Arial" w:eastAsia="Arial" w:hAnsi="Arial"/>
          <w:sz w:val="14"/>
          <w:szCs w:val="14"/>
          <w:color w:val="666666"/>
        </w:rPr>
        <w:t>In fiscal year 2018, ClearBridge also assisted in the implementation of our redesigned executive compensation program. They provided advice on the development of the program, including identification of performance measures associated with the long-term performance equity program.</w:t>
      </w:r>
    </w:p>
    <w:p>
      <w:pPr>
        <w:spacing w:after="0" w:line="107" w:lineRule="exact"/>
        <w:rPr>
          <w:sz w:val="20"/>
          <w:szCs w:val="20"/>
          <w:color w:val="auto"/>
        </w:rPr>
      </w:pPr>
    </w:p>
    <w:p>
      <w:pPr>
        <w:ind w:right="100" w:firstLine="230"/>
        <w:spacing w:after="0" w:line="285" w:lineRule="auto"/>
        <w:rPr>
          <w:sz w:val="20"/>
          <w:szCs w:val="20"/>
          <w:color w:val="auto"/>
        </w:rPr>
      </w:pPr>
      <w:r>
        <w:rPr>
          <w:rFonts w:ascii="Arial" w:cs="Arial" w:eastAsia="Arial" w:hAnsi="Arial"/>
          <w:sz w:val="14"/>
          <w:szCs w:val="14"/>
          <w:color w:val="666666"/>
        </w:rPr>
        <w:t>In consultation with the Compensation Committee, the Company made a decision in the latter part of fiscal year 2018 to engage a new executive compensation advisor, Korn Ferry Hay Group (KFHG). KFHG provided advice in fiscal year 2018 related to the following matters:</w:t>
      </w:r>
    </w:p>
    <w:p>
      <w:pPr>
        <w:spacing w:after="0" w:line="107" w:lineRule="exact"/>
        <w:rPr>
          <w:sz w:val="20"/>
          <w:szCs w:val="20"/>
          <w:color w:val="auto"/>
        </w:rPr>
      </w:pPr>
    </w:p>
    <w:p>
      <w:pPr>
        <w:ind w:left="460" w:hanging="233"/>
        <w:spacing w:after="0"/>
        <w:tabs>
          <w:tab w:leader="none" w:pos="460" w:val="left"/>
        </w:tabs>
        <w:numPr>
          <w:ilvl w:val="0"/>
          <w:numId w:val="30"/>
        </w:numPr>
        <w:rPr>
          <w:rFonts w:ascii="Arial" w:cs="Arial" w:eastAsia="Arial" w:hAnsi="Arial"/>
          <w:sz w:val="14"/>
          <w:szCs w:val="14"/>
          <w:color w:val="666666"/>
        </w:rPr>
      </w:pPr>
      <w:r>
        <w:rPr>
          <w:rFonts w:ascii="Arial" w:cs="Arial" w:eastAsia="Arial" w:hAnsi="Arial"/>
          <w:sz w:val="14"/>
          <w:szCs w:val="14"/>
          <w:color w:val="666666"/>
        </w:rPr>
        <w:t>Further evolution of our executive compensation strategy and market alignment</w:t>
      </w:r>
    </w:p>
    <w:p>
      <w:pPr>
        <w:spacing w:after="0" w:line="20" w:lineRule="exact"/>
        <w:rPr>
          <w:rFonts w:ascii="Arial" w:cs="Arial" w:eastAsia="Arial" w:hAnsi="Arial"/>
          <w:sz w:val="14"/>
          <w:szCs w:val="14"/>
          <w:color w:val="666666"/>
        </w:rPr>
      </w:pPr>
    </w:p>
    <w:p>
      <w:pPr>
        <w:ind w:left="460" w:hanging="233"/>
        <w:spacing w:after="0"/>
        <w:tabs>
          <w:tab w:leader="none" w:pos="460" w:val="left"/>
        </w:tabs>
        <w:numPr>
          <w:ilvl w:val="0"/>
          <w:numId w:val="30"/>
        </w:numPr>
        <w:rPr>
          <w:rFonts w:ascii="Arial" w:cs="Arial" w:eastAsia="Arial" w:hAnsi="Arial"/>
          <w:sz w:val="14"/>
          <w:szCs w:val="14"/>
          <w:color w:val="666666"/>
        </w:rPr>
      </w:pPr>
      <w:r>
        <w:rPr>
          <w:rFonts w:ascii="Arial" w:cs="Arial" w:eastAsia="Arial" w:hAnsi="Arial"/>
          <w:sz w:val="14"/>
          <w:szCs w:val="14"/>
          <w:color w:val="666666"/>
        </w:rPr>
        <w:t>Benchmarking and analysis of our CEO and other named executive officers' fiscal year 2019 compensation</w:t>
      </w:r>
    </w:p>
    <w:p>
      <w:pPr>
        <w:spacing w:after="0" w:line="2" w:lineRule="exact"/>
        <w:rPr>
          <w:rFonts w:ascii="Arial" w:cs="Arial" w:eastAsia="Arial" w:hAnsi="Arial"/>
          <w:sz w:val="14"/>
          <w:szCs w:val="14"/>
          <w:color w:val="666666"/>
        </w:rPr>
      </w:pPr>
    </w:p>
    <w:p>
      <w:pPr>
        <w:ind w:left="460" w:hanging="233"/>
        <w:spacing w:after="0"/>
        <w:tabs>
          <w:tab w:leader="none" w:pos="460" w:val="left"/>
        </w:tabs>
        <w:numPr>
          <w:ilvl w:val="0"/>
          <w:numId w:val="30"/>
        </w:numPr>
        <w:rPr>
          <w:rFonts w:ascii="Arial" w:cs="Arial" w:eastAsia="Arial" w:hAnsi="Arial"/>
          <w:sz w:val="14"/>
          <w:szCs w:val="14"/>
          <w:color w:val="666666"/>
        </w:rPr>
      </w:pPr>
      <w:r>
        <w:rPr>
          <w:rFonts w:ascii="Arial" w:cs="Arial" w:eastAsia="Arial" w:hAnsi="Arial"/>
          <w:sz w:val="14"/>
          <w:szCs w:val="14"/>
          <w:color w:val="666666"/>
        </w:rPr>
        <w:t>CEO to median employee pay ratio methodology and calculation</w:t>
      </w:r>
    </w:p>
    <w:p>
      <w:pPr>
        <w:spacing w:after="0" w:line="2" w:lineRule="exact"/>
        <w:rPr>
          <w:rFonts w:ascii="Arial" w:cs="Arial" w:eastAsia="Arial" w:hAnsi="Arial"/>
          <w:sz w:val="14"/>
          <w:szCs w:val="14"/>
          <w:color w:val="666666"/>
        </w:rPr>
      </w:pPr>
    </w:p>
    <w:p>
      <w:pPr>
        <w:ind w:left="460" w:hanging="233"/>
        <w:spacing w:after="0"/>
        <w:tabs>
          <w:tab w:leader="none" w:pos="460" w:val="left"/>
        </w:tabs>
        <w:numPr>
          <w:ilvl w:val="0"/>
          <w:numId w:val="30"/>
        </w:numPr>
        <w:rPr>
          <w:rFonts w:ascii="Arial" w:cs="Arial" w:eastAsia="Arial" w:hAnsi="Arial"/>
          <w:sz w:val="14"/>
          <w:szCs w:val="14"/>
          <w:color w:val="666666"/>
        </w:rPr>
      </w:pPr>
      <w:r>
        <w:rPr>
          <w:rFonts w:ascii="Arial" w:cs="Arial" w:eastAsia="Arial" w:hAnsi="Arial"/>
          <w:sz w:val="14"/>
          <w:szCs w:val="14"/>
          <w:color w:val="666666"/>
        </w:rPr>
        <w:t>Impact of the Tax Cuts and Jobs Act of 2017 on executive compensation, specifically related to our long-term incentive performance plan</w:t>
      </w:r>
    </w:p>
    <w:p>
      <w:pPr>
        <w:spacing w:after="0" w:line="147" w:lineRule="exact"/>
        <w:rPr>
          <w:sz w:val="20"/>
          <w:szCs w:val="20"/>
          <w:color w:val="auto"/>
        </w:rPr>
      </w:pPr>
    </w:p>
    <w:p>
      <w:pPr>
        <w:ind w:right="20" w:firstLine="230"/>
        <w:spacing w:after="0" w:line="264" w:lineRule="auto"/>
        <w:rPr>
          <w:sz w:val="20"/>
          <w:szCs w:val="20"/>
          <w:color w:val="auto"/>
        </w:rPr>
      </w:pPr>
      <w:r>
        <w:rPr>
          <w:rFonts w:ascii="Arial" w:cs="Arial" w:eastAsia="Arial" w:hAnsi="Arial"/>
          <w:sz w:val="14"/>
          <w:szCs w:val="14"/>
          <w:color w:val="666666"/>
        </w:rPr>
        <w:t>In fiscal year 2019, KFHG will perform an analysis of our compensation peer group and review the results and present recommendations to the Compensation Committee. The Compensation Committee reviews the peer group regularly and adjusts as necessary due to the changes at the selected company's operations or changes in comparability (e.g., due to bankruptcy, acquisitions, mergers) to the Company.</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Compensation Elements</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The primary components of our executive compensation program include:</w:t>
      </w:r>
    </w:p>
    <w:p>
      <w:pPr>
        <w:spacing w:after="0" w:line="311" w:lineRule="exact"/>
        <w:rPr>
          <w:sz w:val="20"/>
          <w:szCs w:val="20"/>
          <w:color w:val="auto"/>
        </w:rPr>
      </w:pPr>
    </w:p>
    <w:tbl>
      <w:tblPr>
        <w:tblLayout w:type="fixed"/>
        <w:tblInd w:w="950" w:type="dxa"/>
        <w:tblCellMar>
          <w:top w:w="0" w:type="dxa"/>
          <w:left w:w="0" w:type="dxa"/>
          <w:bottom w:w="0" w:type="dxa"/>
          <w:right w:w="0" w:type="dxa"/>
        </w:tblCellMar>
      </w:tblPr>
      <w:tr>
        <w:trPr>
          <w:trHeight w:val="192"/>
        </w:trPr>
        <w:tc>
          <w:tcPr>
            <w:tcW w:w="3380" w:type="dxa"/>
            <w:vAlign w:val="bottom"/>
            <w:tcBorders>
              <w:left w:val="single" w:sz="8" w:color="4472C4"/>
              <w:bottom w:val="single" w:sz="8" w:color="8EAADB"/>
              <w:right w:val="single" w:sz="8" w:color="4472C4"/>
            </w:tcBorders>
            <w:shd w:val="clear" w:color="auto" w:fill="4472C4"/>
          </w:tcPr>
          <w:p>
            <w:pPr>
              <w:ind w:left="1440"/>
              <w:spacing w:after="0"/>
              <w:rPr>
                <w:sz w:val="20"/>
                <w:szCs w:val="20"/>
                <w:color w:val="auto"/>
              </w:rPr>
            </w:pPr>
            <w:r>
              <w:rPr>
                <w:rFonts w:ascii="Arial" w:cs="Arial" w:eastAsia="Arial" w:hAnsi="Arial"/>
                <w:sz w:val="13"/>
                <w:szCs w:val="13"/>
                <w:b w:val="1"/>
                <w:bCs w:val="1"/>
                <w:i w:val="1"/>
                <w:iCs w:val="1"/>
                <w:color w:val="FFFFFF"/>
              </w:rPr>
              <w:t>Element</w:t>
            </w:r>
          </w:p>
        </w:tc>
        <w:tc>
          <w:tcPr>
            <w:tcW w:w="6220" w:type="dxa"/>
            <w:vAlign w:val="bottom"/>
            <w:tcBorders>
              <w:bottom w:val="single" w:sz="8" w:color="8EAADB"/>
              <w:right w:val="single" w:sz="8" w:color="4472C4"/>
            </w:tcBorders>
            <w:shd w:val="clear" w:color="auto" w:fill="4472C4"/>
          </w:tcPr>
          <w:p>
            <w:pPr>
              <w:ind w:left="2800"/>
              <w:spacing w:after="0"/>
              <w:rPr>
                <w:sz w:val="20"/>
                <w:szCs w:val="20"/>
                <w:color w:val="auto"/>
              </w:rPr>
            </w:pPr>
            <w:r>
              <w:rPr>
                <w:rFonts w:ascii="Arial" w:cs="Arial" w:eastAsia="Arial" w:hAnsi="Arial"/>
                <w:sz w:val="13"/>
                <w:szCs w:val="13"/>
                <w:b w:val="1"/>
                <w:bCs w:val="1"/>
                <w:i w:val="1"/>
                <w:iCs w:val="1"/>
                <w:color w:val="FFFFFF"/>
              </w:rPr>
              <w:t>Objective</w:t>
            </w:r>
          </w:p>
        </w:tc>
      </w:tr>
      <w:tr>
        <w:trPr>
          <w:trHeight w:val="168"/>
        </w:trPr>
        <w:tc>
          <w:tcPr>
            <w:tcW w:w="3380" w:type="dxa"/>
            <w:vAlign w:val="bottom"/>
            <w:tcBorders>
              <w:left w:val="single" w:sz="8" w:color="8EAADB"/>
              <w:bottom w:val="single" w:sz="8" w:color="8EAADB"/>
              <w:right w:val="single" w:sz="8" w:color="8EAADB"/>
            </w:tcBorders>
          </w:tcPr>
          <w:p>
            <w:pPr>
              <w:ind w:left="40"/>
              <w:spacing w:after="0"/>
              <w:rPr>
                <w:sz w:val="20"/>
                <w:szCs w:val="20"/>
                <w:color w:val="auto"/>
              </w:rPr>
            </w:pPr>
            <w:r>
              <w:rPr>
                <w:rFonts w:ascii="Arial" w:cs="Arial" w:eastAsia="Arial" w:hAnsi="Arial"/>
                <w:sz w:val="13"/>
                <w:szCs w:val="13"/>
                <w:color w:val="666666"/>
              </w:rPr>
              <w:t>Base Salary</w:t>
            </w:r>
          </w:p>
        </w:tc>
        <w:tc>
          <w:tcPr>
            <w:tcW w:w="6220" w:type="dxa"/>
            <w:vAlign w:val="bottom"/>
            <w:tcBorders>
              <w:bottom w:val="single" w:sz="8" w:color="8EAADB"/>
              <w:right w:val="single" w:sz="8" w:color="8EAADB"/>
            </w:tcBorders>
          </w:tcPr>
          <w:p>
            <w:pPr>
              <w:spacing w:after="0"/>
              <w:rPr>
                <w:sz w:val="20"/>
                <w:szCs w:val="20"/>
                <w:color w:val="auto"/>
              </w:rPr>
            </w:pPr>
            <w:r>
              <w:rPr>
                <w:rFonts w:ascii="Arial" w:cs="Arial" w:eastAsia="Arial" w:hAnsi="Arial"/>
                <w:sz w:val="13"/>
                <w:szCs w:val="13"/>
                <w:color w:val="666666"/>
              </w:rPr>
              <w:t>Reflects the requirements of the marketplace to attract and retain our executive talent</w:t>
            </w:r>
          </w:p>
        </w:tc>
      </w:tr>
      <w:tr>
        <w:trPr>
          <w:trHeight w:val="172"/>
        </w:trPr>
        <w:tc>
          <w:tcPr>
            <w:tcW w:w="3380" w:type="dxa"/>
            <w:vAlign w:val="bottom"/>
            <w:tcBorders>
              <w:left w:val="single" w:sz="8" w:color="8EAADB"/>
              <w:bottom w:val="single" w:sz="8" w:color="666666"/>
              <w:right w:val="single" w:sz="8" w:color="8EAADB"/>
            </w:tcBorders>
            <w:shd w:val="clear" w:color="auto" w:fill="D9E2F3"/>
          </w:tcPr>
          <w:p>
            <w:pPr>
              <w:ind w:left="40"/>
              <w:spacing w:after="0"/>
              <w:rPr>
                <w:sz w:val="20"/>
                <w:szCs w:val="20"/>
                <w:color w:val="auto"/>
              </w:rPr>
            </w:pPr>
            <w:r>
              <w:rPr>
                <w:rFonts w:ascii="Arial" w:cs="Arial" w:eastAsia="Arial" w:hAnsi="Arial"/>
                <w:sz w:val="13"/>
                <w:szCs w:val="13"/>
                <w:color w:val="666666"/>
              </w:rPr>
              <w:t>Annual Cash Incentive</w:t>
            </w:r>
          </w:p>
        </w:tc>
        <w:tc>
          <w:tcPr>
            <w:tcW w:w="6220" w:type="dxa"/>
            <w:vAlign w:val="bottom"/>
            <w:tcBorders>
              <w:bottom w:val="single" w:sz="8" w:color="8EAADB"/>
              <w:right w:val="single" w:sz="8" w:color="8EAADB"/>
            </w:tcBorders>
            <w:shd w:val="clear" w:color="auto" w:fill="D9E2F3"/>
          </w:tcPr>
          <w:p>
            <w:pPr>
              <w:spacing w:after="0"/>
              <w:rPr>
                <w:sz w:val="20"/>
                <w:szCs w:val="20"/>
                <w:color w:val="auto"/>
              </w:rPr>
            </w:pPr>
            <w:r>
              <w:rPr>
                <w:rFonts w:ascii="Arial" w:cs="Arial" w:eastAsia="Arial" w:hAnsi="Arial"/>
                <w:sz w:val="13"/>
                <w:szCs w:val="13"/>
                <w:color w:val="666666"/>
              </w:rPr>
              <w:t>Rewards our executives for annual performance against key operational and financial targets</w:t>
            </w:r>
          </w:p>
        </w:tc>
      </w:tr>
      <w:tr>
        <w:trPr>
          <w:trHeight w:val="140"/>
        </w:trPr>
        <w:tc>
          <w:tcPr>
            <w:tcW w:w="3380" w:type="dxa"/>
            <w:vAlign w:val="bottom"/>
            <w:tcBorders>
              <w:left w:val="single" w:sz="8" w:color="8EAADB"/>
              <w:right w:val="single" w:sz="8" w:color="8EAADB"/>
            </w:tcBorders>
          </w:tcPr>
          <w:p>
            <w:pPr>
              <w:spacing w:after="0"/>
              <w:rPr>
                <w:sz w:val="12"/>
                <w:szCs w:val="12"/>
                <w:color w:val="auto"/>
              </w:rPr>
            </w:pPr>
          </w:p>
        </w:tc>
        <w:tc>
          <w:tcPr>
            <w:tcW w:w="6220" w:type="dxa"/>
            <w:vAlign w:val="bottom"/>
            <w:tcBorders>
              <w:right w:val="single" w:sz="8" w:color="8EAADB"/>
            </w:tcBorders>
          </w:tcPr>
          <w:p>
            <w:pPr>
              <w:spacing w:after="0" w:line="141" w:lineRule="exact"/>
              <w:rPr>
                <w:sz w:val="20"/>
                <w:szCs w:val="20"/>
                <w:color w:val="auto"/>
              </w:rPr>
            </w:pPr>
            <w:r>
              <w:rPr>
                <w:rFonts w:ascii="Arial" w:cs="Arial" w:eastAsia="Arial" w:hAnsi="Arial"/>
                <w:sz w:val="13"/>
                <w:szCs w:val="13"/>
                <w:color w:val="666666"/>
              </w:rPr>
              <w:t>Rewards our executives for growing our Company over the long term and aligns their interests with our</w:t>
            </w:r>
          </w:p>
        </w:tc>
      </w:tr>
      <w:tr>
        <w:trPr>
          <w:trHeight w:val="176"/>
        </w:trPr>
        <w:tc>
          <w:tcPr>
            <w:tcW w:w="3380" w:type="dxa"/>
            <w:vAlign w:val="bottom"/>
            <w:tcBorders>
              <w:left w:val="single" w:sz="8" w:color="8EAADB"/>
              <w:bottom w:val="single" w:sz="8" w:color="8EAADB"/>
              <w:right w:val="single" w:sz="8" w:color="8EAADB"/>
            </w:tcBorders>
          </w:tcPr>
          <w:p>
            <w:pPr>
              <w:ind w:left="40"/>
              <w:spacing w:after="0"/>
              <w:rPr>
                <w:sz w:val="20"/>
                <w:szCs w:val="20"/>
                <w:color w:val="auto"/>
              </w:rPr>
            </w:pPr>
            <w:r>
              <w:rPr>
                <w:rFonts w:ascii="Arial" w:cs="Arial" w:eastAsia="Arial" w:hAnsi="Arial"/>
                <w:sz w:val="13"/>
                <w:szCs w:val="13"/>
                <w:color w:val="666666"/>
              </w:rPr>
              <w:t>Long-Term Equity Incentives</w:t>
            </w:r>
          </w:p>
        </w:tc>
        <w:tc>
          <w:tcPr>
            <w:tcW w:w="6220" w:type="dxa"/>
            <w:vAlign w:val="bottom"/>
            <w:tcBorders>
              <w:bottom w:val="single" w:sz="8" w:color="8EAADB"/>
              <w:right w:val="single" w:sz="8" w:color="8EAADB"/>
            </w:tcBorders>
          </w:tcPr>
          <w:p>
            <w:pPr>
              <w:spacing w:after="0"/>
              <w:rPr>
                <w:sz w:val="20"/>
                <w:szCs w:val="20"/>
                <w:color w:val="auto"/>
              </w:rPr>
            </w:pPr>
            <w:r>
              <w:rPr>
                <w:rFonts w:ascii="Arial" w:cs="Arial" w:eastAsia="Arial" w:hAnsi="Arial"/>
                <w:sz w:val="13"/>
                <w:szCs w:val="13"/>
                <w:color w:val="666666"/>
              </w:rPr>
              <w:t>stockholders</w:t>
            </w:r>
          </w:p>
        </w:tc>
      </w:tr>
      <w:tr>
        <w:trPr>
          <w:trHeight w:val="140"/>
        </w:trPr>
        <w:tc>
          <w:tcPr>
            <w:tcW w:w="3380" w:type="dxa"/>
            <w:vAlign w:val="bottom"/>
            <w:tcBorders>
              <w:left w:val="single" w:sz="8" w:color="8EAADB"/>
              <w:right w:val="single" w:sz="8" w:color="8EAADB"/>
            </w:tcBorders>
            <w:shd w:val="clear" w:color="auto" w:fill="D9E2F3"/>
          </w:tcPr>
          <w:p>
            <w:pPr>
              <w:spacing w:after="0"/>
              <w:rPr>
                <w:sz w:val="12"/>
                <w:szCs w:val="12"/>
                <w:color w:val="auto"/>
              </w:rPr>
            </w:pPr>
          </w:p>
        </w:tc>
        <w:tc>
          <w:tcPr>
            <w:tcW w:w="6220" w:type="dxa"/>
            <w:vAlign w:val="bottom"/>
            <w:tcBorders>
              <w:right w:val="single" w:sz="8" w:color="8EAADB"/>
            </w:tcBorders>
            <w:shd w:val="clear" w:color="auto" w:fill="D9E2F3"/>
          </w:tcPr>
          <w:p>
            <w:pPr>
              <w:spacing w:after="0" w:line="141" w:lineRule="exact"/>
              <w:rPr>
                <w:sz w:val="20"/>
                <w:szCs w:val="20"/>
                <w:color w:val="auto"/>
              </w:rPr>
            </w:pPr>
            <w:r>
              <w:rPr>
                <w:rFonts w:ascii="Arial" w:cs="Arial" w:eastAsia="Arial" w:hAnsi="Arial"/>
                <w:sz w:val="13"/>
                <w:szCs w:val="13"/>
                <w:color w:val="666666"/>
              </w:rPr>
              <w:t>Provides for the health and welfare of our executives, including retirement benefits to promote long-term</w:t>
            </w:r>
          </w:p>
        </w:tc>
      </w:tr>
      <w:tr>
        <w:trPr>
          <w:trHeight w:val="176"/>
        </w:trPr>
        <w:tc>
          <w:tcPr>
            <w:tcW w:w="3380" w:type="dxa"/>
            <w:vAlign w:val="bottom"/>
            <w:tcBorders>
              <w:left w:val="single" w:sz="8" w:color="8EAADB"/>
              <w:bottom w:val="single" w:sz="8" w:color="666666"/>
              <w:right w:val="single" w:sz="8" w:color="8EAADB"/>
            </w:tcBorders>
            <w:shd w:val="clear" w:color="auto" w:fill="D9E2F3"/>
          </w:tcPr>
          <w:p>
            <w:pPr>
              <w:ind w:left="40"/>
              <w:spacing w:after="0"/>
              <w:rPr>
                <w:sz w:val="20"/>
                <w:szCs w:val="20"/>
                <w:color w:val="auto"/>
              </w:rPr>
            </w:pPr>
            <w:r>
              <w:rPr>
                <w:rFonts w:ascii="Arial" w:cs="Arial" w:eastAsia="Arial" w:hAnsi="Arial"/>
                <w:sz w:val="13"/>
                <w:szCs w:val="13"/>
                <w:color w:val="666666"/>
              </w:rPr>
              <w:t>Benefits</w:t>
            </w:r>
          </w:p>
        </w:tc>
        <w:tc>
          <w:tcPr>
            <w:tcW w:w="6220" w:type="dxa"/>
            <w:vAlign w:val="bottom"/>
            <w:tcBorders>
              <w:bottom w:val="single" w:sz="8" w:color="666666"/>
              <w:right w:val="single" w:sz="8" w:color="8EAADB"/>
            </w:tcBorders>
            <w:shd w:val="clear" w:color="auto" w:fill="D9E2F3"/>
          </w:tcPr>
          <w:p>
            <w:pPr>
              <w:spacing w:after="0"/>
              <w:rPr>
                <w:sz w:val="20"/>
                <w:szCs w:val="20"/>
                <w:color w:val="auto"/>
              </w:rPr>
            </w:pPr>
            <w:r>
              <w:rPr>
                <w:rFonts w:ascii="Arial" w:cs="Arial" w:eastAsia="Arial" w:hAnsi="Arial"/>
                <w:sz w:val="13"/>
                <w:szCs w:val="13"/>
                <w:color w:val="666666"/>
              </w:rPr>
              <w:t>commitment of our executives to the Company</w:t>
            </w:r>
          </w:p>
        </w:tc>
      </w:tr>
    </w:tbl>
    <w:p>
      <w:pPr>
        <w:spacing w:after="0" w:line="95" w:lineRule="exact"/>
        <w:rPr>
          <w:sz w:val="20"/>
          <w:szCs w:val="20"/>
          <w:color w:val="auto"/>
        </w:rPr>
      </w:pPr>
    </w:p>
    <w:p>
      <w:pPr>
        <w:jc w:val="both"/>
        <w:ind w:right="320" w:firstLine="230"/>
        <w:spacing w:after="0" w:line="264" w:lineRule="auto"/>
        <w:rPr>
          <w:sz w:val="20"/>
          <w:szCs w:val="20"/>
          <w:color w:val="auto"/>
        </w:rPr>
      </w:pPr>
      <w:r>
        <w:rPr>
          <w:rFonts w:ascii="Arial" w:cs="Arial" w:eastAsia="Arial" w:hAnsi="Arial"/>
          <w:sz w:val="14"/>
          <w:szCs w:val="14"/>
          <w:color w:val="666666"/>
        </w:rPr>
        <w:t>For fiscal year 2018, the target annual compensation mix for our CEO is approximately 37.5 percent base pay, 20.0 percent annual incentive, and 42.5 percent long-term equity compensation. The average target annual compensation mix for all other named executive officers is approximately 44.1 percent base pay, 21.7 percent annual incentive, and 34.2 percent long-term equity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547BCC"/>
        </w:rPr>
        <w:t>Base Salary</w:t>
      </w:r>
    </w:p>
    <w:p>
      <w:pPr>
        <w:spacing w:after="0" w:line="13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4"/>
          <w:szCs w:val="14"/>
          <w:color w:val="666666"/>
        </w:rPr>
        <w:t>The base pay for our named executive officers is delivered as an annual salary. Prior to fiscal year 2018, base pay was delivered as a "draw" against a point value. For fiscal year 2018, the named executive officers received an increase in base pay, ranging from approximately 2.0 percent to 6.7 percent. These increases were made due to changes in the compensation package as part of the executive compensation redesign and/or to further align with the external</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30</w:t>
      </w:r>
    </w:p>
    <w:p>
      <w:pPr>
        <w:sectPr>
          <w:pgSz w:w="11900" w:h="16838" w:orient="portrait"/>
          <w:cols w:equalWidth="0" w:num="1">
            <w:col w:w="11460"/>
          </w:cols>
          <w:pgMar w:left="220" w:top="445" w:right="219" w:bottom="1440" w:gutter="0" w:footer="0" w:header="0"/>
        </w:sectPr>
      </w:pPr>
    </w:p>
    <w:bookmarkStart w:id="39" w:name="page40"/>
    <w:bookmarkEnd w:id="39"/>
    <w:p>
      <w:pPr>
        <w:jc w:val="both"/>
        <w:ind w:right="20"/>
        <w:spacing w:after="0" w:line="285" w:lineRule="auto"/>
        <w:rPr>
          <w:sz w:val="20"/>
          <w:szCs w:val="20"/>
          <w:color w:val="auto"/>
        </w:rPr>
      </w:pPr>
      <w:r>
        <w:rPr>
          <w:rFonts w:ascii="Arial" w:cs="Arial" w:eastAsia="Arial" w:hAnsi="Arial"/>
          <w:sz w:val="14"/>
          <w:szCs w:val="14"/>
          <w:color w:val="666666"/>
        </w:rPr>
        <w:t>market for competitive pay positioning. The salary earned for each of our named executive officers in fiscal year 2018 is set forth in the “Salary” column of the Summary Compensation Table. No changes are anticipated to the annual salary amounts for our named executive officers for fiscal year 2019.</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547BCC"/>
        </w:rPr>
        <w:t>Annual Cash Incentive</w:t>
      </w:r>
    </w:p>
    <w:p>
      <w:pPr>
        <w:spacing w:after="0" w:line="135"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4"/>
          <w:szCs w:val="14"/>
          <w:color w:val="666666"/>
        </w:rPr>
        <w:t>The annual incentive portion of our executives' compensation is provided through our annual bonus program. Effective for fiscal year 2018, the annual incentive is delivered entirely in cash as part of our redesigned executive compensation program. Previously, the annual incentive was delivered in a mix of cash and restricted stock units, with a 20 percent premium placed on the dollars delivered in restricted stock units. Additionally, under our prior program, executives were eligible for a supplemental bonus which was based on a certain percentage that was assigned to each executive. These changes were made to simplify our executive compensation structure, better align rewards that are based on short-term performance, and strategically repurpose the use of equity compensation to align with the long-term performance of the Company.</w:t>
      </w:r>
    </w:p>
    <w:p>
      <w:pPr>
        <w:spacing w:after="0" w:line="131"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4"/>
          <w:szCs w:val="14"/>
          <w:color w:val="666666"/>
        </w:rPr>
        <w:t>The annual incentive payment is determined using a point model where each named executive officer is assigned a quantity of points and each point is associated with a dollar value. As part of the named executive officer benchmarking performed at the beginning of the fiscal year, the Compensation Committee considers the analysis and recommendation of our executive compensation consultant, as well as of the CEO in the case of other named executive officers who are direct reports to the CEO, to determine the target annual incentive amount where the target dollar point value is multiplied by the number of points. At the end of the fiscal year, based on the Company's performance as discussed below, the Compensation Committee approves the final dollar value per point which is used to determine each named executive officer's actual annual incentive payment. Executives who retire before the end of the fiscal year are generally eligible to receive a prorated incentive payment.</w:t>
      </w:r>
    </w:p>
    <w:p>
      <w:pPr>
        <w:spacing w:after="0" w:line="132" w:lineRule="exact"/>
        <w:rPr>
          <w:sz w:val="20"/>
          <w:szCs w:val="20"/>
          <w:color w:val="auto"/>
        </w:rPr>
      </w:pPr>
    </w:p>
    <w:p>
      <w:pPr>
        <w:jc w:val="both"/>
        <w:ind w:right="20" w:firstLine="230"/>
        <w:spacing w:after="0" w:line="251" w:lineRule="auto"/>
        <w:rPr>
          <w:sz w:val="20"/>
          <w:szCs w:val="20"/>
          <w:color w:val="auto"/>
        </w:rPr>
      </w:pPr>
      <w:r>
        <w:rPr>
          <w:rFonts w:ascii="Arial" w:cs="Arial" w:eastAsia="Arial" w:hAnsi="Arial"/>
          <w:sz w:val="14"/>
          <w:szCs w:val="14"/>
          <w:color w:val="666666"/>
        </w:rPr>
        <w:t>The annual incentive is based on achievement of the Company's performance against a target Adjusted EBITDA range with upward or downward adjustments for performance in comparison to the range. The performance range is set at or near the beginning of each fiscal year by the Compensation Committee. Payment of the annual incentive approximating target levels would generally occur when actual Adjusted EBITDA is within the established Adjusted EBITDA range. A portion of any variance between the established range and actual Adjusted EBITDA is reflected as an adjustment to the pool of funds available for the annual incentive payment, or the bonus pool. The amount of the adjustment is determined by the Compensation Committee in its sole discretion. A positive variance between the range and actual Adjusted EBITDA would generally result in an increase in the bonus pool and a negative variance would generally result in a decrease in the bonus pool.</w:t>
      </w:r>
    </w:p>
    <w:p>
      <w:pPr>
        <w:spacing w:after="0" w:line="132" w:lineRule="exact"/>
        <w:rPr>
          <w:sz w:val="20"/>
          <w:szCs w:val="20"/>
          <w:color w:val="auto"/>
        </w:rPr>
      </w:pPr>
    </w:p>
    <w:p>
      <w:pPr>
        <w:jc w:val="both"/>
        <w:ind w:right="20" w:firstLine="230"/>
        <w:spacing w:after="0" w:line="257" w:lineRule="auto"/>
        <w:rPr>
          <w:sz w:val="20"/>
          <w:szCs w:val="20"/>
          <w:color w:val="auto"/>
        </w:rPr>
      </w:pPr>
      <w:r>
        <w:rPr>
          <w:rFonts w:ascii="Arial" w:cs="Arial" w:eastAsia="Arial" w:hAnsi="Arial"/>
          <w:sz w:val="14"/>
          <w:szCs w:val="14"/>
          <w:color w:val="666666"/>
        </w:rPr>
        <w:t>Adjusted EBITDA is defined as our net income before income taxes, net interest and other expense, and depreciation and amortization, before certain other items, including: (i) certain stock option-based and other equity-based compensation expenses, and (ii) transaction costs, fees, losses, and expenses, including fees associated with debt prepayments. We base the annual incentive portion of our executives' compensation on Adjusted EBITDA because we believe it is a direct reflection of the cash flow and operating profitability of our business and represents the element of our performance that executives can most directly impact through their management of the business.</w:t>
      </w:r>
    </w:p>
    <w:p>
      <w:pPr>
        <w:spacing w:after="0" w:line="127" w:lineRule="exact"/>
        <w:rPr>
          <w:sz w:val="20"/>
          <w:szCs w:val="20"/>
          <w:color w:val="auto"/>
        </w:rPr>
      </w:pPr>
    </w:p>
    <w:p>
      <w:pPr>
        <w:ind w:right="200" w:firstLine="230"/>
        <w:spacing w:after="0" w:line="264" w:lineRule="auto"/>
        <w:rPr>
          <w:sz w:val="20"/>
          <w:szCs w:val="20"/>
          <w:color w:val="auto"/>
        </w:rPr>
      </w:pPr>
      <w:r>
        <w:rPr>
          <w:rFonts w:ascii="Arial" w:cs="Arial" w:eastAsia="Arial" w:hAnsi="Arial"/>
          <w:sz w:val="14"/>
          <w:szCs w:val="14"/>
          <w:color w:val="666666"/>
        </w:rPr>
        <w:t>No bonuses are payable to our named executive officers unless we achieve a minimum threshold Adjusted EBITDA level, which was set as $488 million for fiscal year 2018. If we achieve that level of performance, we can allocate up to 200% of their pro-rata share of the target bonus pool based on our actual Adjusted EBITDA results and the bonus pool approved by the Compensation Committee for all of our executives.</w:t>
      </w:r>
    </w:p>
    <w:p>
      <w:pPr>
        <w:spacing w:after="0" w:line="83" w:lineRule="exact"/>
        <w:rPr>
          <w:sz w:val="20"/>
          <w:szCs w:val="20"/>
          <w:color w:val="auto"/>
        </w:rPr>
      </w:pPr>
    </w:p>
    <w:p>
      <w:pPr>
        <w:ind w:right="100" w:firstLine="230"/>
        <w:spacing w:after="0" w:line="285" w:lineRule="auto"/>
        <w:rPr>
          <w:sz w:val="20"/>
          <w:szCs w:val="20"/>
          <w:color w:val="auto"/>
        </w:rPr>
      </w:pPr>
      <w:r>
        <w:rPr>
          <w:rFonts w:ascii="Arial" w:cs="Arial" w:eastAsia="Arial" w:hAnsi="Arial"/>
          <w:sz w:val="14"/>
          <w:szCs w:val="14"/>
          <w:color w:val="666666"/>
        </w:rPr>
        <w:t>Our Compensation Committee reviews and approves the Adjusted EBITDA result and any adjustments to the plan bonus pool based on year-end operating results. The final bonus pool as approved by our Compensation Committee is distributed to our executives on a consistent per point basis.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31</w:t>
      </w:r>
    </w:p>
    <w:p>
      <w:pPr>
        <w:sectPr>
          <w:pgSz w:w="11900" w:h="16838" w:orient="portrait"/>
          <w:cols w:equalWidth="0" w:num="1">
            <w:col w:w="11480"/>
          </w:cols>
          <w:pgMar w:left="220" w:top="445" w:right="199" w:bottom="1440" w:gutter="0" w:footer="0" w:header="0"/>
        </w:sectPr>
      </w:pPr>
    </w:p>
    <w:bookmarkStart w:id="40" w:name="page41"/>
    <w:bookmarkEnd w:id="40"/>
    <w:tbl>
      <w:tblPr>
        <w:tblLayout w:type="fixed"/>
        <w:tblInd w:w="1070" w:type="dxa"/>
        <w:tblCellMar>
          <w:top w:w="0" w:type="dxa"/>
          <w:left w:w="0" w:type="dxa"/>
          <w:bottom w:w="0" w:type="dxa"/>
          <w:right w:w="0" w:type="dxa"/>
        </w:tblCellMar>
      </w:tblPr>
      <w:tr>
        <w:trPr>
          <w:trHeight w:val="211"/>
        </w:trPr>
        <w:tc>
          <w:tcPr>
            <w:tcW w:w="1620" w:type="dxa"/>
            <w:vAlign w:val="bottom"/>
            <w:tcBorders>
              <w:left w:val="single" w:sz="8" w:color="ACACAC"/>
              <w:right w:val="single" w:sz="8" w:color="ACACAC"/>
            </w:tcBorders>
            <w:shd w:val="clear" w:color="auto" w:fill="4472C4"/>
          </w:tcPr>
          <w:p>
            <w:pPr>
              <w:spacing w:after="0"/>
              <w:rPr>
                <w:sz w:val="18"/>
                <w:szCs w:val="18"/>
                <w:color w:val="auto"/>
              </w:rPr>
            </w:pPr>
          </w:p>
        </w:tc>
        <w:tc>
          <w:tcPr>
            <w:tcW w:w="4500" w:type="dxa"/>
            <w:vAlign w:val="bottom"/>
            <w:tcBorders>
              <w:right w:val="single" w:sz="8" w:color="ACACAC"/>
            </w:tcBorders>
            <w:shd w:val="clear" w:color="auto" w:fill="4472C4"/>
          </w:tcPr>
          <w:p>
            <w:pPr>
              <w:jc w:val="center"/>
              <w:spacing w:after="0"/>
              <w:rPr>
                <w:sz w:val="20"/>
                <w:szCs w:val="20"/>
                <w:color w:val="auto"/>
              </w:rPr>
            </w:pPr>
            <w:r>
              <w:rPr>
                <w:rFonts w:ascii="Arial" w:cs="Arial" w:eastAsia="Arial" w:hAnsi="Arial"/>
                <w:sz w:val="13"/>
                <w:szCs w:val="13"/>
                <w:b w:val="1"/>
                <w:bCs w:val="1"/>
                <w:i w:val="1"/>
                <w:iCs w:val="1"/>
                <w:color w:val="FFFFFF"/>
                <w:w w:val="98"/>
              </w:rPr>
              <w:t>Adjusted EBITDA</w:t>
            </w:r>
          </w:p>
        </w:tc>
        <w:tc>
          <w:tcPr>
            <w:tcW w:w="3260" w:type="dxa"/>
            <w:vAlign w:val="bottom"/>
            <w:tcBorders>
              <w:right w:val="single" w:sz="8" w:color="ACACAC"/>
            </w:tcBorders>
            <w:shd w:val="clear" w:color="auto" w:fill="4472C4"/>
          </w:tcPr>
          <w:p>
            <w:pPr>
              <w:ind w:left="1240"/>
              <w:spacing w:after="0"/>
              <w:rPr>
                <w:sz w:val="20"/>
                <w:szCs w:val="20"/>
                <w:color w:val="auto"/>
              </w:rPr>
            </w:pPr>
            <w:r>
              <w:rPr>
                <w:rFonts w:ascii="Arial" w:cs="Arial" w:eastAsia="Arial" w:hAnsi="Arial"/>
                <w:sz w:val="13"/>
                <w:szCs w:val="13"/>
                <w:b w:val="1"/>
                <w:bCs w:val="1"/>
                <w:i w:val="1"/>
                <w:iCs w:val="1"/>
                <w:color w:val="FFFFFF"/>
              </w:rPr>
              <w:t>Bonus Pool</w:t>
            </w:r>
          </w:p>
        </w:tc>
      </w:tr>
      <w:tr>
        <w:trPr>
          <w:trHeight w:val="178"/>
        </w:trPr>
        <w:tc>
          <w:tcPr>
            <w:tcW w:w="1620" w:type="dxa"/>
            <w:vAlign w:val="bottom"/>
            <w:tcBorders>
              <w:left w:val="single" w:sz="8" w:color="ACACAC"/>
              <w:bottom w:val="single" w:sz="8" w:color="ACACAC"/>
              <w:right w:val="single" w:sz="8" w:color="ACACAC"/>
            </w:tcBorders>
          </w:tcPr>
          <w:p>
            <w:pPr>
              <w:ind w:left="20"/>
              <w:spacing w:after="0"/>
              <w:rPr>
                <w:sz w:val="20"/>
                <w:szCs w:val="20"/>
                <w:color w:val="auto"/>
              </w:rPr>
            </w:pPr>
            <w:r>
              <w:rPr>
                <w:rFonts w:ascii="Arial" w:cs="Arial" w:eastAsia="Arial" w:hAnsi="Arial"/>
                <w:sz w:val="13"/>
                <w:szCs w:val="13"/>
                <w:color w:val="666666"/>
              </w:rPr>
              <w:t>FY18 Target</w:t>
            </w:r>
          </w:p>
        </w:tc>
        <w:tc>
          <w:tcPr>
            <w:tcW w:w="450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13"/>
                <w:szCs w:val="13"/>
                <w:color w:val="666666"/>
                <w:w w:val="98"/>
              </w:rPr>
              <w:t>Range: $560 million - $575 million</w:t>
            </w:r>
          </w:p>
        </w:tc>
        <w:tc>
          <w:tcPr>
            <w:tcW w:w="3260" w:type="dxa"/>
            <w:vAlign w:val="bottom"/>
            <w:tcBorders>
              <w:bottom w:val="single" w:sz="8" w:color="ACACAC"/>
              <w:right w:val="single" w:sz="8" w:color="ACACAC"/>
            </w:tcBorders>
          </w:tcPr>
          <w:p>
            <w:pPr>
              <w:ind w:left="1240"/>
              <w:spacing w:after="0"/>
              <w:rPr>
                <w:sz w:val="20"/>
                <w:szCs w:val="20"/>
                <w:color w:val="auto"/>
              </w:rPr>
            </w:pPr>
            <w:r>
              <w:rPr>
                <w:rFonts w:ascii="Arial" w:cs="Arial" w:eastAsia="Arial" w:hAnsi="Arial"/>
                <w:sz w:val="13"/>
                <w:szCs w:val="13"/>
                <w:color w:val="666666"/>
              </w:rPr>
              <w:t>$20.5 million</w:t>
            </w:r>
          </w:p>
        </w:tc>
      </w:tr>
      <w:tr>
        <w:trPr>
          <w:trHeight w:val="172"/>
        </w:trPr>
        <w:tc>
          <w:tcPr>
            <w:tcW w:w="1620" w:type="dxa"/>
            <w:vAlign w:val="bottom"/>
            <w:tcBorders>
              <w:left w:val="single" w:sz="8" w:color="ACACAC"/>
              <w:bottom w:val="single" w:sz="8" w:color="ACACAC"/>
              <w:right w:val="single" w:sz="8" w:color="ACACAC"/>
            </w:tcBorders>
            <w:shd w:val="clear" w:color="auto" w:fill="D9E2F3"/>
          </w:tcPr>
          <w:p>
            <w:pPr>
              <w:ind w:left="20"/>
              <w:spacing w:after="0"/>
              <w:rPr>
                <w:sz w:val="20"/>
                <w:szCs w:val="20"/>
                <w:color w:val="auto"/>
              </w:rPr>
            </w:pPr>
            <w:r>
              <w:rPr>
                <w:rFonts w:ascii="Arial" w:cs="Arial" w:eastAsia="Arial" w:hAnsi="Arial"/>
                <w:sz w:val="13"/>
                <w:szCs w:val="13"/>
                <w:color w:val="666666"/>
              </w:rPr>
              <w:t>FY18 Actual</w:t>
            </w:r>
          </w:p>
        </w:tc>
        <w:tc>
          <w:tcPr>
            <w:tcW w:w="4500" w:type="dxa"/>
            <w:vAlign w:val="bottom"/>
            <w:tcBorders>
              <w:bottom w:val="single" w:sz="8" w:color="ACACAC"/>
              <w:right w:val="single" w:sz="8" w:color="ACACAC"/>
            </w:tcBorders>
            <w:shd w:val="clear" w:color="auto" w:fill="D9E2F3"/>
          </w:tcPr>
          <w:p>
            <w:pPr>
              <w:jc w:val="center"/>
              <w:spacing w:after="0"/>
              <w:rPr>
                <w:sz w:val="20"/>
                <w:szCs w:val="20"/>
                <w:color w:val="auto"/>
              </w:rPr>
            </w:pPr>
            <w:r>
              <w:rPr>
                <w:rFonts w:ascii="Arial" w:cs="Arial" w:eastAsia="Arial" w:hAnsi="Arial"/>
                <w:sz w:val="13"/>
                <w:szCs w:val="13"/>
                <w:color w:val="666666"/>
                <w:w w:val="99"/>
              </w:rPr>
              <w:t>$584.8 million</w:t>
            </w:r>
          </w:p>
        </w:tc>
        <w:tc>
          <w:tcPr>
            <w:tcW w:w="3260" w:type="dxa"/>
            <w:vAlign w:val="bottom"/>
            <w:tcBorders>
              <w:bottom w:val="single" w:sz="8" w:color="ACACAC"/>
              <w:right w:val="single" w:sz="8" w:color="ACACAC"/>
            </w:tcBorders>
            <w:shd w:val="clear" w:color="auto" w:fill="D9E2F3"/>
          </w:tcPr>
          <w:p>
            <w:pPr>
              <w:ind w:left="1240"/>
              <w:spacing w:after="0"/>
              <w:rPr>
                <w:sz w:val="20"/>
                <w:szCs w:val="20"/>
                <w:color w:val="auto"/>
              </w:rPr>
            </w:pPr>
            <w:r>
              <w:rPr>
                <w:rFonts w:ascii="Arial" w:cs="Arial" w:eastAsia="Arial" w:hAnsi="Arial"/>
                <w:sz w:val="13"/>
                <w:szCs w:val="13"/>
                <w:color w:val="666666"/>
              </w:rPr>
              <w:t>$24.0 million</w:t>
            </w:r>
          </w:p>
        </w:tc>
      </w:tr>
    </w:tbl>
    <w:p>
      <w:pPr>
        <w:spacing w:after="0" w:line="143" w:lineRule="exact"/>
        <w:rPr>
          <w:sz w:val="20"/>
          <w:szCs w:val="20"/>
          <w:color w:val="auto"/>
        </w:rPr>
      </w:pPr>
    </w:p>
    <w:p>
      <w:pPr>
        <w:jc w:val="both"/>
        <w:ind w:right="20" w:firstLine="278"/>
        <w:spacing w:after="0" w:line="257" w:lineRule="auto"/>
        <w:rPr>
          <w:sz w:val="20"/>
          <w:szCs w:val="20"/>
          <w:color w:val="auto"/>
        </w:rPr>
      </w:pPr>
      <w:r>
        <w:rPr>
          <w:rFonts w:ascii="Arial" w:cs="Arial" w:eastAsia="Arial" w:hAnsi="Arial"/>
          <w:sz w:val="14"/>
          <w:szCs w:val="14"/>
          <w:color w:val="666666"/>
        </w:rPr>
        <w:t>For fiscal year 2018, the Company's performance exceeded the fiscal year 2018 target EBITDA range, achieving the highest annual revenue and Adjusted EBITDA since the Company's initial public offering. Based on these results, the Compensation Committee approved paying the fiscal year 2018 annual incentive above target. The cash payments received by each of our named executive officers for fiscal year 2018 are reflected in the “Non-Equity Incentive Plan Compensation” column of the Summary Compensation Table under "Compensation Tables and Disclosures."</w:t>
      </w:r>
    </w:p>
    <w:p>
      <w:pPr>
        <w:spacing w:after="0" w:line="127" w:lineRule="exact"/>
        <w:rPr>
          <w:sz w:val="20"/>
          <w:szCs w:val="20"/>
          <w:color w:val="auto"/>
        </w:rPr>
      </w:pPr>
    </w:p>
    <w:p>
      <w:pPr>
        <w:jc w:val="both"/>
        <w:ind w:firstLine="278"/>
        <w:spacing w:after="0" w:line="264" w:lineRule="auto"/>
        <w:rPr>
          <w:sz w:val="20"/>
          <w:szCs w:val="20"/>
          <w:color w:val="auto"/>
        </w:rPr>
      </w:pPr>
      <w:r>
        <w:rPr>
          <w:rFonts w:ascii="Arial" w:cs="Arial" w:eastAsia="Arial" w:hAnsi="Arial"/>
          <w:sz w:val="14"/>
          <w:szCs w:val="14"/>
          <w:color w:val="666666"/>
        </w:rPr>
        <w:t>Effective fiscal year 2019, the Compensation Committee approved an increase to the target annual incentive opportunity for our CEO by approximately 40 percent. This increase is based on the Compensation Committee's desire to better align the CEO's total compensation with market benchmarking and specifically focus on elements of compensation that align with the Company's short- and long-term performance.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F7CBA"/>
        </w:rPr>
        <w:t>Long-Term Equity Incentives</w:t>
      </w:r>
    </w:p>
    <w:p>
      <w:pPr>
        <w:spacing w:after="0" w:line="135" w:lineRule="exact"/>
        <w:rPr>
          <w:sz w:val="20"/>
          <w:szCs w:val="20"/>
          <w:color w:val="auto"/>
        </w:rPr>
      </w:pPr>
    </w:p>
    <w:p>
      <w:pPr>
        <w:ind w:right="20" w:firstLine="230"/>
        <w:spacing w:after="0" w:line="264" w:lineRule="auto"/>
        <w:rPr>
          <w:sz w:val="20"/>
          <w:szCs w:val="20"/>
          <w:color w:val="auto"/>
        </w:rPr>
      </w:pPr>
      <w:r>
        <w:rPr>
          <w:rFonts w:ascii="Arial" w:cs="Arial" w:eastAsia="Arial" w:hAnsi="Arial"/>
          <w:sz w:val="14"/>
          <w:szCs w:val="14"/>
          <w:color w:val="666666"/>
        </w:rPr>
        <w:t>It is our philosophy that executives should hold meaningful amounts of long-term equity compensation to align the personal financial interests of executives with the interests of long-term stockholders and to encourage a long-term perspective with regard to Company performance and growth. The equity compensation for our executives is delivered in the following manner, which is further described below:</w:t>
      </w:r>
    </w:p>
    <w:p>
      <w:pPr>
        <w:spacing w:after="0" w:line="122" w:lineRule="exact"/>
        <w:rPr>
          <w:sz w:val="20"/>
          <w:szCs w:val="20"/>
          <w:color w:val="auto"/>
        </w:rPr>
      </w:pPr>
    </w:p>
    <w:p>
      <w:pPr>
        <w:ind w:left="460" w:hanging="233"/>
        <w:spacing w:after="0"/>
        <w:tabs>
          <w:tab w:leader="none" w:pos="460" w:val="left"/>
        </w:tabs>
        <w:numPr>
          <w:ilvl w:val="0"/>
          <w:numId w:val="31"/>
        </w:numPr>
        <w:rPr>
          <w:rFonts w:ascii="Arial" w:cs="Arial" w:eastAsia="Arial" w:hAnsi="Arial"/>
          <w:sz w:val="14"/>
          <w:szCs w:val="14"/>
          <w:color w:val="666666"/>
        </w:rPr>
      </w:pPr>
      <w:r>
        <w:rPr>
          <w:rFonts w:ascii="Arial" w:cs="Arial" w:eastAsia="Arial" w:hAnsi="Arial"/>
          <w:sz w:val="14"/>
          <w:szCs w:val="14"/>
          <w:color w:val="666666"/>
        </w:rPr>
        <w:t>Annual Grants</w:t>
      </w:r>
    </w:p>
    <w:p>
      <w:pPr>
        <w:spacing w:after="0" w:line="20" w:lineRule="exact"/>
        <w:rPr>
          <w:rFonts w:ascii="Arial" w:cs="Arial" w:eastAsia="Arial" w:hAnsi="Arial"/>
          <w:sz w:val="14"/>
          <w:szCs w:val="14"/>
          <w:color w:val="666666"/>
        </w:rPr>
      </w:pPr>
    </w:p>
    <w:p>
      <w:pPr>
        <w:ind w:left="460" w:hanging="233"/>
        <w:spacing w:after="0"/>
        <w:tabs>
          <w:tab w:leader="none" w:pos="460" w:val="left"/>
        </w:tabs>
        <w:numPr>
          <w:ilvl w:val="0"/>
          <w:numId w:val="31"/>
        </w:numPr>
        <w:rPr>
          <w:rFonts w:ascii="Arial" w:cs="Arial" w:eastAsia="Arial" w:hAnsi="Arial"/>
          <w:sz w:val="14"/>
          <w:szCs w:val="14"/>
          <w:color w:val="666666"/>
        </w:rPr>
      </w:pPr>
      <w:r>
        <w:rPr>
          <w:rFonts w:ascii="Arial" w:cs="Arial" w:eastAsia="Arial" w:hAnsi="Arial"/>
          <w:sz w:val="14"/>
          <w:szCs w:val="14"/>
          <w:color w:val="666666"/>
        </w:rPr>
        <w:t>New Hire / Advancement Grants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4F7CBA"/>
        </w:rPr>
        <w:t>Annual Grants</w:t>
      </w:r>
    </w:p>
    <w:p>
      <w:pPr>
        <w:spacing w:after="0" w:line="163" w:lineRule="exact"/>
        <w:rPr>
          <w:sz w:val="20"/>
          <w:szCs w:val="20"/>
          <w:color w:val="auto"/>
        </w:rPr>
      </w:pPr>
    </w:p>
    <w:p>
      <w:pPr>
        <w:ind w:right="160" w:firstLine="230"/>
        <w:spacing w:after="0" w:line="264" w:lineRule="auto"/>
        <w:rPr>
          <w:sz w:val="20"/>
          <w:szCs w:val="20"/>
          <w:color w:val="auto"/>
        </w:rPr>
      </w:pPr>
      <w:r>
        <w:rPr>
          <w:rFonts w:ascii="Arial" w:cs="Arial" w:eastAsia="Arial" w:hAnsi="Arial"/>
          <w:sz w:val="14"/>
          <w:szCs w:val="14"/>
          <w:color w:val="666666"/>
        </w:rPr>
        <w:t>As previously mentioned under "Annual Cash Incentive," the value of our annual equity grants was historically determined as a percentage of the named executive officers' annual incentive. Effective fiscal year 2018, as part of our executive compensation redesign, named executive officers now receive an annual equity grant that has two components: time-vested restricted stock units (RSUs) and performance-vested RSUs.</w:t>
      </w:r>
    </w:p>
    <w:p>
      <w:pPr>
        <w:spacing w:after="0" w:line="35" w:lineRule="exact"/>
        <w:rPr>
          <w:sz w:val="20"/>
          <w:szCs w:val="20"/>
          <w:color w:val="auto"/>
        </w:rPr>
      </w:pPr>
    </w:p>
    <w:p>
      <w:pPr>
        <w:ind w:left="460" w:right="80" w:hanging="233"/>
        <w:spacing w:after="0" w:line="264" w:lineRule="auto"/>
        <w:tabs>
          <w:tab w:leader="none" w:pos="460" w:val="left"/>
        </w:tabs>
        <w:numPr>
          <w:ilvl w:val="0"/>
          <w:numId w:val="32"/>
        </w:numPr>
        <w:rPr>
          <w:rFonts w:ascii="Arial" w:cs="Arial" w:eastAsia="Arial" w:hAnsi="Arial"/>
          <w:sz w:val="14"/>
          <w:szCs w:val="14"/>
          <w:color w:val="666666"/>
        </w:rPr>
      </w:pPr>
      <w:r>
        <w:rPr>
          <w:rFonts w:ascii="Arial" w:cs="Arial" w:eastAsia="Arial" w:hAnsi="Arial"/>
          <w:sz w:val="14"/>
          <w:szCs w:val="14"/>
          <w:color w:val="666666"/>
        </w:rPr>
        <w:t>Time RSUs: Settle into shares of Class A common stock in three equal installments over three years. In addition to a service requirement, the fiscal year 2018 grants for the named executive officers include a performance provision that the Company generate net income as reported in the Company’s audited financial statements for any of the three fiscal years of the vest schedule.</w:t>
      </w:r>
    </w:p>
    <w:p>
      <w:pPr>
        <w:spacing w:after="0" w:line="121" w:lineRule="exact"/>
        <w:rPr>
          <w:rFonts w:ascii="Arial" w:cs="Arial" w:eastAsia="Arial" w:hAnsi="Arial"/>
          <w:sz w:val="14"/>
          <w:szCs w:val="14"/>
          <w:color w:val="666666"/>
        </w:rPr>
      </w:pPr>
    </w:p>
    <w:p>
      <w:pPr>
        <w:ind w:left="460" w:hanging="233"/>
        <w:spacing w:after="0"/>
        <w:tabs>
          <w:tab w:leader="none" w:pos="460" w:val="left"/>
        </w:tabs>
        <w:numPr>
          <w:ilvl w:val="0"/>
          <w:numId w:val="32"/>
        </w:numPr>
        <w:rPr>
          <w:rFonts w:ascii="Arial" w:cs="Arial" w:eastAsia="Arial" w:hAnsi="Arial"/>
          <w:sz w:val="14"/>
          <w:szCs w:val="14"/>
          <w:color w:val="666666"/>
        </w:rPr>
      </w:pPr>
      <w:r>
        <w:rPr>
          <w:rFonts w:ascii="Arial" w:cs="Arial" w:eastAsia="Arial" w:hAnsi="Arial"/>
          <w:sz w:val="14"/>
          <w:szCs w:val="14"/>
          <w:color w:val="666666"/>
        </w:rPr>
        <w:t>Performance RSUs: We incorporated a performance-based long-term incentive program to:</w:t>
      </w:r>
    </w:p>
    <w:p>
      <w:pPr>
        <w:spacing w:after="0" w:line="79" w:lineRule="exact"/>
        <w:rPr>
          <w:rFonts w:ascii="Arial" w:cs="Arial" w:eastAsia="Arial" w:hAnsi="Arial"/>
          <w:sz w:val="14"/>
          <w:szCs w:val="14"/>
          <w:color w:val="666666"/>
        </w:rPr>
      </w:pPr>
    </w:p>
    <w:p>
      <w:pPr>
        <w:ind w:left="640"/>
        <w:spacing w:after="0"/>
        <w:rPr>
          <w:rFonts w:ascii="Arial" w:cs="Arial" w:eastAsia="Arial" w:hAnsi="Arial"/>
          <w:sz w:val="14"/>
          <w:szCs w:val="14"/>
          <w:color w:val="666666"/>
        </w:rPr>
      </w:pPr>
      <w:r>
        <w:rPr>
          <w:rFonts w:ascii="Arial" w:cs="Arial" w:eastAsia="Arial" w:hAnsi="Arial"/>
          <w:sz w:val="14"/>
          <w:szCs w:val="14"/>
          <w:color w:val="666666"/>
        </w:rPr>
        <w:t>– Focus executives on the financial metrics we believe represent value-added growth and profitability</w:t>
      </w:r>
    </w:p>
    <w:p>
      <w:pPr>
        <w:spacing w:after="0" w:line="40" w:lineRule="exact"/>
        <w:rPr>
          <w:rFonts w:ascii="Arial" w:cs="Arial" w:eastAsia="Arial" w:hAnsi="Arial"/>
          <w:sz w:val="14"/>
          <w:szCs w:val="14"/>
          <w:color w:val="666666"/>
        </w:rPr>
      </w:pPr>
    </w:p>
    <w:p>
      <w:pPr>
        <w:ind w:left="640"/>
        <w:spacing w:after="0"/>
        <w:rPr>
          <w:rFonts w:ascii="Arial" w:cs="Arial" w:eastAsia="Arial" w:hAnsi="Arial"/>
          <w:sz w:val="14"/>
          <w:szCs w:val="14"/>
          <w:color w:val="666666"/>
        </w:rPr>
      </w:pPr>
      <w:r>
        <w:rPr>
          <w:rFonts w:ascii="Arial" w:cs="Arial" w:eastAsia="Arial" w:hAnsi="Arial"/>
          <w:sz w:val="14"/>
          <w:szCs w:val="14"/>
          <w:color w:val="666666"/>
        </w:rPr>
        <w:t>– Align the personal financial interests of executives with interests of long-term stockholders</w:t>
      </w:r>
    </w:p>
    <w:p>
      <w:pPr>
        <w:spacing w:after="0" w:line="40" w:lineRule="exact"/>
        <w:rPr>
          <w:rFonts w:ascii="Arial" w:cs="Arial" w:eastAsia="Arial" w:hAnsi="Arial"/>
          <w:sz w:val="14"/>
          <w:szCs w:val="14"/>
          <w:color w:val="666666"/>
        </w:rPr>
      </w:pPr>
    </w:p>
    <w:p>
      <w:pPr>
        <w:ind w:left="640"/>
        <w:spacing w:after="0"/>
        <w:rPr>
          <w:rFonts w:ascii="Arial" w:cs="Arial" w:eastAsia="Arial" w:hAnsi="Arial"/>
          <w:sz w:val="14"/>
          <w:szCs w:val="14"/>
          <w:color w:val="666666"/>
        </w:rPr>
      </w:pPr>
      <w:r>
        <w:rPr>
          <w:rFonts w:ascii="Arial" w:cs="Arial" w:eastAsia="Arial" w:hAnsi="Arial"/>
          <w:sz w:val="14"/>
          <w:szCs w:val="14"/>
          <w:color w:val="666666"/>
        </w:rPr>
        <w:t>– Reward executives for achieving positive Company performance and penalize for under performance</w:t>
      </w:r>
    </w:p>
    <w:p>
      <w:pPr>
        <w:spacing w:after="0" w:line="40" w:lineRule="exact"/>
        <w:rPr>
          <w:rFonts w:ascii="Arial" w:cs="Arial" w:eastAsia="Arial" w:hAnsi="Arial"/>
          <w:sz w:val="14"/>
          <w:szCs w:val="14"/>
          <w:color w:val="666666"/>
        </w:rPr>
      </w:pPr>
    </w:p>
    <w:p>
      <w:pPr>
        <w:ind w:left="640"/>
        <w:spacing w:after="0"/>
        <w:rPr>
          <w:rFonts w:ascii="Arial" w:cs="Arial" w:eastAsia="Arial" w:hAnsi="Arial"/>
          <w:sz w:val="14"/>
          <w:szCs w:val="14"/>
          <w:color w:val="666666"/>
        </w:rPr>
      </w:pPr>
      <w:r>
        <w:rPr>
          <w:rFonts w:ascii="Arial" w:cs="Arial" w:eastAsia="Arial" w:hAnsi="Arial"/>
          <w:sz w:val="14"/>
          <w:szCs w:val="14"/>
          <w:color w:val="666666"/>
        </w:rPr>
        <w:t>– Attract and retain top-talent executives who bring extensive knowledge and expertise to the Company</w:t>
      </w:r>
    </w:p>
    <w:p>
      <w:pPr>
        <w:spacing w:after="0" w:line="79" w:lineRule="exact"/>
        <w:rPr>
          <w:sz w:val="20"/>
          <w:szCs w:val="20"/>
          <w:color w:val="auto"/>
        </w:rPr>
      </w:pPr>
    </w:p>
    <w:p>
      <w:pPr>
        <w:ind w:right="280" w:firstLine="230"/>
        <w:spacing w:after="0" w:line="285" w:lineRule="auto"/>
        <w:rPr>
          <w:sz w:val="20"/>
          <w:szCs w:val="20"/>
          <w:color w:val="auto"/>
        </w:rPr>
      </w:pPr>
      <w:r>
        <w:rPr>
          <w:rFonts w:ascii="Arial" w:cs="Arial" w:eastAsia="Arial" w:hAnsi="Arial"/>
          <w:sz w:val="14"/>
          <w:szCs w:val="14"/>
          <w:color w:val="666666"/>
        </w:rPr>
        <w:t>The number of performance RSUs that ultimately settle into shares of Class A common stock is determined by cumulative Company performance over a three-year performance period based on two internal financial metrics — Value Added Revenue (VAR) and Adjusted Diluted Earnings Per Share (ADEPS), as described below:</w:t>
      </w:r>
    </w:p>
    <w:p>
      <w:pPr>
        <w:spacing w:after="0" w:line="107" w:lineRule="exact"/>
        <w:rPr>
          <w:sz w:val="20"/>
          <w:szCs w:val="20"/>
          <w:color w:val="auto"/>
        </w:rPr>
      </w:pPr>
    </w:p>
    <w:p>
      <w:pPr>
        <w:ind w:left="460" w:right="20" w:hanging="233"/>
        <w:spacing w:after="0" w:line="285" w:lineRule="auto"/>
        <w:tabs>
          <w:tab w:leader="none" w:pos="460" w:val="left"/>
        </w:tabs>
        <w:numPr>
          <w:ilvl w:val="0"/>
          <w:numId w:val="33"/>
        </w:numPr>
        <w:rPr>
          <w:rFonts w:ascii="Arial" w:cs="Arial" w:eastAsia="Arial" w:hAnsi="Arial"/>
          <w:sz w:val="14"/>
          <w:szCs w:val="14"/>
          <w:color w:val="666666"/>
        </w:rPr>
      </w:pPr>
      <w:r>
        <w:rPr>
          <w:rFonts w:ascii="Arial" w:cs="Arial" w:eastAsia="Arial" w:hAnsi="Arial"/>
          <w:sz w:val="14"/>
          <w:szCs w:val="14"/>
          <w:color w:val="666666"/>
        </w:rPr>
        <w:t>“Value Added Revenue” or “VAR” is defined as revenue less billable expenses, and will be adjusted (a) to account for material acquisitions or divestitures during the performance period that represent more than 5% of operating income before taxes as reported in the Company’s financial statements (but shall not be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32</w:t>
      </w:r>
    </w:p>
    <w:p>
      <w:pPr>
        <w:sectPr>
          <w:pgSz w:w="11900" w:h="16838" w:orient="portrait"/>
          <w:cols w:equalWidth="0" w:num="1">
            <w:col w:w="11480"/>
          </w:cols>
          <w:pgMar w:left="220" w:top="562" w:right="199" w:bottom="1440" w:gutter="0" w:footer="0" w:header="0"/>
        </w:sectPr>
      </w:pPr>
    </w:p>
    <w:bookmarkStart w:id="41" w:name="page42"/>
    <w:bookmarkEnd w:id="41"/>
    <w:p>
      <w:pPr>
        <w:ind w:left="460"/>
        <w:spacing w:after="0" w:line="286" w:lineRule="auto"/>
        <w:rPr>
          <w:sz w:val="20"/>
          <w:szCs w:val="20"/>
          <w:color w:val="auto"/>
        </w:rPr>
      </w:pPr>
      <w:r>
        <w:rPr>
          <w:rFonts w:ascii="Arial" w:cs="Arial" w:eastAsia="Arial" w:hAnsi="Arial"/>
          <w:sz w:val="14"/>
          <w:szCs w:val="14"/>
          <w:color w:val="666666"/>
        </w:rPr>
        <w:t>adjusted for revenue synergies); (b) to account for the cumulative impact of accounting changes; (c) to account for the impact of a government shutdown during the performance period; and (d) to exclude the impact of any other extraordinary, unusual or nonrecurring events as described or identified in the Company’s audited financial statements, notes to financial statements or in management’s discussion and analysis of financial condition and results of operations appearing in the Company’s annual report to stockholders for the applicable year.</w:t>
      </w:r>
    </w:p>
    <w:p>
      <w:pPr>
        <w:spacing w:after="0" w:line="116" w:lineRule="exact"/>
        <w:rPr>
          <w:sz w:val="20"/>
          <w:szCs w:val="20"/>
          <w:color w:val="auto"/>
        </w:rPr>
      </w:pPr>
    </w:p>
    <w:p>
      <w:pPr>
        <w:ind w:left="460" w:hanging="233"/>
        <w:spacing w:after="0"/>
        <w:tabs>
          <w:tab w:leader="none" w:pos="460" w:val="left"/>
        </w:tabs>
        <w:numPr>
          <w:ilvl w:val="0"/>
          <w:numId w:val="34"/>
        </w:numPr>
        <w:rPr>
          <w:rFonts w:ascii="Arial" w:cs="Arial" w:eastAsia="Arial" w:hAnsi="Arial"/>
          <w:sz w:val="14"/>
          <w:szCs w:val="14"/>
          <w:color w:val="666666"/>
        </w:rPr>
      </w:pPr>
      <w:r>
        <w:rPr>
          <w:rFonts w:ascii="Arial" w:cs="Arial" w:eastAsia="Arial" w:hAnsi="Arial"/>
          <w:sz w:val="14"/>
          <w:szCs w:val="14"/>
          <w:color w:val="666666"/>
        </w:rPr>
        <w:t>“Cumulative Value Added Revenue” or “Cumulative VAR” is defined as the cumulative Value Added Revenue for the three full fiscal years in the performance period.</w:t>
      </w:r>
    </w:p>
    <w:p>
      <w:pPr>
        <w:spacing w:after="0" w:line="165" w:lineRule="exact"/>
        <w:rPr>
          <w:rFonts w:ascii="Arial" w:cs="Arial" w:eastAsia="Arial" w:hAnsi="Arial"/>
          <w:sz w:val="14"/>
          <w:szCs w:val="14"/>
          <w:color w:val="666666"/>
        </w:rPr>
      </w:pPr>
    </w:p>
    <w:p>
      <w:pPr>
        <w:ind w:left="460" w:hanging="233"/>
        <w:spacing w:after="0" w:line="247" w:lineRule="auto"/>
        <w:tabs>
          <w:tab w:leader="none" w:pos="460" w:val="left"/>
        </w:tabs>
        <w:numPr>
          <w:ilvl w:val="0"/>
          <w:numId w:val="34"/>
        </w:numPr>
        <w:rPr>
          <w:rFonts w:ascii="Arial" w:cs="Arial" w:eastAsia="Arial" w:hAnsi="Arial"/>
          <w:sz w:val="14"/>
          <w:szCs w:val="14"/>
          <w:color w:val="666666"/>
        </w:rPr>
      </w:pPr>
      <w:r>
        <w:rPr>
          <w:rFonts w:ascii="Arial" w:cs="Arial" w:eastAsia="Arial" w:hAnsi="Arial"/>
          <w:sz w:val="14"/>
          <w:szCs w:val="14"/>
          <w:color w:val="666666"/>
        </w:rPr>
        <w:t>“Adjusted Diluted Earnings Per Share” or “ADEPS” is defined as adjusted net income divided by the Company’s fully diluted outstanding shares for the applicable fiscal year, (i) as reported within the Reconciliation of Adjusted Net Income and Adjusted Diluted EPS to Net Income and Diluted Earnings Per Share attributable to the Company (or similarly titled nonGAAP reconciliation table) as presented in the Company’s financial statements, and (ii) will be adjusted (a) to account for material acquisitions or divestitures during the performance period that represent more than 5% of operating income before taxes as reported in the Company’s financial statements; (b) to account for the cumulative impact of accounting changes; (c) to account for the impact of a government shutdown during the performance period; (d) to account for special or extraordinary cash dividends or distributions by adjusting the number of fully diluted outstanding shares used for purposes of the calculation of ADEPS as if the Company had used the total amount of the special or extraordinary cash dividend or distribution paid to the stockholders to repurchase shares of Common Stock on the date of the special or extraordinary dividend or distribution (with the number of shares repurchased based on the closing price of the Common Stock on the last trading day prior to the record date of the special or extraordinary dividend or distribution); and (e) to exclude the impact of any other extraordinary, unusual or nonrecurring events as described or identified in the Company’s audited financial statements, notes to financial statements or in management’s discussion and analysis of financial condition and results of operations appearing in the Company’s annual report to stockholders for the applicable year.</w:t>
      </w:r>
    </w:p>
    <w:p>
      <w:pPr>
        <w:spacing w:after="0" w:line="136" w:lineRule="exact"/>
        <w:rPr>
          <w:rFonts w:ascii="Arial" w:cs="Arial" w:eastAsia="Arial" w:hAnsi="Arial"/>
          <w:sz w:val="14"/>
          <w:szCs w:val="14"/>
          <w:color w:val="666666"/>
        </w:rPr>
      </w:pPr>
    </w:p>
    <w:p>
      <w:pPr>
        <w:ind w:left="460" w:right="80" w:hanging="233"/>
        <w:spacing w:after="0" w:line="285" w:lineRule="auto"/>
        <w:tabs>
          <w:tab w:leader="none" w:pos="460" w:val="left"/>
        </w:tabs>
        <w:numPr>
          <w:ilvl w:val="0"/>
          <w:numId w:val="34"/>
        </w:numPr>
        <w:rPr>
          <w:rFonts w:ascii="Arial" w:cs="Arial" w:eastAsia="Arial" w:hAnsi="Arial"/>
          <w:sz w:val="14"/>
          <w:szCs w:val="14"/>
          <w:color w:val="666666"/>
        </w:rPr>
      </w:pPr>
      <w:r>
        <w:rPr>
          <w:rFonts w:ascii="Arial" w:cs="Arial" w:eastAsia="Arial" w:hAnsi="Arial"/>
          <w:sz w:val="14"/>
          <w:szCs w:val="14"/>
          <w:color w:val="666666"/>
        </w:rPr>
        <w:t>“Cumulative Adjusted Diluted Earnings Per Share” or “Cumulative ADEPS” is defined as the cumulative Adjusted Diluted Earnings Per Share for the three full fiscal years in the performance period.</w:t>
      </w:r>
    </w:p>
    <w:p>
      <w:pPr>
        <w:spacing w:after="0" w:line="107" w:lineRule="exact"/>
        <w:rPr>
          <w:sz w:val="20"/>
          <w:szCs w:val="20"/>
          <w:color w:val="auto"/>
        </w:rPr>
      </w:pPr>
    </w:p>
    <w:p>
      <w:pPr>
        <w:jc w:val="both"/>
        <w:ind w:right="80" w:firstLine="230"/>
        <w:spacing w:after="0" w:line="264" w:lineRule="auto"/>
        <w:rPr>
          <w:sz w:val="20"/>
          <w:szCs w:val="20"/>
          <w:color w:val="auto"/>
        </w:rPr>
      </w:pPr>
      <w:r>
        <w:rPr>
          <w:rFonts w:ascii="Arial" w:cs="Arial" w:eastAsia="Arial" w:hAnsi="Arial"/>
          <w:sz w:val="14"/>
          <w:szCs w:val="14"/>
          <w:color w:val="666666"/>
        </w:rPr>
        <w:t>These metrics were selected as a representation of organic revenue growth and bottom-line Company performance. The Company believes that the combination and weighting of each metric drive towards the goal of sustainable quality growth, with heavier weighting placed on ADEPS to further emphasize profitability and volume of revenue. Summarized below is the framework of our fiscal year 2018 long-term performance incentive plan:</w:t>
      </w:r>
    </w:p>
    <w:p>
      <w:pPr>
        <w:spacing w:after="0" w:line="218" w:lineRule="exact"/>
        <w:rPr>
          <w:sz w:val="20"/>
          <w:szCs w:val="20"/>
          <w:color w:val="auto"/>
        </w:rPr>
      </w:pPr>
    </w:p>
    <w:tbl>
      <w:tblPr>
        <w:tblLayout w:type="fixed"/>
        <w:tblInd w:w="870" w:type="dxa"/>
        <w:tblCellMar>
          <w:top w:w="0" w:type="dxa"/>
          <w:left w:w="0" w:type="dxa"/>
          <w:bottom w:w="0" w:type="dxa"/>
          <w:right w:w="0" w:type="dxa"/>
        </w:tblCellMar>
      </w:tblPr>
      <w:tr>
        <w:trPr>
          <w:trHeight w:val="154"/>
        </w:trPr>
        <w:tc>
          <w:tcPr>
            <w:tcW w:w="1820" w:type="dxa"/>
            <w:vAlign w:val="bottom"/>
            <w:tcBorders>
              <w:top w:val="single" w:sz="8" w:color="auto"/>
              <w:left w:val="single" w:sz="8" w:color="auto"/>
            </w:tcBorders>
            <w:shd w:val="clear" w:color="auto" w:fill="4472C4"/>
          </w:tcPr>
          <w:p>
            <w:pPr>
              <w:spacing w:after="0"/>
              <w:rPr>
                <w:sz w:val="13"/>
                <w:szCs w:val="13"/>
                <w:color w:val="auto"/>
              </w:rPr>
            </w:pPr>
          </w:p>
        </w:tc>
        <w:tc>
          <w:tcPr>
            <w:tcW w:w="1120" w:type="dxa"/>
            <w:vAlign w:val="bottom"/>
            <w:tcBorders>
              <w:top w:val="single" w:sz="8" w:color="auto"/>
            </w:tcBorders>
            <w:shd w:val="clear" w:color="auto" w:fill="4472C4"/>
          </w:tcPr>
          <w:p>
            <w:pPr>
              <w:spacing w:after="0"/>
              <w:rPr>
                <w:sz w:val="13"/>
                <w:szCs w:val="13"/>
                <w:color w:val="auto"/>
              </w:rPr>
            </w:pPr>
          </w:p>
        </w:tc>
        <w:tc>
          <w:tcPr>
            <w:tcW w:w="1740" w:type="dxa"/>
            <w:vAlign w:val="bottom"/>
            <w:tcBorders>
              <w:top w:val="single" w:sz="8" w:color="auto"/>
            </w:tcBorders>
            <w:shd w:val="clear" w:color="auto" w:fill="4472C4"/>
          </w:tcPr>
          <w:p>
            <w:pPr>
              <w:jc w:val="center"/>
              <w:ind w:left="79"/>
              <w:spacing w:after="0"/>
              <w:rPr>
                <w:sz w:val="20"/>
                <w:szCs w:val="20"/>
                <w:color w:val="auto"/>
              </w:rPr>
            </w:pPr>
            <w:r>
              <w:rPr>
                <w:rFonts w:ascii="Arial" w:cs="Arial" w:eastAsia="Arial" w:hAnsi="Arial"/>
                <w:sz w:val="13"/>
                <w:szCs w:val="13"/>
                <w:b w:val="1"/>
                <w:bCs w:val="1"/>
                <w:color w:val="FFFFFF"/>
                <w:w w:val="99"/>
              </w:rPr>
              <w:t>Below Threshold</w:t>
            </w:r>
          </w:p>
        </w:tc>
        <w:tc>
          <w:tcPr>
            <w:tcW w:w="1760" w:type="dxa"/>
            <w:vAlign w:val="bottom"/>
            <w:tcBorders>
              <w:top w:val="single" w:sz="8" w:color="auto"/>
            </w:tcBorders>
            <w:shd w:val="clear" w:color="auto" w:fill="4472C4"/>
          </w:tcPr>
          <w:p>
            <w:pPr>
              <w:jc w:val="center"/>
              <w:spacing w:after="0"/>
              <w:rPr>
                <w:sz w:val="20"/>
                <w:szCs w:val="20"/>
                <w:color w:val="auto"/>
              </w:rPr>
            </w:pPr>
            <w:r>
              <w:rPr>
                <w:rFonts w:ascii="Arial" w:cs="Arial" w:eastAsia="Arial" w:hAnsi="Arial"/>
                <w:sz w:val="13"/>
                <w:szCs w:val="13"/>
                <w:b w:val="1"/>
                <w:bCs w:val="1"/>
                <w:color w:val="FFFFFF"/>
                <w:w w:val="98"/>
              </w:rPr>
              <w:t>Threshold to Target</w:t>
            </w:r>
          </w:p>
        </w:tc>
        <w:tc>
          <w:tcPr>
            <w:tcW w:w="1760" w:type="dxa"/>
            <w:vAlign w:val="bottom"/>
            <w:tcBorders>
              <w:top w:val="single" w:sz="8" w:color="auto"/>
            </w:tcBorders>
            <w:shd w:val="clear" w:color="auto" w:fill="4472C4"/>
          </w:tcPr>
          <w:p>
            <w:pPr>
              <w:spacing w:after="0"/>
              <w:rPr>
                <w:sz w:val="13"/>
                <w:szCs w:val="13"/>
                <w:color w:val="auto"/>
              </w:rPr>
            </w:pPr>
          </w:p>
        </w:tc>
        <w:tc>
          <w:tcPr>
            <w:tcW w:w="2040" w:type="dxa"/>
            <w:vAlign w:val="bottom"/>
            <w:tcBorders>
              <w:top w:val="single" w:sz="8" w:color="auto"/>
              <w:right w:val="single" w:sz="8" w:color="auto"/>
            </w:tcBorders>
            <w:shd w:val="clear" w:color="auto" w:fill="4472C4"/>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820" w:type="dxa"/>
            <w:vAlign w:val="bottom"/>
            <w:tcBorders>
              <w:left w:val="single" w:sz="8" w:color="auto"/>
              <w:bottom w:val="single" w:sz="8" w:color="auto"/>
            </w:tcBorders>
            <w:shd w:val="clear" w:color="auto" w:fill="4472C4"/>
          </w:tcPr>
          <w:p>
            <w:pPr>
              <w:ind w:left="20"/>
              <w:spacing w:after="0"/>
              <w:rPr>
                <w:sz w:val="20"/>
                <w:szCs w:val="20"/>
                <w:color w:val="auto"/>
              </w:rPr>
            </w:pPr>
            <w:r>
              <w:rPr>
                <w:rFonts w:ascii="Arial" w:cs="Arial" w:eastAsia="Arial" w:hAnsi="Arial"/>
                <w:sz w:val="13"/>
                <w:szCs w:val="13"/>
                <w:b w:val="1"/>
                <w:bCs w:val="1"/>
                <w:color w:val="FFFFFF"/>
              </w:rPr>
              <w:t>Performance Measures</w:t>
            </w:r>
          </w:p>
        </w:tc>
        <w:tc>
          <w:tcPr>
            <w:tcW w:w="1120" w:type="dxa"/>
            <w:vAlign w:val="bottom"/>
            <w:tcBorders>
              <w:bottom w:val="single" w:sz="8" w:color="auto"/>
            </w:tcBorders>
            <w:shd w:val="clear" w:color="auto" w:fill="4472C4"/>
          </w:tcPr>
          <w:p>
            <w:pPr>
              <w:jc w:val="center"/>
              <w:ind w:left="196"/>
              <w:spacing w:after="0"/>
              <w:rPr>
                <w:sz w:val="20"/>
                <w:szCs w:val="20"/>
                <w:color w:val="auto"/>
              </w:rPr>
            </w:pPr>
            <w:r>
              <w:rPr>
                <w:rFonts w:ascii="Arial" w:cs="Arial" w:eastAsia="Arial" w:hAnsi="Arial"/>
                <w:sz w:val="13"/>
                <w:szCs w:val="13"/>
                <w:b w:val="1"/>
                <w:bCs w:val="1"/>
                <w:color w:val="FFFFFF"/>
                <w:w w:val="98"/>
              </w:rPr>
              <w:t>Weighting</w:t>
            </w:r>
          </w:p>
        </w:tc>
        <w:tc>
          <w:tcPr>
            <w:tcW w:w="1740" w:type="dxa"/>
            <w:vAlign w:val="bottom"/>
            <w:tcBorders>
              <w:bottom w:val="single" w:sz="8" w:color="auto"/>
            </w:tcBorders>
            <w:shd w:val="clear" w:color="auto" w:fill="4472C4"/>
          </w:tcPr>
          <w:p>
            <w:pPr>
              <w:jc w:val="center"/>
              <w:ind w:left="79"/>
              <w:spacing w:after="0"/>
              <w:rPr>
                <w:sz w:val="20"/>
                <w:szCs w:val="20"/>
                <w:color w:val="auto"/>
              </w:rPr>
            </w:pPr>
            <w:r>
              <w:rPr>
                <w:rFonts w:ascii="Arial" w:cs="Arial" w:eastAsia="Arial" w:hAnsi="Arial"/>
                <w:sz w:val="13"/>
                <w:szCs w:val="13"/>
                <w:b w:val="1"/>
                <w:bCs w:val="1"/>
                <w:color w:val="FFFFFF"/>
              </w:rPr>
              <w:t>Performance</w:t>
            </w:r>
          </w:p>
        </w:tc>
        <w:tc>
          <w:tcPr>
            <w:tcW w:w="1760" w:type="dxa"/>
            <w:vAlign w:val="bottom"/>
            <w:tcBorders>
              <w:bottom w:val="single" w:sz="8" w:color="auto"/>
            </w:tcBorders>
            <w:shd w:val="clear" w:color="auto" w:fill="4472C4"/>
          </w:tcPr>
          <w:p>
            <w:pPr>
              <w:jc w:val="center"/>
              <w:spacing w:after="0"/>
              <w:rPr>
                <w:sz w:val="20"/>
                <w:szCs w:val="20"/>
                <w:color w:val="auto"/>
              </w:rPr>
            </w:pPr>
            <w:r>
              <w:rPr>
                <w:rFonts w:ascii="Arial" w:cs="Arial" w:eastAsia="Arial" w:hAnsi="Arial"/>
                <w:sz w:val="13"/>
                <w:szCs w:val="13"/>
                <w:b w:val="1"/>
                <w:bCs w:val="1"/>
                <w:color w:val="FFFFFF"/>
                <w:w w:val="98"/>
              </w:rPr>
              <w:t>Performance</w:t>
            </w:r>
          </w:p>
        </w:tc>
        <w:tc>
          <w:tcPr>
            <w:tcW w:w="1760" w:type="dxa"/>
            <w:vAlign w:val="bottom"/>
            <w:tcBorders>
              <w:bottom w:val="single" w:sz="8" w:color="auto"/>
            </w:tcBorders>
            <w:shd w:val="clear" w:color="auto" w:fill="4472C4"/>
          </w:tcPr>
          <w:p>
            <w:pPr>
              <w:jc w:val="center"/>
              <w:spacing w:after="0"/>
              <w:rPr>
                <w:sz w:val="20"/>
                <w:szCs w:val="20"/>
                <w:color w:val="auto"/>
              </w:rPr>
            </w:pPr>
            <w:r>
              <w:rPr>
                <w:rFonts w:ascii="Arial" w:cs="Arial" w:eastAsia="Arial" w:hAnsi="Arial"/>
                <w:sz w:val="13"/>
                <w:szCs w:val="13"/>
                <w:b w:val="1"/>
                <w:bCs w:val="1"/>
                <w:color w:val="FFFFFF"/>
                <w:w w:val="97"/>
              </w:rPr>
              <w:t>Target Performance</w:t>
            </w:r>
          </w:p>
        </w:tc>
        <w:tc>
          <w:tcPr>
            <w:tcW w:w="2040" w:type="dxa"/>
            <w:vAlign w:val="bottom"/>
            <w:tcBorders>
              <w:bottom w:val="single" w:sz="8" w:color="auto"/>
              <w:right w:val="single" w:sz="8" w:color="auto"/>
            </w:tcBorders>
            <w:shd w:val="clear" w:color="auto" w:fill="4472C4"/>
          </w:tcPr>
          <w:p>
            <w:pPr>
              <w:jc w:val="center"/>
              <w:spacing w:after="0"/>
              <w:rPr>
                <w:sz w:val="20"/>
                <w:szCs w:val="20"/>
                <w:color w:val="auto"/>
              </w:rPr>
            </w:pPr>
            <w:r>
              <w:rPr>
                <w:rFonts w:ascii="Arial" w:cs="Arial" w:eastAsia="Arial" w:hAnsi="Arial"/>
                <w:sz w:val="13"/>
                <w:szCs w:val="13"/>
                <w:b w:val="1"/>
                <w:bCs w:val="1"/>
                <w:color w:val="FFFFFF"/>
                <w:w w:val="97"/>
              </w:rPr>
              <w:t>Above Target Performance</w:t>
            </w:r>
          </w:p>
        </w:tc>
        <w:tc>
          <w:tcPr>
            <w:tcW w:w="0" w:type="dxa"/>
            <w:vAlign w:val="bottom"/>
          </w:tcPr>
          <w:p>
            <w:pPr>
              <w:spacing w:after="0"/>
              <w:rPr>
                <w:sz w:val="1"/>
                <w:szCs w:val="1"/>
                <w:color w:val="auto"/>
              </w:rPr>
            </w:pPr>
          </w:p>
        </w:tc>
      </w:tr>
      <w:tr>
        <w:trPr>
          <w:trHeight w:val="192"/>
        </w:trPr>
        <w:tc>
          <w:tcPr>
            <w:tcW w:w="182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666666"/>
              </w:rPr>
              <w:t>Cumulative ADEPS</w:t>
            </w:r>
          </w:p>
        </w:tc>
        <w:tc>
          <w:tcPr>
            <w:tcW w:w="1120" w:type="dxa"/>
            <w:vAlign w:val="bottom"/>
          </w:tcPr>
          <w:p>
            <w:pPr>
              <w:jc w:val="center"/>
              <w:ind w:left="196"/>
              <w:spacing w:after="0"/>
              <w:rPr>
                <w:sz w:val="20"/>
                <w:szCs w:val="20"/>
                <w:color w:val="auto"/>
              </w:rPr>
            </w:pPr>
            <w:r>
              <w:rPr>
                <w:rFonts w:ascii="Arial" w:cs="Arial" w:eastAsia="Arial" w:hAnsi="Arial"/>
                <w:sz w:val="13"/>
                <w:szCs w:val="13"/>
                <w:color w:val="666666"/>
                <w:w w:val="99"/>
              </w:rPr>
              <w:t>75%</w:t>
            </w:r>
          </w:p>
        </w:tc>
        <w:tc>
          <w:tcPr>
            <w:tcW w:w="1740" w:type="dxa"/>
            <w:vAlign w:val="bottom"/>
          </w:tcPr>
          <w:p>
            <w:pPr>
              <w:jc w:val="center"/>
              <w:ind w:left="79"/>
              <w:spacing w:after="0"/>
              <w:rPr>
                <w:sz w:val="20"/>
                <w:szCs w:val="20"/>
                <w:color w:val="auto"/>
              </w:rPr>
            </w:pPr>
            <w:r>
              <w:rPr>
                <w:rFonts w:ascii="Arial" w:cs="Arial" w:eastAsia="Arial" w:hAnsi="Arial"/>
                <w:sz w:val="13"/>
                <w:szCs w:val="13"/>
                <w:color w:val="666666"/>
                <w:w w:val="99"/>
              </w:rPr>
              <w:t>No performance RSUs will</w:t>
            </w:r>
          </w:p>
        </w:tc>
        <w:tc>
          <w:tcPr>
            <w:tcW w:w="1760" w:type="dxa"/>
            <w:vAlign w:val="bottom"/>
          </w:tcPr>
          <w:p>
            <w:pPr>
              <w:jc w:val="center"/>
              <w:spacing w:after="0"/>
              <w:rPr>
                <w:sz w:val="20"/>
                <w:szCs w:val="20"/>
                <w:color w:val="auto"/>
              </w:rPr>
            </w:pPr>
            <w:r>
              <w:rPr>
                <w:rFonts w:ascii="Arial" w:cs="Arial" w:eastAsia="Arial" w:hAnsi="Arial"/>
                <w:sz w:val="13"/>
                <w:szCs w:val="13"/>
                <w:color w:val="666666"/>
                <w:w w:val="98"/>
              </w:rPr>
              <w:t>Between 25 percent and 100</w:t>
            </w:r>
          </w:p>
        </w:tc>
        <w:tc>
          <w:tcPr>
            <w:tcW w:w="1760" w:type="dxa"/>
            <w:vAlign w:val="bottom"/>
          </w:tcPr>
          <w:p>
            <w:pPr>
              <w:jc w:val="center"/>
              <w:spacing w:after="0"/>
              <w:rPr>
                <w:sz w:val="20"/>
                <w:szCs w:val="20"/>
                <w:color w:val="auto"/>
              </w:rPr>
            </w:pPr>
            <w:r>
              <w:rPr>
                <w:rFonts w:ascii="Arial" w:cs="Arial" w:eastAsia="Arial" w:hAnsi="Arial"/>
                <w:sz w:val="13"/>
                <w:szCs w:val="13"/>
                <w:color w:val="666666"/>
                <w:w w:val="97"/>
              </w:rPr>
              <w:t>100 percent of performance</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666666"/>
                <w:w w:val="97"/>
              </w:rPr>
              <w:t>Between 100 percent and 200</w:t>
            </w: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3500" w:type="dxa"/>
            <w:vAlign w:val="bottom"/>
            <w:gridSpan w:val="2"/>
          </w:tcPr>
          <w:p>
            <w:pPr>
              <w:ind w:left="140"/>
              <w:spacing w:after="0" w:line="144" w:lineRule="exact"/>
              <w:rPr>
                <w:sz w:val="20"/>
                <w:szCs w:val="20"/>
                <w:color w:val="auto"/>
              </w:rPr>
            </w:pPr>
            <w:r>
              <w:rPr>
                <w:rFonts w:ascii="Arial" w:cs="Arial" w:eastAsia="Arial" w:hAnsi="Arial"/>
                <w:sz w:val="10"/>
                <w:szCs w:val="10"/>
                <w:color w:val="666666"/>
              </w:rPr>
              <w:t xml:space="preserve">settle into shares of Class A </w:t>
            </w:r>
            <w:r>
              <w:rPr>
                <w:rFonts w:ascii="Arial" w:cs="Arial" w:eastAsia="Arial" w:hAnsi="Arial"/>
                <w:sz w:val="16"/>
                <w:szCs w:val="16"/>
                <w:color w:val="666666"/>
                <w:vertAlign w:val="superscript"/>
              </w:rPr>
              <w:t>percent of performance RSUs</w:t>
            </w:r>
          </w:p>
        </w:tc>
        <w:tc>
          <w:tcPr>
            <w:tcW w:w="1760" w:type="dxa"/>
            <w:vAlign w:val="bottom"/>
          </w:tcPr>
          <w:p>
            <w:pPr>
              <w:jc w:val="center"/>
              <w:spacing w:after="0" w:line="144" w:lineRule="exact"/>
              <w:rPr>
                <w:sz w:val="20"/>
                <w:szCs w:val="20"/>
                <w:color w:val="auto"/>
              </w:rPr>
            </w:pPr>
            <w:r>
              <w:rPr>
                <w:rFonts w:ascii="Arial" w:cs="Arial" w:eastAsia="Arial" w:hAnsi="Arial"/>
                <w:sz w:val="13"/>
                <w:szCs w:val="13"/>
                <w:color w:val="666666"/>
                <w:w w:val="97"/>
              </w:rPr>
              <w:t>RSUs will settle into shares of</w:t>
            </w:r>
          </w:p>
        </w:tc>
        <w:tc>
          <w:tcPr>
            <w:tcW w:w="20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color w:val="666666"/>
                <w:w w:val="98"/>
              </w:rPr>
              <w:t>percent of performance RSUs will</w:t>
            </w:r>
          </w:p>
        </w:tc>
        <w:tc>
          <w:tcPr>
            <w:tcW w:w="0" w:type="dxa"/>
            <w:vAlign w:val="bottom"/>
          </w:tcPr>
          <w:p>
            <w:pPr>
              <w:spacing w:after="0"/>
              <w:rPr>
                <w:sz w:val="1"/>
                <w:szCs w:val="1"/>
                <w:color w:val="auto"/>
              </w:rPr>
            </w:pPr>
          </w:p>
        </w:tc>
      </w:tr>
      <w:tr>
        <w:trPr>
          <w:trHeight w:val="89"/>
        </w:trPr>
        <w:tc>
          <w:tcPr>
            <w:tcW w:w="1820" w:type="dxa"/>
            <w:vAlign w:val="bottom"/>
            <w:tcBorders>
              <w:left w:val="single" w:sz="8" w:color="auto"/>
            </w:tcBorders>
            <w:vMerge w:val="restart"/>
          </w:tcPr>
          <w:p>
            <w:pPr>
              <w:ind w:left="20"/>
              <w:spacing w:after="0"/>
              <w:rPr>
                <w:sz w:val="20"/>
                <w:szCs w:val="20"/>
                <w:color w:val="auto"/>
              </w:rPr>
            </w:pPr>
            <w:r>
              <w:rPr>
                <w:rFonts w:ascii="Arial" w:cs="Arial" w:eastAsia="Arial" w:hAnsi="Arial"/>
                <w:sz w:val="13"/>
                <w:szCs w:val="13"/>
                <w:color w:val="666666"/>
              </w:rPr>
              <w:t>Cumulative VAR</w:t>
            </w:r>
          </w:p>
        </w:tc>
        <w:tc>
          <w:tcPr>
            <w:tcW w:w="1120" w:type="dxa"/>
            <w:vAlign w:val="bottom"/>
            <w:vMerge w:val="restart"/>
          </w:tcPr>
          <w:p>
            <w:pPr>
              <w:jc w:val="center"/>
              <w:ind w:left="196"/>
              <w:spacing w:after="0"/>
              <w:rPr>
                <w:sz w:val="20"/>
                <w:szCs w:val="20"/>
                <w:color w:val="auto"/>
              </w:rPr>
            </w:pPr>
            <w:r>
              <w:rPr>
                <w:rFonts w:ascii="Arial" w:cs="Arial" w:eastAsia="Arial" w:hAnsi="Arial"/>
                <w:sz w:val="13"/>
                <w:szCs w:val="13"/>
                <w:color w:val="666666"/>
                <w:w w:val="99"/>
              </w:rPr>
              <w:t>25%</w:t>
            </w:r>
          </w:p>
        </w:tc>
        <w:tc>
          <w:tcPr>
            <w:tcW w:w="1740" w:type="dxa"/>
            <w:vAlign w:val="bottom"/>
            <w:vMerge w:val="restart"/>
          </w:tcPr>
          <w:p>
            <w:pPr>
              <w:jc w:val="center"/>
              <w:ind w:left="79"/>
              <w:spacing w:after="0"/>
              <w:rPr>
                <w:sz w:val="20"/>
                <w:szCs w:val="20"/>
                <w:color w:val="auto"/>
              </w:rPr>
            </w:pPr>
            <w:r>
              <w:rPr>
                <w:rFonts w:ascii="Arial" w:cs="Arial" w:eastAsia="Arial" w:hAnsi="Arial"/>
                <w:sz w:val="13"/>
                <w:szCs w:val="13"/>
                <w:color w:val="666666"/>
              </w:rPr>
              <w:t>common stock</w:t>
            </w:r>
          </w:p>
        </w:tc>
        <w:tc>
          <w:tcPr>
            <w:tcW w:w="1760" w:type="dxa"/>
            <w:vAlign w:val="bottom"/>
          </w:tcPr>
          <w:p>
            <w:pPr>
              <w:jc w:val="center"/>
              <w:spacing w:after="0" w:line="89" w:lineRule="exact"/>
              <w:rPr>
                <w:sz w:val="20"/>
                <w:szCs w:val="20"/>
                <w:color w:val="auto"/>
              </w:rPr>
            </w:pPr>
            <w:r>
              <w:rPr>
                <w:rFonts w:ascii="Arial" w:cs="Arial" w:eastAsia="Arial" w:hAnsi="Arial"/>
                <w:sz w:val="10"/>
                <w:szCs w:val="10"/>
                <w:color w:val="666666"/>
              </w:rPr>
              <w:t>will settle into shares of Class</w:t>
            </w:r>
          </w:p>
        </w:tc>
        <w:tc>
          <w:tcPr>
            <w:tcW w:w="1760" w:type="dxa"/>
            <w:vAlign w:val="bottom"/>
            <w:vMerge w:val="restart"/>
          </w:tcPr>
          <w:p>
            <w:pPr>
              <w:jc w:val="center"/>
              <w:spacing w:after="0"/>
              <w:rPr>
                <w:sz w:val="20"/>
                <w:szCs w:val="20"/>
                <w:color w:val="auto"/>
              </w:rPr>
            </w:pPr>
            <w:r>
              <w:rPr>
                <w:rFonts w:ascii="Arial" w:cs="Arial" w:eastAsia="Arial" w:hAnsi="Arial"/>
                <w:sz w:val="13"/>
                <w:szCs w:val="13"/>
                <w:color w:val="666666"/>
                <w:w w:val="98"/>
              </w:rPr>
              <w:t>Class A common stock</w:t>
            </w:r>
          </w:p>
        </w:tc>
        <w:tc>
          <w:tcPr>
            <w:tcW w:w="2040" w:type="dxa"/>
            <w:vAlign w:val="bottom"/>
            <w:tcBorders>
              <w:right w:val="single" w:sz="8" w:color="auto"/>
            </w:tcBorders>
          </w:tcPr>
          <w:p>
            <w:pPr>
              <w:jc w:val="center"/>
              <w:spacing w:after="0" w:line="89" w:lineRule="exact"/>
              <w:rPr>
                <w:sz w:val="20"/>
                <w:szCs w:val="20"/>
                <w:color w:val="auto"/>
              </w:rPr>
            </w:pPr>
            <w:r>
              <w:rPr>
                <w:rFonts w:ascii="Arial" w:cs="Arial" w:eastAsia="Arial" w:hAnsi="Arial"/>
                <w:sz w:val="10"/>
                <w:szCs w:val="10"/>
                <w:color w:val="666666"/>
              </w:rPr>
              <w:t>settle into shares of Class A</w:t>
            </w: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tcBorders>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760" w:type="dxa"/>
            <w:vAlign w:val="bottom"/>
            <w:vMerge w:val="restart"/>
          </w:tcPr>
          <w:p>
            <w:pPr>
              <w:jc w:val="center"/>
              <w:spacing w:after="0"/>
              <w:rPr>
                <w:sz w:val="20"/>
                <w:szCs w:val="20"/>
                <w:color w:val="auto"/>
              </w:rPr>
            </w:pPr>
            <w:r>
              <w:rPr>
                <w:rFonts w:ascii="Arial" w:cs="Arial" w:eastAsia="Arial" w:hAnsi="Arial"/>
                <w:sz w:val="13"/>
                <w:szCs w:val="13"/>
                <w:color w:val="666666"/>
                <w:w w:val="97"/>
              </w:rPr>
              <w:t>A common stock</w:t>
            </w:r>
          </w:p>
        </w:tc>
        <w:tc>
          <w:tcPr>
            <w:tcW w:w="1760" w:type="dxa"/>
            <w:vAlign w:val="bottom"/>
            <w:vMerge w:val="continue"/>
          </w:tcPr>
          <w:p>
            <w:pPr>
              <w:spacing w:after="0"/>
              <w:rPr>
                <w:sz w:val="9"/>
                <w:szCs w:val="9"/>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666666"/>
                <w:w w:val="97"/>
              </w:rPr>
              <w:t>common stock</w:t>
            </w:r>
          </w:p>
        </w:tc>
        <w:tc>
          <w:tcPr>
            <w:tcW w:w="0" w:type="dxa"/>
            <w:vAlign w:val="bottom"/>
          </w:tcPr>
          <w:p>
            <w:pPr>
              <w:spacing w:after="0"/>
              <w:rPr>
                <w:sz w:val="1"/>
                <w:szCs w:val="1"/>
                <w:color w:val="auto"/>
              </w:rPr>
            </w:pPr>
          </w:p>
        </w:tc>
      </w:tr>
      <w:tr>
        <w:trPr>
          <w:trHeight w:val="71"/>
        </w:trPr>
        <w:tc>
          <w:tcPr>
            <w:tcW w:w="1820" w:type="dxa"/>
            <w:vAlign w:val="bottom"/>
            <w:tcBorders>
              <w:left w:val="single" w:sz="8" w:color="auto"/>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vMerge w:val="continue"/>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20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20" w:firstLine="230"/>
        <w:spacing w:after="0" w:line="285" w:lineRule="auto"/>
        <w:rPr>
          <w:sz w:val="20"/>
          <w:szCs w:val="20"/>
          <w:color w:val="auto"/>
        </w:rPr>
      </w:pPr>
      <w:r>
        <w:rPr>
          <w:rFonts w:ascii="Arial" w:cs="Arial" w:eastAsia="Arial" w:hAnsi="Arial"/>
          <w:sz w:val="14"/>
          <w:szCs w:val="14"/>
          <w:color w:val="666666"/>
        </w:rPr>
        <w:t>For fiscal year 2018, the target annual equity mix for our CEO is approximately 65 percent aligned to performance RSUs and 35 percent aligned to time RSUs. The average target annual equity mix for all other named executive officers is approximately 58 percent aligned to performance RSUs and approximately 42 percent aligned to time RSUs.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666666"/>
        </w:rPr>
        <w:t>33</w:t>
      </w:r>
    </w:p>
    <w:p>
      <w:pPr>
        <w:sectPr>
          <w:pgSz w:w="11900" w:h="16838" w:orient="portrait"/>
          <w:cols w:equalWidth="0" w:num="1">
            <w:col w:w="11440"/>
          </w:cols>
          <w:pgMar w:left="220" w:top="455" w:right="239" w:bottom="1440" w:gutter="0" w:footer="0" w:header="0"/>
        </w:sectPr>
      </w:pPr>
    </w:p>
    <w:bookmarkStart w:id="42" w:name="page43"/>
    <w:bookmarkEnd w:id="42"/>
    <w:p>
      <w:pPr>
        <w:ind w:right="140" w:firstLine="230"/>
        <w:spacing w:after="0" w:line="253" w:lineRule="auto"/>
        <w:rPr>
          <w:sz w:val="20"/>
          <w:szCs w:val="20"/>
          <w:color w:val="auto"/>
        </w:rPr>
      </w:pPr>
      <w:r>
        <w:rPr>
          <w:rFonts w:ascii="Arial" w:cs="Arial" w:eastAsia="Arial" w:hAnsi="Arial"/>
          <w:sz w:val="14"/>
          <w:szCs w:val="14"/>
          <w:color w:val="666666"/>
        </w:rPr>
        <w:t>The Compensation Committee, with consideration of guidance from ClearBridge, peer benchmarking data, and the CEO in the case of named executive officers who are direct reports to the CEO, determined these equity allocations were appropriate to further align the compensation of our named executive officers with long-term Company performance. The CEO has the highest allocation of performance RSUs based on his role as the overall steward of the Company and to tie a significant portion of his compensation to the Company's performance. The performance RSUs allow for additional rewards based on over-achievement against our long-term performance goals, while also penalizing for under-performance. The time RSUs encourage retention and provide for incremental recognition of equity compensation over the vest cycle.</w:t>
      </w:r>
    </w:p>
    <w:p>
      <w:pPr>
        <w:spacing w:after="0" w:line="160" w:lineRule="exact"/>
        <w:rPr>
          <w:sz w:val="20"/>
          <w:szCs w:val="20"/>
          <w:color w:val="auto"/>
        </w:rPr>
      </w:pPr>
    </w:p>
    <w:p>
      <w:pPr>
        <w:ind w:right="80" w:firstLine="230"/>
        <w:spacing w:after="0" w:line="253" w:lineRule="auto"/>
        <w:rPr>
          <w:sz w:val="20"/>
          <w:szCs w:val="20"/>
          <w:color w:val="auto"/>
        </w:rPr>
      </w:pPr>
      <w:r>
        <w:rPr>
          <w:rFonts w:ascii="Arial" w:cs="Arial" w:eastAsia="Arial" w:hAnsi="Arial"/>
          <w:sz w:val="14"/>
          <w:szCs w:val="14"/>
          <w:color w:val="666666"/>
        </w:rPr>
        <w:t>Effective fiscal year 2019, the Compensation Committee approved an increase to the target annual equity grant amounts for Messrs. Rozanski and Howell and Ms. Dahut, ranging from approximately 214 percent to 235 percent. These changes were made by the Compensation Committee using benchmarking analysis and input from KFHG, feedback from the CEO in the case of Mr. Howell and Ms. Dahut who are direct reports to the CEO, and in consideration of the 2014 Employment Letters that included significant retention equity grants which have since vested in full as of the end of fiscal year 2018. These increases are specifically focused on elements of compensation that will further incentivize both short- and long-term Company performance as well as long-term retention.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4F7CBA"/>
        </w:rPr>
        <w:t>New Hire / Advancement Grants</w:t>
      </w:r>
    </w:p>
    <w:p>
      <w:pPr>
        <w:spacing w:after="0" w:line="163" w:lineRule="exact"/>
        <w:rPr>
          <w:sz w:val="20"/>
          <w:szCs w:val="20"/>
          <w:color w:val="auto"/>
        </w:rPr>
      </w:pPr>
    </w:p>
    <w:p>
      <w:pPr>
        <w:jc w:val="both"/>
        <w:ind w:firstLine="230"/>
        <w:spacing w:after="0" w:line="250" w:lineRule="auto"/>
        <w:rPr>
          <w:sz w:val="20"/>
          <w:szCs w:val="20"/>
          <w:color w:val="auto"/>
        </w:rPr>
      </w:pPr>
      <w:r>
        <w:rPr>
          <w:rFonts w:ascii="Arial" w:cs="Arial" w:eastAsia="Arial" w:hAnsi="Arial"/>
          <w:sz w:val="14"/>
          <w:szCs w:val="14"/>
          <w:color w:val="666666"/>
        </w:rPr>
        <w:t>In addition to the annual equity grant we provide to our executives, the Company awards new hire equity grants as a mechanism to align our new executives’ interests to that of the stockholders, as well as advancement grants to recognize and reward performance and promotion to the next executive level. Dependent upon the executives' levels, these new hire or advancement grants are delivered in the form of time RSUs that settle ratably over three years based on continued employment, or as stock options with ratable vesting over five years based on continued employment. For our named executive officers in fiscal year 2018, Mses. Penfield and Dahut and Mr. Howell received advancement grants to recognize their expanded roles and responsibilities. In determining the amount of the advancement awards, the Compensation Committee considered our executive compensation program's advancement grant guidelines as well as the differentiated role the named executive officers play in driving growth and the long-term strategy of the Company. Details regarding these grants are included in the Option Award column in the Summary Compensation Table and the Grants of Plan-Based Awards Table.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4F7CBA"/>
        </w:rPr>
        <w:t>Annual Incentive Equity Awards— Fiscal Year 2017 Payments</w:t>
      </w:r>
    </w:p>
    <w:p>
      <w:pPr>
        <w:spacing w:after="0" w:line="135" w:lineRule="exact"/>
        <w:rPr>
          <w:sz w:val="20"/>
          <w:szCs w:val="20"/>
          <w:color w:val="auto"/>
        </w:rPr>
      </w:pPr>
    </w:p>
    <w:p>
      <w:pPr>
        <w:jc w:val="both"/>
        <w:ind w:right="20" w:firstLine="230"/>
        <w:spacing w:after="0" w:line="257" w:lineRule="auto"/>
        <w:rPr>
          <w:sz w:val="20"/>
          <w:szCs w:val="20"/>
          <w:color w:val="auto"/>
        </w:rPr>
      </w:pPr>
      <w:r>
        <w:rPr>
          <w:rFonts w:ascii="Arial" w:cs="Arial" w:eastAsia="Arial" w:hAnsi="Arial"/>
          <w:sz w:val="14"/>
          <w:szCs w:val="14"/>
          <w:color w:val="666666"/>
        </w:rPr>
        <w:t>In addition to the new annual equity grants under our redesigned executive compensation program, the final equity grant under the prior compensation structure also occurred during fiscal year 2018. These grants were determined as part of the fiscal year 2017 annual incentive and were delivered as time RSUs with a three-year ratable vesting schedule. Details regarding the annual equity made to our named executive officers during fiscal year 2018, under both our legacy program and our redesigned program, can be found in the table below as well as in the “Stock Awards” column of the Summary Compensation Table.</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2200" w:type="dxa"/>
            <w:vAlign w:val="bottom"/>
            <w:tcBorders>
              <w:top w:val="single" w:sz="8" w:color="auto"/>
              <w:left w:val="single" w:sz="8" w:color="auto"/>
            </w:tcBorders>
            <w:shd w:val="clear" w:color="auto" w:fill="4472C4"/>
          </w:tcPr>
          <w:p>
            <w:pPr>
              <w:spacing w:after="0"/>
              <w:rPr>
                <w:sz w:val="13"/>
                <w:szCs w:val="13"/>
                <w:color w:val="auto"/>
              </w:rPr>
            </w:pPr>
          </w:p>
        </w:tc>
        <w:tc>
          <w:tcPr>
            <w:tcW w:w="3020" w:type="dxa"/>
            <w:vAlign w:val="bottom"/>
            <w:tcBorders>
              <w:top w:val="single" w:sz="8" w:color="auto"/>
            </w:tcBorders>
            <w:shd w:val="clear" w:color="auto" w:fill="4472C4"/>
          </w:tcPr>
          <w:p>
            <w:pPr>
              <w:jc w:val="center"/>
              <w:spacing w:after="0"/>
              <w:rPr>
                <w:sz w:val="20"/>
                <w:szCs w:val="20"/>
                <w:color w:val="auto"/>
              </w:rPr>
            </w:pPr>
            <w:r>
              <w:rPr>
                <w:rFonts w:ascii="Arial" w:cs="Arial" w:eastAsia="Arial" w:hAnsi="Arial"/>
                <w:sz w:val="13"/>
                <w:szCs w:val="13"/>
                <w:b w:val="1"/>
                <w:bCs w:val="1"/>
                <w:color w:val="FFFFFF"/>
                <w:w w:val="98"/>
              </w:rPr>
              <w:t>Prior Structure</w:t>
            </w:r>
          </w:p>
        </w:tc>
        <w:tc>
          <w:tcPr>
            <w:tcW w:w="2980" w:type="dxa"/>
            <w:vAlign w:val="bottom"/>
            <w:tcBorders>
              <w:top w:val="single" w:sz="8" w:color="auto"/>
            </w:tcBorders>
            <w:shd w:val="clear" w:color="auto" w:fill="4472C4"/>
          </w:tcPr>
          <w:p>
            <w:pPr>
              <w:jc w:val="center"/>
              <w:ind w:left="176"/>
              <w:spacing w:after="0"/>
              <w:rPr>
                <w:sz w:val="20"/>
                <w:szCs w:val="20"/>
                <w:color w:val="auto"/>
              </w:rPr>
            </w:pPr>
            <w:r>
              <w:rPr>
                <w:rFonts w:ascii="Arial" w:cs="Arial" w:eastAsia="Arial" w:hAnsi="Arial"/>
                <w:sz w:val="13"/>
                <w:szCs w:val="13"/>
                <w:b w:val="1"/>
                <w:bCs w:val="1"/>
                <w:color w:val="FFFFFF"/>
                <w:w w:val="99"/>
              </w:rPr>
              <w:t>Redesigned Structure</w:t>
            </w:r>
          </w:p>
        </w:tc>
        <w:tc>
          <w:tcPr>
            <w:tcW w:w="3300" w:type="dxa"/>
            <w:vAlign w:val="bottom"/>
            <w:tcBorders>
              <w:top w:val="single" w:sz="8" w:color="auto"/>
              <w:right w:val="single" w:sz="8" w:color="auto"/>
            </w:tcBorders>
            <w:shd w:val="clear" w:color="auto" w:fill="4472C4"/>
          </w:tcPr>
          <w:p>
            <w:pPr>
              <w:jc w:val="center"/>
              <w:ind w:left="96"/>
              <w:spacing w:after="0"/>
              <w:rPr>
                <w:sz w:val="20"/>
                <w:szCs w:val="20"/>
                <w:color w:val="auto"/>
              </w:rPr>
            </w:pPr>
            <w:r>
              <w:rPr>
                <w:rFonts w:ascii="Arial" w:cs="Arial" w:eastAsia="Arial" w:hAnsi="Arial"/>
                <w:sz w:val="13"/>
                <w:szCs w:val="13"/>
                <w:b w:val="1"/>
                <w:bCs w:val="1"/>
                <w:color w:val="FFFFFF"/>
                <w:w w:val="99"/>
              </w:rPr>
              <w:t>Redesigned Structure</w:t>
            </w:r>
          </w:p>
        </w:tc>
      </w:tr>
      <w:tr>
        <w:trPr>
          <w:trHeight w:val="144"/>
        </w:trPr>
        <w:tc>
          <w:tcPr>
            <w:tcW w:w="2200" w:type="dxa"/>
            <w:vAlign w:val="bottom"/>
            <w:tcBorders>
              <w:left w:val="single" w:sz="8" w:color="auto"/>
            </w:tcBorders>
            <w:shd w:val="clear" w:color="auto" w:fill="4472C4"/>
          </w:tcPr>
          <w:p>
            <w:pPr>
              <w:spacing w:after="0"/>
              <w:rPr>
                <w:sz w:val="12"/>
                <w:szCs w:val="12"/>
                <w:color w:val="auto"/>
              </w:rPr>
            </w:pPr>
          </w:p>
        </w:tc>
        <w:tc>
          <w:tcPr>
            <w:tcW w:w="3020" w:type="dxa"/>
            <w:vAlign w:val="bottom"/>
            <w:shd w:val="clear" w:color="auto" w:fill="4472C4"/>
          </w:tcPr>
          <w:p>
            <w:pPr>
              <w:jc w:val="center"/>
              <w:spacing w:after="0" w:line="144" w:lineRule="exact"/>
              <w:rPr>
                <w:sz w:val="20"/>
                <w:szCs w:val="20"/>
                <w:color w:val="auto"/>
              </w:rPr>
            </w:pPr>
            <w:r>
              <w:rPr>
                <w:rFonts w:ascii="Arial" w:cs="Arial" w:eastAsia="Arial" w:hAnsi="Arial"/>
                <w:sz w:val="13"/>
                <w:szCs w:val="13"/>
                <w:b w:val="1"/>
                <w:bCs w:val="1"/>
                <w:color w:val="FFFFFF"/>
                <w:w w:val="99"/>
              </w:rPr>
              <w:t xml:space="preserve">Time RSU Grant </w:t>
            </w:r>
            <w:r>
              <w:rPr>
                <w:rFonts w:ascii="Arial" w:cs="Arial" w:eastAsia="Arial" w:hAnsi="Arial"/>
                <w:sz w:val="10"/>
                <w:szCs w:val="10"/>
                <w:b w:val="1"/>
                <w:bCs w:val="1"/>
                <w:color w:val="FFFFFF"/>
                <w:w w:val="99"/>
              </w:rPr>
              <w:t>1</w:t>
            </w:r>
          </w:p>
        </w:tc>
        <w:tc>
          <w:tcPr>
            <w:tcW w:w="2980" w:type="dxa"/>
            <w:vAlign w:val="bottom"/>
            <w:shd w:val="clear" w:color="auto" w:fill="4472C4"/>
          </w:tcPr>
          <w:p>
            <w:pPr>
              <w:jc w:val="center"/>
              <w:ind w:left="196"/>
              <w:spacing w:after="0" w:line="144" w:lineRule="exact"/>
              <w:rPr>
                <w:sz w:val="20"/>
                <w:szCs w:val="20"/>
                <w:color w:val="auto"/>
              </w:rPr>
            </w:pPr>
            <w:r>
              <w:rPr>
                <w:rFonts w:ascii="Arial" w:cs="Arial" w:eastAsia="Arial" w:hAnsi="Arial"/>
                <w:sz w:val="13"/>
                <w:szCs w:val="13"/>
                <w:b w:val="1"/>
                <w:bCs w:val="1"/>
                <w:color w:val="FFFFFF"/>
                <w:w w:val="99"/>
              </w:rPr>
              <w:t xml:space="preserve">Time RSU Grant </w:t>
            </w:r>
            <w:r>
              <w:rPr>
                <w:rFonts w:ascii="Arial" w:cs="Arial" w:eastAsia="Arial" w:hAnsi="Arial"/>
                <w:sz w:val="10"/>
                <w:szCs w:val="10"/>
                <w:b w:val="1"/>
                <w:bCs w:val="1"/>
                <w:color w:val="FFFFFF"/>
                <w:w w:val="99"/>
              </w:rPr>
              <w:t>2</w:t>
            </w:r>
          </w:p>
        </w:tc>
        <w:tc>
          <w:tcPr>
            <w:tcW w:w="3300" w:type="dxa"/>
            <w:vAlign w:val="bottom"/>
            <w:tcBorders>
              <w:right w:val="single" w:sz="8" w:color="auto"/>
            </w:tcBorders>
            <w:shd w:val="clear" w:color="auto" w:fill="4472C4"/>
          </w:tcPr>
          <w:p>
            <w:pPr>
              <w:jc w:val="center"/>
              <w:ind w:left="56"/>
              <w:spacing w:after="0" w:line="144" w:lineRule="exact"/>
              <w:rPr>
                <w:sz w:val="20"/>
                <w:szCs w:val="20"/>
                <w:color w:val="auto"/>
              </w:rPr>
            </w:pPr>
            <w:r>
              <w:rPr>
                <w:rFonts w:ascii="Arial" w:cs="Arial" w:eastAsia="Arial" w:hAnsi="Arial"/>
                <w:sz w:val="13"/>
                <w:szCs w:val="13"/>
                <w:b w:val="1"/>
                <w:bCs w:val="1"/>
                <w:color w:val="FFFFFF"/>
                <w:w w:val="98"/>
              </w:rPr>
              <w:t xml:space="preserve">Target Performance RSU Grant </w:t>
            </w:r>
            <w:r>
              <w:rPr>
                <w:rFonts w:ascii="Arial" w:cs="Arial" w:eastAsia="Arial" w:hAnsi="Arial"/>
                <w:sz w:val="10"/>
                <w:szCs w:val="10"/>
                <w:b w:val="1"/>
                <w:bCs w:val="1"/>
                <w:color w:val="FFFFFF"/>
                <w:w w:val="98"/>
              </w:rPr>
              <w:t>3</w:t>
            </w:r>
          </w:p>
        </w:tc>
      </w:tr>
      <w:tr>
        <w:trPr>
          <w:trHeight w:val="181"/>
        </w:trPr>
        <w:tc>
          <w:tcPr>
            <w:tcW w:w="2200" w:type="dxa"/>
            <w:vAlign w:val="bottom"/>
            <w:tcBorders>
              <w:left w:val="single" w:sz="8" w:color="auto"/>
              <w:bottom w:val="single" w:sz="8" w:color="auto"/>
            </w:tcBorders>
            <w:shd w:val="clear" w:color="auto" w:fill="4472C4"/>
          </w:tcPr>
          <w:p>
            <w:pPr>
              <w:ind w:left="20"/>
              <w:spacing w:after="0"/>
              <w:rPr>
                <w:sz w:val="20"/>
                <w:szCs w:val="20"/>
                <w:color w:val="auto"/>
              </w:rPr>
            </w:pPr>
            <w:r>
              <w:rPr>
                <w:rFonts w:ascii="Arial" w:cs="Arial" w:eastAsia="Arial" w:hAnsi="Arial"/>
                <w:sz w:val="13"/>
                <w:szCs w:val="13"/>
                <w:b w:val="1"/>
                <w:bCs w:val="1"/>
                <w:color w:val="FFFFFF"/>
              </w:rPr>
              <w:t>Name</w:t>
            </w:r>
          </w:p>
        </w:tc>
        <w:tc>
          <w:tcPr>
            <w:tcW w:w="3020" w:type="dxa"/>
            <w:vAlign w:val="bottom"/>
            <w:tcBorders>
              <w:bottom w:val="single" w:sz="8" w:color="auto"/>
            </w:tcBorders>
            <w:shd w:val="clear" w:color="auto" w:fill="4472C4"/>
          </w:tcPr>
          <w:p>
            <w:pPr>
              <w:jc w:val="center"/>
              <w:spacing w:after="0"/>
              <w:rPr>
                <w:sz w:val="20"/>
                <w:szCs w:val="20"/>
                <w:color w:val="auto"/>
              </w:rPr>
            </w:pPr>
            <w:r>
              <w:rPr>
                <w:rFonts w:ascii="Arial" w:cs="Arial" w:eastAsia="Arial" w:hAnsi="Arial"/>
                <w:sz w:val="13"/>
                <w:szCs w:val="13"/>
                <w:b w:val="1"/>
                <w:bCs w:val="1"/>
                <w:color w:val="FFFFFF"/>
              </w:rPr>
              <w:t>($)</w:t>
            </w:r>
          </w:p>
        </w:tc>
        <w:tc>
          <w:tcPr>
            <w:tcW w:w="2980" w:type="dxa"/>
            <w:vAlign w:val="bottom"/>
            <w:tcBorders>
              <w:bottom w:val="single" w:sz="8" w:color="auto"/>
            </w:tcBorders>
            <w:shd w:val="clear" w:color="auto" w:fill="4472C4"/>
          </w:tcPr>
          <w:p>
            <w:pPr>
              <w:jc w:val="center"/>
              <w:ind w:left="196"/>
              <w:spacing w:after="0"/>
              <w:rPr>
                <w:sz w:val="20"/>
                <w:szCs w:val="20"/>
                <w:color w:val="auto"/>
              </w:rPr>
            </w:pPr>
            <w:r>
              <w:rPr>
                <w:rFonts w:ascii="Arial" w:cs="Arial" w:eastAsia="Arial" w:hAnsi="Arial"/>
                <w:sz w:val="13"/>
                <w:szCs w:val="13"/>
                <w:b w:val="1"/>
                <w:bCs w:val="1"/>
                <w:color w:val="FFFFFF"/>
              </w:rPr>
              <w:t>($)</w:t>
            </w:r>
          </w:p>
        </w:tc>
        <w:tc>
          <w:tcPr>
            <w:tcW w:w="3300" w:type="dxa"/>
            <w:vAlign w:val="bottom"/>
            <w:tcBorders>
              <w:bottom w:val="single" w:sz="8" w:color="auto"/>
              <w:right w:val="single" w:sz="8" w:color="auto"/>
            </w:tcBorders>
            <w:shd w:val="clear" w:color="auto" w:fill="4472C4"/>
          </w:tcPr>
          <w:p>
            <w:pPr>
              <w:jc w:val="center"/>
              <w:ind w:left="76"/>
              <w:spacing w:after="0"/>
              <w:rPr>
                <w:sz w:val="20"/>
                <w:szCs w:val="20"/>
                <w:color w:val="auto"/>
              </w:rPr>
            </w:pPr>
            <w:r>
              <w:rPr>
                <w:rFonts w:ascii="Arial" w:cs="Arial" w:eastAsia="Arial" w:hAnsi="Arial"/>
                <w:sz w:val="13"/>
                <w:szCs w:val="13"/>
                <w:b w:val="1"/>
                <w:bCs w:val="1"/>
                <w:color w:val="FFFFFF"/>
              </w:rPr>
              <w:t>($)</w:t>
            </w:r>
          </w:p>
        </w:tc>
      </w:tr>
      <w:tr>
        <w:trPr>
          <w:trHeight w:val="165"/>
        </w:trPr>
        <w:tc>
          <w:tcPr>
            <w:tcW w:w="220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666666"/>
              </w:rPr>
              <w:t>Horacio D. Rozanski</w:t>
            </w:r>
          </w:p>
        </w:tc>
        <w:tc>
          <w:tcPr>
            <w:tcW w:w="3020" w:type="dxa"/>
            <w:vAlign w:val="bottom"/>
          </w:tcPr>
          <w:p>
            <w:pPr>
              <w:jc w:val="center"/>
              <w:spacing w:after="0"/>
              <w:rPr>
                <w:sz w:val="20"/>
                <w:szCs w:val="20"/>
                <w:color w:val="auto"/>
              </w:rPr>
            </w:pPr>
            <w:r>
              <w:rPr>
                <w:rFonts w:ascii="Arial" w:cs="Arial" w:eastAsia="Arial" w:hAnsi="Arial"/>
                <w:sz w:val="13"/>
                <w:szCs w:val="13"/>
                <w:color w:val="666666"/>
                <w:w w:val="97"/>
              </w:rPr>
              <w:t>527,831</w:t>
            </w:r>
          </w:p>
        </w:tc>
        <w:tc>
          <w:tcPr>
            <w:tcW w:w="2980" w:type="dxa"/>
            <w:vAlign w:val="bottom"/>
          </w:tcPr>
          <w:p>
            <w:pPr>
              <w:jc w:val="center"/>
              <w:ind w:left="176"/>
              <w:spacing w:after="0"/>
              <w:rPr>
                <w:sz w:val="20"/>
                <w:szCs w:val="20"/>
                <w:color w:val="auto"/>
              </w:rPr>
            </w:pPr>
            <w:r>
              <w:rPr>
                <w:rFonts w:ascii="Arial" w:cs="Arial" w:eastAsia="Arial" w:hAnsi="Arial"/>
                <w:sz w:val="13"/>
                <w:szCs w:val="13"/>
                <w:color w:val="666666"/>
                <w:w w:val="97"/>
              </w:rPr>
              <w:t>594,973</w:t>
            </w:r>
          </w:p>
        </w:tc>
        <w:tc>
          <w:tcPr>
            <w:tcW w:w="3300" w:type="dxa"/>
            <w:vAlign w:val="bottom"/>
            <w:tcBorders>
              <w:right w:val="single" w:sz="8" w:color="auto"/>
            </w:tcBorders>
          </w:tcPr>
          <w:p>
            <w:pPr>
              <w:jc w:val="center"/>
              <w:ind w:left="96"/>
              <w:spacing w:after="0"/>
              <w:rPr>
                <w:sz w:val="20"/>
                <w:szCs w:val="20"/>
                <w:color w:val="auto"/>
              </w:rPr>
            </w:pPr>
            <w:r>
              <w:rPr>
                <w:rFonts w:ascii="Arial" w:cs="Arial" w:eastAsia="Arial" w:hAnsi="Arial"/>
                <w:sz w:val="13"/>
                <w:szCs w:val="13"/>
                <w:color w:val="666666"/>
              </w:rPr>
              <w:t>1,104,995</w:t>
            </w:r>
          </w:p>
        </w:tc>
      </w:tr>
      <w:tr>
        <w:trPr>
          <w:trHeight w:val="182"/>
        </w:trPr>
        <w:tc>
          <w:tcPr>
            <w:tcW w:w="220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666666"/>
              </w:rPr>
              <w:t>Lloyd W. Howell, Jr.</w:t>
            </w:r>
          </w:p>
        </w:tc>
        <w:tc>
          <w:tcPr>
            <w:tcW w:w="3020" w:type="dxa"/>
            <w:vAlign w:val="bottom"/>
          </w:tcPr>
          <w:p>
            <w:pPr>
              <w:jc w:val="center"/>
              <w:spacing w:after="0"/>
              <w:rPr>
                <w:sz w:val="20"/>
                <w:szCs w:val="20"/>
                <w:color w:val="auto"/>
              </w:rPr>
            </w:pPr>
            <w:r>
              <w:rPr>
                <w:rFonts w:ascii="Arial" w:cs="Arial" w:eastAsia="Arial" w:hAnsi="Arial"/>
                <w:sz w:val="13"/>
                <w:szCs w:val="13"/>
                <w:color w:val="666666"/>
                <w:w w:val="97"/>
              </w:rPr>
              <w:t>367,197</w:t>
            </w:r>
          </w:p>
        </w:tc>
        <w:tc>
          <w:tcPr>
            <w:tcW w:w="2980" w:type="dxa"/>
            <w:vAlign w:val="bottom"/>
          </w:tcPr>
          <w:p>
            <w:pPr>
              <w:jc w:val="center"/>
              <w:ind w:left="176"/>
              <w:spacing w:after="0"/>
              <w:rPr>
                <w:sz w:val="20"/>
                <w:szCs w:val="20"/>
                <w:color w:val="auto"/>
              </w:rPr>
            </w:pPr>
            <w:r>
              <w:rPr>
                <w:rFonts w:ascii="Arial" w:cs="Arial" w:eastAsia="Arial" w:hAnsi="Arial"/>
                <w:sz w:val="13"/>
                <w:szCs w:val="13"/>
                <w:color w:val="666666"/>
                <w:w w:val="97"/>
              </w:rPr>
              <w:t>349,973</w:t>
            </w:r>
          </w:p>
        </w:tc>
        <w:tc>
          <w:tcPr>
            <w:tcW w:w="3300" w:type="dxa"/>
            <w:vAlign w:val="bottom"/>
            <w:tcBorders>
              <w:right w:val="single" w:sz="8" w:color="auto"/>
            </w:tcBorders>
          </w:tcPr>
          <w:p>
            <w:pPr>
              <w:jc w:val="center"/>
              <w:ind w:left="96"/>
              <w:spacing w:after="0"/>
              <w:rPr>
                <w:sz w:val="20"/>
                <w:szCs w:val="20"/>
                <w:color w:val="auto"/>
              </w:rPr>
            </w:pPr>
            <w:r>
              <w:rPr>
                <w:rFonts w:ascii="Arial" w:cs="Arial" w:eastAsia="Arial" w:hAnsi="Arial"/>
                <w:sz w:val="13"/>
                <w:szCs w:val="13"/>
                <w:color w:val="666666"/>
                <w:w w:val="97"/>
              </w:rPr>
              <w:t>524,978</w:t>
            </w:r>
          </w:p>
        </w:tc>
      </w:tr>
      <w:tr>
        <w:trPr>
          <w:trHeight w:val="182"/>
        </w:trPr>
        <w:tc>
          <w:tcPr>
            <w:tcW w:w="220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666666"/>
              </w:rPr>
              <w:t>Karen M. Dahut</w:t>
            </w:r>
          </w:p>
        </w:tc>
        <w:tc>
          <w:tcPr>
            <w:tcW w:w="3020" w:type="dxa"/>
            <w:vAlign w:val="bottom"/>
          </w:tcPr>
          <w:p>
            <w:pPr>
              <w:jc w:val="center"/>
              <w:spacing w:after="0"/>
              <w:rPr>
                <w:sz w:val="20"/>
                <w:szCs w:val="20"/>
                <w:color w:val="auto"/>
              </w:rPr>
            </w:pPr>
            <w:r>
              <w:rPr>
                <w:rFonts w:ascii="Arial" w:cs="Arial" w:eastAsia="Arial" w:hAnsi="Arial"/>
                <w:sz w:val="13"/>
                <w:szCs w:val="13"/>
                <w:color w:val="666666"/>
                <w:w w:val="97"/>
              </w:rPr>
              <w:t>367,197</w:t>
            </w:r>
          </w:p>
        </w:tc>
        <w:tc>
          <w:tcPr>
            <w:tcW w:w="2980" w:type="dxa"/>
            <w:vAlign w:val="bottom"/>
          </w:tcPr>
          <w:p>
            <w:pPr>
              <w:jc w:val="center"/>
              <w:ind w:left="176"/>
              <w:spacing w:after="0"/>
              <w:rPr>
                <w:sz w:val="20"/>
                <w:szCs w:val="20"/>
                <w:color w:val="auto"/>
              </w:rPr>
            </w:pPr>
            <w:r>
              <w:rPr>
                <w:rFonts w:ascii="Arial" w:cs="Arial" w:eastAsia="Arial" w:hAnsi="Arial"/>
                <w:sz w:val="13"/>
                <w:szCs w:val="13"/>
                <w:color w:val="666666"/>
                <w:w w:val="97"/>
              </w:rPr>
              <w:t>349,973</w:t>
            </w:r>
          </w:p>
        </w:tc>
        <w:tc>
          <w:tcPr>
            <w:tcW w:w="3300" w:type="dxa"/>
            <w:vAlign w:val="bottom"/>
            <w:tcBorders>
              <w:right w:val="single" w:sz="8" w:color="auto"/>
            </w:tcBorders>
          </w:tcPr>
          <w:p>
            <w:pPr>
              <w:jc w:val="center"/>
              <w:ind w:left="96"/>
              <w:spacing w:after="0"/>
              <w:rPr>
                <w:sz w:val="20"/>
                <w:szCs w:val="20"/>
                <w:color w:val="auto"/>
              </w:rPr>
            </w:pPr>
            <w:r>
              <w:rPr>
                <w:rFonts w:ascii="Arial" w:cs="Arial" w:eastAsia="Arial" w:hAnsi="Arial"/>
                <w:sz w:val="13"/>
                <w:szCs w:val="13"/>
                <w:color w:val="666666"/>
                <w:w w:val="97"/>
              </w:rPr>
              <w:t>524,978</w:t>
            </w:r>
          </w:p>
        </w:tc>
      </w:tr>
      <w:tr>
        <w:trPr>
          <w:trHeight w:val="182"/>
        </w:trPr>
        <w:tc>
          <w:tcPr>
            <w:tcW w:w="220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666666"/>
              </w:rPr>
              <w:t>Joseph Logue</w:t>
            </w:r>
          </w:p>
        </w:tc>
        <w:tc>
          <w:tcPr>
            <w:tcW w:w="3020" w:type="dxa"/>
            <w:vAlign w:val="bottom"/>
          </w:tcPr>
          <w:p>
            <w:pPr>
              <w:jc w:val="center"/>
              <w:spacing w:after="0"/>
              <w:rPr>
                <w:sz w:val="20"/>
                <w:szCs w:val="20"/>
                <w:color w:val="auto"/>
              </w:rPr>
            </w:pPr>
            <w:r>
              <w:rPr>
                <w:rFonts w:ascii="Arial" w:cs="Arial" w:eastAsia="Arial" w:hAnsi="Arial"/>
                <w:sz w:val="13"/>
                <w:szCs w:val="13"/>
                <w:color w:val="666666"/>
                <w:w w:val="97"/>
              </w:rPr>
              <w:t>458,988</w:t>
            </w:r>
          </w:p>
        </w:tc>
        <w:tc>
          <w:tcPr>
            <w:tcW w:w="2980" w:type="dxa"/>
            <w:vAlign w:val="bottom"/>
          </w:tcPr>
          <w:p>
            <w:pPr>
              <w:jc w:val="center"/>
              <w:ind w:left="176"/>
              <w:spacing w:after="0"/>
              <w:rPr>
                <w:sz w:val="20"/>
                <w:szCs w:val="20"/>
                <w:color w:val="auto"/>
              </w:rPr>
            </w:pPr>
            <w:r>
              <w:rPr>
                <w:rFonts w:ascii="Arial" w:cs="Arial" w:eastAsia="Arial" w:hAnsi="Arial"/>
                <w:sz w:val="13"/>
                <w:szCs w:val="13"/>
                <w:color w:val="666666"/>
                <w:w w:val="97"/>
              </w:rPr>
              <w:t>249,996</w:t>
            </w:r>
          </w:p>
        </w:tc>
        <w:tc>
          <w:tcPr>
            <w:tcW w:w="3300" w:type="dxa"/>
            <w:vAlign w:val="bottom"/>
            <w:tcBorders>
              <w:right w:val="single" w:sz="8" w:color="auto"/>
            </w:tcBorders>
          </w:tcPr>
          <w:p>
            <w:pPr>
              <w:jc w:val="center"/>
              <w:ind w:left="96"/>
              <w:spacing w:after="0"/>
              <w:rPr>
                <w:sz w:val="20"/>
                <w:szCs w:val="20"/>
                <w:color w:val="auto"/>
              </w:rPr>
            </w:pPr>
            <w:r>
              <w:rPr>
                <w:rFonts w:ascii="Arial" w:cs="Arial" w:eastAsia="Arial" w:hAnsi="Arial"/>
                <w:sz w:val="13"/>
                <w:szCs w:val="13"/>
                <w:color w:val="666666"/>
                <w:w w:val="97"/>
              </w:rPr>
              <w:t>374,994</w:t>
            </w:r>
          </w:p>
        </w:tc>
      </w:tr>
      <w:tr>
        <w:trPr>
          <w:trHeight w:val="186"/>
        </w:trPr>
        <w:tc>
          <w:tcPr>
            <w:tcW w:w="22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666666"/>
              </w:rPr>
              <w:t>Susan L. Penfield</w:t>
            </w: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666666"/>
                <w:w w:val="97"/>
              </w:rPr>
              <w:t>275,373</w:t>
            </w:r>
          </w:p>
        </w:tc>
        <w:tc>
          <w:tcPr>
            <w:tcW w:w="2980" w:type="dxa"/>
            <w:vAlign w:val="bottom"/>
            <w:tcBorders>
              <w:bottom w:val="single" w:sz="8" w:color="auto"/>
            </w:tcBorders>
          </w:tcPr>
          <w:p>
            <w:pPr>
              <w:jc w:val="center"/>
              <w:ind w:left="176"/>
              <w:spacing w:after="0"/>
              <w:rPr>
                <w:sz w:val="20"/>
                <w:szCs w:val="20"/>
                <w:color w:val="auto"/>
              </w:rPr>
            </w:pPr>
            <w:r>
              <w:rPr>
                <w:rFonts w:ascii="Arial" w:cs="Arial" w:eastAsia="Arial" w:hAnsi="Arial"/>
                <w:sz w:val="13"/>
                <w:szCs w:val="13"/>
                <w:color w:val="666666"/>
                <w:w w:val="97"/>
              </w:rPr>
              <w:t>387,469</w:t>
            </w:r>
          </w:p>
        </w:tc>
        <w:tc>
          <w:tcPr>
            <w:tcW w:w="3300" w:type="dxa"/>
            <w:vAlign w:val="bottom"/>
            <w:tcBorders>
              <w:bottom w:val="single" w:sz="8" w:color="auto"/>
              <w:right w:val="single" w:sz="8" w:color="auto"/>
            </w:tcBorders>
          </w:tcPr>
          <w:p>
            <w:pPr>
              <w:jc w:val="center"/>
              <w:ind w:left="96"/>
              <w:spacing w:after="0"/>
              <w:rPr>
                <w:sz w:val="20"/>
                <w:szCs w:val="20"/>
                <w:color w:val="auto"/>
              </w:rPr>
            </w:pPr>
            <w:r>
              <w:rPr>
                <w:rFonts w:ascii="Arial" w:cs="Arial" w:eastAsia="Arial" w:hAnsi="Arial"/>
                <w:sz w:val="13"/>
                <w:szCs w:val="13"/>
                <w:color w:val="666666"/>
                <w:w w:val="97"/>
              </w:rPr>
              <w:t>387,469</w:t>
            </w:r>
          </w:p>
        </w:tc>
      </w:tr>
    </w:tbl>
    <w:p>
      <w:pPr>
        <w:spacing w:after="0" w:line="126" w:lineRule="exact"/>
        <w:rPr>
          <w:sz w:val="20"/>
          <w:szCs w:val="20"/>
          <w:color w:val="auto"/>
        </w:rPr>
      </w:pPr>
    </w:p>
    <w:p>
      <w:pPr>
        <w:ind w:left="460" w:hanging="175"/>
        <w:spacing w:after="0"/>
        <w:tabs>
          <w:tab w:leader="none" w:pos="460" w:val="left"/>
        </w:tabs>
        <w:numPr>
          <w:ilvl w:val="0"/>
          <w:numId w:val="35"/>
        </w:numPr>
        <w:rPr>
          <w:rFonts w:ascii="Arial" w:cs="Arial" w:eastAsia="Arial" w:hAnsi="Arial"/>
          <w:sz w:val="10"/>
          <w:szCs w:val="10"/>
          <w:color w:val="666666"/>
        </w:rPr>
      </w:pPr>
      <w:r>
        <w:rPr>
          <w:rFonts w:ascii="Arial" w:cs="Arial" w:eastAsia="Arial" w:hAnsi="Arial"/>
          <w:sz w:val="10"/>
          <w:szCs w:val="10"/>
          <w:color w:val="666666"/>
        </w:rPr>
        <w:t>Grant date fair value of equity granted as part of the fiscal year 2017 bonus - time-vested RSUs, including 20% premium</w:t>
      </w:r>
    </w:p>
    <w:p>
      <w:pPr>
        <w:spacing w:after="0" w:line="12" w:lineRule="exact"/>
        <w:rPr>
          <w:rFonts w:ascii="Arial" w:cs="Arial" w:eastAsia="Arial" w:hAnsi="Arial"/>
          <w:sz w:val="10"/>
          <w:szCs w:val="10"/>
          <w:color w:val="666666"/>
        </w:rPr>
      </w:pPr>
    </w:p>
    <w:p>
      <w:pPr>
        <w:ind w:left="460" w:hanging="175"/>
        <w:spacing w:after="0"/>
        <w:tabs>
          <w:tab w:leader="none" w:pos="460" w:val="left"/>
        </w:tabs>
        <w:numPr>
          <w:ilvl w:val="0"/>
          <w:numId w:val="35"/>
        </w:numPr>
        <w:rPr>
          <w:rFonts w:ascii="Arial" w:cs="Arial" w:eastAsia="Arial" w:hAnsi="Arial"/>
          <w:sz w:val="10"/>
          <w:szCs w:val="10"/>
          <w:color w:val="666666"/>
        </w:rPr>
      </w:pPr>
      <w:r>
        <w:rPr>
          <w:rFonts w:ascii="Arial" w:cs="Arial" w:eastAsia="Arial" w:hAnsi="Arial"/>
          <w:sz w:val="10"/>
          <w:szCs w:val="10"/>
          <w:color w:val="666666"/>
        </w:rPr>
        <w:t>Grant date fair value of equity granted under the fiscal year 2018 redesigned executive compensation structure - time-vested RSUs</w:t>
      </w:r>
    </w:p>
    <w:p>
      <w:pPr>
        <w:ind w:left="460" w:hanging="175"/>
        <w:spacing w:after="0"/>
        <w:tabs>
          <w:tab w:leader="none" w:pos="460" w:val="left"/>
        </w:tabs>
        <w:numPr>
          <w:ilvl w:val="0"/>
          <w:numId w:val="35"/>
        </w:numPr>
        <w:rPr>
          <w:rFonts w:ascii="Arial" w:cs="Arial" w:eastAsia="Arial" w:hAnsi="Arial"/>
          <w:sz w:val="10"/>
          <w:szCs w:val="10"/>
          <w:color w:val="666666"/>
        </w:rPr>
      </w:pPr>
      <w:r>
        <w:rPr>
          <w:rFonts w:ascii="Arial" w:cs="Arial" w:eastAsia="Arial" w:hAnsi="Arial"/>
          <w:sz w:val="10"/>
          <w:szCs w:val="10"/>
          <w:color w:val="666666"/>
        </w:rPr>
        <w:t>Grant date fair value of equity granted under the fiscal year 2018 redesigned executive compensation structure - performance-vested RSUs at target levels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34</w:t>
      </w:r>
    </w:p>
    <w:p>
      <w:pPr>
        <w:sectPr>
          <w:pgSz w:w="11900" w:h="16838" w:orient="portrait"/>
          <w:cols w:equalWidth="0" w:num="1">
            <w:col w:w="11480"/>
          </w:cols>
          <w:pgMar w:left="220" w:top="561" w:right="19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i w:val="1"/>
          <w:iCs w:val="1"/>
          <w:color w:val="547BCC"/>
        </w:rPr>
        <w:t>Benefits and Perquisites</w:t>
      </w:r>
    </w:p>
    <w:p>
      <w:pPr>
        <w:spacing w:after="0" w:line="135" w:lineRule="exact"/>
        <w:rPr>
          <w:sz w:val="20"/>
          <w:szCs w:val="20"/>
          <w:color w:val="auto"/>
        </w:rPr>
      </w:pPr>
    </w:p>
    <w:p>
      <w:pPr>
        <w:ind w:right="20" w:firstLine="230"/>
        <w:spacing w:after="0" w:line="249" w:lineRule="auto"/>
        <w:rPr>
          <w:sz w:val="20"/>
          <w:szCs w:val="20"/>
          <w:color w:val="auto"/>
        </w:rPr>
      </w:pPr>
      <w:r>
        <w:rPr>
          <w:rFonts w:ascii="Arial" w:cs="Arial" w:eastAsia="Arial" w:hAnsi="Arial"/>
          <w:sz w:val="14"/>
          <w:szCs w:val="14"/>
          <w:color w:val="666666"/>
        </w:rPr>
        <w:t>Our employees are eligible to participate in a full complement of benefit plans. Our named executive officers also participate in enhanced medical and dental plans, life insurance, accidental death and dismemberment, and personal liability coverage at the Company's expense. During fiscal year 2018, our named executive officers were eligible to receive perquisites, including up to $15,000 per year for financial counseling, up to $7,500 every three years to update an estate plan, up to $3,000 for preparation of estate plans following relocation to a new tax jurisdiction, and a one-time reimbursement of up to $ 5,000 for retirement financial planning. In addition, to protect our executives from various risks, we maintain an executive protection program that provides our executives with a security assessment for their primary residence and security service for foreign or domestic travel. We believe that our executive benefit and perquisite programs are reasonable and necessary to provide for the well-being of our executives. For more detail on the perquisites that our named executive officers receive, see footnote 7 to the Summary Compensation Table under "Compensation Tables and Disclosures." As part of our redesigned executive compensation structure, effective fiscal year 2018, we have eliminated reimbursement of club dues as well as the tax gross-up on life insurance premiums for our named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547BCC"/>
        </w:rPr>
        <w:t>Retirement Benefits</w:t>
      </w:r>
    </w:p>
    <w:p>
      <w:pPr>
        <w:spacing w:after="0" w:line="163"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4"/>
          <w:szCs w:val="14"/>
          <w:color w:val="666666"/>
        </w:rPr>
        <w:t>We provide retirement benefits to our executives, including our named executive officers, to help them build financial security for retirement, while allowing them to direct the investment of their retirement savings as they choose.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4F81BD"/>
        </w:rPr>
        <w:t>Employees’ Capital Accumulation Plan</w:t>
      </w:r>
    </w:p>
    <w:p>
      <w:pPr>
        <w:spacing w:after="0" w:line="163" w:lineRule="exact"/>
        <w:rPr>
          <w:sz w:val="20"/>
          <w:szCs w:val="20"/>
          <w:color w:val="auto"/>
        </w:rPr>
      </w:pPr>
    </w:p>
    <w:p>
      <w:pPr>
        <w:jc w:val="both"/>
        <w:ind w:firstLine="278"/>
        <w:spacing w:after="0" w:line="253" w:lineRule="auto"/>
        <w:rPr>
          <w:sz w:val="20"/>
          <w:szCs w:val="20"/>
          <w:color w:val="auto"/>
        </w:rPr>
      </w:pPr>
      <w:r>
        <w:rPr>
          <w:rFonts w:ascii="Arial" w:cs="Arial" w:eastAsia="Arial" w:hAnsi="Arial"/>
          <w:sz w:val="14"/>
          <w:szCs w:val="14"/>
          <w:color w:val="666666"/>
        </w:rPr>
        <w:t>All employees, including our named executive officers, are automatically eligible to participate in the tax-qualified Employees' Capital Accumulation Plan, or ECAP. We fund contributions to ECAP annually for each of our named executive officers. All employees, including our named executive officers, will be eligible for an annual matching contribution of up to 6% of their eligible annual income as determined by the Code. Each executive is also eligible to receive a payment that is equivalent to the annual tax-deferred contribution he or she is permitted to make to ECAP under the Code. Executives may elect to have these funds deposited into a pre-tax or Roth 401(k), or the executive may simply receive the funds as a cash payment and be taxed accordingly.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4F81BD"/>
        </w:rPr>
        <w:t>Non-Qualified Deferred Compensation Plan</w:t>
      </w:r>
    </w:p>
    <w:p>
      <w:pPr>
        <w:spacing w:after="0" w:line="163" w:lineRule="exact"/>
        <w:rPr>
          <w:sz w:val="20"/>
          <w:szCs w:val="20"/>
          <w:color w:val="auto"/>
        </w:rPr>
      </w:pPr>
    </w:p>
    <w:p>
      <w:pPr>
        <w:ind w:right="320" w:firstLine="230"/>
        <w:spacing w:after="0" w:line="264" w:lineRule="auto"/>
        <w:rPr>
          <w:sz w:val="20"/>
          <w:szCs w:val="20"/>
          <w:color w:val="auto"/>
        </w:rPr>
      </w:pPr>
      <w:r>
        <w:rPr>
          <w:rFonts w:ascii="Arial" w:cs="Arial" w:eastAsia="Arial" w:hAnsi="Arial"/>
          <w:sz w:val="14"/>
          <w:szCs w:val="14"/>
          <w:color w:val="666666"/>
        </w:rPr>
        <w:t>As part of our redesigned executive compensation program, we offer a non-qualified deferred compensation plan for our executives to encourage employees to save for their retirement. Eligible employees, which include all named executive officers, may elect to contribute up to 100% of their annual cash bonus to this plan. None of our named executive officers enrolled for the fiscal year 2018 deferral.</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color w:val="4F81BD"/>
        </w:rPr>
        <w:t>Additional Retirement Benefits</w:t>
      </w:r>
    </w:p>
    <w:p>
      <w:pPr>
        <w:spacing w:after="0" w:line="163"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4"/>
          <w:szCs w:val="14"/>
          <w:color w:val="666666"/>
        </w:rPr>
        <w:t>We provide additional retirement benefits to our executives, including our named executive officers, in order to provide them with additional security in retirement and promote a long-term career with our Company. Our executives participate in the Officers' Retirement Plan, under which the executive may retire with full benefits after a minimum of either (a) age 60 with five years of service as an executive or (b) age 50 with 10 years of service as an executive. An eligible executive who retires and does not receive severance benefits is entitled to receive a single lump-sum retirement payment equal to $10,000 for each year of service as an executive, pro-rated as appropriate, and an annual allowance of $4,000 for financial counseling and tax preparation assistance. Our retirees are also eligible to receive comprehensive coverage for medical, pharmacy, and dental healthcare. The premiums for this healthcare coverage are paid by the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35</w:t>
      </w:r>
    </w:p>
    <w:p>
      <w:pPr>
        <w:sectPr>
          <w:pgSz w:w="11900" w:h="16838" w:orient="portrait"/>
          <w:cols w:equalWidth="0" w:num="1">
            <w:col w:w="11460"/>
          </w:cols>
          <w:pgMar w:left="220" w:top="639" w:right="21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i w:val="1"/>
          <w:iCs w:val="1"/>
          <w:color w:val="547BCC"/>
        </w:rPr>
        <w:t>Employment Letters</w:t>
      </w:r>
    </w:p>
    <w:p>
      <w:pPr>
        <w:spacing w:after="0" w:line="163" w:lineRule="exact"/>
        <w:rPr>
          <w:sz w:val="20"/>
          <w:szCs w:val="20"/>
          <w:color w:val="auto"/>
        </w:rPr>
      </w:pPr>
    </w:p>
    <w:p>
      <w:pPr>
        <w:ind w:right="520" w:firstLine="230"/>
        <w:spacing w:after="0" w:line="285" w:lineRule="auto"/>
        <w:rPr>
          <w:sz w:val="20"/>
          <w:szCs w:val="20"/>
          <w:color w:val="auto"/>
        </w:rPr>
      </w:pPr>
      <w:r>
        <w:rPr>
          <w:rFonts w:ascii="Arial" w:cs="Arial" w:eastAsia="Arial" w:hAnsi="Arial"/>
          <w:sz w:val="14"/>
          <w:szCs w:val="14"/>
          <w:color w:val="666666"/>
        </w:rPr>
        <w:t>Effective April 1, 2014, we entered into employment letter agreements, or employment letters, with Messrs. Rozanski, Logue, and Howell and Ms. Dahut to reflect leadership changes, to align their compensation to the market for similarly situated executives, and to ensure retention of these critical leaders during our leadership succession period.</w:t>
      </w:r>
    </w:p>
    <w:p>
      <w:pPr>
        <w:spacing w:after="0" w:line="107" w:lineRule="exact"/>
        <w:rPr>
          <w:sz w:val="20"/>
          <w:szCs w:val="20"/>
          <w:color w:val="auto"/>
        </w:rPr>
      </w:pPr>
    </w:p>
    <w:p>
      <w:pPr>
        <w:ind w:right="60" w:firstLine="230"/>
        <w:spacing w:after="0" w:line="249" w:lineRule="auto"/>
        <w:rPr>
          <w:sz w:val="20"/>
          <w:szCs w:val="20"/>
          <w:color w:val="auto"/>
        </w:rPr>
      </w:pPr>
      <w:r>
        <w:rPr>
          <w:rFonts w:ascii="Arial" w:cs="Arial" w:eastAsia="Arial" w:hAnsi="Arial"/>
          <w:sz w:val="14"/>
          <w:szCs w:val="14"/>
          <w:color w:val="666666"/>
        </w:rPr>
        <w:t>The employment letters provide for base payments and annual incentives that are consistent with that currently provided to the executives (and described above). Each executive officer is eligible to participate in the employee benefit and executive perquisite programs of the Company on the same terms as similarly situated executive officers of the Company. Payments upon termination of employment will be governed by the Company’s severance, transition, retirement, disability or other policies, as applicable, as in effect from time to time, and subject to the terms and conditions of such policies. The officer is required to provide the Company with not less than 90 days’ notice of termination of employment for any reason other than death or disability (or such longer notice period as is provided in the relevant officer policy). In addition, each executive agreed to be bound by perpetual confidentiality provisions as well as non-compete and non-solicit covenants while employed with us and for one year following termination of employment. Under the employment letters, in fiscal year 2015, each of Messrs. Rozanski, Howell, and Logue and Ms. Dahut received a special grant of restricted stock. 33% of the restricted stock vested on March 31, 2016, 34% vested on March 31, 2017, and the remaining 33% vested on March 31, 2018.</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Executive Ownership Requirements</w:t>
      </w:r>
    </w:p>
    <w:p>
      <w:pPr>
        <w:spacing w:after="0" w:line="167" w:lineRule="exact"/>
        <w:rPr>
          <w:sz w:val="20"/>
          <w:szCs w:val="20"/>
          <w:color w:val="auto"/>
        </w:rPr>
      </w:pPr>
    </w:p>
    <w:p>
      <w:pPr>
        <w:ind w:right="220" w:firstLine="230"/>
        <w:spacing w:after="0" w:line="251" w:lineRule="auto"/>
        <w:rPr>
          <w:sz w:val="20"/>
          <w:szCs w:val="20"/>
          <w:color w:val="auto"/>
        </w:rPr>
      </w:pPr>
      <w:r>
        <w:rPr>
          <w:rFonts w:ascii="Arial" w:cs="Arial" w:eastAsia="Arial" w:hAnsi="Arial"/>
          <w:sz w:val="14"/>
          <w:szCs w:val="14"/>
          <w:color w:val="666666"/>
        </w:rPr>
        <w:t>Equity ownership requirements are in place for our entire executive population, including our named executive officers, to further align their interests to those of our stockholders. Our ownership requirement extends beyond market expectations. Our named executive officers have regularly exceeded our equity ownership guidelines and demonstrate a commitment to the Company's long-term value by owning equity well above their requirements. Until an executive has satisfied the ownership requirements set forth below, the executive cannot sell any equity granted as equity compensation by the Company. Each executive’s required equity ownership amount is determined as a multiple of his or her base salary. The applicable multiples for our named executive officers for fiscal year 2018 are set forth in the table below as well as a comparison of their actual equity ownership as of the end of the fiscal year:</w:t>
      </w:r>
    </w:p>
    <w:p>
      <w:pPr>
        <w:spacing w:after="0" w:line="239" w:lineRule="exact"/>
        <w:rPr>
          <w:sz w:val="20"/>
          <w:szCs w:val="20"/>
          <w:color w:val="auto"/>
        </w:rPr>
      </w:pPr>
    </w:p>
    <w:tbl>
      <w:tblPr>
        <w:tblLayout w:type="fixed"/>
        <w:tblInd w:w="590" w:type="dxa"/>
        <w:tblCellMar>
          <w:top w:w="0" w:type="dxa"/>
          <w:left w:w="0" w:type="dxa"/>
          <w:bottom w:w="0" w:type="dxa"/>
          <w:right w:w="0" w:type="dxa"/>
        </w:tblCellMar>
      </w:tblPr>
      <w:tr>
        <w:trPr>
          <w:trHeight w:val="202"/>
        </w:trPr>
        <w:tc>
          <w:tcPr>
            <w:tcW w:w="3740" w:type="dxa"/>
            <w:vAlign w:val="bottom"/>
            <w:tcBorders>
              <w:left w:val="single" w:sz="8" w:color="4472C4"/>
              <w:right w:val="single" w:sz="8" w:color="4472C4"/>
            </w:tcBorders>
            <w:shd w:val="clear" w:color="auto" w:fill="4472C4"/>
          </w:tcPr>
          <w:p>
            <w:pPr>
              <w:ind w:left="1080"/>
              <w:spacing w:after="0"/>
              <w:rPr>
                <w:sz w:val="20"/>
                <w:szCs w:val="20"/>
                <w:color w:val="auto"/>
              </w:rPr>
            </w:pPr>
            <w:r>
              <w:rPr>
                <w:rFonts w:ascii="Arial" w:cs="Arial" w:eastAsia="Arial" w:hAnsi="Arial"/>
                <w:sz w:val="13"/>
                <w:szCs w:val="13"/>
                <w:b w:val="1"/>
                <w:bCs w:val="1"/>
                <w:i w:val="1"/>
                <w:iCs w:val="1"/>
                <w:color w:val="FFFFFF"/>
              </w:rPr>
              <w:t>Named Executive Officers</w:t>
            </w:r>
          </w:p>
        </w:tc>
        <w:tc>
          <w:tcPr>
            <w:tcW w:w="3820" w:type="dxa"/>
            <w:vAlign w:val="bottom"/>
            <w:tcBorders>
              <w:right w:val="single" w:sz="8" w:color="4472C4"/>
            </w:tcBorders>
            <w:shd w:val="clear" w:color="auto" w:fill="4472C4"/>
          </w:tcPr>
          <w:p>
            <w:pPr>
              <w:jc w:val="center"/>
              <w:spacing w:after="0"/>
              <w:rPr>
                <w:sz w:val="20"/>
                <w:szCs w:val="20"/>
                <w:color w:val="auto"/>
              </w:rPr>
            </w:pPr>
            <w:r>
              <w:rPr>
                <w:rFonts w:ascii="Arial" w:cs="Arial" w:eastAsia="Arial" w:hAnsi="Arial"/>
                <w:sz w:val="13"/>
                <w:szCs w:val="13"/>
                <w:b w:val="1"/>
                <w:bCs w:val="1"/>
                <w:i w:val="1"/>
                <w:iCs w:val="1"/>
                <w:color w:val="FFFFFF"/>
                <w:w w:val="98"/>
              </w:rPr>
              <w:t>Ownership Requirement</w:t>
            </w:r>
          </w:p>
        </w:tc>
        <w:tc>
          <w:tcPr>
            <w:tcW w:w="2760" w:type="dxa"/>
            <w:vAlign w:val="bottom"/>
            <w:tcBorders>
              <w:right w:val="single" w:sz="8" w:color="4472C4"/>
            </w:tcBorders>
            <w:shd w:val="clear" w:color="auto" w:fill="4472C4"/>
          </w:tcPr>
          <w:p>
            <w:pPr>
              <w:jc w:val="center"/>
              <w:spacing w:after="0"/>
              <w:rPr>
                <w:sz w:val="20"/>
                <w:szCs w:val="20"/>
                <w:color w:val="auto"/>
              </w:rPr>
            </w:pPr>
            <w:r>
              <w:rPr>
                <w:rFonts w:ascii="Arial" w:cs="Arial" w:eastAsia="Arial" w:hAnsi="Arial"/>
                <w:sz w:val="13"/>
                <w:szCs w:val="13"/>
                <w:b w:val="1"/>
                <w:bCs w:val="1"/>
                <w:i w:val="1"/>
                <w:iCs w:val="1"/>
                <w:color w:val="FFFFFF"/>
                <w:w w:val="98"/>
              </w:rPr>
              <w:t xml:space="preserve">Actual Ownership </w:t>
            </w:r>
            <w:r>
              <w:rPr>
                <w:rFonts w:ascii="Arial" w:cs="Arial" w:eastAsia="Arial" w:hAnsi="Arial"/>
                <w:sz w:val="10"/>
                <w:szCs w:val="10"/>
                <w:b w:val="1"/>
                <w:bCs w:val="1"/>
                <w:i w:val="1"/>
                <w:iCs w:val="1"/>
                <w:color w:val="FFFFFF"/>
                <w:w w:val="98"/>
              </w:rPr>
              <w:t>1</w:t>
            </w:r>
          </w:p>
        </w:tc>
      </w:tr>
      <w:tr>
        <w:trPr>
          <w:trHeight w:val="178"/>
        </w:trPr>
        <w:tc>
          <w:tcPr>
            <w:tcW w:w="3740" w:type="dxa"/>
            <w:vAlign w:val="bottom"/>
            <w:tcBorders>
              <w:left w:val="single" w:sz="8" w:color="8EAADB"/>
              <w:bottom w:val="single" w:sz="8" w:color="8EAADB"/>
              <w:right w:val="single" w:sz="8" w:color="8EAADB"/>
            </w:tcBorders>
            <w:shd w:val="clear" w:color="auto" w:fill="D9E2F3"/>
          </w:tcPr>
          <w:p>
            <w:pPr>
              <w:ind w:left="40"/>
              <w:spacing w:after="0"/>
              <w:rPr>
                <w:sz w:val="20"/>
                <w:szCs w:val="20"/>
                <w:color w:val="auto"/>
              </w:rPr>
            </w:pPr>
            <w:r>
              <w:rPr>
                <w:rFonts w:ascii="Arial" w:cs="Arial" w:eastAsia="Arial" w:hAnsi="Arial"/>
                <w:sz w:val="13"/>
                <w:szCs w:val="13"/>
                <w:color w:val="666666"/>
              </w:rPr>
              <w:t>Chief Executive Officer</w:t>
            </w:r>
          </w:p>
        </w:tc>
        <w:tc>
          <w:tcPr>
            <w:tcW w:w="3820" w:type="dxa"/>
            <w:vAlign w:val="bottom"/>
            <w:tcBorders>
              <w:bottom w:val="single" w:sz="8" w:color="8EAADB"/>
              <w:right w:val="single" w:sz="8" w:color="8EAADB"/>
            </w:tcBorders>
            <w:shd w:val="clear" w:color="auto" w:fill="D9E2F3"/>
          </w:tcPr>
          <w:p>
            <w:pPr>
              <w:jc w:val="center"/>
              <w:spacing w:after="0"/>
              <w:rPr>
                <w:sz w:val="20"/>
                <w:szCs w:val="20"/>
                <w:color w:val="auto"/>
              </w:rPr>
            </w:pPr>
            <w:r>
              <w:rPr>
                <w:rFonts w:ascii="Arial" w:cs="Arial" w:eastAsia="Arial" w:hAnsi="Arial"/>
                <w:sz w:val="13"/>
                <w:szCs w:val="13"/>
                <w:color w:val="666666"/>
                <w:w w:val="97"/>
              </w:rPr>
              <w:t>7x base salary</w:t>
            </w:r>
          </w:p>
        </w:tc>
        <w:tc>
          <w:tcPr>
            <w:tcW w:w="2760" w:type="dxa"/>
            <w:vAlign w:val="bottom"/>
            <w:tcBorders>
              <w:bottom w:val="single" w:sz="8" w:color="8EAADB"/>
              <w:right w:val="single" w:sz="8" w:color="8EAADB"/>
            </w:tcBorders>
            <w:shd w:val="clear" w:color="auto" w:fill="D9E2F3"/>
          </w:tcPr>
          <w:p>
            <w:pPr>
              <w:jc w:val="center"/>
              <w:spacing w:after="0"/>
              <w:rPr>
                <w:sz w:val="20"/>
                <w:szCs w:val="20"/>
                <w:color w:val="auto"/>
              </w:rPr>
            </w:pPr>
            <w:r>
              <w:rPr>
                <w:rFonts w:ascii="Arial" w:cs="Arial" w:eastAsia="Arial" w:hAnsi="Arial"/>
                <w:sz w:val="13"/>
                <w:szCs w:val="13"/>
                <w:color w:val="666666"/>
                <w:w w:val="98"/>
              </w:rPr>
              <w:t>19x base pay</w:t>
            </w:r>
          </w:p>
        </w:tc>
      </w:tr>
      <w:tr>
        <w:trPr>
          <w:trHeight w:val="172"/>
        </w:trPr>
        <w:tc>
          <w:tcPr>
            <w:tcW w:w="3740" w:type="dxa"/>
            <w:vAlign w:val="bottom"/>
            <w:tcBorders>
              <w:left w:val="single" w:sz="8" w:color="8EAADB"/>
              <w:bottom w:val="single" w:sz="8" w:color="8EAADB"/>
              <w:right w:val="single" w:sz="8" w:color="8EAADB"/>
            </w:tcBorders>
          </w:tcPr>
          <w:p>
            <w:pPr>
              <w:ind w:left="40"/>
              <w:spacing w:after="0"/>
              <w:rPr>
                <w:sz w:val="20"/>
                <w:szCs w:val="20"/>
                <w:color w:val="auto"/>
              </w:rPr>
            </w:pPr>
            <w:r>
              <w:rPr>
                <w:rFonts w:ascii="Arial" w:cs="Arial" w:eastAsia="Arial" w:hAnsi="Arial"/>
                <w:sz w:val="13"/>
                <w:szCs w:val="13"/>
                <w:color w:val="666666"/>
              </w:rPr>
              <w:t>Other named executive officers</w:t>
            </w:r>
          </w:p>
        </w:tc>
        <w:tc>
          <w:tcPr>
            <w:tcW w:w="3820" w:type="dxa"/>
            <w:vAlign w:val="bottom"/>
            <w:tcBorders>
              <w:bottom w:val="single" w:sz="8" w:color="8EAADB"/>
              <w:right w:val="single" w:sz="8" w:color="8EAADB"/>
            </w:tcBorders>
          </w:tcPr>
          <w:p>
            <w:pPr>
              <w:jc w:val="center"/>
              <w:spacing w:after="0"/>
              <w:rPr>
                <w:sz w:val="20"/>
                <w:szCs w:val="20"/>
                <w:color w:val="auto"/>
              </w:rPr>
            </w:pPr>
            <w:r>
              <w:rPr>
                <w:rFonts w:ascii="Arial" w:cs="Arial" w:eastAsia="Arial" w:hAnsi="Arial"/>
                <w:sz w:val="13"/>
                <w:szCs w:val="13"/>
                <w:color w:val="666666"/>
                <w:w w:val="97"/>
              </w:rPr>
              <w:t>4x base salary</w:t>
            </w:r>
          </w:p>
        </w:tc>
        <w:tc>
          <w:tcPr>
            <w:tcW w:w="2760" w:type="dxa"/>
            <w:vAlign w:val="bottom"/>
            <w:tcBorders>
              <w:bottom w:val="single" w:sz="8" w:color="8EAADB"/>
              <w:right w:val="single" w:sz="8" w:color="8EAADB"/>
            </w:tcBorders>
          </w:tcPr>
          <w:p>
            <w:pPr>
              <w:jc w:val="center"/>
              <w:spacing w:after="0"/>
              <w:rPr>
                <w:sz w:val="20"/>
                <w:szCs w:val="20"/>
                <w:color w:val="auto"/>
              </w:rPr>
            </w:pPr>
            <w:r>
              <w:rPr>
                <w:rFonts w:ascii="Arial" w:cs="Arial" w:eastAsia="Arial" w:hAnsi="Arial"/>
                <w:sz w:val="13"/>
                <w:szCs w:val="13"/>
                <w:color w:val="666666"/>
                <w:w w:val="98"/>
              </w:rPr>
              <w:t>10x base pay</w:t>
            </w:r>
          </w:p>
        </w:tc>
      </w:tr>
    </w:tbl>
    <w:p>
      <w:pPr>
        <w:spacing w:after="0" w:line="145" w:lineRule="exact"/>
        <w:rPr>
          <w:sz w:val="20"/>
          <w:szCs w:val="20"/>
          <w:color w:val="auto"/>
        </w:rPr>
      </w:pPr>
    </w:p>
    <w:p>
      <w:pPr>
        <w:ind w:left="160"/>
        <w:spacing w:after="0"/>
        <w:rPr>
          <w:sz w:val="20"/>
          <w:szCs w:val="20"/>
          <w:color w:val="auto"/>
        </w:rPr>
      </w:pPr>
      <w:r>
        <w:rPr>
          <w:rFonts w:ascii="Arial" w:cs="Arial" w:eastAsia="Arial" w:hAnsi="Arial"/>
          <w:sz w:val="10"/>
          <w:szCs w:val="10"/>
          <w:color w:val="666666"/>
        </w:rPr>
        <w:t>(1) Ownership for the other named executive officers is an average of their equity holdings compared to their respective base pay amounts as of fiscal year end.</w:t>
      </w:r>
    </w:p>
    <w:p>
      <w:pPr>
        <w:spacing w:after="0" w:line="15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4"/>
          <w:szCs w:val="14"/>
          <w:color w:val="666666"/>
        </w:rPr>
        <w:t>In calculating an executive's ownership, Class A Common Stock, vested in-the-money stock options, and restricted stock, restricted stock units, and performance stock units at target, issued under the Equity Incentive Plan are considered as owned by the executive. Each of our named executive officers has satisfied his or her individual stock ownership requirement.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Risk Assessment</w:t>
      </w:r>
    </w:p>
    <w:p>
      <w:pPr>
        <w:spacing w:after="0" w:line="187" w:lineRule="exact"/>
        <w:rPr>
          <w:sz w:val="20"/>
          <w:szCs w:val="20"/>
          <w:color w:val="auto"/>
        </w:rPr>
      </w:pPr>
    </w:p>
    <w:p>
      <w:pPr>
        <w:ind w:right="160" w:firstLine="230"/>
        <w:spacing w:after="0" w:line="285" w:lineRule="auto"/>
        <w:rPr>
          <w:sz w:val="20"/>
          <w:szCs w:val="20"/>
          <w:color w:val="auto"/>
        </w:rPr>
      </w:pPr>
      <w:r>
        <w:rPr>
          <w:rFonts w:ascii="Arial" w:cs="Arial" w:eastAsia="Arial" w:hAnsi="Arial"/>
          <w:sz w:val="14"/>
          <w:szCs w:val="14"/>
          <w:color w:val="666666"/>
        </w:rPr>
        <w:t>We conducted an internal risk assessment of our compensation programs. Based on our approach of compensating our executives to foster the financial success of the Company as a whole and other elements of our compensation system, our Company's Leadership Team and the Compensation Committee, with the information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36</w:t>
      </w:r>
    </w:p>
    <w:p>
      <w:pPr>
        <w:sectPr>
          <w:pgSz w:w="11900" w:h="16838" w:orient="portrait"/>
          <w:cols w:equalWidth="0" w:num="1">
            <w:col w:w="11460"/>
          </w:cols>
          <w:pgMar w:left="220" w:top="639" w:right="21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666666"/>
        </w:rPr>
        <w:t>from our internal review, concluded that our executive compensation program does not encourage undue risk taking.</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Advisory Vote to Approve Executive Compensation</w:t>
      </w:r>
    </w:p>
    <w:p>
      <w:pPr>
        <w:spacing w:after="0" w:line="167" w:lineRule="exact"/>
        <w:rPr>
          <w:sz w:val="20"/>
          <w:szCs w:val="20"/>
          <w:color w:val="auto"/>
        </w:rPr>
      </w:pPr>
    </w:p>
    <w:p>
      <w:pPr>
        <w:ind w:right="180" w:firstLine="230"/>
        <w:spacing w:after="0" w:line="253" w:lineRule="auto"/>
        <w:rPr>
          <w:sz w:val="20"/>
          <w:szCs w:val="20"/>
          <w:color w:val="auto"/>
        </w:rPr>
      </w:pPr>
      <w:r>
        <w:rPr>
          <w:rFonts w:ascii="Arial" w:cs="Arial" w:eastAsia="Arial" w:hAnsi="Arial"/>
          <w:sz w:val="14"/>
          <w:szCs w:val="14"/>
          <w:color w:val="666666"/>
        </w:rPr>
        <w:t>At the 2017 Annual Meeting of Stockholders, over 96% of the votes cast were in favor of our executive compensation structure. The Board and Compensation Committee viewed this strong support as an indicator of general approval of our approach to executive compensation. Additionally, the Board recommended holding annual advisory votes on executive compensation (“say-on-pay”), which had previously occurred triennially. Consistent with the Board's recommendation, the Company’s stockholders approved holding the say-on-pay vote annually. As a result, the say-on-pay vote will again occur at the 2018 Annual Meeting of Stockholders. The next advisory vote for the frequency of holding the say-on-pay vote is scheduled for the Annual Meeting of Stockholders in 2023.</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We continue to engage with our stockholders and welcome feedback regarding our executive compensation programs.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Government Limitations on Reimbursement of Compensation Costs</w:t>
      </w:r>
    </w:p>
    <w:p>
      <w:pPr>
        <w:spacing w:after="0" w:line="167"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4"/>
          <w:szCs w:val="14"/>
          <w:color w:val="666666"/>
        </w:rPr>
        <w:t>As a government contractor, we are subject to applicable federal statutes and the Federal Acquisition Regulation, or the FAR, which govern the reimbursement of costs by our government clients. Pursuant to FAR 31.205-6(p), our contracts entered into prior to June 24, 2014 include limitations on the allowability of senior executive compensation equal to a benchmark compensation cap established each year by the Administrator of the Office of Federal Procurement Policy under Section 39 of the Office of Federal Procurement Policy Act (41 U.S.C. 1127). The benchmark cap applies to the five most highly compensated employees in management positions. When comparing senior executive compensation to the benchmark cap, all wages, salary, bonuses, deferred compensation, and employer contributions to defined contribution pension plans, if any, for the year, as recorded in our books and records, must be included. Any amounts over the cap are considered unallowable and are therefore not recoverable under our government contracts.</w:t>
      </w:r>
    </w:p>
    <w:p>
      <w:pPr>
        <w:spacing w:after="0" w:line="132" w:lineRule="exact"/>
        <w:rPr>
          <w:sz w:val="20"/>
          <w:szCs w:val="20"/>
          <w:color w:val="auto"/>
        </w:rPr>
      </w:pPr>
    </w:p>
    <w:p>
      <w:pPr>
        <w:jc w:val="both"/>
        <w:ind w:right="20" w:firstLine="230"/>
        <w:spacing w:after="0" w:line="285" w:lineRule="auto"/>
        <w:rPr>
          <w:sz w:val="20"/>
          <w:szCs w:val="20"/>
          <w:color w:val="auto"/>
        </w:rPr>
      </w:pPr>
      <w:r>
        <w:rPr>
          <w:rFonts w:ascii="Arial" w:cs="Arial" w:eastAsia="Arial" w:hAnsi="Arial"/>
          <w:sz w:val="14"/>
          <w:szCs w:val="14"/>
          <w:color w:val="666666"/>
        </w:rPr>
        <w:t>For contracts with Department of Defense (DoD), NASA, or Coast Guard, entered into on or after December 31, 2011 and before June 24, 2014, the FAR limits the allowability of reimbursement for compensation to the benchmark compensations caps described above, which is applicable to all employees.</w:t>
      </w:r>
    </w:p>
    <w:p>
      <w:pPr>
        <w:spacing w:after="0" w:line="107" w:lineRule="exact"/>
        <w:rPr>
          <w:sz w:val="20"/>
          <w:szCs w:val="20"/>
          <w:color w:val="auto"/>
        </w:rPr>
      </w:pPr>
    </w:p>
    <w:p>
      <w:pPr>
        <w:ind w:right="220" w:firstLine="230"/>
        <w:spacing w:after="0" w:line="285" w:lineRule="auto"/>
        <w:rPr>
          <w:sz w:val="20"/>
          <w:szCs w:val="20"/>
          <w:color w:val="auto"/>
        </w:rPr>
      </w:pPr>
      <w:r>
        <w:rPr>
          <w:rFonts w:ascii="Arial" w:cs="Arial" w:eastAsia="Arial" w:hAnsi="Arial"/>
          <w:sz w:val="14"/>
          <w:szCs w:val="14"/>
          <w:color w:val="666666"/>
        </w:rPr>
        <w:t>For federal contracts entered into on or after June 24, 2014, the Bipartisan Budget Act imposed a new compensation cap of $487,000, which is applicable to all employees and is expected to adjust annually in accordance with the Employment Cost Index for all workers. The FAR was amended to impose this limitation effective June 24, 2014.</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Compensation Recovery Provisions (Clawbacks) in Incentive Plans</w:t>
      </w:r>
    </w:p>
    <w:p>
      <w:pPr>
        <w:spacing w:after="0" w:line="167" w:lineRule="exact"/>
        <w:rPr>
          <w:sz w:val="20"/>
          <w:szCs w:val="20"/>
          <w:color w:val="auto"/>
        </w:rPr>
      </w:pPr>
    </w:p>
    <w:p>
      <w:pPr>
        <w:ind w:right="260" w:firstLine="230"/>
        <w:spacing w:after="0" w:line="285" w:lineRule="auto"/>
        <w:rPr>
          <w:sz w:val="20"/>
          <w:szCs w:val="20"/>
          <w:color w:val="auto"/>
        </w:rPr>
      </w:pPr>
      <w:r>
        <w:rPr>
          <w:rFonts w:ascii="Arial" w:cs="Arial" w:eastAsia="Arial" w:hAnsi="Arial"/>
          <w:sz w:val="14"/>
          <w:szCs w:val="14"/>
          <w:color w:val="666666"/>
        </w:rPr>
        <w:t>We have provisions in our incentive plans that provide us with the ability to impose the forfeiture of bonuses and equity compensation and the recovery of certain bonus amounts and gains from equity compensation awarded under those plans. Such forfeitures and recoveries may occur:</w:t>
      </w:r>
    </w:p>
    <w:p>
      <w:pPr>
        <w:spacing w:after="0" w:line="21" w:lineRule="exact"/>
        <w:rPr>
          <w:sz w:val="20"/>
          <w:szCs w:val="20"/>
          <w:color w:val="auto"/>
        </w:rPr>
      </w:pPr>
    </w:p>
    <w:p>
      <w:pPr>
        <w:ind w:left="460" w:right="340" w:hanging="233"/>
        <w:spacing w:after="0" w:line="285" w:lineRule="auto"/>
        <w:tabs>
          <w:tab w:leader="none" w:pos="460" w:val="left"/>
        </w:tabs>
        <w:numPr>
          <w:ilvl w:val="0"/>
          <w:numId w:val="36"/>
        </w:numPr>
        <w:rPr>
          <w:rFonts w:ascii="Arial" w:cs="Arial" w:eastAsia="Arial" w:hAnsi="Arial"/>
          <w:sz w:val="14"/>
          <w:szCs w:val="14"/>
          <w:color w:val="666666"/>
        </w:rPr>
      </w:pPr>
      <w:r>
        <w:rPr>
          <w:rFonts w:ascii="Arial" w:cs="Arial" w:eastAsia="Arial" w:hAnsi="Arial"/>
          <w:sz w:val="14"/>
          <w:szCs w:val="14"/>
          <w:color w:val="666666"/>
        </w:rPr>
        <w:t>in the event of an accounting restatement due to material non-compliance with any financial reporting requirements under the securities laws with respect to individuals who engage in misconduct or gross negligence that results in a restatement of our financial statements,</w:t>
      </w:r>
    </w:p>
    <w:p>
      <w:pPr>
        <w:spacing w:after="0" w:line="20" w:lineRule="exact"/>
        <w:rPr>
          <w:rFonts w:ascii="Arial" w:cs="Arial" w:eastAsia="Arial" w:hAnsi="Arial"/>
          <w:sz w:val="14"/>
          <w:szCs w:val="14"/>
          <w:color w:val="666666"/>
        </w:rPr>
      </w:pPr>
    </w:p>
    <w:p>
      <w:pPr>
        <w:ind w:left="460" w:hanging="233"/>
        <w:spacing w:after="0"/>
        <w:tabs>
          <w:tab w:leader="none" w:pos="460" w:val="left"/>
        </w:tabs>
        <w:numPr>
          <w:ilvl w:val="0"/>
          <w:numId w:val="36"/>
        </w:numPr>
        <w:rPr>
          <w:rFonts w:ascii="Arial" w:cs="Arial" w:eastAsia="Arial" w:hAnsi="Arial"/>
          <w:sz w:val="14"/>
          <w:szCs w:val="14"/>
          <w:color w:val="666666"/>
        </w:rPr>
      </w:pPr>
      <w:r>
        <w:rPr>
          <w:rFonts w:ascii="Arial" w:cs="Arial" w:eastAsia="Arial" w:hAnsi="Arial"/>
          <w:sz w:val="14"/>
          <w:szCs w:val="14"/>
          <w:color w:val="666666"/>
        </w:rPr>
        <w:t>with respect to individuals subjected to automatic forfeiture under Section 304 of the Sarbanes-Oxley Act of 2002, and,</w:t>
      </w:r>
    </w:p>
    <w:p>
      <w:pPr>
        <w:spacing w:after="0" w:line="79" w:lineRule="exact"/>
        <w:rPr>
          <w:rFonts w:ascii="Arial" w:cs="Arial" w:eastAsia="Arial" w:hAnsi="Arial"/>
          <w:sz w:val="14"/>
          <w:szCs w:val="14"/>
          <w:color w:val="666666"/>
        </w:rPr>
      </w:pPr>
    </w:p>
    <w:p>
      <w:pPr>
        <w:ind w:left="460" w:right="280" w:hanging="233"/>
        <w:spacing w:after="0" w:line="285" w:lineRule="auto"/>
        <w:tabs>
          <w:tab w:leader="none" w:pos="460" w:val="left"/>
        </w:tabs>
        <w:numPr>
          <w:ilvl w:val="0"/>
          <w:numId w:val="36"/>
        </w:numPr>
        <w:rPr>
          <w:rFonts w:ascii="Arial" w:cs="Arial" w:eastAsia="Arial" w:hAnsi="Arial"/>
          <w:sz w:val="14"/>
          <w:szCs w:val="14"/>
          <w:color w:val="666666"/>
        </w:rPr>
      </w:pPr>
      <w:r>
        <w:rPr>
          <w:rFonts w:ascii="Arial" w:cs="Arial" w:eastAsia="Arial" w:hAnsi="Arial"/>
          <w:sz w:val="14"/>
          <w:szCs w:val="14"/>
          <w:color w:val="666666"/>
        </w:rPr>
        <w:t>to the extent that, based on erroneous data, any award or payment is in excess of what would have been paid under the accounting restatement during the three-year period preceding the date on which a financial restatement is required, current or former executives, or as otherwise required under applicable laws or regulations.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37</w:t>
      </w:r>
    </w:p>
    <w:p>
      <w:pPr>
        <w:sectPr>
          <w:pgSz w:w="11900" w:h="16838" w:orient="portrait"/>
          <w:cols w:equalWidth="0" w:num="1">
            <w:col w:w="11480"/>
          </w:cols>
          <w:pgMar w:left="220" w:top="465" w:right="199" w:bottom="1440" w:gutter="0" w:footer="0" w:header="0"/>
        </w:sectPr>
      </w:pPr>
    </w:p>
    <w:bookmarkStart w:id="46" w:name="page47"/>
    <w:bookmarkEnd w:id="46"/>
    <w:p>
      <w:pPr>
        <w:ind w:right="20" w:firstLine="230"/>
        <w:spacing w:after="0" w:line="257" w:lineRule="auto"/>
        <w:rPr>
          <w:sz w:val="20"/>
          <w:szCs w:val="20"/>
          <w:color w:val="auto"/>
        </w:rPr>
      </w:pPr>
      <w:r>
        <w:rPr>
          <w:rFonts w:ascii="Arial" w:cs="Arial" w:eastAsia="Arial" w:hAnsi="Arial"/>
          <w:sz w:val="14"/>
          <w:szCs w:val="14"/>
          <w:color w:val="666666"/>
        </w:rPr>
        <w:t>In addition, if an individual engages in certain other misconduct, we have the discretion to suspend vesting of all or a portion of any award and/or require the forfeiture or disgorgement to us of any equity award (including gains on the sale of the stock, if any) that vested, was paid or settled in the 12 months prior to or any time after the individual engaged in such misconduct. Our Equity Incentive Plan and Annual Incentive Plan also permit the Company to subject awards to forfeiture, disgorgement and recoupment under any applicable claw-back policies that may be adopted by the Board or our Compensation Committee.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Certain Change in Control Provisions</w:t>
      </w:r>
    </w:p>
    <w:p>
      <w:pPr>
        <w:spacing w:after="0" w:line="167" w:lineRule="exact"/>
        <w:rPr>
          <w:sz w:val="20"/>
          <w:szCs w:val="20"/>
          <w:color w:val="auto"/>
        </w:rPr>
      </w:pPr>
    </w:p>
    <w:p>
      <w:pPr>
        <w:ind w:right="20" w:firstLine="230"/>
        <w:spacing w:after="0" w:line="249" w:lineRule="auto"/>
        <w:rPr>
          <w:sz w:val="20"/>
          <w:szCs w:val="20"/>
          <w:color w:val="auto"/>
        </w:rPr>
      </w:pPr>
      <w:r>
        <w:rPr>
          <w:rFonts w:ascii="Arial" w:cs="Arial" w:eastAsia="Arial" w:hAnsi="Arial"/>
          <w:sz w:val="14"/>
          <w:szCs w:val="14"/>
          <w:color w:val="666666"/>
        </w:rPr>
        <w:t>In the event of a change in control, unless the plan administrator determines otherwise, all time-vesting awards under the Equity Incentive Plan, including options and time restricted stock units, will fully vest. Unvested performance restricted stock units will remain outstanding at target levels and will vest on the original vesting date, subject to the continued employment or service of the participant by the Company or any subsidiary thereof through such date, but without regard to achievement of any performance goals; however, if the participant’s employment or service is terminated by the Company without cause or for good reason within two years following the effective date of the change in control, such outstanding restricted stock units will vest as of the date of termination. Under the Equity Incentive Plan, “change in control” is generally defined as the acquisition by any person of 50% or more of the combined voting power of our Company's then outstanding voting securities, the merger of our Company if our stockholders immediately prior to the merger do not own more than 50% of the combined voting power of the merged entity, the liquidation or dissolution of our Company (other than in a bankruptcy proceeding or for the purposes of effecting a corporate restructuring or reorganization), or the sale of all or substantially all the assets of our Company to non-affiliates.</w:t>
      </w:r>
    </w:p>
    <w:p>
      <w:pPr>
        <w:spacing w:after="0" w:line="133" w:lineRule="exact"/>
        <w:rPr>
          <w:sz w:val="20"/>
          <w:szCs w:val="20"/>
          <w:color w:val="auto"/>
        </w:rPr>
      </w:pPr>
    </w:p>
    <w:p>
      <w:pPr>
        <w:ind w:right="80" w:firstLine="230"/>
        <w:spacing w:after="0" w:line="253" w:lineRule="auto"/>
        <w:rPr>
          <w:sz w:val="20"/>
          <w:szCs w:val="20"/>
          <w:color w:val="auto"/>
        </w:rPr>
      </w:pPr>
      <w:r>
        <w:rPr>
          <w:rFonts w:ascii="Arial" w:cs="Arial" w:eastAsia="Arial" w:hAnsi="Arial"/>
          <w:sz w:val="14"/>
          <w:szCs w:val="14"/>
          <w:color w:val="666666"/>
        </w:rPr>
        <w:t>In addition, if during the five-year period after a change in control our executives' retiree medical plan is terminated or modified in a manner that is materially adverse to our executives, our executives, including our named executive officers, will be guaranteed their existing benefits under the plan through the fifth anniversary of the change in control and receive at the end of the five-year period a cash payment equal to the excess of the actuarial cost of the executive's benefits under the plan that would be accrued on the Company's financial statements on the fifth anniversary of the change in control in the absence of the termination or modification over the amount that is accrued on our financial statements on the fifth anniversary of the change in control giving effect to the termination or modification (but excluding the accrual on the payment itself).</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Policies on Timing of Equity Grants</w:t>
      </w:r>
    </w:p>
    <w:p>
      <w:pPr>
        <w:spacing w:after="0" w:line="167" w:lineRule="exact"/>
        <w:rPr>
          <w:sz w:val="20"/>
          <w:szCs w:val="20"/>
          <w:color w:val="auto"/>
        </w:rPr>
      </w:pPr>
    </w:p>
    <w:p>
      <w:pPr>
        <w:ind w:right="100" w:firstLine="230"/>
        <w:spacing w:after="0" w:line="253" w:lineRule="auto"/>
        <w:rPr>
          <w:sz w:val="20"/>
          <w:szCs w:val="20"/>
          <w:color w:val="auto"/>
        </w:rPr>
      </w:pPr>
      <w:r>
        <w:rPr>
          <w:rFonts w:ascii="Arial" w:cs="Arial" w:eastAsia="Arial" w:hAnsi="Arial"/>
          <w:sz w:val="14"/>
          <w:szCs w:val="14"/>
          <w:color w:val="666666"/>
        </w:rPr>
        <w:t>It is our policy not to time the granting of equity awards in relation to the release of material, non-public information. Accordingly, regularly scheduled awards are permitted to be granted at times when there is material non-public information. We generally grant awards to new hires and promoted employees at the next scheduled Compensation Committee or Board meeting following the hire or promotion effective date. Annual awards are typically approved at the Compensation Committee meeting each year in May. It is our policy not to grant equity awards with effect from, or with an exercise price based on market conditions as they existed on, any date prior to the date on which the party in which granting authority is vested (typically our Compensation Committee or our Board) takes formal action to grant them.</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547BCC"/>
        </w:rPr>
        <w:t>Effect of Accounting and Tax Treatment on Compensation Decisions</w:t>
      </w:r>
    </w:p>
    <w:p>
      <w:pPr>
        <w:spacing w:after="0" w:line="167" w:lineRule="exact"/>
        <w:rPr>
          <w:sz w:val="20"/>
          <w:szCs w:val="20"/>
          <w:color w:val="auto"/>
        </w:rPr>
      </w:pPr>
    </w:p>
    <w:p>
      <w:pPr>
        <w:jc w:val="both"/>
        <w:ind w:firstLine="230"/>
        <w:spacing w:after="0" w:line="252" w:lineRule="auto"/>
        <w:rPr>
          <w:sz w:val="20"/>
          <w:szCs w:val="20"/>
          <w:color w:val="auto"/>
        </w:rPr>
      </w:pPr>
      <w:r>
        <w:rPr>
          <w:rFonts w:ascii="Arial" w:cs="Arial" w:eastAsia="Arial" w:hAnsi="Arial"/>
          <w:sz w:val="14"/>
          <w:szCs w:val="14"/>
          <w:color w:val="666666"/>
        </w:rPr>
        <w:t>Section 162(m) of the Code imposes a limit on the amount of compensation that we may deduct in any one year with respect to certain “covered employees,” unless certain specific and detailed criteria are satisfied. We have previously sought to structure our short-term non-equity incentive compensation and long-term equity incentive compensation paid to our “covered employees” as performance-based compensation, which generally permitted us to deduct such amounts without being subjected to limits under Section 162(m). Under the Tax Cuts and Jobs Act of 2017, the performance-based compensation exception has been repealed, and the scope of persons covered by the limitations on deductibility under Section 162(m) has been expanded. The new rules generally apply to taxable years beginning after December 31, 2017 but exempt compensation provided pursuant to a written binding contract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38</w:t>
      </w:r>
    </w:p>
    <w:p>
      <w:pPr>
        <w:sectPr>
          <w:pgSz w:w="11900" w:h="16838" w:orient="portrait"/>
          <w:cols w:equalWidth="0" w:num="1">
            <w:col w:w="11480"/>
          </w:cols>
          <w:pgMar w:left="220" w:top="609" w:right="199" w:bottom="1440" w:gutter="0" w:footer="0" w:header="0"/>
        </w:sectPr>
      </w:pPr>
    </w:p>
    <w:bookmarkStart w:id="47" w:name="page48"/>
    <w:bookmarkEnd w:id="47"/>
    <w:p>
      <w:pPr>
        <w:jc w:val="both"/>
        <w:ind w:right="20"/>
        <w:spacing w:after="0" w:line="285" w:lineRule="auto"/>
        <w:rPr>
          <w:sz w:val="20"/>
          <w:szCs w:val="20"/>
          <w:color w:val="auto"/>
        </w:rPr>
      </w:pPr>
      <w:r>
        <w:rPr>
          <w:rFonts w:ascii="Arial" w:cs="Arial" w:eastAsia="Arial" w:hAnsi="Arial"/>
          <w:sz w:val="14"/>
          <w:szCs w:val="14"/>
          <w:color w:val="666666"/>
        </w:rPr>
        <w:t>in effect on November 2, 2017 that is not modified in any material respect after that date. Accordingly, compensation paid after March 31, 2018 to our covered employees in excess of $1 million will not be deductible unless it qualifies for this exemption.</w:t>
      </w:r>
    </w:p>
    <w:p>
      <w:pPr>
        <w:spacing w:after="0" w:line="107"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4"/>
          <w:szCs w:val="14"/>
          <w:color w:val="666666"/>
        </w:rPr>
        <w:t>While we will continue to monitor our compensation programs in light of Section 162(m), as amended, and we intend to rely on the exemption included in the Tax Cuts and Jobs Act of 2017 to the extent practicable, our Compensation Committee considers it important to retain the flexibility to design compensation programs that are in the best long-term interests of our Company and our stockholders. As a result, our Compensation Committee expects to pay compensation at levels that are not deductible under Section 162(m).</w:t>
      </w:r>
    </w:p>
    <w:p>
      <w:pPr>
        <w:spacing w:after="0" w:line="12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4"/>
          <w:szCs w:val="14"/>
          <w:color w:val="666666"/>
        </w:rPr>
        <w:t>Other provisions of the Code can also affect compensation decisions. Section 409A of the Code, or Section 409A, which governs the form and timing of payment of deferred compensation, imposes sanctions, including a 20% penalty and an interest penalty, on a recipient of deferred compensation that does not comply with Section 409A. Our Compensation Committee takes into account the potential implications of Section 409A in determining the form and timing of compensation awarded to our executives and strives to structure its nonqualified deferred compensation plans to meet these requirements.</w:t>
      </w:r>
    </w:p>
    <w:p>
      <w:pPr>
        <w:spacing w:after="0" w:line="203" w:lineRule="exact"/>
        <w:rPr>
          <w:sz w:val="20"/>
          <w:szCs w:val="20"/>
          <w:color w:val="auto"/>
        </w:rPr>
      </w:pPr>
    </w:p>
    <w:p>
      <w:pPr>
        <w:jc w:val="both"/>
        <w:ind w:right="180" w:firstLine="230"/>
        <w:spacing w:after="0" w:line="257" w:lineRule="auto"/>
        <w:rPr>
          <w:sz w:val="20"/>
          <w:szCs w:val="20"/>
          <w:color w:val="auto"/>
        </w:rPr>
      </w:pPr>
      <w:r>
        <w:rPr>
          <w:rFonts w:ascii="Arial" w:cs="Arial" w:eastAsia="Arial" w:hAnsi="Arial"/>
          <w:sz w:val="14"/>
          <w:szCs w:val="14"/>
          <w:color w:val="666666"/>
        </w:rPr>
        <w:t>Section 280G of the Code, or Section 280G, disallows a company's tax deduction for payments received by certain individuals in connection with a change in control to the extent that the payments exceed an amount approximately three times their average annual compensation and Section 4999 of the Code imposes a 20% excise tax on those payments. As described above, awards under our Equity Incentive Plan have or will contain provisions that accelerate vesting of all or a portion of the awards in connection with a change in control. To the extent that payments upon a change in control are classified as excess parachute payments, our Company's tax deduction would be disallowed under Section 280G.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39</w:t>
      </w:r>
    </w:p>
    <w:p>
      <w:pPr>
        <w:sectPr>
          <w:pgSz w:w="11900" w:h="16838" w:orient="portrait"/>
          <w:cols w:equalWidth="0" w:num="1">
            <w:col w:w="11480"/>
          </w:cols>
          <w:pgMar w:left="220" w:top="445" w:right="199" w:bottom="1440" w:gutter="0" w:footer="0" w:header="0"/>
        </w:sectPr>
      </w:pPr>
    </w:p>
    <w:bookmarkStart w:id="48" w:name="page49"/>
    <w:bookmarkEnd w:id="48"/>
    <w:p>
      <w:pPr>
        <w:ind w:left="20"/>
        <w:spacing w:after="0"/>
        <w:rPr>
          <w:sz w:val="20"/>
          <w:szCs w:val="20"/>
          <w:color w:val="auto"/>
        </w:rPr>
      </w:pPr>
      <w:r>
        <w:rPr>
          <w:rFonts w:ascii="Arial" w:cs="Arial" w:eastAsia="Arial" w:hAnsi="Arial"/>
          <w:sz w:val="14"/>
          <w:szCs w:val="14"/>
          <w:b w:val="1"/>
          <w:bCs w:val="1"/>
          <w:u w:val="single" w:color="auto"/>
          <w:color w:val="547BCC"/>
        </w:rPr>
        <w:t>Compensation Tables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210820</wp:posOffset>
            </wp:positionV>
            <wp:extent cx="7298690" cy="22682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8690" cy="2268220"/>
                    </a:xfrm>
                    <a:prstGeom prst="rect">
                      <a:avLst/>
                    </a:prstGeom>
                    <a:noFill/>
                  </pic:spPr>
                </pic:pic>
              </a:graphicData>
            </a:graphic>
          </wp:anchor>
        </w:drawing>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SUMMARY COMPENSATION TABLE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960" w:type="dxa"/>
            <w:vAlign w:val="bottom"/>
            <w:shd w:val="clear" w:color="auto" w:fill="DDDDDD"/>
          </w:tcPr>
          <w:p>
            <w:pPr>
              <w:spacing w:after="0"/>
              <w:rPr>
                <w:sz w:val="10"/>
                <w:szCs w:val="10"/>
                <w:color w:val="auto"/>
              </w:rPr>
            </w:pPr>
          </w:p>
        </w:tc>
        <w:tc>
          <w:tcPr>
            <w:tcW w:w="680" w:type="dxa"/>
            <w:vAlign w:val="bottom"/>
            <w:shd w:val="clear" w:color="auto" w:fill="DDDDDD"/>
          </w:tcPr>
          <w:p>
            <w:pPr>
              <w:spacing w:after="0"/>
              <w:rPr>
                <w:sz w:val="10"/>
                <w:szCs w:val="10"/>
                <w:color w:val="auto"/>
              </w:rPr>
            </w:pPr>
          </w:p>
        </w:tc>
        <w:tc>
          <w:tcPr>
            <w:tcW w:w="820" w:type="dxa"/>
            <w:vAlign w:val="bottom"/>
            <w:shd w:val="clear" w:color="auto" w:fill="DDDDDD"/>
          </w:tcPr>
          <w:p>
            <w:pPr>
              <w:spacing w:after="0"/>
              <w:rPr>
                <w:sz w:val="10"/>
                <w:szCs w:val="10"/>
                <w:color w:val="auto"/>
              </w:rPr>
            </w:pPr>
          </w:p>
        </w:tc>
        <w:tc>
          <w:tcPr>
            <w:tcW w:w="180" w:type="dxa"/>
            <w:vAlign w:val="bottom"/>
            <w:shd w:val="clear" w:color="auto" w:fill="DDDDDD"/>
          </w:tcPr>
          <w:p>
            <w:pPr>
              <w:spacing w:after="0"/>
              <w:rPr>
                <w:sz w:val="10"/>
                <w:szCs w:val="10"/>
                <w:color w:val="auto"/>
              </w:rPr>
            </w:pPr>
          </w:p>
        </w:tc>
        <w:tc>
          <w:tcPr>
            <w:tcW w:w="720" w:type="dxa"/>
            <w:vAlign w:val="bottom"/>
            <w:shd w:val="clear" w:color="auto" w:fill="DDDDDD"/>
          </w:tcPr>
          <w:p>
            <w:pPr>
              <w:spacing w:after="0"/>
              <w:rPr>
                <w:sz w:val="10"/>
                <w:szCs w:val="10"/>
                <w:color w:val="auto"/>
              </w:rPr>
            </w:pPr>
          </w:p>
        </w:tc>
        <w:tc>
          <w:tcPr>
            <w:tcW w:w="940" w:type="dxa"/>
            <w:vAlign w:val="bottom"/>
            <w:shd w:val="clear" w:color="auto" w:fill="DDDDDD"/>
          </w:tcPr>
          <w:p>
            <w:pPr>
              <w:spacing w:after="0"/>
              <w:rPr>
                <w:sz w:val="10"/>
                <w:szCs w:val="10"/>
                <w:color w:val="auto"/>
              </w:rPr>
            </w:pPr>
          </w:p>
        </w:tc>
        <w:tc>
          <w:tcPr>
            <w:tcW w:w="940" w:type="dxa"/>
            <w:vAlign w:val="bottom"/>
            <w:shd w:val="clear" w:color="auto" w:fill="DDDDDD"/>
          </w:tcPr>
          <w:p>
            <w:pPr>
              <w:spacing w:after="0"/>
              <w:rPr>
                <w:sz w:val="10"/>
                <w:szCs w:val="10"/>
                <w:color w:val="auto"/>
              </w:rPr>
            </w:pPr>
          </w:p>
        </w:tc>
        <w:tc>
          <w:tcPr>
            <w:tcW w:w="1460" w:type="dxa"/>
            <w:vAlign w:val="bottom"/>
            <w:shd w:val="clear" w:color="auto" w:fill="DDDDDD"/>
          </w:tcPr>
          <w:p>
            <w:pPr>
              <w:spacing w:after="0"/>
              <w:rPr>
                <w:sz w:val="10"/>
                <w:szCs w:val="10"/>
                <w:color w:val="auto"/>
              </w:rPr>
            </w:pPr>
          </w:p>
        </w:tc>
        <w:tc>
          <w:tcPr>
            <w:tcW w:w="1280" w:type="dxa"/>
            <w:vAlign w:val="bottom"/>
            <w:shd w:val="clear" w:color="auto" w:fill="DDDDDD"/>
          </w:tcPr>
          <w:p>
            <w:pPr>
              <w:jc w:val="center"/>
              <w:ind w:right="49"/>
              <w:spacing w:after="0"/>
              <w:rPr>
                <w:sz w:val="20"/>
                <w:szCs w:val="20"/>
                <w:color w:val="auto"/>
              </w:rPr>
            </w:pPr>
            <w:r>
              <w:rPr>
                <w:rFonts w:ascii="Arial" w:cs="Arial" w:eastAsia="Arial" w:hAnsi="Arial"/>
                <w:sz w:val="10"/>
                <w:szCs w:val="10"/>
                <w:b w:val="1"/>
                <w:bCs w:val="1"/>
                <w:color w:val="666666"/>
              </w:rPr>
              <w:t>Change in</w:t>
            </w:r>
          </w:p>
        </w:tc>
        <w:tc>
          <w:tcPr>
            <w:tcW w:w="1620" w:type="dxa"/>
            <w:vAlign w:val="bottom"/>
            <w:shd w:val="clear" w:color="auto" w:fill="DDDDDD"/>
          </w:tcPr>
          <w:p>
            <w:pPr>
              <w:spacing w:after="0"/>
              <w:rPr>
                <w:sz w:val="10"/>
                <w:szCs w:val="10"/>
                <w:color w:val="auto"/>
              </w:rPr>
            </w:pPr>
          </w:p>
        </w:tc>
        <w:tc>
          <w:tcPr>
            <w:tcW w:w="88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60" w:type="dxa"/>
            <w:vAlign w:val="bottom"/>
            <w:shd w:val="clear" w:color="auto" w:fill="DDDDDD"/>
          </w:tcPr>
          <w:p>
            <w:pPr>
              <w:spacing w:after="0"/>
              <w:rPr>
                <w:sz w:val="10"/>
                <w:szCs w:val="10"/>
                <w:color w:val="auto"/>
              </w:rPr>
            </w:pPr>
          </w:p>
        </w:tc>
        <w:tc>
          <w:tcPr>
            <w:tcW w:w="680" w:type="dxa"/>
            <w:vAlign w:val="bottom"/>
            <w:shd w:val="clear" w:color="auto" w:fill="DDDDDD"/>
          </w:tcPr>
          <w:p>
            <w:pPr>
              <w:spacing w:after="0"/>
              <w:rPr>
                <w:sz w:val="10"/>
                <w:szCs w:val="10"/>
                <w:color w:val="auto"/>
              </w:rPr>
            </w:pPr>
          </w:p>
        </w:tc>
        <w:tc>
          <w:tcPr>
            <w:tcW w:w="820" w:type="dxa"/>
            <w:vAlign w:val="bottom"/>
            <w:shd w:val="clear" w:color="auto" w:fill="DDDDDD"/>
          </w:tcPr>
          <w:p>
            <w:pPr>
              <w:spacing w:after="0"/>
              <w:rPr>
                <w:sz w:val="10"/>
                <w:szCs w:val="10"/>
                <w:color w:val="auto"/>
              </w:rPr>
            </w:pPr>
          </w:p>
        </w:tc>
        <w:tc>
          <w:tcPr>
            <w:tcW w:w="180" w:type="dxa"/>
            <w:vAlign w:val="bottom"/>
            <w:shd w:val="clear" w:color="auto" w:fill="DDDDDD"/>
          </w:tcPr>
          <w:p>
            <w:pPr>
              <w:spacing w:after="0"/>
              <w:rPr>
                <w:sz w:val="10"/>
                <w:szCs w:val="10"/>
                <w:color w:val="auto"/>
              </w:rPr>
            </w:pPr>
          </w:p>
        </w:tc>
        <w:tc>
          <w:tcPr>
            <w:tcW w:w="720" w:type="dxa"/>
            <w:vAlign w:val="bottom"/>
            <w:shd w:val="clear" w:color="auto" w:fill="DDDDDD"/>
          </w:tcPr>
          <w:p>
            <w:pPr>
              <w:spacing w:after="0"/>
              <w:rPr>
                <w:sz w:val="10"/>
                <w:szCs w:val="10"/>
                <w:color w:val="auto"/>
              </w:rPr>
            </w:pPr>
          </w:p>
        </w:tc>
        <w:tc>
          <w:tcPr>
            <w:tcW w:w="940" w:type="dxa"/>
            <w:vAlign w:val="bottom"/>
            <w:shd w:val="clear" w:color="auto" w:fill="DDDDDD"/>
          </w:tcPr>
          <w:p>
            <w:pPr>
              <w:spacing w:after="0"/>
              <w:rPr>
                <w:sz w:val="10"/>
                <w:szCs w:val="10"/>
                <w:color w:val="auto"/>
              </w:rPr>
            </w:pPr>
          </w:p>
        </w:tc>
        <w:tc>
          <w:tcPr>
            <w:tcW w:w="940" w:type="dxa"/>
            <w:vAlign w:val="bottom"/>
            <w:shd w:val="clear" w:color="auto" w:fill="DDDDDD"/>
          </w:tcPr>
          <w:p>
            <w:pPr>
              <w:spacing w:after="0"/>
              <w:rPr>
                <w:sz w:val="10"/>
                <w:szCs w:val="10"/>
                <w:color w:val="auto"/>
              </w:rPr>
            </w:pPr>
          </w:p>
        </w:tc>
        <w:tc>
          <w:tcPr>
            <w:tcW w:w="1460" w:type="dxa"/>
            <w:vAlign w:val="bottom"/>
            <w:shd w:val="clear" w:color="auto" w:fill="DDDDDD"/>
          </w:tcPr>
          <w:p>
            <w:pPr>
              <w:spacing w:after="0"/>
              <w:rPr>
                <w:sz w:val="10"/>
                <w:szCs w:val="10"/>
                <w:color w:val="auto"/>
              </w:rPr>
            </w:pPr>
          </w:p>
        </w:tc>
        <w:tc>
          <w:tcPr>
            <w:tcW w:w="1280" w:type="dxa"/>
            <w:vAlign w:val="bottom"/>
            <w:shd w:val="clear" w:color="auto" w:fill="DDDDDD"/>
          </w:tcPr>
          <w:p>
            <w:pPr>
              <w:jc w:val="center"/>
              <w:ind w:right="69"/>
              <w:spacing w:after="0"/>
              <w:rPr>
                <w:sz w:val="20"/>
                <w:szCs w:val="20"/>
                <w:color w:val="auto"/>
              </w:rPr>
            </w:pPr>
            <w:r>
              <w:rPr>
                <w:rFonts w:ascii="Arial" w:cs="Arial" w:eastAsia="Arial" w:hAnsi="Arial"/>
                <w:sz w:val="10"/>
                <w:szCs w:val="10"/>
                <w:b w:val="1"/>
                <w:bCs w:val="1"/>
                <w:color w:val="666666"/>
              </w:rPr>
              <w:t>Pension</w:t>
            </w:r>
          </w:p>
        </w:tc>
        <w:tc>
          <w:tcPr>
            <w:tcW w:w="1620" w:type="dxa"/>
            <w:vAlign w:val="bottom"/>
            <w:shd w:val="clear" w:color="auto" w:fill="DDDDDD"/>
          </w:tcPr>
          <w:p>
            <w:pPr>
              <w:spacing w:after="0"/>
              <w:rPr>
                <w:sz w:val="10"/>
                <w:szCs w:val="10"/>
                <w:color w:val="auto"/>
              </w:rPr>
            </w:pPr>
          </w:p>
        </w:tc>
        <w:tc>
          <w:tcPr>
            <w:tcW w:w="88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60" w:type="dxa"/>
            <w:vAlign w:val="bottom"/>
            <w:shd w:val="clear" w:color="auto" w:fill="DDDDDD"/>
          </w:tcPr>
          <w:p>
            <w:pPr>
              <w:spacing w:after="0"/>
              <w:rPr>
                <w:sz w:val="10"/>
                <w:szCs w:val="10"/>
                <w:color w:val="auto"/>
              </w:rPr>
            </w:pPr>
          </w:p>
        </w:tc>
        <w:tc>
          <w:tcPr>
            <w:tcW w:w="680" w:type="dxa"/>
            <w:vAlign w:val="bottom"/>
            <w:shd w:val="clear" w:color="auto" w:fill="DDDDDD"/>
          </w:tcPr>
          <w:p>
            <w:pPr>
              <w:spacing w:after="0"/>
              <w:rPr>
                <w:sz w:val="10"/>
                <w:szCs w:val="10"/>
                <w:color w:val="auto"/>
              </w:rPr>
            </w:pPr>
          </w:p>
        </w:tc>
        <w:tc>
          <w:tcPr>
            <w:tcW w:w="820" w:type="dxa"/>
            <w:vAlign w:val="bottom"/>
            <w:shd w:val="clear" w:color="auto" w:fill="DDDDDD"/>
          </w:tcPr>
          <w:p>
            <w:pPr>
              <w:spacing w:after="0"/>
              <w:rPr>
                <w:sz w:val="10"/>
                <w:szCs w:val="10"/>
                <w:color w:val="auto"/>
              </w:rPr>
            </w:pPr>
          </w:p>
        </w:tc>
        <w:tc>
          <w:tcPr>
            <w:tcW w:w="180" w:type="dxa"/>
            <w:vAlign w:val="bottom"/>
            <w:shd w:val="clear" w:color="auto" w:fill="DDDDDD"/>
          </w:tcPr>
          <w:p>
            <w:pPr>
              <w:spacing w:after="0"/>
              <w:rPr>
                <w:sz w:val="10"/>
                <w:szCs w:val="10"/>
                <w:color w:val="auto"/>
              </w:rPr>
            </w:pPr>
          </w:p>
        </w:tc>
        <w:tc>
          <w:tcPr>
            <w:tcW w:w="720" w:type="dxa"/>
            <w:vAlign w:val="bottom"/>
            <w:shd w:val="clear" w:color="auto" w:fill="DDDDDD"/>
          </w:tcPr>
          <w:p>
            <w:pPr>
              <w:spacing w:after="0"/>
              <w:rPr>
                <w:sz w:val="10"/>
                <w:szCs w:val="10"/>
                <w:color w:val="auto"/>
              </w:rPr>
            </w:pPr>
          </w:p>
        </w:tc>
        <w:tc>
          <w:tcPr>
            <w:tcW w:w="940" w:type="dxa"/>
            <w:vAlign w:val="bottom"/>
            <w:shd w:val="clear" w:color="auto" w:fill="DDDDDD"/>
          </w:tcPr>
          <w:p>
            <w:pPr>
              <w:spacing w:after="0"/>
              <w:rPr>
                <w:sz w:val="10"/>
                <w:szCs w:val="10"/>
                <w:color w:val="auto"/>
              </w:rPr>
            </w:pPr>
          </w:p>
        </w:tc>
        <w:tc>
          <w:tcPr>
            <w:tcW w:w="940" w:type="dxa"/>
            <w:vAlign w:val="bottom"/>
            <w:shd w:val="clear" w:color="auto" w:fill="DDDDDD"/>
          </w:tcPr>
          <w:p>
            <w:pPr>
              <w:spacing w:after="0"/>
              <w:rPr>
                <w:sz w:val="10"/>
                <w:szCs w:val="10"/>
                <w:color w:val="auto"/>
              </w:rPr>
            </w:pPr>
          </w:p>
        </w:tc>
        <w:tc>
          <w:tcPr>
            <w:tcW w:w="1460" w:type="dxa"/>
            <w:vAlign w:val="bottom"/>
            <w:shd w:val="clear" w:color="auto" w:fill="DDDDDD"/>
          </w:tcPr>
          <w:p>
            <w:pPr>
              <w:spacing w:after="0"/>
              <w:rPr>
                <w:sz w:val="10"/>
                <w:szCs w:val="10"/>
                <w:color w:val="auto"/>
              </w:rPr>
            </w:pPr>
          </w:p>
        </w:tc>
        <w:tc>
          <w:tcPr>
            <w:tcW w:w="1280" w:type="dxa"/>
            <w:vAlign w:val="bottom"/>
            <w:shd w:val="clear" w:color="auto" w:fill="DDDDDD"/>
          </w:tcPr>
          <w:p>
            <w:pPr>
              <w:jc w:val="center"/>
              <w:ind w:right="69"/>
              <w:spacing w:after="0"/>
              <w:rPr>
                <w:sz w:val="20"/>
                <w:szCs w:val="20"/>
                <w:color w:val="auto"/>
              </w:rPr>
            </w:pPr>
            <w:r>
              <w:rPr>
                <w:rFonts w:ascii="Arial" w:cs="Arial" w:eastAsia="Arial" w:hAnsi="Arial"/>
                <w:sz w:val="10"/>
                <w:szCs w:val="10"/>
                <w:b w:val="1"/>
                <w:bCs w:val="1"/>
                <w:color w:val="666666"/>
              </w:rPr>
              <w:t>Value and</w:t>
            </w:r>
          </w:p>
        </w:tc>
        <w:tc>
          <w:tcPr>
            <w:tcW w:w="1620" w:type="dxa"/>
            <w:vAlign w:val="bottom"/>
            <w:shd w:val="clear" w:color="auto" w:fill="DDDDDD"/>
          </w:tcPr>
          <w:p>
            <w:pPr>
              <w:spacing w:after="0"/>
              <w:rPr>
                <w:sz w:val="10"/>
                <w:szCs w:val="10"/>
                <w:color w:val="auto"/>
              </w:rPr>
            </w:pPr>
          </w:p>
        </w:tc>
        <w:tc>
          <w:tcPr>
            <w:tcW w:w="88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60" w:type="dxa"/>
            <w:vAlign w:val="bottom"/>
            <w:shd w:val="clear" w:color="auto" w:fill="DDDDDD"/>
          </w:tcPr>
          <w:p>
            <w:pPr>
              <w:spacing w:after="0"/>
              <w:rPr>
                <w:sz w:val="10"/>
                <w:szCs w:val="10"/>
                <w:color w:val="auto"/>
              </w:rPr>
            </w:pPr>
          </w:p>
        </w:tc>
        <w:tc>
          <w:tcPr>
            <w:tcW w:w="680" w:type="dxa"/>
            <w:vAlign w:val="bottom"/>
            <w:shd w:val="clear" w:color="auto" w:fill="DDDDDD"/>
          </w:tcPr>
          <w:p>
            <w:pPr>
              <w:spacing w:after="0"/>
              <w:rPr>
                <w:sz w:val="10"/>
                <w:szCs w:val="10"/>
                <w:color w:val="auto"/>
              </w:rPr>
            </w:pPr>
          </w:p>
        </w:tc>
        <w:tc>
          <w:tcPr>
            <w:tcW w:w="820" w:type="dxa"/>
            <w:vAlign w:val="bottom"/>
            <w:shd w:val="clear" w:color="auto" w:fill="DDDDDD"/>
          </w:tcPr>
          <w:p>
            <w:pPr>
              <w:spacing w:after="0"/>
              <w:rPr>
                <w:sz w:val="10"/>
                <w:szCs w:val="10"/>
                <w:color w:val="auto"/>
              </w:rPr>
            </w:pPr>
          </w:p>
        </w:tc>
        <w:tc>
          <w:tcPr>
            <w:tcW w:w="180" w:type="dxa"/>
            <w:vAlign w:val="bottom"/>
            <w:shd w:val="clear" w:color="auto" w:fill="DDDDDD"/>
          </w:tcPr>
          <w:p>
            <w:pPr>
              <w:spacing w:after="0"/>
              <w:rPr>
                <w:sz w:val="10"/>
                <w:szCs w:val="10"/>
                <w:color w:val="auto"/>
              </w:rPr>
            </w:pPr>
          </w:p>
        </w:tc>
        <w:tc>
          <w:tcPr>
            <w:tcW w:w="720" w:type="dxa"/>
            <w:vAlign w:val="bottom"/>
            <w:shd w:val="clear" w:color="auto" w:fill="DDDDDD"/>
          </w:tcPr>
          <w:p>
            <w:pPr>
              <w:spacing w:after="0"/>
              <w:rPr>
                <w:sz w:val="10"/>
                <w:szCs w:val="10"/>
                <w:color w:val="auto"/>
              </w:rPr>
            </w:pPr>
          </w:p>
        </w:tc>
        <w:tc>
          <w:tcPr>
            <w:tcW w:w="940" w:type="dxa"/>
            <w:vAlign w:val="bottom"/>
            <w:shd w:val="clear" w:color="auto" w:fill="DDDDDD"/>
          </w:tcPr>
          <w:p>
            <w:pPr>
              <w:spacing w:after="0"/>
              <w:rPr>
                <w:sz w:val="10"/>
                <w:szCs w:val="10"/>
                <w:color w:val="auto"/>
              </w:rPr>
            </w:pPr>
          </w:p>
        </w:tc>
        <w:tc>
          <w:tcPr>
            <w:tcW w:w="940" w:type="dxa"/>
            <w:vAlign w:val="bottom"/>
            <w:shd w:val="clear" w:color="auto" w:fill="DDDDDD"/>
          </w:tcPr>
          <w:p>
            <w:pPr>
              <w:spacing w:after="0"/>
              <w:rPr>
                <w:sz w:val="10"/>
                <w:szCs w:val="10"/>
                <w:color w:val="auto"/>
              </w:rPr>
            </w:pPr>
          </w:p>
        </w:tc>
        <w:tc>
          <w:tcPr>
            <w:tcW w:w="1460" w:type="dxa"/>
            <w:vAlign w:val="bottom"/>
            <w:vMerge w:val="restart"/>
            <w:shd w:val="clear" w:color="auto" w:fill="DDDDDD"/>
          </w:tcPr>
          <w:p>
            <w:pPr>
              <w:jc w:val="center"/>
              <w:ind w:right="69"/>
              <w:spacing w:after="0"/>
              <w:rPr>
                <w:sz w:val="20"/>
                <w:szCs w:val="20"/>
                <w:color w:val="auto"/>
              </w:rPr>
            </w:pPr>
            <w:r>
              <w:rPr>
                <w:rFonts w:ascii="Arial" w:cs="Arial" w:eastAsia="Arial" w:hAnsi="Arial"/>
                <w:sz w:val="10"/>
                <w:szCs w:val="10"/>
                <w:b w:val="1"/>
                <w:bCs w:val="1"/>
                <w:color w:val="666666"/>
              </w:rPr>
              <w:t>Non-Equity</w:t>
            </w:r>
          </w:p>
        </w:tc>
        <w:tc>
          <w:tcPr>
            <w:tcW w:w="1280" w:type="dxa"/>
            <w:vAlign w:val="bottom"/>
            <w:shd w:val="clear" w:color="auto" w:fill="DDDDDD"/>
          </w:tcPr>
          <w:p>
            <w:pPr>
              <w:jc w:val="center"/>
              <w:ind w:right="49"/>
              <w:spacing w:after="0"/>
              <w:rPr>
                <w:sz w:val="20"/>
                <w:szCs w:val="20"/>
                <w:color w:val="auto"/>
              </w:rPr>
            </w:pPr>
            <w:r>
              <w:rPr>
                <w:rFonts w:ascii="Arial" w:cs="Arial" w:eastAsia="Arial" w:hAnsi="Arial"/>
                <w:sz w:val="10"/>
                <w:szCs w:val="10"/>
                <w:b w:val="1"/>
                <w:bCs w:val="1"/>
                <w:color w:val="666666"/>
              </w:rPr>
              <w:t>Nonqualified</w:t>
            </w:r>
          </w:p>
        </w:tc>
        <w:tc>
          <w:tcPr>
            <w:tcW w:w="1620" w:type="dxa"/>
            <w:vAlign w:val="bottom"/>
            <w:shd w:val="clear" w:color="auto" w:fill="DDDDDD"/>
          </w:tcPr>
          <w:p>
            <w:pPr>
              <w:spacing w:after="0"/>
              <w:rPr>
                <w:sz w:val="10"/>
                <w:szCs w:val="10"/>
                <w:color w:val="auto"/>
              </w:rPr>
            </w:pPr>
          </w:p>
        </w:tc>
        <w:tc>
          <w:tcPr>
            <w:tcW w:w="88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60" w:type="dxa"/>
            <w:vAlign w:val="bottom"/>
            <w:vMerge w:val="restart"/>
            <w:shd w:val="clear" w:color="auto" w:fill="DDDDDD"/>
          </w:tcPr>
          <w:p>
            <w:pPr>
              <w:ind w:left="500"/>
              <w:spacing w:after="0"/>
              <w:rPr>
                <w:sz w:val="20"/>
                <w:szCs w:val="20"/>
                <w:color w:val="auto"/>
              </w:rPr>
            </w:pPr>
            <w:r>
              <w:rPr>
                <w:rFonts w:ascii="Arial" w:cs="Arial" w:eastAsia="Arial" w:hAnsi="Arial"/>
                <w:sz w:val="10"/>
                <w:szCs w:val="10"/>
                <w:b w:val="1"/>
                <w:bCs w:val="1"/>
                <w:color w:val="666666"/>
              </w:rPr>
              <w:t>Name and Principal</w:t>
            </w:r>
          </w:p>
        </w:tc>
        <w:tc>
          <w:tcPr>
            <w:tcW w:w="680" w:type="dxa"/>
            <w:vAlign w:val="bottom"/>
            <w:shd w:val="clear" w:color="auto" w:fill="DDDDDD"/>
          </w:tcPr>
          <w:p>
            <w:pPr>
              <w:spacing w:after="0"/>
              <w:rPr>
                <w:sz w:val="10"/>
                <w:szCs w:val="10"/>
                <w:color w:val="auto"/>
              </w:rPr>
            </w:pPr>
          </w:p>
        </w:tc>
        <w:tc>
          <w:tcPr>
            <w:tcW w:w="820" w:type="dxa"/>
            <w:vAlign w:val="bottom"/>
            <w:shd w:val="clear" w:color="auto" w:fill="DDDDDD"/>
          </w:tcPr>
          <w:p>
            <w:pPr>
              <w:spacing w:after="0"/>
              <w:rPr>
                <w:sz w:val="10"/>
                <w:szCs w:val="10"/>
                <w:color w:val="auto"/>
              </w:rPr>
            </w:pPr>
          </w:p>
        </w:tc>
        <w:tc>
          <w:tcPr>
            <w:tcW w:w="180" w:type="dxa"/>
            <w:vAlign w:val="bottom"/>
            <w:shd w:val="clear" w:color="auto" w:fill="DDDDDD"/>
          </w:tcPr>
          <w:p>
            <w:pPr>
              <w:spacing w:after="0"/>
              <w:rPr>
                <w:sz w:val="10"/>
                <w:szCs w:val="10"/>
                <w:color w:val="auto"/>
              </w:rPr>
            </w:pPr>
          </w:p>
        </w:tc>
        <w:tc>
          <w:tcPr>
            <w:tcW w:w="720" w:type="dxa"/>
            <w:vAlign w:val="bottom"/>
            <w:shd w:val="clear" w:color="auto" w:fill="DDDDDD"/>
          </w:tcPr>
          <w:p>
            <w:pPr>
              <w:spacing w:after="0"/>
              <w:rPr>
                <w:sz w:val="10"/>
                <w:szCs w:val="10"/>
                <w:color w:val="auto"/>
              </w:rPr>
            </w:pPr>
          </w:p>
        </w:tc>
        <w:tc>
          <w:tcPr>
            <w:tcW w:w="940" w:type="dxa"/>
            <w:vAlign w:val="bottom"/>
            <w:vMerge w:val="restart"/>
            <w:shd w:val="clear" w:color="auto" w:fill="DDDDDD"/>
          </w:tcPr>
          <w:p>
            <w:pPr>
              <w:jc w:val="center"/>
              <w:spacing w:after="0"/>
              <w:rPr>
                <w:sz w:val="20"/>
                <w:szCs w:val="20"/>
                <w:color w:val="auto"/>
              </w:rPr>
            </w:pPr>
            <w:r>
              <w:rPr>
                <w:rFonts w:ascii="Arial" w:cs="Arial" w:eastAsia="Arial" w:hAnsi="Arial"/>
                <w:sz w:val="10"/>
                <w:szCs w:val="10"/>
                <w:b w:val="1"/>
                <w:bCs w:val="1"/>
                <w:color w:val="666666"/>
              </w:rPr>
              <w:t>Stock</w:t>
            </w:r>
          </w:p>
        </w:tc>
        <w:tc>
          <w:tcPr>
            <w:tcW w:w="940" w:type="dxa"/>
            <w:vAlign w:val="bottom"/>
            <w:vMerge w:val="restart"/>
            <w:shd w:val="clear" w:color="auto" w:fill="DDDDDD"/>
          </w:tcPr>
          <w:p>
            <w:pPr>
              <w:jc w:val="center"/>
              <w:spacing w:after="0"/>
              <w:rPr>
                <w:sz w:val="20"/>
                <w:szCs w:val="20"/>
                <w:color w:val="auto"/>
              </w:rPr>
            </w:pPr>
            <w:r>
              <w:rPr>
                <w:rFonts w:ascii="Arial" w:cs="Arial" w:eastAsia="Arial" w:hAnsi="Arial"/>
                <w:sz w:val="10"/>
                <w:szCs w:val="10"/>
                <w:b w:val="1"/>
                <w:bCs w:val="1"/>
                <w:color w:val="666666"/>
                <w:w w:val="99"/>
              </w:rPr>
              <w:t>Option</w:t>
            </w:r>
          </w:p>
        </w:tc>
        <w:tc>
          <w:tcPr>
            <w:tcW w:w="1460" w:type="dxa"/>
            <w:vAlign w:val="bottom"/>
            <w:vMerge w:val="continue"/>
            <w:shd w:val="clear" w:color="auto" w:fill="DDDDDD"/>
          </w:tcPr>
          <w:p>
            <w:pPr>
              <w:spacing w:after="0"/>
              <w:rPr>
                <w:sz w:val="10"/>
                <w:szCs w:val="10"/>
                <w:color w:val="auto"/>
              </w:rPr>
            </w:pPr>
          </w:p>
        </w:tc>
        <w:tc>
          <w:tcPr>
            <w:tcW w:w="1280" w:type="dxa"/>
            <w:vAlign w:val="bottom"/>
            <w:shd w:val="clear" w:color="auto" w:fill="DDDDDD"/>
          </w:tcPr>
          <w:p>
            <w:pPr>
              <w:jc w:val="center"/>
              <w:ind w:right="49"/>
              <w:spacing w:after="0"/>
              <w:rPr>
                <w:sz w:val="20"/>
                <w:szCs w:val="20"/>
                <w:color w:val="auto"/>
              </w:rPr>
            </w:pPr>
            <w:r>
              <w:rPr>
                <w:rFonts w:ascii="Arial" w:cs="Arial" w:eastAsia="Arial" w:hAnsi="Arial"/>
                <w:sz w:val="10"/>
                <w:szCs w:val="10"/>
                <w:b w:val="1"/>
                <w:bCs w:val="1"/>
                <w:color w:val="666666"/>
              </w:rPr>
              <w:t>Deferred</w:t>
            </w:r>
          </w:p>
        </w:tc>
        <w:tc>
          <w:tcPr>
            <w:tcW w:w="1620" w:type="dxa"/>
            <w:vAlign w:val="bottom"/>
            <w:vMerge w:val="restart"/>
            <w:shd w:val="clear" w:color="auto" w:fill="DDDDDD"/>
          </w:tcPr>
          <w:p>
            <w:pPr>
              <w:jc w:val="right"/>
              <w:ind w:right="609"/>
              <w:spacing w:after="0"/>
              <w:rPr>
                <w:sz w:val="20"/>
                <w:szCs w:val="20"/>
                <w:color w:val="auto"/>
              </w:rPr>
            </w:pPr>
            <w:r>
              <w:rPr>
                <w:rFonts w:ascii="Arial" w:cs="Arial" w:eastAsia="Arial" w:hAnsi="Arial"/>
                <w:sz w:val="10"/>
                <w:szCs w:val="10"/>
                <w:b w:val="1"/>
                <w:bCs w:val="1"/>
                <w:color w:val="666666"/>
              </w:rPr>
              <w:t>All Other</w:t>
            </w:r>
          </w:p>
        </w:tc>
        <w:tc>
          <w:tcPr>
            <w:tcW w:w="88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960" w:type="dxa"/>
            <w:vAlign w:val="bottom"/>
            <w:vMerge w:val="continue"/>
            <w:shd w:val="clear" w:color="auto" w:fill="DDDDDD"/>
          </w:tcPr>
          <w:p>
            <w:pPr>
              <w:spacing w:after="0"/>
              <w:rPr>
                <w:sz w:val="9"/>
                <w:szCs w:val="9"/>
                <w:color w:val="auto"/>
              </w:rPr>
            </w:pPr>
          </w:p>
        </w:tc>
        <w:tc>
          <w:tcPr>
            <w:tcW w:w="680" w:type="dxa"/>
            <w:vAlign w:val="bottom"/>
            <w:vMerge w:val="restart"/>
            <w:shd w:val="clear" w:color="auto" w:fill="DDDDDD"/>
          </w:tcPr>
          <w:p>
            <w:pPr>
              <w:ind w:left="200"/>
              <w:spacing w:after="0"/>
              <w:rPr>
                <w:sz w:val="20"/>
                <w:szCs w:val="20"/>
                <w:color w:val="auto"/>
              </w:rPr>
            </w:pPr>
            <w:r>
              <w:rPr>
                <w:rFonts w:ascii="Arial" w:cs="Arial" w:eastAsia="Arial" w:hAnsi="Arial"/>
                <w:sz w:val="10"/>
                <w:szCs w:val="10"/>
                <w:b w:val="1"/>
                <w:bCs w:val="1"/>
                <w:color w:val="666666"/>
              </w:rPr>
              <w:t xml:space="preserve">Year </w:t>
            </w:r>
            <w:r>
              <w:rPr>
                <w:rFonts w:ascii="Arial" w:cs="Arial" w:eastAsia="Arial" w:hAnsi="Arial"/>
                <w:sz w:val="17"/>
                <w:szCs w:val="17"/>
                <w:b w:val="1"/>
                <w:bCs w:val="1"/>
                <w:color w:val="666666"/>
                <w:vertAlign w:val="superscript"/>
              </w:rPr>
              <w:t>1</w:t>
            </w:r>
          </w:p>
        </w:tc>
        <w:tc>
          <w:tcPr>
            <w:tcW w:w="1000" w:type="dxa"/>
            <w:vAlign w:val="bottom"/>
            <w:gridSpan w:val="2"/>
            <w:vMerge w:val="restart"/>
            <w:shd w:val="clear" w:color="auto" w:fill="DDDDDD"/>
          </w:tcPr>
          <w:p>
            <w:pPr>
              <w:ind w:left="320"/>
              <w:spacing w:after="0"/>
              <w:rPr>
                <w:sz w:val="20"/>
                <w:szCs w:val="20"/>
                <w:color w:val="auto"/>
              </w:rPr>
            </w:pPr>
            <w:r>
              <w:rPr>
                <w:rFonts w:ascii="Arial" w:cs="Arial" w:eastAsia="Arial" w:hAnsi="Arial"/>
                <w:sz w:val="10"/>
                <w:szCs w:val="10"/>
                <w:b w:val="1"/>
                <w:bCs w:val="1"/>
                <w:color w:val="666666"/>
              </w:rPr>
              <w:t>Salary</w:t>
            </w:r>
          </w:p>
        </w:tc>
        <w:tc>
          <w:tcPr>
            <w:tcW w:w="720" w:type="dxa"/>
            <w:vAlign w:val="bottom"/>
            <w:vMerge w:val="restart"/>
            <w:shd w:val="clear" w:color="auto" w:fill="DDDDDD"/>
          </w:tcPr>
          <w:p>
            <w:pPr>
              <w:ind w:left="180"/>
              <w:spacing w:after="0"/>
              <w:rPr>
                <w:sz w:val="20"/>
                <w:szCs w:val="20"/>
                <w:color w:val="auto"/>
              </w:rPr>
            </w:pPr>
            <w:r>
              <w:rPr>
                <w:rFonts w:ascii="Arial" w:cs="Arial" w:eastAsia="Arial" w:hAnsi="Arial"/>
                <w:sz w:val="10"/>
                <w:szCs w:val="10"/>
                <w:b w:val="1"/>
                <w:bCs w:val="1"/>
                <w:color w:val="666666"/>
              </w:rPr>
              <w:t>Bonus</w:t>
            </w:r>
          </w:p>
        </w:tc>
        <w:tc>
          <w:tcPr>
            <w:tcW w:w="940" w:type="dxa"/>
            <w:vAlign w:val="bottom"/>
            <w:vMerge w:val="continue"/>
            <w:shd w:val="clear" w:color="auto" w:fill="DDDDDD"/>
          </w:tcPr>
          <w:p>
            <w:pPr>
              <w:spacing w:after="0"/>
              <w:rPr>
                <w:sz w:val="9"/>
                <w:szCs w:val="9"/>
                <w:color w:val="auto"/>
              </w:rPr>
            </w:pPr>
          </w:p>
        </w:tc>
        <w:tc>
          <w:tcPr>
            <w:tcW w:w="940" w:type="dxa"/>
            <w:vAlign w:val="bottom"/>
            <w:vMerge w:val="continue"/>
            <w:shd w:val="clear" w:color="auto" w:fill="DDDDDD"/>
          </w:tcPr>
          <w:p>
            <w:pPr>
              <w:spacing w:after="0"/>
              <w:rPr>
                <w:sz w:val="9"/>
                <w:szCs w:val="9"/>
                <w:color w:val="auto"/>
              </w:rPr>
            </w:pPr>
          </w:p>
        </w:tc>
        <w:tc>
          <w:tcPr>
            <w:tcW w:w="1460" w:type="dxa"/>
            <w:vAlign w:val="bottom"/>
            <w:shd w:val="clear" w:color="auto" w:fill="DDDDDD"/>
          </w:tcPr>
          <w:p>
            <w:pPr>
              <w:jc w:val="center"/>
              <w:ind w:right="69"/>
              <w:spacing w:after="0" w:line="114" w:lineRule="exact"/>
              <w:rPr>
                <w:sz w:val="20"/>
                <w:szCs w:val="20"/>
                <w:color w:val="auto"/>
              </w:rPr>
            </w:pPr>
            <w:r>
              <w:rPr>
                <w:rFonts w:ascii="Arial" w:cs="Arial" w:eastAsia="Arial" w:hAnsi="Arial"/>
                <w:sz w:val="10"/>
                <w:szCs w:val="10"/>
                <w:b w:val="1"/>
                <w:bCs w:val="1"/>
                <w:color w:val="666666"/>
              </w:rPr>
              <w:t>Incentive Plan</w:t>
            </w:r>
          </w:p>
        </w:tc>
        <w:tc>
          <w:tcPr>
            <w:tcW w:w="1280" w:type="dxa"/>
            <w:vAlign w:val="bottom"/>
            <w:shd w:val="clear" w:color="auto" w:fill="DDDDDD"/>
          </w:tcPr>
          <w:p>
            <w:pPr>
              <w:jc w:val="center"/>
              <w:ind w:right="49"/>
              <w:spacing w:after="0" w:line="114" w:lineRule="exact"/>
              <w:rPr>
                <w:sz w:val="20"/>
                <w:szCs w:val="20"/>
                <w:color w:val="auto"/>
              </w:rPr>
            </w:pPr>
            <w:r>
              <w:rPr>
                <w:rFonts w:ascii="Arial" w:cs="Arial" w:eastAsia="Arial" w:hAnsi="Arial"/>
                <w:sz w:val="10"/>
                <w:szCs w:val="10"/>
                <w:b w:val="1"/>
                <w:bCs w:val="1"/>
                <w:color w:val="666666"/>
              </w:rPr>
              <w:t>Compensation</w:t>
            </w:r>
          </w:p>
        </w:tc>
        <w:tc>
          <w:tcPr>
            <w:tcW w:w="1620" w:type="dxa"/>
            <w:vAlign w:val="bottom"/>
            <w:vMerge w:val="continue"/>
            <w:shd w:val="clear" w:color="auto" w:fill="DDDDDD"/>
          </w:tcPr>
          <w:p>
            <w:pPr>
              <w:spacing w:after="0"/>
              <w:rPr>
                <w:sz w:val="9"/>
                <w:szCs w:val="9"/>
                <w:color w:val="auto"/>
              </w:rPr>
            </w:pPr>
          </w:p>
        </w:tc>
        <w:tc>
          <w:tcPr>
            <w:tcW w:w="880" w:type="dxa"/>
            <w:vAlign w:val="bottom"/>
            <w:vMerge w:val="restart"/>
            <w:shd w:val="clear" w:color="auto" w:fill="DDDDDD"/>
          </w:tcPr>
          <w:p>
            <w:pPr>
              <w:ind w:left="240"/>
              <w:spacing w:after="0"/>
              <w:rPr>
                <w:sz w:val="20"/>
                <w:szCs w:val="20"/>
                <w:color w:val="auto"/>
              </w:rPr>
            </w:pPr>
            <w:r>
              <w:rPr>
                <w:rFonts w:ascii="Arial" w:cs="Arial" w:eastAsia="Arial" w:hAnsi="Arial"/>
                <w:sz w:val="10"/>
                <w:szCs w:val="10"/>
                <w:b w:val="1"/>
                <w:bCs w:val="1"/>
                <w:color w:val="666666"/>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60" w:type="dxa"/>
            <w:vAlign w:val="bottom"/>
            <w:shd w:val="clear" w:color="auto" w:fill="DDDDDD"/>
          </w:tcPr>
          <w:p>
            <w:pPr>
              <w:ind w:left="780"/>
              <w:spacing w:after="0"/>
              <w:rPr>
                <w:sz w:val="20"/>
                <w:szCs w:val="20"/>
                <w:color w:val="auto"/>
              </w:rPr>
            </w:pPr>
            <w:r>
              <w:rPr>
                <w:rFonts w:ascii="Arial" w:cs="Arial" w:eastAsia="Arial" w:hAnsi="Arial"/>
                <w:sz w:val="10"/>
                <w:szCs w:val="10"/>
                <w:b w:val="1"/>
                <w:bCs w:val="1"/>
                <w:color w:val="666666"/>
              </w:rPr>
              <w:t>Position</w:t>
            </w:r>
          </w:p>
        </w:tc>
        <w:tc>
          <w:tcPr>
            <w:tcW w:w="680" w:type="dxa"/>
            <w:vAlign w:val="bottom"/>
            <w:vMerge w:val="continue"/>
            <w:shd w:val="clear" w:color="auto" w:fill="DDDDDD"/>
          </w:tcPr>
          <w:p>
            <w:pPr>
              <w:spacing w:after="0"/>
              <w:rPr>
                <w:sz w:val="12"/>
                <w:szCs w:val="12"/>
                <w:color w:val="auto"/>
              </w:rPr>
            </w:pPr>
          </w:p>
        </w:tc>
        <w:tc>
          <w:tcPr>
            <w:tcW w:w="1000" w:type="dxa"/>
            <w:vAlign w:val="bottom"/>
            <w:gridSpan w:val="2"/>
            <w:vMerge w:val="continue"/>
            <w:shd w:val="clear" w:color="auto" w:fill="DDDDDD"/>
          </w:tcPr>
          <w:p>
            <w:pPr>
              <w:spacing w:after="0"/>
              <w:rPr>
                <w:sz w:val="12"/>
                <w:szCs w:val="12"/>
                <w:color w:val="auto"/>
              </w:rPr>
            </w:pPr>
          </w:p>
        </w:tc>
        <w:tc>
          <w:tcPr>
            <w:tcW w:w="720" w:type="dxa"/>
            <w:vAlign w:val="bottom"/>
            <w:vMerge w:val="continue"/>
            <w:shd w:val="clear" w:color="auto" w:fill="DDDDDD"/>
          </w:tcPr>
          <w:p>
            <w:pPr>
              <w:spacing w:after="0"/>
              <w:rPr>
                <w:sz w:val="12"/>
                <w:szCs w:val="12"/>
                <w:color w:val="auto"/>
              </w:rPr>
            </w:pPr>
          </w:p>
        </w:tc>
        <w:tc>
          <w:tcPr>
            <w:tcW w:w="940" w:type="dxa"/>
            <w:vAlign w:val="bottom"/>
            <w:shd w:val="clear" w:color="auto" w:fill="DDDDDD"/>
          </w:tcPr>
          <w:p>
            <w:pPr>
              <w:jc w:val="center"/>
              <w:spacing w:after="0" w:line="147" w:lineRule="exact"/>
              <w:rPr>
                <w:sz w:val="20"/>
                <w:szCs w:val="20"/>
                <w:color w:val="auto"/>
              </w:rPr>
            </w:pPr>
            <w:r>
              <w:rPr>
                <w:rFonts w:ascii="Arial" w:cs="Arial" w:eastAsia="Arial" w:hAnsi="Arial"/>
                <w:sz w:val="10"/>
                <w:szCs w:val="10"/>
                <w:b w:val="1"/>
                <w:bCs w:val="1"/>
                <w:color w:val="666666"/>
                <w:w w:val="97"/>
              </w:rPr>
              <w:t xml:space="preserve">Awards </w:t>
            </w:r>
            <w:r>
              <w:rPr>
                <w:rFonts w:ascii="Arial" w:cs="Arial" w:eastAsia="Arial" w:hAnsi="Arial"/>
                <w:sz w:val="17"/>
                <w:szCs w:val="17"/>
                <w:b w:val="1"/>
                <w:bCs w:val="1"/>
                <w:color w:val="666666"/>
                <w:w w:val="97"/>
                <w:vertAlign w:val="superscript"/>
              </w:rPr>
              <w:t>2</w:t>
            </w:r>
          </w:p>
        </w:tc>
        <w:tc>
          <w:tcPr>
            <w:tcW w:w="940" w:type="dxa"/>
            <w:vAlign w:val="bottom"/>
            <w:shd w:val="clear" w:color="auto" w:fill="DDDDDD"/>
          </w:tcPr>
          <w:p>
            <w:pPr>
              <w:jc w:val="center"/>
              <w:spacing w:after="0" w:line="147" w:lineRule="exact"/>
              <w:rPr>
                <w:sz w:val="20"/>
                <w:szCs w:val="20"/>
                <w:color w:val="auto"/>
              </w:rPr>
            </w:pPr>
            <w:r>
              <w:rPr>
                <w:rFonts w:ascii="Arial" w:cs="Arial" w:eastAsia="Arial" w:hAnsi="Arial"/>
                <w:sz w:val="10"/>
                <w:szCs w:val="10"/>
                <w:b w:val="1"/>
                <w:bCs w:val="1"/>
                <w:color w:val="666666"/>
                <w:w w:val="97"/>
              </w:rPr>
              <w:t xml:space="preserve">Awards </w:t>
            </w:r>
            <w:r>
              <w:rPr>
                <w:rFonts w:ascii="Arial" w:cs="Arial" w:eastAsia="Arial" w:hAnsi="Arial"/>
                <w:sz w:val="17"/>
                <w:szCs w:val="17"/>
                <w:b w:val="1"/>
                <w:bCs w:val="1"/>
                <w:color w:val="666666"/>
                <w:w w:val="97"/>
                <w:vertAlign w:val="superscript"/>
              </w:rPr>
              <w:t>3</w:t>
            </w:r>
          </w:p>
        </w:tc>
        <w:tc>
          <w:tcPr>
            <w:tcW w:w="1460" w:type="dxa"/>
            <w:vAlign w:val="bottom"/>
            <w:shd w:val="clear" w:color="auto" w:fill="DDDDDD"/>
          </w:tcPr>
          <w:p>
            <w:pPr>
              <w:jc w:val="center"/>
              <w:ind w:right="69"/>
              <w:spacing w:after="0" w:line="147" w:lineRule="exact"/>
              <w:rPr>
                <w:sz w:val="20"/>
                <w:szCs w:val="20"/>
                <w:color w:val="auto"/>
              </w:rPr>
            </w:pPr>
            <w:r>
              <w:rPr>
                <w:rFonts w:ascii="Arial" w:cs="Arial" w:eastAsia="Arial" w:hAnsi="Arial"/>
                <w:sz w:val="10"/>
                <w:szCs w:val="10"/>
                <w:b w:val="1"/>
                <w:bCs w:val="1"/>
                <w:color w:val="666666"/>
                <w:w w:val="99"/>
              </w:rPr>
              <w:t xml:space="preserve">Compensation </w:t>
            </w:r>
            <w:r>
              <w:rPr>
                <w:rFonts w:ascii="Arial" w:cs="Arial" w:eastAsia="Arial" w:hAnsi="Arial"/>
                <w:sz w:val="17"/>
                <w:szCs w:val="17"/>
                <w:b w:val="1"/>
                <w:bCs w:val="1"/>
                <w:color w:val="666666"/>
                <w:w w:val="99"/>
                <w:vertAlign w:val="superscript"/>
              </w:rPr>
              <w:t>4</w:t>
            </w:r>
          </w:p>
        </w:tc>
        <w:tc>
          <w:tcPr>
            <w:tcW w:w="1280" w:type="dxa"/>
            <w:vAlign w:val="bottom"/>
            <w:shd w:val="clear" w:color="auto" w:fill="DDDDDD"/>
          </w:tcPr>
          <w:p>
            <w:pPr>
              <w:jc w:val="center"/>
              <w:ind w:right="49"/>
              <w:spacing w:after="0" w:line="147" w:lineRule="exact"/>
              <w:rPr>
                <w:sz w:val="20"/>
                <w:szCs w:val="20"/>
                <w:color w:val="auto"/>
              </w:rPr>
            </w:pPr>
            <w:r>
              <w:rPr>
                <w:rFonts w:ascii="Arial" w:cs="Arial" w:eastAsia="Arial" w:hAnsi="Arial"/>
                <w:sz w:val="10"/>
                <w:szCs w:val="10"/>
                <w:b w:val="1"/>
                <w:bCs w:val="1"/>
                <w:color w:val="666666"/>
                <w:w w:val="96"/>
              </w:rPr>
              <w:t xml:space="preserve">Earnings </w:t>
            </w:r>
            <w:r>
              <w:rPr>
                <w:rFonts w:ascii="Arial" w:cs="Arial" w:eastAsia="Arial" w:hAnsi="Arial"/>
                <w:sz w:val="17"/>
                <w:szCs w:val="17"/>
                <w:b w:val="1"/>
                <w:bCs w:val="1"/>
                <w:color w:val="666666"/>
                <w:w w:val="96"/>
                <w:vertAlign w:val="superscript"/>
              </w:rPr>
              <w:t>5</w:t>
            </w:r>
          </w:p>
        </w:tc>
        <w:tc>
          <w:tcPr>
            <w:tcW w:w="1620" w:type="dxa"/>
            <w:vAlign w:val="bottom"/>
            <w:shd w:val="clear" w:color="auto" w:fill="DDDDDD"/>
          </w:tcPr>
          <w:p>
            <w:pPr>
              <w:jc w:val="right"/>
              <w:ind w:right="449"/>
              <w:spacing w:after="0" w:line="147" w:lineRule="exact"/>
              <w:rPr>
                <w:sz w:val="20"/>
                <w:szCs w:val="20"/>
                <w:color w:val="auto"/>
              </w:rPr>
            </w:pPr>
            <w:r>
              <w:rPr>
                <w:rFonts w:ascii="Arial" w:cs="Arial" w:eastAsia="Arial" w:hAnsi="Arial"/>
                <w:sz w:val="10"/>
                <w:szCs w:val="10"/>
                <w:b w:val="1"/>
                <w:bCs w:val="1"/>
                <w:color w:val="666666"/>
              </w:rPr>
              <w:t xml:space="preserve">Compensation </w:t>
            </w:r>
            <w:r>
              <w:rPr>
                <w:rFonts w:ascii="Arial" w:cs="Arial" w:eastAsia="Arial" w:hAnsi="Arial"/>
                <w:sz w:val="17"/>
                <w:szCs w:val="17"/>
                <w:b w:val="1"/>
                <w:bCs w:val="1"/>
                <w:color w:val="666666"/>
                <w:vertAlign w:val="superscript"/>
              </w:rPr>
              <w:t>7</w:t>
            </w:r>
          </w:p>
        </w:tc>
        <w:tc>
          <w:tcPr>
            <w:tcW w:w="880" w:type="dxa"/>
            <w:vAlign w:val="bottom"/>
            <w:vMerge w:val="continue"/>
            <w:shd w:val="clear" w:color="auto" w:fill="DDDDDD"/>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shd w:val="clear" w:color="auto" w:fill="DDDDDD"/>
          </w:tcPr>
          <w:p>
            <w:pPr>
              <w:spacing w:after="0"/>
              <w:rPr>
                <w:sz w:val="13"/>
                <w:szCs w:val="13"/>
                <w:color w:val="auto"/>
              </w:rPr>
            </w:pPr>
          </w:p>
        </w:tc>
        <w:tc>
          <w:tcPr>
            <w:tcW w:w="680" w:type="dxa"/>
            <w:vAlign w:val="bottom"/>
            <w:tcBorders>
              <w:bottom w:val="single" w:sz="8" w:color="auto"/>
            </w:tcBorders>
            <w:shd w:val="clear" w:color="auto" w:fill="DDDDDD"/>
          </w:tcPr>
          <w:p>
            <w:pPr>
              <w:spacing w:after="0"/>
              <w:rPr>
                <w:sz w:val="13"/>
                <w:szCs w:val="13"/>
                <w:color w:val="auto"/>
              </w:rPr>
            </w:pPr>
          </w:p>
        </w:tc>
        <w:tc>
          <w:tcPr>
            <w:tcW w:w="820" w:type="dxa"/>
            <w:vAlign w:val="bottom"/>
            <w:tcBorders>
              <w:bottom w:val="single" w:sz="8" w:color="auto"/>
            </w:tcBorders>
            <w:shd w:val="clear" w:color="auto" w:fill="DDDDDD"/>
          </w:tcPr>
          <w:p>
            <w:pPr>
              <w:jc w:val="center"/>
              <w:ind w:left="69"/>
              <w:spacing w:after="0"/>
              <w:rPr>
                <w:sz w:val="20"/>
                <w:szCs w:val="20"/>
                <w:color w:val="auto"/>
              </w:rPr>
            </w:pPr>
            <w:r>
              <w:rPr>
                <w:rFonts w:ascii="Arial" w:cs="Arial" w:eastAsia="Arial" w:hAnsi="Arial"/>
                <w:sz w:val="10"/>
                <w:szCs w:val="10"/>
                <w:b w:val="1"/>
                <w:bCs w:val="1"/>
                <w:color w:val="666666"/>
              </w:rPr>
              <w:t>($)</w:t>
            </w:r>
          </w:p>
        </w:tc>
        <w:tc>
          <w:tcPr>
            <w:tcW w:w="180" w:type="dxa"/>
            <w:vAlign w:val="bottom"/>
            <w:tcBorders>
              <w:bottom w:val="single" w:sz="8" w:color="auto"/>
            </w:tcBorders>
            <w:shd w:val="clear" w:color="auto" w:fill="DDDDDD"/>
          </w:tcPr>
          <w:p>
            <w:pPr>
              <w:spacing w:after="0"/>
              <w:rPr>
                <w:sz w:val="13"/>
                <w:szCs w:val="13"/>
                <w:color w:val="auto"/>
              </w:rPr>
            </w:pPr>
          </w:p>
        </w:tc>
        <w:tc>
          <w:tcPr>
            <w:tcW w:w="720" w:type="dxa"/>
            <w:vAlign w:val="bottom"/>
            <w:tcBorders>
              <w:bottom w:val="single" w:sz="8" w:color="auto"/>
            </w:tcBorders>
            <w:shd w:val="clear" w:color="auto" w:fill="DDDDDD"/>
          </w:tcPr>
          <w:p>
            <w:pPr>
              <w:jc w:val="center"/>
              <w:ind w:right="9"/>
              <w:spacing w:after="0"/>
              <w:rPr>
                <w:sz w:val="20"/>
                <w:szCs w:val="20"/>
                <w:color w:val="auto"/>
              </w:rPr>
            </w:pPr>
            <w:r>
              <w:rPr>
                <w:rFonts w:ascii="Arial" w:cs="Arial" w:eastAsia="Arial" w:hAnsi="Arial"/>
                <w:sz w:val="10"/>
                <w:szCs w:val="10"/>
                <w:b w:val="1"/>
                <w:bCs w:val="1"/>
                <w:color w:val="666666"/>
              </w:rPr>
              <w:t>($)</w:t>
            </w:r>
          </w:p>
        </w:tc>
        <w:tc>
          <w:tcPr>
            <w:tcW w:w="94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0"/>
                <w:szCs w:val="10"/>
                <w:b w:val="1"/>
                <w:bCs w:val="1"/>
                <w:color w:val="666666"/>
                <w:w w:val="97"/>
              </w:rPr>
              <w:t>($)</w:t>
            </w:r>
          </w:p>
        </w:tc>
        <w:tc>
          <w:tcPr>
            <w:tcW w:w="94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0"/>
                <w:szCs w:val="10"/>
                <w:b w:val="1"/>
                <w:bCs w:val="1"/>
                <w:color w:val="666666"/>
                <w:w w:val="97"/>
              </w:rPr>
              <w:t>($)</w:t>
            </w:r>
          </w:p>
        </w:tc>
        <w:tc>
          <w:tcPr>
            <w:tcW w:w="1460" w:type="dxa"/>
            <w:vAlign w:val="bottom"/>
            <w:tcBorders>
              <w:bottom w:val="single" w:sz="8" w:color="auto"/>
            </w:tcBorders>
            <w:shd w:val="clear" w:color="auto" w:fill="DDDDDD"/>
          </w:tcPr>
          <w:p>
            <w:pPr>
              <w:jc w:val="center"/>
              <w:ind w:right="69"/>
              <w:spacing w:after="0"/>
              <w:rPr>
                <w:sz w:val="20"/>
                <w:szCs w:val="20"/>
                <w:color w:val="auto"/>
              </w:rPr>
            </w:pPr>
            <w:r>
              <w:rPr>
                <w:rFonts w:ascii="Arial" w:cs="Arial" w:eastAsia="Arial" w:hAnsi="Arial"/>
                <w:sz w:val="10"/>
                <w:szCs w:val="10"/>
                <w:b w:val="1"/>
                <w:bCs w:val="1"/>
                <w:color w:val="666666"/>
              </w:rPr>
              <w:t>($)</w:t>
            </w:r>
          </w:p>
        </w:tc>
        <w:tc>
          <w:tcPr>
            <w:tcW w:w="1280" w:type="dxa"/>
            <w:vAlign w:val="bottom"/>
            <w:tcBorders>
              <w:bottom w:val="single" w:sz="8" w:color="auto"/>
            </w:tcBorders>
            <w:shd w:val="clear" w:color="auto" w:fill="DDDDDD"/>
          </w:tcPr>
          <w:p>
            <w:pPr>
              <w:jc w:val="center"/>
              <w:ind w:right="49"/>
              <w:spacing w:after="0"/>
              <w:rPr>
                <w:sz w:val="20"/>
                <w:szCs w:val="20"/>
                <w:color w:val="auto"/>
              </w:rPr>
            </w:pPr>
            <w:r>
              <w:rPr>
                <w:rFonts w:ascii="Arial" w:cs="Arial" w:eastAsia="Arial" w:hAnsi="Arial"/>
                <w:sz w:val="10"/>
                <w:szCs w:val="10"/>
                <w:b w:val="1"/>
                <w:bCs w:val="1"/>
                <w:color w:val="666666"/>
              </w:rPr>
              <w:t>($)</w:t>
            </w:r>
          </w:p>
        </w:tc>
        <w:tc>
          <w:tcPr>
            <w:tcW w:w="1620" w:type="dxa"/>
            <w:vAlign w:val="bottom"/>
            <w:tcBorders>
              <w:bottom w:val="single" w:sz="8" w:color="auto"/>
            </w:tcBorders>
            <w:shd w:val="clear" w:color="auto" w:fill="DDDDDD"/>
          </w:tcPr>
          <w:p>
            <w:pPr>
              <w:jc w:val="center"/>
              <w:ind w:right="89"/>
              <w:spacing w:after="0"/>
              <w:rPr>
                <w:sz w:val="20"/>
                <w:szCs w:val="20"/>
                <w:color w:val="auto"/>
              </w:rPr>
            </w:pPr>
            <w:r>
              <w:rPr>
                <w:rFonts w:ascii="Arial" w:cs="Arial" w:eastAsia="Arial" w:hAnsi="Arial"/>
                <w:sz w:val="10"/>
                <w:szCs w:val="10"/>
                <w:b w:val="1"/>
                <w:bCs w:val="1"/>
                <w:color w:val="666666"/>
                <w:w w:val="97"/>
              </w:rPr>
              <w:t>($)</w:t>
            </w:r>
          </w:p>
        </w:tc>
        <w:tc>
          <w:tcPr>
            <w:tcW w:w="880" w:type="dxa"/>
            <w:vAlign w:val="bottom"/>
            <w:tcBorders>
              <w:bottom w:val="single" w:sz="8" w:color="auto"/>
            </w:tcBorders>
            <w:shd w:val="clear" w:color="auto" w:fill="DDDDDD"/>
          </w:tcPr>
          <w:p>
            <w:pPr>
              <w:ind w:left="300"/>
              <w:spacing w:after="0"/>
              <w:rPr>
                <w:sz w:val="20"/>
                <w:szCs w:val="20"/>
                <w:color w:val="auto"/>
              </w:rPr>
            </w:pPr>
            <w:r>
              <w:rPr>
                <w:rFonts w:ascii="Arial" w:cs="Arial" w:eastAsia="Arial" w:hAnsi="Arial"/>
                <w:sz w:val="10"/>
                <w:szCs w:val="10"/>
                <w:b w:val="1"/>
                <w:bCs w:val="1"/>
                <w:color w:val="666666"/>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60" w:type="dxa"/>
            <w:vAlign w:val="bottom"/>
            <w:vMerge w:val="restart"/>
          </w:tcPr>
          <w:p>
            <w:pPr>
              <w:ind w:left="20"/>
              <w:spacing w:after="0"/>
              <w:rPr>
                <w:sz w:val="20"/>
                <w:szCs w:val="20"/>
                <w:color w:val="auto"/>
              </w:rPr>
            </w:pPr>
            <w:r>
              <w:rPr>
                <w:rFonts w:ascii="Arial" w:cs="Arial" w:eastAsia="Arial" w:hAnsi="Arial"/>
                <w:sz w:val="10"/>
                <w:szCs w:val="10"/>
                <w:b w:val="1"/>
                <w:bCs w:val="1"/>
                <w:color w:val="666666"/>
              </w:rPr>
              <w:t>Horacio D. Rozanski</w:t>
            </w:r>
          </w:p>
        </w:tc>
        <w:tc>
          <w:tcPr>
            <w:tcW w:w="680" w:type="dxa"/>
            <w:vAlign w:val="bottom"/>
          </w:tcPr>
          <w:p>
            <w:pPr>
              <w:jc w:val="center"/>
              <w:spacing w:after="0"/>
              <w:rPr>
                <w:sz w:val="20"/>
                <w:szCs w:val="20"/>
                <w:color w:val="auto"/>
              </w:rPr>
            </w:pPr>
            <w:r>
              <w:rPr>
                <w:rFonts w:ascii="Arial" w:cs="Arial" w:eastAsia="Arial" w:hAnsi="Arial"/>
                <w:sz w:val="10"/>
                <w:szCs w:val="10"/>
                <w:color w:val="666666"/>
              </w:rPr>
              <w:t>2018</w:t>
            </w:r>
          </w:p>
        </w:tc>
        <w:tc>
          <w:tcPr>
            <w:tcW w:w="1000" w:type="dxa"/>
            <w:vAlign w:val="bottom"/>
            <w:gridSpan w:val="2"/>
          </w:tcPr>
          <w:p>
            <w:pPr>
              <w:jc w:val="right"/>
              <w:ind w:right="180"/>
              <w:spacing w:after="0"/>
              <w:rPr>
                <w:sz w:val="20"/>
                <w:szCs w:val="20"/>
                <w:color w:val="auto"/>
              </w:rPr>
            </w:pPr>
            <w:r>
              <w:rPr>
                <w:rFonts w:ascii="Arial" w:cs="Arial" w:eastAsia="Arial" w:hAnsi="Arial"/>
                <w:sz w:val="10"/>
                <w:szCs w:val="10"/>
                <w:color w:val="666666"/>
              </w:rPr>
              <w:t>1,500,000</w:t>
            </w:r>
          </w:p>
        </w:tc>
        <w:tc>
          <w:tcPr>
            <w:tcW w:w="720" w:type="dxa"/>
            <w:vAlign w:val="bottom"/>
          </w:tcPr>
          <w:p>
            <w:pPr>
              <w:jc w:val="center"/>
              <w:ind w:right="9"/>
              <w:spacing w:after="0"/>
              <w:rPr>
                <w:sz w:val="20"/>
                <w:szCs w:val="20"/>
                <w:color w:val="auto"/>
              </w:rPr>
            </w:pPr>
            <w:r>
              <w:rPr>
                <w:rFonts w:ascii="Arial" w:cs="Arial" w:eastAsia="Arial" w:hAnsi="Arial"/>
                <w:sz w:val="10"/>
                <w:szCs w:val="10"/>
                <w:color w:val="666666"/>
                <w:w w:val="99"/>
              </w:rPr>
              <w:t>—</w:t>
            </w:r>
          </w:p>
        </w:tc>
        <w:tc>
          <w:tcPr>
            <w:tcW w:w="940" w:type="dxa"/>
            <w:vAlign w:val="bottom"/>
          </w:tcPr>
          <w:p>
            <w:pPr>
              <w:jc w:val="center"/>
              <w:spacing w:after="0"/>
              <w:rPr>
                <w:sz w:val="20"/>
                <w:szCs w:val="20"/>
                <w:color w:val="auto"/>
              </w:rPr>
            </w:pPr>
            <w:r>
              <w:rPr>
                <w:rFonts w:ascii="Arial" w:cs="Arial" w:eastAsia="Arial" w:hAnsi="Arial"/>
                <w:sz w:val="10"/>
                <w:szCs w:val="10"/>
                <w:color w:val="666666"/>
              </w:rPr>
              <w:t>2,227,798</w:t>
            </w:r>
          </w:p>
        </w:tc>
        <w:tc>
          <w:tcPr>
            <w:tcW w:w="94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460" w:type="dxa"/>
            <w:vAlign w:val="bottom"/>
          </w:tcPr>
          <w:p>
            <w:pPr>
              <w:jc w:val="right"/>
              <w:ind w:right="169"/>
              <w:spacing w:after="0"/>
              <w:rPr>
                <w:sz w:val="20"/>
                <w:szCs w:val="20"/>
                <w:color w:val="auto"/>
              </w:rPr>
            </w:pPr>
            <w:r>
              <w:rPr>
                <w:rFonts w:ascii="Arial" w:cs="Arial" w:eastAsia="Arial" w:hAnsi="Arial"/>
                <w:sz w:val="10"/>
                <w:szCs w:val="10"/>
                <w:color w:val="666666"/>
              </w:rPr>
              <w:t>928,000</w:t>
            </w:r>
          </w:p>
        </w:tc>
        <w:tc>
          <w:tcPr>
            <w:tcW w:w="1280" w:type="dxa"/>
            <w:vAlign w:val="bottom"/>
          </w:tcPr>
          <w:p>
            <w:pPr>
              <w:jc w:val="center"/>
              <w:ind w:right="49"/>
              <w:spacing w:after="0"/>
              <w:rPr>
                <w:sz w:val="20"/>
                <w:szCs w:val="20"/>
                <w:color w:val="auto"/>
              </w:rPr>
            </w:pPr>
            <w:r>
              <w:rPr>
                <w:rFonts w:ascii="Arial" w:cs="Arial" w:eastAsia="Arial" w:hAnsi="Arial"/>
                <w:sz w:val="10"/>
                <w:szCs w:val="10"/>
                <w:color w:val="666666"/>
                <w:w w:val="97"/>
              </w:rPr>
              <w:t>17,215</w:t>
            </w:r>
          </w:p>
        </w:tc>
        <w:tc>
          <w:tcPr>
            <w:tcW w:w="1620" w:type="dxa"/>
            <w:vAlign w:val="bottom"/>
          </w:tcPr>
          <w:p>
            <w:pPr>
              <w:jc w:val="right"/>
              <w:ind w:right="209"/>
              <w:spacing w:after="0"/>
              <w:rPr>
                <w:sz w:val="20"/>
                <w:szCs w:val="20"/>
                <w:color w:val="auto"/>
              </w:rPr>
            </w:pPr>
            <w:r>
              <w:rPr>
                <w:rFonts w:ascii="Arial" w:cs="Arial" w:eastAsia="Arial" w:hAnsi="Arial"/>
                <w:sz w:val="10"/>
                <w:szCs w:val="10"/>
                <w:color w:val="666666"/>
              </w:rPr>
              <w:t>249,344</w:t>
            </w:r>
          </w:p>
        </w:tc>
        <w:tc>
          <w:tcPr>
            <w:tcW w:w="880" w:type="dxa"/>
            <w:vAlign w:val="bottom"/>
          </w:tcPr>
          <w:p>
            <w:pPr>
              <w:ind w:left="320"/>
              <w:spacing w:after="0"/>
              <w:rPr>
                <w:sz w:val="20"/>
                <w:szCs w:val="20"/>
                <w:color w:val="auto"/>
              </w:rPr>
            </w:pPr>
            <w:r>
              <w:rPr>
                <w:rFonts w:ascii="Arial" w:cs="Arial" w:eastAsia="Arial" w:hAnsi="Arial"/>
                <w:sz w:val="10"/>
                <w:szCs w:val="10"/>
                <w:color w:val="666666"/>
              </w:rPr>
              <w:t>4,922,357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0"/>
                <w:szCs w:val="10"/>
                <w:color w:val="666666"/>
              </w:rPr>
              <w:t>2017</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666666"/>
              </w:rPr>
              <w:t>1,437,500</w:t>
            </w:r>
          </w:p>
        </w:tc>
        <w:tc>
          <w:tcPr>
            <w:tcW w:w="720" w:type="dxa"/>
            <w:vAlign w:val="bottom"/>
            <w:vMerge w:val="restart"/>
          </w:tcPr>
          <w:p>
            <w:pPr>
              <w:jc w:val="center"/>
              <w:ind w:right="9"/>
              <w:spacing w:after="0"/>
              <w:rPr>
                <w:sz w:val="20"/>
                <w:szCs w:val="20"/>
                <w:color w:val="auto"/>
              </w:rPr>
            </w:pPr>
            <w:r>
              <w:rPr>
                <w:rFonts w:ascii="Arial" w:cs="Arial" w:eastAsia="Arial" w:hAnsi="Arial"/>
                <w:sz w:val="10"/>
                <w:szCs w:val="10"/>
                <w:color w:val="666666"/>
                <w:w w:val="99"/>
              </w:rPr>
              <w:t>—</w:t>
            </w:r>
          </w:p>
        </w:tc>
        <w:tc>
          <w:tcPr>
            <w:tcW w:w="940" w:type="dxa"/>
            <w:vAlign w:val="bottom"/>
            <w:vMerge w:val="restart"/>
          </w:tcPr>
          <w:p>
            <w:pPr>
              <w:jc w:val="center"/>
              <w:spacing w:after="0"/>
              <w:rPr>
                <w:sz w:val="20"/>
                <w:szCs w:val="20"/>
                <w:color w:val="auto"/>
              </w:rPr>
            </w:pPr>
            <w:r>
              <w:rPr>
                <w:rFonts w:ascii="Arial" w:cs="Arial" w:eastAsia="Arial" w:hAnsi="Arial"/>
                <w:sz w:val="10"/>
                <w:szCs w:val="10"/>
                <w:color w:val="666666"/>
                <w:w w:val="99"/>
              </w:rPr>
              <w:t>546,468</w:t>
            </w:r>
          </w:p>
        </w:tc>
        <w:tc>
          <w:tcPr>
            <w:tcW w:w="940" w:type="dxa"/>
            <w:vAlign w:val="bottom"/>
            <w:vMerge w:val="restart"/>
          </w:tcPr>
          <w:p>
            <w:pPr>
              <w:jc w:val="center"/>
              <w:spacing w:after="0"/>
              <w:rPr>
                <w:sz w:val="20"/>
                <w:szCs w:val="20"/>
                <w:color w:val="auto"/>
              </w:rPr>
            </w:pPr>
            <w:r>
              <w:rPr>
                <w:rFonts w:ascii="Arial" w:cs="Arial" w:eastAsia="Arial" w:hAnsi="Arial"/>
                <w:sz w:val="10"/>
                <w:szCs w:val="10"/>
                <w:color w:val="666666"/>
                <w:w w:val="99"/>
              </w:rPr>
              <w:t>—</w:t>
            </w:r>
          </w:p>
        </w:tc>
        <w:tc>
          <w:tcPr>
            <w:tcW w:w="1460" w:type="dxa"/>
            <w:vAlign w:val="bottom"/>
            <w:vMerge w:val="restart"/>
          </w:tcPr>
          <w:p>
            <w:pPr>
              <w:jc w:val="right"/>
              <w:ind w:right="169"/>
              <w:spacing w:after="0"/>
              <w:rPr>
                <w:sz w:val="20"/>
                <w:szCs w:val="20"/>
                <w:color w:val="auto"/>
              </w:rPr>
            </w:pPr>
            <w:r>
              <w:rPr>
                <w:rFonts w:ascii="Arial" w:cs="Arial" w:eastAsia="Arial" w:hAnsi="Arial"/>
                <w:sz w:val="10"/>
                <w:szCs w:val="10"/>
                <w:color w:val="666666"/>
              </w:rPr>
              <w:t>846,555</w:t>
            </w:r>
          </w:p>
        </w:tc>
        <w:tc>
          <w:tcPr>
            <w:tcW w:w="1280" w:type="dxa"/>
            <w:vAlign w:val="bottom"/>
            <w:vMerge w:val="restart"/>
          </w:tcPr>
          <w:p>
            <w:pPr>
              <w:jc w:val="center"/>
              <w:ind w:right="49"/>
              <w:spacing w:after="0"/>
              <w:rPr>
                <w:sz w:val="20"/>
                <w:szCs w:val="20"/>
                <w:color w:val="auto"/>
              </w:rPr>
            </w:pPr>
            <w:r>
              <w:rPr>
                <w:rFonts w:ascii="Arial" w:cs="Arial" w:eastAsia="Arial" w:hAnsi="Arial"/>
                <w:sz w:val="10"/>
                <w:szCs w:val="10"/>
                <w:color w:val="666666"/>
                <w:w w:val="97"/>
              </w:rPr>
              <w:t>15,964</w:t>
            </w:r>
          </w:p>
        </w:tc>
        <w:tc>
          <w:tcPr>
            <w:tcW w:w="1620" w:type="dxa"/>
            <w:vAlign w:val="bottom"/>
            <w:vMerge w:val="restart"/>
          </w:tcPr>
          <w:p>
            <w:pPr>
              <w:jc w:val="right"/>
              <w:ind w:right="209"/>
              <w:spacing w:after="0"/>
              <w:rPr>
                <w:sz w:val="20"/>
                <w:szCs w:val="20"/>
                <w:color w:val="auto"/>
              </w:rPr>
            </w:pPr>
            <w:r>
              <w:rPr>
                <w:rFonts w:ascii="Arial" w:cs="Arial" w:eastAsia="Arial" w:hAnsi="Arial"/>
                <w:sz w:val="10"/>
                <w:szCs w:val="10"/>
                <w:color w:val="666666"/>
              </w:rPr>
              <w:t>170,345</w:t>
            </w:r>
          </w:p>
        </w:tc>
        <w:tc>
          <w:tcPr>
            <w:tcW w:w="880" w:type="dxa"/>
            <w:vAlign w:val="bottom"/>
            <w:vMerge w:val="restart"/>
          </w:tcPr>
          <w:p>
            <w:pPr>
              <w:ind w:left="320"/>
              <w:spacing w:after="0"/>
              <w:rPr>
                <w:sz w:val="20"/>
                <w:szCs w:val="20"/>
                <w:color w:val="auto"/>
              </w:rPr>
            </w:pPr>
            <w:r>
              <w:rPr>
                <w:rFonts w:ascii="Arial" w:cs="Arial" w:eastAsia="Arial" w:hAnsi="Arial"/>
                <w:sz w:val="10"/>
                <w:szCs w:val="10"/>
                <w:color w:val="666666"/>
              </w:rPr>
              <w:t>3,016,832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960" w:type="dxa"/>
            <w:vAlign w:val="bottom"/>
            <w:vMerge w:val="restart"/>
          </w:tcPr>
          <w:p>
            <w:pPr>
              <w:ind w:left="20"/>
              <w:spacing w:after="0"/>
              <w:rPr>
                <w:sz w:val="20"/>
                <w:szCs w:val="20"/>
                <w:color w:val="auto"/>
              </w:rPr>
            </w:pPr>
            <w:r>
              <w:rPr>
                <w:rFonts w:ascii="Arial" w:cs="Arial" w:eastAsia="Arial" w:hAnsi="Arial"/>
                <w:sz w:val="10"/>
                <w:szCs w:val="10"/>
                <w:color w:val="666666"/>
              </w:rPr>
              <w:t>President &amp; Chief Executive Officer</w:t>
            </w:r>
          </w:p>
        </w:tc>
        <w:tc>
          <w:tcPr>
            <w:tcW w:w="680" w:type="dxa"/>
            <w:vAlign w:val="bottom"/>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0"/>
                <w:szCs w:val="10"/>
                <w:color w:val="666666"/>
              </w:rPr>
              <w:t>2016</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666666"/>
              </w:rPr>
              <w:t>1,437,500</w:t>
            </w:r>
          </w:p>
        </w:tc>
        <w:tc>
          <w:tcPr>
            <w:tcW w:w="720" w:type="dxa"/>
            <w:vAlign w:val="bottom"/>
            <w:vMerge w:val="restart"/>
          </w:tcPr>
          <w:p>
            <w:pPr>
              <w:jc w:val="center"/>
              <w:ind w:right="9"/>
              <w:spacing w:after="0"/>
              <w:rPr>
                <w:sz w:val="20"/>
                <w:szCs w:val="20"/>
                <w:color w:val="auto"/>
              </w:rPr>
            </w:pPr>
            <w:r>
              <w:rPr>
                <w:rFonts w:ascii="Arial" w:cs="Arial" w:eastAsia="Arial" w:hAnsi="Arial"/>
                <w:sz w:val="10"/>
                <w:szCs w:val="10"/>
                <w:color w:val="666666"/>
                <w:w w:val="99"/>
              </w:rPr>
              <w:t>—</w:t>
            </w:r>
          </w:p>
        </w:tc>
        <w:tc>
          <w:tcPr>
            <w:tcW w:w="940" w:type="dxa"/>
            <w:vAlign w:val="bottom"/>
            <w:vMerge w:val="restart"/>
          </w:tcPr>
          <w:p>
            <w:pPr>
              <w:jc w:val="center"/>
              <w:spacing w:after="0"/>
              <w:rPr>
                <w:sz w:val="20"/>
                <w:szCs w:val="20"/>
                <w:color w:val="auto"/>
              </w:rPr>
            </w:pPr>
            <w:r>
              <w:rPr>
                <w:rFonts w:ascii="Arial" w:cs="Arial" w:eastAsia="Arial" w:hAnsi="Arial"/>
                <w:sz w:val="10"/>
                <w:szCs w:val="10"/>
                <w:color w:val="666666"/>
                <w:w w:val="99"/>
              </w:rPr>
              <w:t>476,272</w:t>
            </w:r>
          </w:p>
        </w:tc>
        <w:tc>
          <w:tcPr>
            <w:tcW w:w="940" w:type="dxa"/>
            <w:vAlign w:val="bottom"/>
            <w:vMerge w:val="restart"/>
          </w:tcPr>
          <w:p>
            <w:pPr>
              <w:jc w:val="center"/>
              <w:spacing w:after="0"/>
              <w:rPr>
                <w:sz w:val="20"/>
                <w:szCs w:val="20"/>
                <w:color w:val="auto"/>
              </w:rPr>
            </w:pPr>
            <w:r>
              <w:rPr>
                <w:rFonts w:ascii="Arial" w:cs="Arial" w:eastAsia="Arial" w:hAnsi="Arial"/>
                <w:sz w:val="10"/>
                <w:szCs w:val="10"/>
                <w:color w:val="666666"/>
                <w:w w:val="99"/>
              </w:rPr>
              <w:t>599,996</w:t>
            </w:r>
          </w:p>
        </w:tc>
        <w:tc>
          <w:tcPr>
            <w:tcW w:w="1460" w:type="dxa"/>
            <w:vAlign w:val="bottom"/>
            <w:vMerge w:val="restart"/>
          </w:tcPr>
          <w:p>
            <w:pPr>
              <w:jc w:val="right"/>
              <w:ind w:right="169"/>
              <w:spacing w:after="0"/>
              <w:rPr>
                <w:sz w:val="20"/>
                <w:szCs w:val="20"/>
                <w:color w:val="auto"/>
              </w:rPr>
            </w:pPr>
            <w:r>
              <w:rPr>
                <w:rFonts w:ascii="Arial" w:cs="Arial" w:eastAsia="Arial" w:hAnsi="Arial"/>
                <w:sz w:val="10"/>
                <w:szCs w:val="10"/>
                <w:color w:val="666666"/>
              </w:rPr>
              <w:t>869,943</w:t>
            </w:r>
          </w:p>
        </w:tc>
        <w:tc>
          <w:tcPr>
            <w:tcW w:w="1280" w:type="dxa"/>
            <w:vAlign w:val="bottom"/>
            <w:vMerge w:val="restart"/>
          </w:tcPr>
          <w:p>
            <w:pPr>
              <w:jc w:val="center"/>
              <w:ind w:right="49"/>
              <w:spacing w:after="0"/>
              <w:rPr>
                <w:sz w:val="20"/>
                <w:szCs w:val="20"/>
                <w:color w:val="auto"/>
              </w:rPr>
            </w:pPr>
            <w:r>
              <w:rPr>
                <w:rFonts w:ascii="Arial" w:cs="Arial" w:eastAsia="Arial" w:hAnsi="Arial"/>
                <w:sz w:val="10"/>
                <w:szCs w:val="10"/>
                <w:color w:val="666666"/>
                <w:w w:val="97"/>
              </w:rPr>
              <w:t>15,016</w:t>
            </w:r>
          </w:p>
        </w:tc>
        <w:tc>
          <w:tcPr>
            <w:tcW w:w="1620" w:type="dxa"/>
            <w:vAlign w:val="bottom"/>
            <w:vMerge w:val="restart"/>
          </w:tcPr>
          <w:p>
            <w:pPr>
              <w:jc w:val="right"/>
              <w:ind w:right="209"/>
              <w:spacing w:after="0"/>
              <w:rPr>
                <w:sz w:val="20"/>
                <w:szCs w:val="20"/>
                <w:color w:val="auto"/>
              </w:rPr>
            </w:pPr>
            <w:r>
              <w:rPr>
                <w:rFonts w:ascii="Arial" w:cs="Arial" w:eastAsia="Arial" w:hAnsi="Arial"/>
                <w:sz w:val="10"/>
                <w:szCs w:val="10"/>
                <w:color w:val="666666"/>
              </w:rPr>
              <w:t>145,600</w:t>
            </w:r>
          </w:p>
        </w:tc>
        <w:tc>
          <w:tcPr>
            <w:tcW w:w="880" w:type="dxa"/>
            <w:vAlign w:val="bottom"/>
            <w:vMerge w:val="restart"/>
          </w:tcPr>
          <w:p>
            <w:pPr>
              <w:ind w:left="320"/>
              <w:spacing w:after="0"/>
              <w:rPr>
                <w:sz w:val="20"/>
                <w:szCs w:val="20"/>
                <w:color w:val="auto"/>
              </w:rPr>
            </w:pPr>
            <w:r>
              <w:rPr>
                <w:rFonts w:ascii="Arial" w:cs="Arial" w:eastAsia="Arial" w:hAnsi="Arial"/>
                <w:sz w:val="10"/>
                <w:szCs w:val="10"/>
                <w:color w:val="666666"/>
              </w:rPr>
              <w:t>3,544,327</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shd w:val="clear" w:color="auto" w:fill="DDDDDD"/>
          </w:tcPr>
          <w:p>
            <w:pPr>
              <w:ind w:left="20"/>
              <w:spacing w:after="0"/>
              <w:rPr>
                <w:sz w:val="20"/>
                <w:szCs w:val="20"/>
                <w:color w:val="auto"/>
              </w:rPr>
            </w:pPr>
            <w:r>
              <w:rPr>
                <w:rFonts w:ascii="Arial" w:cs="Arial" w:eastAsia="Arial" w:hAnsi="Arial"/>
                <w:sz w:val="10"/>
                <w:szCs w:val="10"/>
                <w:b w:val="1"/>
                <w:bCs w:val="1"/>
                <w:color w:val="666666"/>
              </w:rPr>
              <w:t>Lloyd W. Howell, Jr.</w:t>
            </w:r>
          </w:p>
        </w:tc>
        <w:tc>
          <w:tcPr>
            <w:tcW w:w="68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2018</w:t>
            </w:r>
          </w:p>
        </w:tc>
        <w:tc>
          <w:tcPr>
            <w:tcW w:w="1000" w:type="dxa"/>
            <w:vAlign w:val="bottom"/>
            <w:gridSpan w:val="2"/>
            <w:shd w:val="clear" w:color="auto" w:fill="DDDDDD"/>
          </w:tcPr>
          <w:p>
            <w:pPr>
              <w:jc w:val="right"/>
              <w:ind w:right="180"/>
              <w:spacing w:after="0"/>
              <w:rPr>
                <w:sz w:val="20"/>
                <w:szCs w:val="20"/>
                <w:color w:val="auto"/>
              </w:rPr>
            </w:pPr>
            <w:r>
              <w:rPr>
                <w:rFonts w:ascii="Arial" w:cs="Arial" w:eastAsia="Arial" w:hAnsi="Arial"/>
                <w:sz w:val="10"/>
                <w:szCs w:val="10"/>
                <w:color w:val="666666"/>
              </w:rPr>
              <w:t>1,025,000</w:t>
            </w:r>
          </w:p>
        </w:tc>
        <w:tc>
          <w:tcPr>
            <w:tcW w:w="720" w:type="dxa"/>
            <w:vAlign w:val="bottom"/>
            <w:shd w:val="clear" w:color="auto" w:fill="DDDDDD"/>
          </w:tcPr>
          <w:p>
            <w:pPr>
              <w:jc w:val="center"/>
              <w:ind w:right="9"/>
              <w:spacing w:after="0"/>
              <w:rPr>
                <w:sz w:val="20"/>
                <w:szCs w:val="20"/>
                <w:color w:val="auto"/>
              </w:rPr>
            </w:pPr>
            <w:r>
              <w:rPr>
                <w:rFonts w:ascii="Arial" w:cs="Arial" w:eastAsia="Arial" w:hAnsi="Arial"/>
                <w:sz w:val="10"/>
                <w:szCs w:val="10"/>
                <w:color w:val="666666"/>
                <w:w w:val="99"/>
              </w:rPr>
              <w:t>—</w:t>
            </w:r>
          </w:p>
        </w:tc>
        <w:tc>
          <w:tcPr>
            <w:tcW w:w="94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1,242,148</w:t>
            </w:r>
          </w:p>
        </w:tc>
        <w:tc>
          <w:tcPr>
            <w:tcW w:w="94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499,991</w:t>
            </w:r>
          </w:p>
        </w:tc>
        <w:tc>
          <w:tcPr>
            <w:tcW w:w="1460" w:type="dxa"/>
            <w:vAlign w:val="bottom"/>
            <w:shd w:val="clear" w:color="auto" w:fill="DDDDDD"/>
          </w:tcPr>
          <w:p>
            <w:pPr>
              <w:jc w:val="right"/>
              <w:ind w:right="169"/>
              <w:spacing w:after="0"/>
              <w:rPr>
                <w:sz w:val="20"/>
                <w:szCs w:val="20"/>
                <w:color w:val="auto"/>
              </w:rPr>
            </w:pPr>
            <w:r>
              <w:rPr>
                <w:rFonts w:ascii="Arial" w:cs="Arial" w:eastAsia="Arial" w:hAnsi="Arial"/>
                <w:sz w:val="10"/>
                <w:szCs w:val="10"/>
                <w:color w:val="666666"/>
              </w:rPr>
              <w:t>580,000</w:t>
            </w:r>
          </w:p>
        </w:tc>
        <w:tc>
          <w:tcPr>
            <w:tcW w:w="1280" w:type="dxa"/>
            <w:vAlign w:val="bottom"/>
            <w:shd w:val="clear" w:color="auto" w:fill="DDDDDD"/>
          </w:tcPr>
          <w:p>
            <w:pPr>
              <w:jc w:val="center"/>
              <w:ind w:right="49"/>
              <w:spacing w:after="0"/>
              <w:rPr>
                <w:sz w:val="20"/>
                <w:szCs w:val="20"/>
                <w:color w:val="auto"/>
              </w:rPr>
            </w:pPr>
            <w:r>
              <w:rPr>
                <w:rFonts w:ascii="Arial" w:cs="Arial" w:eastAsia="Arial" w:hAnsi="Arial"/>
                <w:sz w:val="10"/>
                <w:szCs w:val="10"/>
                <w:color w:val="666666"/>
                <w:w w:val="97"/>
              </w:rPr>
              <w:t>10,000</w:t>
            </w:r>
          </w:p>
        </w:tc>
        <w:tc>
          <w:tcPr>
            <w:tcW w:w="1620" w:type="dxa"/>
            <w:vAlign w:val="bottom"/>
            <w:shd w:val="clear" w:color="auto" w:fill="DDDDDD"/>
          </w:tcPr>
          <w:p>
            <w:pPr>
              <w:jc w:val="right"/>
              <w:ind w:right="209"/>
              <w:spacing w:after="0"/>
              <w:rPr>
                <w:sz w:val="20"/>
                <w:szCs w:val="20"/>
                <w:color w:val="auto"/>
              </w:rPr>
            </w:pPr>
            <w:r>
              <w:rPr>
                <w:rFonts w:ascii="Arial" w:cs="Arial" w:eastAsia="Arial" w:hAnsi="Arial"/>
                <w:sz w:val="10"/>
                <w:szCs w:val="10"/>
                <w:color w:val="666666"/>
              </w:rPr>
              <w:t>129,847</w:t>
            </w:r>
          </w:p>
        </w:tc>
        <w:tc>
          <w:tcPr>
            <w:tcW w:w="880" w:type="dxa"/>
            <w:vAlign w:val="bottom"/>
            <w:shd w:val="clear" w:color="auto" w:fill="DDDDDD"/>
          </w:tcPr>
          <w:p>
            <w:pPr>
              <w:ind w:left="320"/>
              <w:spacing w:after="0"/>
              <w:rPr>
                <w:sz w:val="20"/>
                <w:szCs w:val="20"/>
                <w:color w:val="auto"/>
              </w:rPr>
            </w:pPr>
            <w:r>
              <w:rPr>
                <w:rFonts w:ascii="Arial" w:cs="Arial" w:eastAsia="Arial" w:hAnsi="Arial"/>
                <w:sz w:val="10"/>
                <w:szCs w:val="10"/>
                <w:color w:val="666666"/>
              </w:rPr>
              <w:t>3,486,986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60" w:type="dxa"/>
            <w:vAlign w:val="bottom"/>
            <w:shd w:val="clear" w:color="auto" w:fill="DDDDDD"/>
          </w:tcPr>
          <w:p>
            <w:pPr>
              <w:ind w:left="20"/>
              <w:spacing w:after="0"/>
              <w:rPr>
                <w:sz w:val="20"/>
                <w:szCs w:val="20"/>
                <w:color w:val="auto"/>
              </w:rPr>
            </w:pPr>
            <w:r>
              <w:rPr>
                <w:rFonts w:ascii="Arial" w:cs="Arial" w:eastAsia="Arial" w:hAnsi="Arial"/>
                <w:sz w:val="10"/>
                <w:szCs w:val="10"/>
                <w:color w:val="666666"/>
              </w:rPr>
              <w:t>Executive Vice President, Chief Financial</w:t>
            </w:r>
          </w:p>
        </w:tc>
        <w:tc>
          <w:tcPr>
            <w:tcW w:w="68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2017</w:t>
            </w:r>
          </w:p>
        </w:tc>
        <w:tc>
          <w:tcPr>
            <w:tcW w:w="820" w:type="dxa"/>
            <w:vAlign w:val="bottom"/>
            <w:shd w:val="clear" w:color="auto" w:fill="DDDDDD"/>
          </w:tcPr>
          <w:p>
            <w:pPr>
              <w:jc w:val="right"/>
              <w:spacing w:after="0"/>
              <w:rPr>
                <w:sz w:val="20"/>
                <w:szCs w:val="20"/>
                <w:color w:val="auto"/>
              </w:rPr>
            </w:pPr>
            <w:r>
              <w:rPr>
                <w:rFonts w:ascii="Arial" w:cs="Arial" w:eastAsia="Arial" w:hAnsi="Arial"/>
                <w:sz w:val="10"/>
                <w:szCs w:val="10"/>
                <w:color w:val="666666"/>
              </w:rPr>
              <w:t>1,000,000</w:t>
            </w:r>
          </w:p>
        </w:tc>
        <w:tc>
          <w:tcPr>
            <w:tcW w:w="180" w:type="dxa"/>
            <w:vAlign w:val="bottom"/>
            <w:shd w:val="clear" w:color="auto" w:fill="DDDDDD"/>
          </w:tcPr>
          <w:p>
            <w:pPr>
              <w:spacing w:after="0"/>
              <w:rPr>
                <w:sz w:val="10"/>
                <w:szCs w:val="10"/>
                <w:color w:val="auto"/>
              </w:rPr>
            </w:pPr>
          </w:p>
        </w:tc>
        <w:tc>
          <w:tcPr>
            <w:tcW w:w="720" w:type="dxa"/>
            <w:vAlign w:val="bottom"/>
            <w:shd w:val="clear" w:color="auto" w:fill="DDDDDD"/>
          </w:tcPr>
          <w:p>
            <w:pPr>
              <w:jc w:val="center"/>
              <w:ind w:right="9"/>
              <w:spacing w:after="0"/>
              <w:rPr>
                <w:sz w:val="20"/>
                <w:szCs w:val="20"/>
                <w:color w:val="auto"/>
              </w:rPr>
            </w:pPr>
            <w:r>
              <w:rPr>
                <w:rFonts w:ascii="Arial" w:cs="Arial" w:eastAsia="Arial" w:hAnsi="Arial"/>
                <w:sz w:val="10"/>
                <w:szCs w:val="10"/>
                <w:color w:val="666666"/>
                <w:w w:val="99"/>
              </w:rPr>
              <w:t>—</w:t>
            </w:r>
          </w:p>
        </w:tc>
        <w:tc>
          <w:tcPr>
            <w:tcW w:w="94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380,141</w:t>
            </w:r>
          </w:p>
        </w:tc>
        <w:tc>
          <w:tcPr>
            <w:tcW w:w="94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460" w:type="dxa"/>
            <w:vAlign w:val="bottom"/>
            <w:shd w:val="clear" w:color="auto" w:fill="DDDDDD"/>
          </w:tcPr>
          <w:p>
            <w:pPr>
              <w:jc w:val="right"/>
              <w:ind w:right="169"/>
              <w:spacing w:after="0"/>
              <w:rPr>
                <w:sz w:val="20"/>
                <w:szCs w:val="20"/>
                <w:color w:val="auto"/>
              </w:rPr>
            </w:pPr>
            <w:r>
              <w:rPr>
                <w:rFonts w:ascii="Arial" w:cs="Arial" w:eastAsia="Arial" w:hAnsi="Arial"/>
                <w:sz w:val="10"/>
                <w:szCs w:val="10"/>
                <w:color w:val="666666"/>
              </w:rPr>
              <w:t>587,004</w:t>
            </w:r>
          </w:p>
        </w:tc>
        <w:tc>
          <w:tcPr>
            <w:tcW w:w="1280" w:type="dxa"/>
            <w:vAlign w:val="bottom"/>
            <w:shd w:val="clear" w:color="auto" w:fill="DDDDDD"/>
          </w:tcPr>
          <w:p>
            <w:pPr>
              <w:jc w:val="center"/>
              <w:ind w:right="49"/>
              <w:spacing w:after="0"/>
              <w:rPr>
                <w:sz w:val="20"/>
                <w:szCs w:val="20"/>
                <w:color w:val="auto"/>
              </w:rPr>
            </w:pPr>
            <w:r>
              <w:rPr>
                <w:rFonts w:ascii="Arial" w:cs="Arial" w:eastAsia="Arial" w:hAnsi="Arial"/>
                <w:sz w:val="10"/>
                <w:szCs w:val="10"/>
                <w:color w:val="666666"/>
                <w:w w:val="97"/>
              </w:rPr>
              <w:t>10,644</w:t>
            </w:r>
          </w:p>
        </w:tc>
        <w:tc>
          <w:tcPr>
            <w:tcW w:w="1620" w:type="dxa"/>
            <w:vAlign w:val="bottom"/>
            <w:shd w:val="clear" w:color="auto" w:fill="DDDDDD"/>
          </w:tcPr>
          <w:p>
            <w:pPr>
              <w:jc w:val="right"/>
              <w:ind w:right="209"/>
              <w:spacing w:after="0"/>
              <w:rPr>
                <w:sz w:val="20"/>
                <w:szCs w:val="20"/>
                <w:color w:val="auto"/>
              </w:rPr>
            </w:pPr>
            <w:r>
              <w:rPr>
                <w:rFonts w:ascii="Arial" w:cs="Arial" w:eastAsia="Arial" w:hAnsi="Arial"/>
                <w:sz w:val="10"/>
                <w:szCs w:val="10"/>
                <w:color w:val="666666"/>
              </w:rPr>
              <w:t>315,080</w:t>
            </w:r>
          </w:p>
        </w:tc>
        <w:tc>
          <w:tcPr>
            <w:tcW w:w="880" w:type="dxa"/>
            <w:vAlign w:val="bottom"/>
            <w:shd w:val="clear" w:color="auto" w:fill="DDDDDD"/>
          </w:tcPr>
          <w:p>
            <w:pPr>
              <w:ind w:left="320"/>
              <w:spacing w:after="0"/>
              <w:rPr>
                <w:sz w:val="20"/>
                <w:szCs w:val="20"/>
                <w:color w:val="auto"/>
              </w:rPr>
            </w:pPr>
            <w:r>
              <w:rPr>
                <w:rFonts w:ascii="Arial" w:cs="Arial" w:eastAsia="Arial" w:hAnsi="Arial"/>
                <w:sz w:val="10"/>
                <w:szCs w:val="10"/>
                <w:color w:val="666666"/>
              </w:rPr>
              <w:t>2,292,869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0"/>
                <w:szCs w:val="10"/>
                <w:color w:val="666666"/>
              </w:rPr>
              <w:t>Officer &amp; Treasurer</w:t>
            </w:r>
          </w:p>
        </w:tc>
        <w:tc>
          <w:tcPr>
            <w:tcW w:w="68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10"/>
                <w:szCs w:val="10"/>
                <w:color w:val="666666"/>
              </w:rPr>
              <w:t>2016</w:t>
            </w:r>
          </w:p>
        </w:tc>
        <w:tc>
          <w:tcPr>
            <w:tcW w:w="8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0"/>
                <w:szCs w:val="10"/>
                <w:color w:val="666666"/>
              </w:rPr>
              <w:t>1,000,000</w:t>
            </w:r>
          </w:p>
        </w:tc>
        <w:tc>
          <w:tcPr>
            <w:tcW w:w="180" w:type="dxa"/>
            <w:vAlign w:val="bottom"/>
            <w:tcBorders>
              <w:bottom w:val="single" w:sz="8" w:color="DDDDDD"/>
            </w:tcBorders>
            <w:shd w:val="clear" w:color="auto" w:fill="DDDDDD"/>
          </w:tcPr>
          <w:p>
            <w:pPr>
              <w:spacing w:after="0"/>
              <w:rPr>
                <w:sz w:val="14"/>
                <w:szCs w:val="14"/>
                <w:color w:val="auto"/>
              </w:rPr>
            </w:pPr>
          </w:p>
        </w:tc>
        <w:tc>
          <w:tcPr>
            <w:tcW w:w="720" w:type="dxa"/>
            <w:vAlign w:val="bottom"/>
            <w:tcBorders>
              <w:bottom w:val="single" w:sz="8" w:color="DDDDDD"/>
            </w:tcBorders>
            <w:shd w:val="clear" w:color="auto" w:fill="DDDDDD"/>
          </w:tcPr>
          <w:p>
            <w:pPr>
              <w:jc w:val="center"/>
              <w:ind w:right="9"/>
              <w:spacing w:after="0"/>
              <w:rPr>
                <w:sz w:val="20"/>
                <w:szCs w:val="20"/>
                <w:color w:val="auto"/>
              </w:rPr>
            </w:pPr>
            <w:r>
              <w:rPr>
                <w:rFonts w:ascii="Arial" w:cs="Arial" w:eastAsia="Arial" w:hAnsi="Arial"/>
                <w:sz w:val="10"/>
                <w:szCs w:val="10"/>
                <w:color w:val="666666"/>
                <w:w w:val="99"/>
              </w:rPr>
              <w:t>—</w:t>
            </w:r>
          </w:p>
        </w:tc>
        <w:tc>
          <w:tcPr>
            <w:tcW w:w="94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10"/>
                <w:szCs w:val="10"/>
                <w:color w:val="666666"/>
                <w:w w:val="99"/>
              </w:rPr>
              <w:t>374,218</w:t>
            </w:r>
          </w:p>
        </w:tc>
        <w:tc>
          <w:tcPr>
            <w:tcW w:w="94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460" w:type="dxa"/>
            <w:vAlign w:val="bottom"/>
            <w:tcBorders>
              <w:bottom w:val="single" w:sz="8" w:color="DDDDDD"/>
            </w:tcBorders>
            <w:shd w:val="clear" w:color="auto" w:fill="DDDDDD"/>
          </w:tcPr>
          <w:p>
            <w:pPr>
              <w:jc w:val="right"/>
              <w:ind w:right="169"/>
              <w:spacing w:after="0"/>
              <w:rPr>
                <w:sz w:val="20"/>
                <w:szCs w:val="20"/>
                <w:color w:val="auto"/>
              </w:rPr>
            </w:pPr>
            <w:r>
              <w:rPr>
                <w:rFonts w:ascii="Arial" w:cs="Arial" w:eastAsia="Arial" w:hAnsi="Arial"/>
                <w:sz w:val="10"/>
                <w:szCs w:val="10"/>
                <w:color w:val="666666"/>
              </w:rPr>
              <w:t>603,247</w:t>
            </w:r>
          </w:p>
        </w:tc>
        <w:tc>
          <w:tcPr>
            <w:tcW w:w="1280" w:type="dxa"/>
            <w:vAlign w:val="bottom"/>
            <w:tcBorders>
              <w:bottom w:val="single" w:sz="8" w:color="DDDDDD"/>
            </w:tcBorders>
            <w:shd w:val="clear" w:color="auto" w:fill="DDDDDD"/>
          </w:tcPr>
          <w:p>
            <w:pPr>
              <w:jc w:val="center"/>
              <w:ind w:right="49"/>
              <w:spacing w:after="0"/>
              <w:rPr>
                <w:sz w:val="20"/>
                <w:szCs w:val="20"/>
                <w:color w:val="auto"/>
              </w:rPr>
            </w:pPr>
            <w:r>
              <w:rPr>
                <w:rFonts w:ascii="Arial" w:cs="Arial" w:eastAsia="Arial" w:hAnsi="Arial"/>
                <w:sz w:val="10"/>
                <w:szCs w:val="10"/>
                <w:color w:val="666666"/>
                <w:w w:val="97"/>
              </w:rPr>
              <w:t>15,845</w:t>
            </w:r>
          </w:p>
        </w:tc>
        <w:tc>
          <w:tcPr>
            <w:tcW w:w="1620" w:type="dxa"/>
            <w:vAlign w:val="bottom"/>
            <w:tcBorders>
              <w:bottom w:val="single" w:sz="8" w:color="DDDDDD"/>
            </w:tcBorders>
            <w:shd w:val="clear" w:color="auto" w:fill="DDDDDD"/>
          </w:tcPr>
          <w:p>
            <w:pPr>
              <w:jc w:val="right"/>
              <w:ind w:right="209"/>
              <w:spacing w:after="0"/>
              <w:rPr>
                <w:sz w:val="20"/>
                <w:szCs w:val="20"/>
                <w:color w:val="auto"/>
              </w:rPr>
            </w:pPr>
            <w:r>
              <w:rPr>
                <w:rFonts w:ascii="Arial" w:cs="Arial" w:eastAsia="Arial" w:hAnsi="Arial"/>
                <w:sz w:val="10"/>
                <w:szCs w:val="10"/>
                <w:color w:val="666666"/>
              </w:rPr>
              <w:t>136,163</w:t>
            </w:r>
          </w:p>
        </w:tc>
        <w:tc>
          <w:tcPr>
            <w:tcW w:w="880" w:type="dxa"/>
            <w:vAlign w:val="bottom"/>
            <w:tcBorders>
              <w:bottom w:val="single" w:sz="8" w:color="DDDDDD"/>
            </w:tcBorders>
            <w:shd w:val="clear" w:color="auto" w:fill="DDDDDD"/>
          </w:tcPr>
          <w:p>
            <w:pPr>
              <w:ind w:left="320"/>
              <w:spacing w:after="0"/>
              <w:rPr>
                <w:sz w:val="20"/>
                <w:szCs w:val="20"/>
                <w:color w:val="auto"/>
              </w:rPr>
            </w:pPr>
            <w:r>
              <w:rPr>
                <w:rFonts w:ascii="Arial" w:cs="Arial" w:eastAsia="Arial" w:hAnsi="Arial"/>
                <w:sz w:val="10"/>
                <w:szCs w:val="10"/>
                <w:color w:val="666666"/>
              </w:rPr>
              <w:t>2,129,473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60" w:type="dxa"/>
            <w:vAlign w:val="bottom"/>
            <w:vMerge w:val="restart"/>
          </w:tcPr>
          <w:p>
            <w:pPr>
              <w:ind w:left="20"/>
              <w:spacing w:after="0"/>
              <w:rPr>
                <w:sz w:val="20"/>
                <w:szCs w:val="20"/>
                <w:color w:val="auto"/>
              </w:rPr>
            </w:pPr>
            <w:r>
              <w:rPr>
                <w:rFonts w:ascii="Arial" w:cs="Arial" w:eastAsia="Arial" w:hAnsi="Arial"/>
                <w:sz w:val="10"/>
                <w:szCs w:val="10"/>
                <w:b w:val="1"/>
                <w:bCs w:val="1"/>
                <w:color w:val="666666"/>
              </w:rPr>
              <w:t>Karen M. Dahut</w:t>
            </w:r>
          </w:p>
        </w:tc>
        <w:tc>
          <w:tcPr>
            <w:tcW w:w="680" w:type="dxa"/>
            <w:vAlign w:val="bottom"/>
          </w:tcPr>
          <w:p>
            <w:pPr>
              <w:jc w:val="center"/>
              <w:spacing w:after="0"/>
              <w:rPr>
                <w:sz w:val="20"/>
                <w:szCs w:val="20"/>
                <w:color w:val="auto"/>
              </w:rPr>
            </w:pPr>
            <w:r>
              <w:rPr>
                <w:rFonts w:ascii="Arial" w:cs="Arial" w:eastAsia="Arial" w:hAnsi="Arial"/>
                <w:sz w:val="10"/>
                <w:szCs w:val="10"/>
                <w:color w:val="666666"/>
              </w:rPr>
              <w:t>2018</w:t>
            </w:r>
          </w:p>
        </w:tc>
        <w:tc>
          <w:tcPr>
            <w:tcW w:w="1000" w:type="dxa"/>
            <w:vAlign w:val="bottom"/>
            <w:gridSpan w:val="2"/>
          </w:tcPr>
          <w:p>
            <w:pPr>
              <w:jc w:val="right"/>
              <w:ind w:right="180"/>
              <w:spacing w:after="0"/>
              <w:rPr>
                <w:sz w:val="20"/>
                <w:szCs w:val="20"/>
                <w:color w:val="auto"/>
              </w:rPr>
            </w:pPr>
            <w:r>
              <w:rPr>
                <w:rFonts w:ascii="Arial" w:cs="Arial" w:eastAsia="Arial" w:hAnsi="Arial"/>
                <w:sz w:val="10"/>
                <w:szCs w:val="10"/>
                <w:color w:val="666666"/>
              </w:rPr>
              <w:t>1,025,000</w:t>
            </w:r>
          </w:p>
        </w:tc>
        <w:tc>
          <w:tcPr>
            <w:tcW w:w="720" w:type="dxa"/>
            <w:vAlign w:val="bottom"/>
          </w:tcPr>
          <w:p>
            <w:pPr>
              <w:jc w:val="center"/>
              <w:ind w:right="9"/>
              <w:spacing w:after="0"/>
              <w:rPr>
                <w:sz w:val="20"/>
                <w:szCs w:val="20"/>
                <w:color w:val="auto"/>
              </w:rPr>
            </w:pPr>
            <w:r>
              <w:rPr>
                <w:rFonts w:ascii="Arial" w:cs="Arial" w:eastAsia="Arial" w:hAnsi="Arial"/>
                <w:sz w:val="10"/>
                <w:szCs w:val="10"/>
                <w:color w:val="666666"/>
                <w:w w:val="99"/>
              </w:rPr>
              <w:t>—</w:t>
            </w:r>
          </w:p>
        </w:tc>
        <w:tc>
          <w:tcPr>
            <w:tcW w:w="940" w:type="dxa"/>
            <w:vAlign w:val="bottom"/>
          </w:tcPr>
          <w:p>
            <w:pPr>
              <w:jc w:val="center"/>
              <w:spacing w:after="0"/>
              <w:rPr>
                <w:sz w:val="20"/>
                <w:szCs w:val="20"/>
                <w:color w:val="auto"/>
              </w:rPr>
            </w:pPr>
            <w:r>
              <w:rPr>
                <w:rFonts w:ascii="Arial" w:cs="Arial" w:eastAsia="Arial" w:hAnsi="Arial"/>
                <w:sz w:val="10"/>
                <w:szCs w:val="10"/>
                <w:color w:val="666666"/>
              </w:rPr>
              <w:t>1,242,148</w:t>
            </w:r>
          </w:p>
        </w:tc>
        <w:tc>
          <w:tcPr>
            <w:tcW w:w="940" w:type="dxa"/>
            <w:vAlign w:val="bottom"/>
          </w:tcPr>
          <w:p>
            <w:pPr>
              <w:jc w:val="center"/>
              <w:spacing w:after="0"/>
              <w:rPr>
                <w:sz w:val="20"/>
                <w:szCs w:val="20"/>
                <w:color w:val="auto"/>
              </w:rPr>
            </w:pPr>
            <w:r>
              <w:rPr>
                <w:rFonts w:ascii="Arial" w:cs="Arial" w:eastAsia="Arial" w:hAnsi="Arial"/>
                <w:sz w:val="10"/>
                <w:szCs w:val="10"/>
                <w:color w:val="666666"/>
                <w:w w:val="99"/>
              </w:rPr>
              <w:t>499,991</w:t>
            </w:r>
          </w:p>
        </w:tc>
        <w:tc>
          <w:tcPr>
            <w:tcW w:w="1460" w:type="dxa"/>
            <w:vAlign w:val="bottom"/>
          </w:tcPr>
          <w:p>
            <w:pPr>
              <w:jc w:val="right"/>
              <w:ind w:right="169"/>
              <w:spacing w:after="0"/>
              <w:rPr>
                <w:sz w:val="20"/>
                <w:szCs w:val="20"/>
                <w:color w:val="auto"/>
              </w:rPr>
            </w:pPr>
            <w:r>
              <w:rPr>
                <w:rFonts w:ascii="Arial" w:cs="Arial" w:eastAsia="Arial" w:hAnsi="Arial"/>
                <w:sz w:val="10"/>
                <w:szCs w:val="10"/>
                <w:color w:val="666666"/>
              </w:rPr>
              <w:t>580,000</w:t>
            </w:r>
          </w:p>
        </w:tc>
        <w:tc>
          <w:tcPr>
            <w:tcW w:w="1280" w:type="dxa"/>
            <w:vAlign w:val="bottom"/>
          </w:tcPr>
          <w:p>
            <w:pPr>
              <w:jc w:val="center"/>
              <w:ind w:right="49"/>
              <w:spacing w:after="0"/>
              <w:rPr>
                <w:sz w:val="20"/>
                <w:szCs w:val="20"/>
                <w:color w:val="auto"/>
              </w:rPr>
            </w:pPr>
            <w:r>
              <w:rPr>
                <w:rFonts w:ascii="Arial" w:cs="Arial" w:eastAsia="Arial" w:hAnsi="Arial"/>
                <w:sz w:val="10"/>
                <w:szCs w:val="10"/>
                <w:color w:val="666666"/>
                <w:w w:val="97"/>
              </w:rPr>
              <w:t>10,000</w:t>
            </w:r>
          </w:p>
        </w:tc>
        <w:tc>
          <w:tcPr>
            <w:tcW w:w="1620" w:type="dxa"/>
            <w:vAlign w:val="bottom"/>
          </w:tcPr>
          <w:p>
            <w:pPr>
              <w:jc w:val="right"/>
              <w:ind w:right="209"/>
              <w:spacing w:after="0"/>
              <w:rPr>
                <w:sz w:val="20"/>
                <w:szCs w:val="20"/>
                <w:color w:val="auto"/>
              </w:rPr>
            </w:pPr>
            <w:r>
              <w:rPr>
                <w:rFonts w:ascii="Arial" w:cs="Arial" w:eastAsia="Arial" w:hAnsi="Arial"/>
                <w:sz w:val="10"/>
                <w:szCs w:val="10"/>
                <w:color w:val="666666"/>
              </w:rPr>
              <w:t>177,629</w:t>
            </w:r>
          </w:p>
        </w:tc>
        <w:tc>
          <w:tcPr>
            <w:tcW w:w="880" w:type="dxa"/>
            <w:vAlign w:val="bottom"/>
          </w:tcPr>
          <w:p>
            <w:pPr>
              <w:ind w:left="320"/>
              <w:spacing w:after="0"/>
              <w:rPr>
                <w:sz w:val="20"/>
                <w:szCs w:val="20"/>
                <w:color w:val="auto"/>
              </w:rPr>
            </w:pPr>
            <w:r>
              <w:rPr>
                <w:rFonts w:ascii="Arial" w:cs="Arial" w:eastAsia="Arial" w:hAnsi="Arial"/>
                <w:sz w:val="10"/>
                <w:szCs w:val="10"/>
                <w:color w:val="666666"/>
              </w:rPr>
              <w:t>3,534,768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0"/>
                <w:szCs w:val="10"/>
                <w:color w:val="666666"/>
              </w:rPr>
              <w:t>2017</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666666"/>
              </w:rPr>
              <w:t>1,000,000</w:t>
            </w:r>
          </w:p>
        </w:tc>
        <w:tc>
          <w:tcPr>
            <w:tcW w:w="720" w:type="dxa"/>
            <w:vAlign w:val="bottom"/>
            <w:vMerge w:val="restart"/>
          </w:tcPr>
          <w:p>
            <w:pPr>
              <w:jc w:val="center"/>
              <w:ind w:right="9"/>
              <w:spacing w:after="0"/>
              <w:rPr>
                <w:sz w:val="20"/>
                <w:szCs w:val="20"/>
                <w:color w:val="auto"/>
              </w:rPr>
            </w:pPr>
            <w:r>
              <w:rPr>
                <w:rFonts w:ascii="Arial" w:cs="Arial" w:eastAsia="Arial" w:hAnsi="Arial"/>
                <w:sz w:val="10"/>
                <w:szCs w:val="10"/>
                <w:color w:val="666666"/>
                <w:w w:val="99"/>
              </w:rPr>
              <w:t>—</w:t>
            </w:r>
          </w:p>
        </w:tc>
        <w:tc>
          <w:tcPr>
            <w:tcW w:w="940" w:type="dxa"/>
            <w:vAlign w:val="bottom"/>
            <w:vMerge w:val="restart"/>
          </w:tcPr>
          <w:p>
            <w:pPr>
              <w:jc w:val="center"/>
              <w:spacing w:after="0"/>
              <w:rPr>
                <w:sz w:val="20"/>
                <w:szCs w:val="20"/>
                <w:color w:val="auto"/>
              </w:rPr>
            </w:pPr>
            <w:r>
              <w:rPr>
                <w:rFonts w:ascii="Arial" w:cs="Arial" w:eastAsia="Arial" w:hAnsi="Arial"/>
                <w:sz w:val="10"/>
                <w:szCs w:val="10"/>
                <w:color w:val="666666"/>
                <w:w w:val="99"/>
              </w:rPr>
              <w:t>380,141</w:t>
            </w:r>
          </w:p>
        </w:tc>
        <w:tc>
          <w:tcPr>
            <w:tcW w:w="940" w:type="dxa"/>
            <w:vAlign w:val="bottom"/>
            <w:vMerge w:val="restart"/>
          </w:tcPr>
          <w:p>
            <w:pPr>
              <w:jc w:val="center"/>
              <w:spacing w:after="0"/>
              <w:rPr>
                <w:sz w:val="20"/>
                <w:szCs w:val="20"/>
                <w:color w:val="auto"/>
              </w:rPr>
            </w:pPr>
            <w:r>
              <w:rPr>
                <w:rFonts w:ascii="Arial" w:cs="Arial" w:eastAsia="Arial" w:hAnsi="Arial"/>
                <w:sz w:val="10"/>
                <w:szCs w:val="10"/>
                <w:color w:val="666666"/>
                <w:w w:val="99"/>
              </w:rPr>
              <w:t>—</w:t>
            </w:r>
          </w:p>
        </w:tc>
        <w:tc>
          <w:tcPr>
            <w:tcW w:w="1460" w:type="dxa"/>
            <w:vAlign w:val="bottom"/>
            <w:vMerge w:val="restart"/>
          </w:tcPr>
          <w:p>
            <w:pPr>
              <w:jc w:val="right"/>
              <w:ind w:right="169"/>
              <w:spacing w:after="0"/>
              <w:rPr>
                <w:sz w:val="20"/>
                <w:szCs w:val="20"/>
                <w:color w:val="auto"/>
              </w:rPr>
            </w:pPr>
            <w:r>
              <w:rPr>
                <w:rFonts w:ascii="Arial" w:cs="Arial" w:eastAsia="Arial" w:hAnsi="Arial"/>
                <w:sz w:val="10"/>
                <w:szCs w:val="10"/>
                <w:color w:val="666666"/>
              </w:rPr>
              <w:t>587,004</w:t>
            </w:r>
          </w:p>
        </w:tc>
        <w:tc>
          <w:tcPr>
            <w:tcW w:w="1280" w:type="dxa"/>
            <w:vAlign w:val="bottom"/>
            <w:vMerge w:val="restart"/>
          </w:tcPr>
          <w:p>
            <w:pPr>
              <w:jc w:val="center"/>
              <w:ind w:right="49"/>
              <w:spacing w:after="0"/>
              <w:rPr>
                <w:sz w:val="20"/>
                <w:szCs w:val="20"/>
                <w:color w:val="auto"/>
              </w:rPr>
            </w:pPr>
            <w:r>
              <w:rPr>
                <w:rFonts w:ascii="Arial" w:cs="Arial" w:eastAsia="Arial" w:hAnsi="Arial"/>
                <w:sz w:val="10"/>
                <w:szCs w:val="10"/>
                <w:color w:val="666666"/>
                <w:w w:val="97"/>
              </w:rPr>
              <w:t>10,000</w:t>
            </w:r>
          </w:p>
        </w:tc>
        <w:tc>
          <w:tcPr>
            <w:tcW w:w="1620" w:type="dxa"/>
            <w:vAlign w:val="bottom"/>
            <w:vMerge w:val="restart"/>
          </w:tcPr>
          <w:p>
            <w:pPr>
              <w:jc w:val="right"/>
              <w:ind w:right="209"/>
              <w:spacing w:after="0"/>
              <w:rPr>
                <w:sz w:val="20"/>
                <w:szCs w:val="20"/>
                <w:color w:val="auto"/>
              </w:rPr>
            </w:pPr>
            <w:r>
              <w:rPr>
                <w:rFonts w:ascii="Arial" w:cs="Arial" w:eastAsia="Arial" w:hAnsi="Arial"/>
                <w:sz w:val="10"/>
                <w:szCs w:val="10"/>
                <w:color w:val="666666"/>
              </w:rPr>
              <w:t>145,648</w:t>
            </w:r>
          </w:p>
        </w:tc>
        <w:tc>
          <w:tcPr>
            <w:tcW w:w="880" w:type="dxa"/>
            <w:vAlign w:val="bottom"/>
            <w:vMerge w:val="restart"/>
          </w:tcPr>
          <w:p>
            <w:pPr>
              <w:ind w:left="320"/>
              <w:spacing w:after="0"/>
              <w:rPr>
                <w:sz w:val="20"/>
                <w:szCs w:val="20"/>
                <w:color w:val="auto"/>
              </w:rPr>
            </w:pPr>
            <w:r>
              <w:rPr>
                <w:rFonts w:ascii="Arial" w:cs="Arial" w:eastAsia="Arial" w:hAnsi="Arial"/>
                <w:sz w:val="10"/>
                <w:szCs w:val="10"/>
                <w:color w:val="666666"/>
              </w:rPr>
              <w:t>2,122,793</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960" w:type="dxa"/>
            <w:vAlign w:val="bottom"/>
            <w:vMerge w:val="restart"/>
          </w:tcPr>
          <w:p>
            <w:pPr>
              <w:ind w:left="20"/>
              <w:spacing w:after="0"/>
              <w:rPr>
                <w:sz w:val="20"/>
                <w:szCs w:val="20"/>
                <w:color w:val="auto"/>
              </w:rPr>
            </w:pPr>
            <w:r>
              <w:rPr>
                <w:rFonts w:ascii="Arial" w:cs="Arial" w:eastAsia="Arial" w:hAnsi="Arial"/>
                <w:sz w:val="10"/>
                <w:szCs w:val="10"/>
                <w:color w:val="666666"/>
              </w:rPr>
              <w:t>Executive Vice President</w:t>
            </w:r>
          </w:p>
        </w:tc>
        <w:tc>
          <w:tcPr>
            <w:tcW w:w="680" w:type="dxa"/>
            <w:vAlign w:val="bottom"/>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0"/>
                <w:szCs w:val="10"/>
                <w:color w:val="666666"/>
              </w:rPr>
              <w:t>2016</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666666"/>
              </w:rPr>
              <w:t>1,000,000</w:t>
            </w:r>
          </w:p>
        </w:tc>
        <w:tc>
          <w:tcPr>
            <w:tcW w:w="720" w:type="dxa"/>
            <w:vAlign w:val="bottom"/>
            <w:vMerge w:val="restart"/>
          </w:tcPr>
          <w:p>
            <w:pPr>
              <w:jc w:val="center"/>
              <w:ind w:right="9"/>
              <w:spacing w:after="0"/>
              <w:rPr>
                <w:sz w:val="20"/>
                <w:szCs w:val="20"/>
                <w:color w:val="auto"/>
              </w:rPr>
            </w:pPr>
            <w:r>
              <w:rPr>
                <w:rFonts w:ascii="Arial" w:cs="Arial" w:eastAsia="Arial" w:hAnsi="Arial"/>
                <w:sz w:val="10"/>
                <w:szCs w:val="10"/>
                <w:color w:val="666666"/>
                <w:w w:val="99"/>
              </w:rPr>
              <w:t>—</w:t>
            </w:r>
          </w:p>
        </w:tc>
        <w:tc>
          <w:tcPr>
            <w:tcW w:w="940" w:type="dxa"/>
            <w:vAlign w:val="bottom"/>
            <w:vMerge w:val="restart"/>
          </w:tcPr>
          <w:p>
            <w:pPr>
              <w:jc w:val="center"/>
              <w:spacing w:after="0"/>
              <w:rPr>
                <w:sz w:val="20"/>
                <w:szCs w:val="20"/>
                <w:color w:val="auto"/>
              </w:rPr>
            </w:pPr>
            <w:r>
              <w:rPr>
                <w:rFonts w:ascii="Arial" w:cs="Arial" w:eastAsia="Arial" w:hAnsi="Arial"/>
                <w:sz w:val="10"/>
                <w:szCs w:val="10"/>
                <w:color w:val="666666"/>
                <w:w w:val="99"/>
              </w:rPr>
              <w:t>374,218</w:t>
            </w:r>
          </w:p>
        </w:tc>
        <w:tc>
          <w:tcPr>
            <w:tcW w:w="940" w:type="dxa"/>
            <w:vAlign w:val="bottom"/>
            <w:vMerge w:val="restart"/>
          </w:tcPr>
          <w:p>
            <w:pPr>
              <w:jc w:val="center"/>
              <w:spacing w:after="0"/>
              <w:rPr>
                <w:sz w:val="20"/>
                <w:szCs w:val="20"/>
                <w:color w:val="auto"/>
              </w:rPr>
            </w:pPr>
            <w:r>
              <w:rPr>
                <w:rFonts w:ascii="Arial" w:cs="Arial" w:eastAsia="Arial" w:hAnsi="Arial"/>
                <w:sz w:val="10"/>
                <w:szCs w:val="10"/>
                <w:color w:val="666666"/>
                <w:w w:val="99"/>
              </w:rPr>
              <w:t>—</w:t>
            </w:r>
          </w:p>
        </w:tc>
        <w:tc>
          <w:tcPr>
            <w:tcW w:w="1460" w:type="dxa"/>
            <w:vAlign w:val="bottom"/>
            <w:vMerge w:val="restart"/>
          </w:tcPr>
          <w:p>
            <w:pPr>
              <w:jc w:val="right"/>
              <w:ind w:right="169"/>
              <w:spacing w:after="0"/>
              <w:rPr>
                <w:sz w:val="20"/>
                <w:szCs w:val="20"/>
                <w:color w:val="auto"/>
              </w:rPr>
            </w:pPr>
            <w:r>
              <w:rPr>
                <w:rFonts w:ascii="Arial" w:cs="Arial" w:eastAsia="Arial" w:hAnsi="Arial"/>
                <w:sz w:val="10"/>
                <w:szCs w:val="10"/>
                <w:color w:val="666666"/>
              </w:rPr>
              <w:t>603,247</w:t>
            </w:r>
          </w:p>
        </w:tc>
        <w:tc>
          <w:tcPr>
            <w:tcW w:w="1280" w:type="dxa"/>
            <w:vAlign w:val="bottom"/>
            <w:vMerge w:val="restart"/>
          </w:tcPr>
          <w:p>
            <w:pPr>
              <w:jc w:val="center"/>
              <w:ind w:right="49"/>
              <w:spacing w:after="0"/>
              <w:rPr>
                <w:sz w:val="20"/>
                <w:szCs w:val="20"/>
                <w:color w:val="auto"/>
              </w:rPr>
            </w:pPr>
            <w:r>
              <w:rPr>
                <w:rFonts w:ascii="Arial" w:cs="Arial" w:eastAsia="Arial" w:hAnsi="Arial"/>
                <w:sz w:val="10"/>
                <w:szCs w:val="10"/>
                <w:color w:val="666666"/>
                <w:w w:val="97"/>
              </w:rPr>
              <w:t>10,000</w:t>
            </w:r>
          </w:p>
        </w:tc>
        <w:tc>
          <w:tcPr>
            <w:tcW w:w="1620" w:type="dxa"/>
            <w:vAlign w:val="bottom"/>
            <w:vMerge w:val="restart"/>
          </w:tcPr>
          <w:p>
            <w:pPr>
              <w:jc w:val="right"/>
              <w:ind w:right="209"/>
              <w:spacing w:after="0"/>
              <w:rPr>
                <w:sz w:val="20"/>
                <w:szCs w:val="20"/>
                <w:color w:val="auto"/>
              </w:rPr>
            </w:pPr>
            <w:r>
              <w:rPr>
                <w:rFonts w:ascii="Arial" w:cs="Arial" w:eastAsia="Arial" w:hAnsi="Arial"/>
                <w:sz w:val="10"/>
                <w:szCs w:val="10"/>
                <w:color w:val="666666"/>
              </w:rPr>
              <w:t>136,007</w:t>
            </w:r>
          </w:p>
        </w:tc>
        <w:tc>
          <w:tcPr>
            <w:tcW w:w="880" w:type="dxa"/>
            <w:vAlign w:val="bottom"/>
            <w:vMerge w:val="restart"/>
          </w:tcPr>
          <w:p>
            <w:pPr>
              <w:ind w:left="320"/>
              <w:spacing w:after="0"/>
              <w:rPr>
                <w:sz w:val="20"/>
                <w:szCs w:val="20"/>
                <w:color w:val="auto"/>
              </w:rPr>
            </w:pPr>
            <w:r>
              <w:rPr>
                <w:rFonts w:ascii="Arial" w:cs="Arial" w:eastAsia="Arial" w:hAnsi="Arial"/>
                <w:sz w:val="10"/>
                <w:szCs w:val="10"/>
                <w:color w:val="666666"/>
              </w:rPr>
              <w:t>2,123,472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960" w:type="dxa"/>
            <w:vAlign w:val="bottom"/>
            <w:vMerge w:val="restart"/>
            <w:shd w:val="clear" w:color="auto" w:fill="DDDDDD"/>
          </w:tcPr>
          <w:p>
            <w:pPr>
              <w:ind w:left="20"/>
              <w:spacing w:after="0"/>
              <w:rPr>
                <w:sz w:val="20"/>
                <w:szCs w:val="20"/>
                <w:color w:val="auto"/>
              </w:rPr>
            </w:pPr>
            <w:r>
              <w:rPr>
                <w:rFonts w:ascii="Arial" w:cs="Arial" w:eastAsia="Arial" w:hAnsi="Arial"/>
                <w:sz w:val="10"/>
                <w:szCs w:val="10"/>
                <w:b w:val="1"/>
                <w:bCs w:val="1"/>
                <w:color w:val="666666"/>
              </w:rPr>
              <w:t>Joseph Logue</w:t>
            </w:r>
          </w:p>
        </w:tc>
        <w:tc>
          <w:tcPr>
            <w:tcW w:w="68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2018</w:t>
            </w:r>
          </w:p>
        </w:tc>
        <w:tc>
          <w:tcPr>
            <w:tcW w:w="1000" w:type="dxa"/>
            <w:vAlign w:val="bottom"/>
            <w:gridSpan w:val="2"/>
            <w:shd w:val="clear" w:color="auto" w:fill="DDDDDD"/>
          </w:tcPr>
          <w:p>
            <w:pPr>
              <w:jc w:val="right"/>
              <w:ind w:right="180"/>
              <w:spacing w:after="0"/>
              <w:rPr>
                <w:sz w:val="20"/>
                <w:szCs w:val="20"/>
                <w:color w:val="auto"/>
              </w:rPr>
            </w:pPr>
            <w:r>
              <w:rPr>
                <w:rFonts w:ascii="Arial" w:cs="Arial" w:eastAsia="Arial" w:hAnsi="Arial"/>
                <w:sz w:val="10"/>
                <w:szCs w:val="10"/>
                <w:color w:val="666666"/>
              </w:rPr>
              <w:t>1,275,000</w:t>
            </w:r>
          </w:p>
        </w:tc>
        <w:tc>
          <w:tcPr>
            <w:tcW w:w="720" w:type="dxa"/>
            <w:vAlign w:val="bottom"/>
            <w:shd w:val="clear" w:color="auto" w:fill="DDDDDD"/>
          </w:tcPr>
          <w:p>
            <w:pPr>
              <w:jc w:val="center"/>
              <w:ind w:right="9"/>
              <w:spacing w:after="0"/>
              <w:rPr>
                <w:sz w:val="20"/>
                <w:szCs w:val="20"/>
                <w:color w:val="auto"/>
              </w:rPr>
            </w:pPr>
            <w:r>
              <w:rPr>
                <w:rFonts w:ascii="Arial" w:cs="Arial" w:eastAsia="Arial" w:hAnsi="Arial"/>
                <w:sz w:val="10"/>
                <w:szCs w:val="10"/>
                <w:color w:val="666666"/>
                <w:w w:val="99"/>
              </w:rPr>
              <w:t>—</w:t>
            </w:r>
          </w:p>
        </w:tc>
        <w:tc>
          <w:tcPr>
            <w:tcW w:w="94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1,083,978</w:t>
            </w:r>
          </w:p>
        </w:tc>
        <w:tc>
          <w:tcPr>
            <w:tcW w:w="94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460" w:type="dxa"/>
            <w:vAlign w:val="bottom"/>
            <w:shd w:val="clear" w:color="auto" w:fill="DDDDDD"/>
          </w:tcPr>
          <w:p>
            <w:pPr>
              <w:jc w:val="right"/>
              <w:ind w:right="169"/>
              <w:spacing w:after="0"/>
              <w:rPr>
                <w:sz w:val="20"/>
                <w:szCs w:val="20"/>
                <w:color w:val="auto"/>
              </w:rPr>
            </w:pPr>
            <w:r>
              <w:rPr>
                <w:rFonts w:ascii="Arial" w:cs="Arial" w:eastAsia="Arial" w:hAnsi="Arial"/>
                <w:sz w:val="10"/>
                <w:szCs w:val="10"/>
                <w:color w:val="666666"/>
              </w:rPr>
              <w:t>696,000</w:t>
            </w:r>
          </w:p>
        </w:tc>
        <w:tc>
          <w:tcPr>
            <w:tcW w:w="1280" w:type="dxa"/>
            <w:vAlign w:val="bottom"/>
            <w:shd w:val="clear" w:color="auto" w:fill="DDDDDD"/>
          </w:tcPr>
          <w:p>
            <w:pPr>
              <w:jc w:val="center"/>
              <w:ind w:right="49"/>
              <w:spacing w:after="0"/>
              <w:rPr>
                <w:sz w:val="20"/>
                <w:szCs w:val="20"/>
                <w:color w:val="auto"/>
              </w:rPr>
            </w:pPr>
            <w:r>
              <w:rPr>
                <w:rFonts w:ascii="Arial" w:cs="Arial" w:eastAsia="Arial" w:hAnsi="Arial"/>
                <w:sz w:val="10"/>
                <w:szCs w:val="10"/>
                <w:color w:val="666666"/>
                <w:w w:val="97"/>
              </w:rPr>
              <w:t>10,000</w:t>
            </w:r>
          </w:p>
        </w:tc>
        <w:tc>
          <w:tcPr>
            <w:tcW w:w="1620" w:type="dxa"/>
            <w:vAlign w:val="bottom"/>
            <w:shd w:val="clear" w:color="auto" w:fill="DDDDDD"/>
          </w:tcPr>
          <w:p>
            <w:pPr>
              <w:jc w:val="right"/>
              <w:ind w:right="209"/>
              <w:spacing w:after="0"/>
              <w:rPr>
                <w:sz w:val="20"/>
                <w:szCs w:val="20"/>
                <w:color w:val="auto"/>
              </w:rPr>
            </w:pPr>
            <w:r>
              <w:rPr>
                <w:rFonts w:ascii="Arial" w:cs="Arial" w:eastAsia="Arial" w:hAnsi="Arial"/>
                <w:sz w:val="10"/>
                <w:szCs w:val="10"/>
                <w:color w:val="666666"/>
              </w:rPr>
              <w:t>131,095</w:t>
            </w:r>
          </w:p>
        </w:tc>
        <w:tc>
          <w:tcPr>
            <w:tcW w:w="880" w:type="dxa"/>
            <w:vAlign w:val="bottom"/>
            <w:shd w:val="clear" w:color="auto" w:fill="DDDDDD"/>
          </w:tcPr>
          <w:p>
            <w:pPr>
              <w:ind w:left="320"/>
              <w:spacing w:after="0"/>
              <w:rPr>
                <w:sz w:val="20"/>
                <w:szCs w:val="20"/>
                <w:color w:val="auto"/>
              </w:rPr>
            </w:pPr>
            <w:r>
              <w:rPr>
                <w:rFonts w:ascii="Arial" w:cs="Arial" w:eastAsia="Arial" w:hAnsi="Arial"/>
                <w:sz w:val="10"/>
                <w:szCs w:val="10"/>
                <w:color w:val="666666"/>
              </w:rPr>
              <w:t>3,196,073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960" w:type="dxa"/>
            <w:vAlign w:val="bottom"/>
            <w:vMerge w:val="continue"/>
            <w:shd w:val="clear" w:color="auto" w:fill="DDDDDD"/>
          </w:tcPr>
          <w:p>
            <w:pPr>
              <w:spacing w:after="0"/>
              <w:rPr>
                <w:sz w:val="6"/>
                <w:szCs w:val="6"/>
                <w:color w:val="auto"/>
              </w:rPr>
            </w:pPr>
          </w:p>
        </w:tc>
        <w:tc>
          <w:tcPr>
            <w:tcW w:w="680" w:type="dxa"/>
            <w:vAlign w:val="bottom"/>
            <w:vMerge w:val="restart"/>
            <w:shd w:val="clear" w:color="auto" w:fill="DDDDDD"/>
          </w:tcPr>
          <w:p>
            <w:pPr>
              <w:jc w:val="center"/>
              <w:spacing w:after="0"/>
              <w:rPr>
                <w:sz w:val="20"/>
                <w:szCs w:val="20"/>
                <w:color w:val="auto"/>
              </w:rPr>
            </w:pPr>
            <w:r>
              <w:rPr>
                <w:rFonts w:ascii="Arial" w:cs="Arial" w:eastAsia="Arial" w:hAnsi="Arial"/>
                <w:sz w:val="10"/>
                <w:szCs w:val="10"/>
                <w:color w:val="666666"/>
              </w:rPr>
              <w:t>2017</w:t>
            </w:r>
          </w:p>
        </w:tc>
        <w:tc>
          <w:tcPr>
            <w:tcW w:w="820" w:type="dxa"/>
            <w:vAlign w:val="bottom"/>
            <w:vMerge w:val="restart"/>
            <w:shd w:val="clear" w:color="auto" w:fill="DDDDDD"/>
          </w:tcPr>
          <w:p>
            <w:pPr>
              <w:jc w:val="right"/>
              <w:spacing w:after="0"/>
              <w:rPr>
                <w:sz w:val="20"/>
                <w:szCs w:val="20"/>
                <w:color w:val="auto"/>
              </w:rPr>
            </w:pPr>
            <w:r>
              <w:rPr>
                <w:rFonts w:ascii="Arial" w:cs="Arial" w:eastAsia="Arial" w:hAnsi="Arial"/>
                <w:sz w:val="10"/>
                <w:szCs w:val="10"/>
                <w:color w:val="666666"/>
              </w:rPr>
              <w:t>1,250,000</w:t>
            </w:r>
          </w:p>
        </w:tc>
        <w:tc>
          <w:tcPr>
            <w:tcW w:w="180" w:type="dxa"/>
            <w:vAlign w:val="bottom"/>
            <w:shd w:val="clear" w:color="auto" w:fill="DDDDDD"/>
          </w:tcPr>
          <w:p>
            <w:pPr>
              <w:spacing w:after="0"/>
              <w:rPr>
                <w:sz w:val="6"/>
                <w:szCs w:val="6"/>
                <w:color w:val="auto"/>
              </w:rPr>
            </w:pPr>
          </w:p>
        </w:tc>
        <w:tc>
          <w:tcPr>
            <w:tcW w:w="720" w:type="dxa"/>
            <w:vAlign w:val="bottom"/>
            <w:vMerge w:val="restart"/>
            <w:shd w:val="clear" w:color="auto" w:fill="DDDDDD"/>
          </w:tcPr>
          <w:p>
            <w:pPr>
              <w:jc w:val="center"/>
              <w:ind w:right="9"/>
              <w:spacing w:after="0"/>
              <w:rPr>
                <w:sz w:val="20"/>
                <w:szCs w:val="20"/>
                <w:color w:val="auto"/>
              </w:rPr>
            </w:pPr>
            <w:r>
              <w:rPr>
                <w:rFonts w:ascii="Arial" w:cs="Arial" w:eastAsia="Arial" w:hAnsi="Arial"/>
                <w:sz w:val="10"/>
                <w:szCs w:val="10"/>
                <w:color w:val="666666"/>
                <w:w w:val="99"/>
              </w:rPr>
              <w:t>—</w:t>
            </w:r>
          </w:p>
        </w:tc>
        <w:tc>
          <w:tcPr>
            <w:tcW w:w="940" w:type="dxa"/>
            <w:vAlign w:val="bottom"/>
            <w:vMerge w:val="restart"/>
            <w:shd w:val="clear" w:color="auto" w:fill="DDDDDD"/>
          </w:tcPr>
          <w:p>
            <w:pPr>
              <w:jc w:val="center"/>
              <w:spacing w:after="0"/>
              <w:rPr>
                <w:sz w:val="20"/>
                <w:szCs w:val="20"/>
                <w:color w:val="auto"/>
              </w:rPr>
            </w:pPr>
            <w:r>
              <w:rPr>
                <w:rFonts w:ascii="Arial" w:cs="Arial" w:eastAsia="Arial" w:hAnsi="Arial"/>
                <w:sz w:val="10"/>
                <w:szCs w:val="10"/>
                <w:color w:val="666666"/>
                <w:w w:val="99"/>
              </w:rPr>
              <w:t>475,177</w:t>
            </w:r>
          </w:p>
        </w:tc>
        <w:tc>
          <w:tcPr>
            <w:tcW w:w="940" w:type="dxa"/>
            <w:vAlign w:val="bottom"/>
            <w:vMerge w:val="restart"/>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460" w:type="dxa"/>
            <w:vAlign w:val="bottom"/>
            <w:vMerge w:val="restart"/>
            <w:shd w:val="clear" w:color="auto" w:fill="DDDDDD"/>
          </w:tcPr>
          <w:p>
            <w:pPr>
              <w:jc w:val="right"/>
              <w:ind w:right="169"/>
              <w:spacing w:after="0"/>
              <w:rPr>
                <w:sz w:val="20"/>
                <w:szCs w:val="20"/>
                <w:color w:val="auto"/>
              </w:rPr>
            </w:pPr>
            <w:r>
              <w:rPr>
                <w:rFonts w:ascii="Arial" w:cs="Arial" w:eastAsia="Arial" w:hAnsi="Arial"/>
                <w:sz w:val="10"/>
                <w:szCs w:val="10"/>
                <w:color w:val="666666"/>
              </w:rPr>
              <w:t>736,134</w:t>
            </w:r>
          </w:p>
        </w:tc>
        <w:tc>
          <w:tcPr>
            <w:tcW w:w="1280" w:type="dxa"/>
            <w:vAlign w:val="bottom"/>
            <w:vMerge w:val="restart"/>
            <w:shd w:val="clear" w:color="auto" w:fill="DDDDDD"/>
          </w:tcPr>
          <w:p>
            <w:pPr>
              <w:jc w:val="center"/>
              <w:ind w:right="49"/>
              <w:spacing w:after="0"/>
              <w:rPr>
                <w:sz w:val="20"/>
                <w:szCs w:val="20"/>
                <w:color w:val="auto"/>
              </w:rPr>
            </w:pPr>
            <w:r>
              <w:rPr>
                <w:rFonts w:ascii="Arial" w:cs="Arial" w:eastAsia="Arial" w:hAnsi="Arial"/>
                <w:sz w:val="10"/>
                <w:szCs w:val="10"/>
                <w:color w:val="666666"/>
                <w:w w:val="97"/>
              </w:rPr>
              <w:t>10,000</w:t>
            </w:r>
          </w:p>
        </w:tc>
        <w:tc>
          <w:tcPr>
            <w:tcW w:w="1620" w:type="dxa"/>
            <w:vAlign w:val="bottom"/>
            <w:vMerge w:val="restart"/>
            <w:shd w:val="clear" w:color="auto" w:fill="DDDDDD"/>
          </w:tcPr>
          <w:p>
            <w:pPr>
              <w:jc w:val="right"/>
              <w:ind w:right="209"/>
              <w:spacing w:after="0"/>
              <w:rPr>
                <w:sz w:val="20"/>
                <w:szCs w:val="20"/>
                <w:color w:val="auto"/>
              </w:rPr>
            </w:pPr>
            <w:r>
              <w:rPr>
                <w:rFonts w:ascii="Arial" w:cs="Arial" w:eastAsia="Arial" w:hAnsi="Arial"/>
                <w:sz w:val="10"/>
                <w:szCs w:val="10"/>
                <w:color w:val="666666"/>
              </w:rPr>
              <w:t>142,987</w:t>
            </w:r>
          </w:p>
        </w:tc>
        <w:tc>
          <w:tcPr>
            <w:tcW w:w="880" w:type="dxa"/>
            <w:vAlign w:val="bottom"/>
            <w:vMerge w:val="restart"/>
            <w:shd w:val="clear" w:color="auto" w:fill="DDDDDD"/>
          </w:tcPr>
          <w:p>
            <w:pPr>
              <w:ind w:left="320"/>
              <w:spacing w:after="0"/>
              <w:rPr>
                <w:sz w:val="20"/>
                <w:szCs w:val="20"/>
                <w:color w:val="auto"/>
              </w:rPr>
            </w:pPr>
            <w:r>
              <w:rPr>
                <w:rFonts w:ascii="Arial" w:cs="Arial" w:eastAsia="Arial" w:hAnsi="Arial"/>
                <w:sz w:val="10"/>
                <w:szCs w:val="10"/>
                <w:color w:val="666666"/>
              </w:rPr>
              <w:t>2,614,298</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960" w:type="dxa"/>
            <w:vAlign w:val="bottom"/>
            <w:vMerge w:val="restart"/>
            <w:shd w:val="clear" w:color="auto" w:fill="DDDDDD"/>
          </w:tcPr>
          <w:p>
            <w:pPr>
              <w:ind w:left="20"/>
              <w:spacing w:after="0"/>
              <w:rPr>
                <w:sz w:val="20"/>
                <w:szCs w:val="20"/>
                <w:color w:val="auto"/>
              </w:rPr>
            </w:pPr>
            <w:r>
              <w:rPr>
                <w:rFonts w:ascii="Arial" w:cs="Arial" w:eastAsia="Arial" w:hAnsi="Arial"/>
                <w:sz w:val="10"/>
                <w:szCs w:val="10"/>
                <w:color w:val="666666"/>
              </w:rPr>
              <w:t>Executive Vice President</w:t>
            </w:r>
          </w:p>
        </w:tc>
        <w:tc>
          <w:tcPr>
            <w:tcW w:w="680" w:type="dxa"/>
            <w:vAlign w:val="bottom"/>
            <w:vMerge w:val="continue"/>
            <w:shd w:val="clear" w:color="auto" w:fill="DDDDDD"/>
          </w:tcPr>
          <w:p>
            <w:pPr>
              <w:spacing w:after="0"/>
              <w:rPr>
                <w:sz w:val="6"/>
                <w:szCs w:val="6"/>
                <w:color w:val="auto"/>
              </w:rPr>
            </w:pPr>
          </w:p>
        </w:tc>
        <w:tc>
          <w:tcPr>
            <w:tcW w:w="820" w:type="dxa"/>
            <w:vAlign w:val="bottom"/>
            <w:vMerge w:val="continue"/>
            <w:shd w:val="clear" w:color="auto" w:fill="DDDDDD"/>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720" w:type="dxa"/>
            <w:vAlign w:val="bottom"/>
            <w:vMerge w:val="continue"/>
            <w:shd w:val="clear" w:color="auto" w:fill="DDDDDD"/>
          </w:tcPr>
          <w:p>
            <w:pPr>
              <w:spacing w:after="0"/>
              <w:rPr>
                <w:sz w:val="6"/>
                <w:szCs w:val="6"/>
                <w:color w:val="auto"/>
              </w:rPr>
            </w:pPr>
          </w:p>
        </w:tc>
        <w:tc>
          <w:tcPr>
            <w:tcW w:w="940" w:type="dxa"/>
            <w:vAlign w:val="bottom"/>
            <w:vMerge w:val="continue"/>
            <w:shd w:val="clear" w:color="auto" w:fill="DDDDDD"/>
          </w:tcPr>
          <w:p>
            <w:pPr>
              <w:spacing w:after="0"/>
              <w:rPr>
                <w:sz w:val="6"/>
                <w:szCs w:val="6"/>
                <w:color w:val="auto"/>
              </w:rPr>
            </w:pPr>
          </w:p>
        </w:tc>
        <w:tc>
          <w:tcPr>
            <w:tcW w:w="940" w:type="dxa"/>
            <w:vAlign w:val="bottom"/>
            <w:vMerge w:val="continue"/>
            <w:shd w:val="clear" w:color="auto" w:fill="DDDDDD"/>
          </w:tcPr>
          <w:p>
            <w:pPr>
              <w:spacing w:after="0"/>
              <w:rPr>
                <w:sz w:val="6"/>
                <w:szCs w:val="6"/>
                <w:color w:val="auto"/>
              </w:rPr>
            </w:pPr>
          </w:p>
        </w:tc>
        <w:tc>
          <w:tcPr>
            <w:tcW w:w="1460" w:type="dxa"/>
            <w:vAlign w:val="bottom"/>
            <w:vMerge w:val="continue"/>
            <w:shd w:val="clear" w:color="auto" w:fill="DDDDDD"/>
          </w:tcPr>
          <w:p>
            <w:pPr>
              <w:spacing w:after="0"/>
              <w:rPr>
                <w:sz w:val="6"/>
                <w:szCs w:val="6"/>
                <w:color w:val="auto"/>
              </w:rPr>
            </w:pPr>
          </w:p>
        </w:tc>
        <w:tc>
          <w:tcPr>
            <w:tcW w:w="1280" w:type="dxa"/>
            <w:vAlign w:val="bottom"/>
            <w:vMerge w:val="continue"/>
            <w:shd w:val="clear" w:color="auto" w:fill="DDDDDD"/>
          </w:tcPr>
          <w:p>
            <w:pPr>
              <w:spacing w:after="0"/>
              <w:rPr>
                <w:sz w:val="6"/>
                <w:szCs w:val="6"/>
                <w:color w:val="auto"/>
              </w:rPr>
            </w:pPr>
          </w:p>
        </w:tc>
        <w:tc>
          <w:tcPr>
            <w:tcW w:w="1620" w:type="dxa"/>
            <w:vAlign w:val="bottom"/>
            <w:vMerge w:val="continue"/>
            <w:shd w:val="clear" w:color="auto" w:fill="DDDDDD"/>
          </w:tcPr>
          <w:p>
            <w:pPr>
              <w:spacing w:after="0"/>
              <w:rPr>
                <w:sz w:val="6"/>
                <w:szCs w:val="6"/>
                <w:color w:val="auto"/>
              </w:rPr>
            </w:pPr>
          </w:p>
        </w:tc>
        <w:tc>
          <w:tcPr>
            <w:tcW w:w="880" w:type="dxa"/>
            <w:vAlign w:val="bottom"/>
            <w:vMerge w:val="continue"/>
            <w:shd w:val="clear" w:color="auto" w:fill="DDDDDD"/>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960" w:type="dxa"/>
            <w:vAlign w:val="bottom"/>
            <w:vMerge w:val="continue"/>
            <w:shd w:val="clear" w:color="auto" w:fill="DDDDDD"/>
          </w:tcPr>
          <w:p>
            <w:pPr>
              <w:spacing w:after="0"/>
              <w:rPr>
                <w:sz w:val="5"/>
                <w:szCs w:val="5"/>
                <w:color w:val="auto"/>
              </w:rPr>
            </w:pPr>
          </w:p>
        </w:tc>
        <w:tc>
          <w:tcPr>
            <w:tcW w:w="680" w:type="dxa"/>
            <w:vAlign w:val="bottom"/>
            <w:vMerge w:val="restart"/>
            <w:shd w:val="clear" w:color="auto" w:fill="DDDDDD"/>
          </w:tcPr>
          <w:p>
            <w:pPr>
              <w:jc w:val="center"/>
              <w:spacing w:after="0"/>
              <w:rPr>
                <w:sz w:val="20"/>
                <w:szCs w:val="20"/>
                <w:color w:val="auto"/>
              </w:rPr>
            </w:pPr>
            <w:r>
              <w:rPr>
                <w:rFonts w:ascii="Arial" w:cs="Arial" w:eastAsia="Arial" w:hAnsi="Arial"/>
                <w:sz w:val="10"/>
                <w:szCs w:val="10"/>
                <w:color w:val="666666"/>
              </w:rPr>
              <w:t>2016</w:t>
            </w:r>
          </w:p>
        </w:tc>
        <w:tc>
          <w:tcPr>
            <w:tcW w:w="820" w:type="dxa"/>
            <w:vAlign w:val="bottom"/>
            <w:vMerge w:val="restart"/>
            <w:shd w:val="clear" w:color="auto" w:fill="DDDDDD"/>
          </w:tcPr>
          <w:p>
            <w:pPr>
              <w:jc w:val="right"/>
              <w:spacing w:after="0"/>
              <w:rPr>
                <w:sz w:val="20"/>
                <w:szCs w:val="20"/>
                <w:color w:val="auto"/>
              </w:rPr>
            </w:pPr>
            <w:r>
              <w:rPr>
                <w:rFonts w:ascii="Arial" w:cs="Arial" w:eastAsia="Arial" w:hAnsi="Arial"/>
                <w:sz w:val="10"/>
                <w:szCs w:val="10"/>
                <w:color w:val="666666"/>
              </w:rPr>
              <w:t>1,250,000</w:t>
            </w:r>
          </w:p>
        </w:tc>
        <w:tc>
          <w:tcPr>
            <w:tcW w:w="180" w:type="dxa"/>
            <w:vAlign w:val="bottom"/>
            <w:shd w:val="clear" w:color="auto" w:fill="DDDDDD"/>
          </w:tcPr>
          <w:p>
            <w:pPr>
              <w:spacing w:after="0"/>
              <w:rPr>
                <w:sz w:val="5"/>
                <w:szCs w:val="5"/>
                <w:color w:val="auto"/>
              </w:rPr>
            </w:pPr>
          </w:p>
        </w:tc>
        <w:tc>
          <w:tcPr>
            <w:tcW w:w="720" w:type="dxa"/>
            <w:vAlign w:val="bottom"/>
            <w:vMerge w:val="restart"/>
            <w:shd w:val="clear" w:color="auto" w:fill="DDDDDD"/>
          </w:tcPr>
          <w:p>
            <w:pPr>
              <w:jc w:val="center"/>
              <w:ind w:right="9"/>
              <w:spacing w:after="0"/>
              <w:rPr>
                <w:sz w:val="20"/>
                <w:szCs w:val="20"/>
                <w:color w:val="auto"/>
              </w:rPr>
            </w:pPr>
            <w:r>
              <w:rPr>
                <w:rFonts w:ascii="Arial" w:cs="Arial" w:eastAsia="Arial" w:hAnsi="Arial"/>
                <w:sz w:val="10"/>
                <w:szCs w:val="10"/>
                <w:color w:val="666666"/>
                <w:w w:val="99"/>
              </w:rPr>
              <w:t>—</w:t>
            </w:r>
          </w:p>
        </w:tc>
        <w:tc>
          <w:tcPr>
            <w:tcW w:w="940" w:type="dxa"/>
            <w:vAlign w:val="bottom"/>
            <w:vMerge w:val="restart"/>
            <w:shd w:val="clear" w:color="auto" w:fill="DDDDDD"/>
          </w:tcPr>
          <w:p>
            <w:pPr>
              <w:jc w:val="center"/>
              <w:spacing w:after="0"/>
              <w:rPr>
                <w:sz w:val="20"/>
                <w:szCs w:val="20"/>
                <w:color w:val="auto"/>
              </w:rPr>
            </w:pPr>
            <w:r>
              <w:rPr>
                <w:rFonts w:ascii="Arial" w:cs="Arial" w:eastAsia="Arial" w:hAnsi="Arial"/>
                <w:sz w:val="10"/>
                <w:szCs w:val="10"/>
                <w:color w:val="666666"/>
                <w:w w:val="99"/>
              </w:rPr>
              <w:t>476,272</w:t>
            </w:r>
          </w:p>
        </w:tc>
        <w:tc>
          <w:tcPr>
            <w:tcW w:w="940" w:type="dxa"/>
            <w:vAlign w:val="bottom"/>
            <w:vMerge w:val="restart"/>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460" w:type="dxa"/>
            <w:vAlign w:val="bottom"/>
            <w:vMerge w:val="restart"/>
            <w:shd w:val="clear" w:color="auto" w:fill="DDDDDD"/>
          </w:tcPr>
          <w:p>
            <w:pPr>
              <w:jc w:val="right"/>
              <w:ind w:right="169"/>
              <w:spacing w:after="0"/>
              <w:rPr>
                <w:sz w:val="20"/>
                <w:szCs w:val="20"/>
                <w:color w:val="auto"/>
              </w:rPr>
            </w:pPr>
            <w:r>
              <w:rPr>
                <w:rFonts w:ascii="Arial" w:cs="Arial" w:eastAsia="Arial" w:hAnsi="Arial"/>
                <w:sz w:val="10"/>
                <w:szCs w:val="10"/>
                <w:color w:val="666666"/>
              </w:rPr>
              <w:t>756,472</w:t>
            </w:r>
          </w:p>
        </w:tc>
        <w:tc>
          <w:tcPr>
            <w:tcW w:w="1280" w:type="dxa"/>
            <w:vAlign w:val="bottom"/>
            <w:vMerge w:val="restart"/>
            <w:shd w:val="clear" w:color="auto" w:fill="DDDDDD"/>
          </w:tcPr>
          <w:p>
            <w:pPr>
              <w:jc w:val="center"/>
              <w:ind w:right="49"/>
              <w:spacing w:after="0"/>
              <w:rPr>
                <w:sz w:val="20"/>
                <w:szCs w:val="20"/>
                <w:color w:val="auto"/>
              </w:rPr>
            </w:pPr>
            <w:r>
              <w:rPr>
                <w:rFonts w:ascii="Arial" w:cs="Arial" w:eastAsia="Arial" w:hAnsi="Arial"/>
                <w:sz w:val="10"/>
                <w:szCs w:val="10"/>
                <w:color w:val="666666"/>
                <w:w w:val="97"/>
              </w:rPr>
              <w:t>10,000</w:t>
            </w:r>
          </w:p>
        </w:tc>
        <w:tc>
          <w:tcPr>
            <w:tcW w:w="1620" w:type="dxa"/>
            <w:vAlign w:val="bottom"/>
            <w:vMerge w:val="restart"/>
            <w:shd w:val="clear" w:color="auto" w:fill="DDDDDD"/>
          </w:tcPr>
          <w:p>
            <w:pPr>
              <w:jc w:val="right"/>
              <w:ind w:right="209"/>
              <w:spacing w:after="0"/>
              <w:rPr>
                <w:sz w:val="20"/>
                <w:szCs w:val="20"/>
                <w:color w:val="auto"/>
              </w:rPr>
            </w:pPr>
            <w:r>
              <w:rPr>
                <w:rFonts w:ascii="Arial" w:cs="Arial" w:eastAsia="Arial" w:hAnsi="Arial"/>
                <w:sz w:val="10"/>
                <w:szCs w:val="10"/>
                <w:color w:val="666666"/>
              </w:rPr>
              <w:t>146,321</w:t>
            </w:r>
          </w:p>
        </w:tc>
        <w:tc>
          <w:tcPr>
            <w:tcW w:w="880" w:type="dxa"/>
            <w:vAlign w:val="bottom"/>
            <w:vMerge w:val="restart"/>
            <w:shd w:val="clear" w:color="auto" w:fill="DDDDDD"/>
          </w:tcPr>
          <w:p>
            <w:pPr>
              <w:ind w:left="320"/>
              <w:spacing w:after="0"/>
              <w:rPr>
                <w:sz w:val="20"/>
                <w:szCs w:val="20"/>
                <w:color w:val="auto"/>
              </w:rPr>
            </w:pPr>
            <w:r>
              <w:rPr>
                <w:rFonts w:ascii="Arial" w:cs="Arial" w:eastAsia="Arial" w:hAnsi="Arial"/>
                <w:sz w:val="10"/>
                <w:szCs w:val="10"/>
                <w:color w:val="666666"/>
              </w:rPr>
              <w:t>2,639,065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shd w:val="clear" w:color="auto" w:fill="DDDDDD"/>
          </w:tcPr>
          <w:p>
            <w:pPr>
              <w:spacing w:after="0"/>
              <w:rPr>
                <w:sz w:val="8"/>
                <w:szCs w:val="8"/>
                <w:color w:val="auto"/>
              </w:rPr>
            </w:pPr>
          </w:p>
        </w:tc>
        <w:tc>
          <w:tcPr>
            <w:tcW w:w="680" w:type="dxa"/>
            <w:vAlign w:val="bottom"/>
            <w:vMerge w:val="continue"/>
            <w:shd w:val="clear" w:color="auto" w:fill="DDDDDD"/>
          </w:tcPr>
          <w:p>
            <w:pPr>
              <w:spacing w:after="0"/>
              <w:rPr>
                <w:sz w:val="8"/>
                <w:szCs w:val="8"/>
                <w:color w:val="auto"/>
              </w:rPr>
            </w:pPr>
          </w:p>
        </w:tc>
        <w:tc>
          <w:tcPr>
            <w:tcW w:w="820" w:type="dxa"/>
            <w:vAlign w:val="bottom"/>
            <w:vMerge w:val="continue"/>
            <w:shd w:val="clear" w:color="auto" w:fill="DDDDDD"/>
          </w:tcPr>
          <w:p>
            <w:pPr>
              <w:spacing w:after="0"/>
              <w:rPr>
                <w:sz w:val="8"/>
                <w:szCs w:val="8"/>
                <w:color w:val="auto"/>
              </w:rPr>
            </w:pPr>
          </w:p>
        </w:tc>
        <w:tc>
          <w:tcPr>
            <w:tcW w:w="180" w:type="dxa"/>
            <w:vAlign w:val="bottom"/>
            <w:shd w:val="clear" w:color="auto" w:fill="DDDDDD"/>
          </w:tcPr>
          <w:p>
            <w:pPr>
              <w:spacing w:after="0"/>
              <w:rPr>
                <w:sz w:val="8"/>
                <w:szCs w:val="8"/>
                <w:color w:val="auto"/>
              </w:rPr>
            </w:pPr>
          </w:p>
        </w:tc>
        <w:tc>
          <w:tcPr>
            <w:tcW w:w="720" w:type="dxa"/>
            <w:vAlign w:val="bottom"/>
            <w:vMerge w:val="continue"/>
            <w:shd w:val="clear" w:color="auto" w:fill="DDDDDD"/>
          </w:tcPr>
          <w:p>
            <w:pPr>
              <w:spacing w:after="0"/>
              <w:rPr>
                <w:sz w:val="8"/>
                <w:szCs w:val="8"/>
                <w:color w:val="auto"/>
              </w:rPr>
            </w:pPr>
          </w:p>
        </w:tc>
        <w:tc>
          <w:tcPr>
            <w:tcW w:w="940" w:type="dxa"/>
            <w:vAlign w:val="bottom"/>
            <w:vMerge w:val="continue"/>
            <w:shd w:val="clear" w:color="auto" w:fill="DDDDDD"/>
          </w:tcPr>
          <w:p>
            <w:pPr>
              <w:spacing w:after="0"/>
              <w:rPr>
                <w:sz w:val="8"/>
                <w:szCs w:val="8"/>
                <w:color w:val="auto"/>
              </w:rPr>
            </w:pPr>
          </w:p>
        </w:tc>
        <w:tc>
          <w:tcPr>
            <w:tcW w:w="940" w:type="dxa"/>
            <w:vAlign w:val="bottom"/>
            <w:vMerge w:val="continue"/>
            <w:shd w:val="clear" w:color="auto" w:fill="DDDDDD"/>
          </w:tcPr>
          <w:p>
            <w:pPr>
              <w:spacing w:after="0"/>
              <w:rPr>
                <w:sz w:val="8"/>
                <w:szCs w:val="8"/>
                <w:color w:val="auto"/>
              </w:rPr>
            </w:pPr>
          </w:p>
        </w:tc>
        <w:tc>
          <w:tcPr>
            <w:tcW w:w="1460" w:type="dxa"/>
            <w:vAlign w:val="bottom"/>
            <w:vMerge w:val="continue"/>
            <w:shd w:val="clear" w:color="auto" w:fill="DDDDDD"/>
          </w:tcPr>
          <w:p>
            <w:pPr>
              <w:spacing w:after="0"/>
              <w:rPr>
                <w:sz w:val="8"/>
                <w:szCs w:val="8"/>
                <w:color w:val="auto"/>
              </w:rPr>
            </w:pPr>
          </w:p>
        </w:tc>
        <w:tc>
          <w:tcPr>
            <w:tcW w:w="1280" w:type="dxa"/>
            <w:vAlign w:val="bottom"/>
            <w:vMerge w:val="continue"/>
            <w:shd w:val="clear" w:color="auto" w:fill="DDDDDD"/>
          </w:tcPr>
          <w:p>
            <w:pPr>
              <w:spacing w:after="0"/>
              <w:rPr>
                <w:sz w:val="8"/>
                <w:szCs w:val="8"/>
                <w:color w:val="auto"/>
              </w:rPr>
            </w:pPr>
          </w:p>
        </w:tc>
        <w:tc>
          <w:tcPr>
            <w:tcW w:w="1620" w:type="dxa"/>
            <w:vAlign w:val="bottom"/>
            <w:vMerge w:val="continue"/>
            <w:shd w:val="clear" w:color="auto" w:fill="DDDDDD"/>
          </w:tcPr>
          <w:p>
            <w:pPr>
              <w:spacing w:after="0"/>
              <w:rPr>
                <w:sz w:val="8"/>
                <w:szCs w:val="8"/>
                <w:color w:val="auto"/>
              </w:rPr>
            </w:pPr>
          </w:p>
        </w:tc>
        <w:tc>
          <w:tcPr>
            <w:tcW w:w="880" w:type="dxa"/>
            <w:vAlign w:val="bottom"/>
            <w:vMerge w:val="continue"/>
            <w:shd w:val="clear" w:color="auto" w:fill="DDDDDD"/>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60" w:type="dxa"/>
            <w:vAlign w:val="bottom"/>
            <w:vMerge w:val="restart"/>
          </w:tcPr>
          <w:p>
            <w:pPr>
              <w:ind w:left="20"/>
              <w:spacing w:after="0"/>
              <w:rPr>
                <w:sz w:val="20"/>
                <w:szCs w:val="20"/>
                <w:color w:val="auto"/>
              </w:rPr>
            </w:pPr>
            <w:r>
              <w:rPr>
                <w:rFonts w:ascii="Arial" w:cs="Arial" w:eastAsia="Arial" w:hAnsi="Arial"/>
                <w:sz w:val="10"/>
                <w:szCs w:val="10"/>
                <w:b w:val="1"/>
                <w:bCs w:val="1"/>
                <w:color w:val="666666"/>
              </w:rPr>
              <w:t xml:space="preserve">Susan L. Penfield </w:t>
            </w:r>
            <w:r>
              <w:rPr>
                <w:rFonts w:ascii="Arial" w:cs="Arial" w:eastAsia="Arial" w:hAnsi="Arial"/>
                <w:sz w:val="17"/>
                <w:szCs w:val="17"/>
                <w:b w:val="1"/>
                <w:bCs w:val="1"/>
                <w:color w:val="666666"/>
                <w:vertAlign w:val="superscript"/>
              </w:rPr>
              <w:t>6</w:t>
            </w:r>
          </w:p>
        </w:tc>
        <w:tc>
          <w:tcPr>
            <w:tcW w:w="680" w:type="dxa"/>
            <w:vAlign w:val="bottom"/>
          </w:tcPr>
          <w:p>
            <w:pPr>
              <w:jc w:val="center"/>
              <w:spacing w:after="0"/>
              <w:rPr>
                <w:sz w:val="20"/>
                <w:szCs w:val="20"/>
                <w:color w:val="auto"/>
              </w:rPr>
            </w:pPr>
            <w:r>
              <w:rPr>
                <w:rFonts w:ascii="Arial" w:cs="Arial" w:eastAsia="Arial" w:hAnsi="Arial"/>
                <w:sz w:val="10"/>
                <w:szCs w:val="10"/>
                <w:color w:val="666666"/>
              </w:rPr>
              <w:t>2018</w:t>
            </w:r>
          </w:p>
        </w:tc>
        <w:tc>
          <w:tcPr>
            <w:tcW w:w="1000" w:type="dxa"/>
            <w:vAlign w:val="bottom"/>
            <w:gridSpan w:val="2"/>
          </w:tcPr>
          <w:p>
            <w:pPr>
              <w:jc w:val="right"/>
              <w:ind w:right="180"/>
              <w:spacing w:after="0"/>
              <w:rPr>
                <w:sz w:val="20"/>
                <w:szCs w:val="20"/>
                <w:color w:val="auto"/>
              </w:rPr>
            </w:pPr>
            <w:r>
              <w:rPr>
                <w:rFonts w:ascii="Arial" w:cs="Arial" w:eastAsia="Arial" w:hAnsi="Arial"/>
                <w:sz w:val="10"/>
                <w:szCs w:val="10"/>
                <w:color w:val="666666"/>
              </w:rPr>
              <w:t>800,000</w:t>
            </w:r>
          </w:p>
        </w:tc>
        <w:tc>
          <w:tcPr>
            <w:tcW w:w="720" w:type="dxa"/>
            <w:vAlign w:val="bottom"/>
          </w:tcPr>
          <w:p>
            <w:pPr>
              <w:jc w:val="center"/>
              <w:ind w:right="9"/>
              <w:spacing w:after="0"/>
              <w:rPr>
                <w:sz w:val="20"/>
                <w:szCs w:val="20"/>
                <w:color w:val="auto"/>
              </w:rPr>
            </w:pPr>
            <w:r>
              <w:rPr>
                <w:rFonts w:ascii="Arial" w:cs="Arial" w:eastAsia="Arial" w:hAnsi="Arial"/>
                <w:sz w:val="10"/>
                <w:szCs w:val="10"/>
                <w:color w:val="666666"/>
                <w:w w:val="99"/>
              </w:rPr>
              <w:t>—</w:t>
            </w:r>
          </w:p>
        </w:tc>
        <w:tc>
          <w:tcPr>
            <w:tcW w:w="940" w:type="dxa"/>
            <w:vAlign w:val="bottom"/>
          </w:tcPr>
          <w:p>
            <w:pPr>
              <w:jc w:val="center"/>
              <w:spacing w:after="0"/>
              <w:rPr>
                <w:sz w:val="20"/>
                <w:szCs w:val="20"/>
                <w:color w:val="auto"/>
              </w:rPr>
            </w:pPr>
            <w:r>
              <w:rPr>
                <w:rFonts w:ascii="Arial" w:cs="Arial" w:eastAsia="Arial" w:hAnsi="Arial"/>
                <w:sz w:val="10"/>
                <w:szCs w:val="10"/>
                <w:color w:val="666666"/>
                <w:w w:val="98"/>
              </w:rPr>
              <w:t>1,050,311</w:t>
            </w:r>
          </w:p>
        </w:tc>
        <w:tc>
          <w:tcPr>
            <w:tcW w:w="940" w:type="dxa"/>
            <w:vAlign w:val="bottom"/>
          </w:tcPr>
          <w:p>
            <w:pPr>
              <w:jc w:val="center"/>
              <w:spacing w:after="0"/>
              <w:rPr>
                <w:sz w:val="20"/>
                <w:szCs w:val="20"/>
                <w:color w:val="auto"/>
              </w:rPr>
            </w:pPr>
            <w:r>
              <w:rPr>
                <w:rFonts w:ascii="Arial" w:cs="Arial" w:eastAsia="Arial" w:hAnsi="Arial"/>
                <w:sz w:val="10"/>
                <w:szCs w:val="10"/>
                <w:color w:val="666666"/>
                <w:w w:val="99"/>
              </w:rPr>
              <w:t>499,991</w:t>
            </w:r>
          </w:p>
        </w:tc>
        <w:tc>
          <w:tcPr>
            <w:tcW w:w="1460" w:type="dxa"/>
            <w:vAlign w:val="bottom"/>
          </w:tcPr>
          <w:p>
            <w:pPr>
              <w:jc w:val="right"/>
              <w:ind w:right="169"/>
              <w:spacing w:after="0"/>
              <w:rPr>
                <w:sz w:val="20"/>
                <w:szCs w:val="20"/>
                <w:color w:val="auto"/>
              </w:rPr>
            </w:pPr>
            <w:r>
              <w:rPr>
                <w:rFonts w:ascii="Arial" w:cs="Arial" w:eastAsia="Arial" w:hAnsi="Arial"/>
                <w:sz w:val="10"/>
                <w:szCs w:val="10"/>
                <w:color w:val="666666"/>
              </w:rPr>
              <w:t>493,000</w:t>
            </w:r>
          </w:p>
        </w:tc>
        <w:tc>
          <w:tcPr>
            <w:tcW w:w="1280" w:type="dxa"/>
            <w:vAlign w:val="bottom"/>
          </w:tcPr>
          <w:p>
            <w:pPr>
              <w:jc w:val="center"/>
              <w:ind w:right="49"/>
              <w:spacing w:after="0"/>
              <w:rPr>
                <w:sz w:val="20"/>
                <w:szCs w:val="20"/>
                <w:color w:val="auto"/>
              </w:rPr>
            </w:pPr>
            <w:r>
              <w:rPr>
                <w:rFonts w:ascii="Arial" w:cs="Arial" w:eastAsia="Arial" w:hAnsi="Arial"/>
                <w:sz w:val="10"/>
                <w:szCs w:val="10"/>
                <w:color w:val="666666"/>
                <w:w w:val="97"/>
              </w:rPr>
              <w:t>10,000</w:t>
            </w:r>
          </w:p>
        </w:tc>
        <w:tc>
          <w:tcPr>
            <w:tcW w:w="1620" w:type="dxa"/>
            <w:vAlign w:val="bottom"/>
          </w:tcPr>
          <w:p>
            <w:pPr>
              <w:jc w:val="right"/>
              <w:ind w:right="209"/>
              <w:spacing w:after="0"/>
              <w:rPr>
                <w:sz w:val="20"/>
                <w:szCs w:val="20"/>
                <w:color w:val="auto"/>
              </w:rPr>
            </w:pPr>
            <w:r>
              <w:rPr>
                <w:rFonts w:ascii="Arial" w:cs="Arial" w:eastAsia="Arial" w:hAnsi="Arial"/>
                <w:sz w:val="10"/>
                <w:szCs w:val="10"/>
                <w:color w:val="666666"/>
              </w:rPr>
              <w:t>143,745</w:t>
            </w:r>
          </w:p>
        </w:tc>
        <w:tc>
          <w:tcPr>
            <w:tcW w:w="880" w:type="dxa"/>
            <w:vAlign w:val="bottom"/>
          </w:tcPr>
          <w:p>
            <w:pPr>
              <w:ind w:left="320"/>
              <w:spacing w:after="0"/>
              <w:rPr>
                <w:sz w:val="20"/>
                <w:szCs w:val="20"/>
                <w:color w:val="auto"/>
              </w:rPr>
            </w:pPr>
            <w:r>
              <w:rPr>
                <w:rFonts w:ascii="Arial" w:cs="Arial" w:eastAsia="Arial" w:hAnsi="Arial"/>
                <w:sz w:val="10"/>
                <w:szCs w:val="10"/>
                <w:color w:val="666666"/>
              </w:rPr>
              <w:t>2,997,047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gridSpan w:val="2"/>
            <w:vMerge w:val="restart"/>
          </w:tcPr>
          <w:p>
            <w:pPr>
              <w:jc w:val="center"/>
              <w:ind w:right="60"/>
              <w:spacing w:after="0"/>
              <w:rPr>
                <w:sz w:val="20"/>
                <w:szCs w:val="20"/>
                <w:color w:val="auto"/>
              </w:rPr>
            </w:pPr>
            <w:r>
              <w:rPr>
                <w:rFonts w:ascii="Arial" w:cs="Arial" w:eastAsia="Arial" w:hAnsi="Arial"/>
                <w:sz w:val="10"/>
                <w:szCs w:val="10"/>
                <w:color w:val="666666"/>
                <w:w w:val="99"/>
              </w:rPr>
              <w:t>—</w:t>
            </w:r>
          </w:p>
        </w:tc>
        <w:tc>
          <w:tcPr>
            <w:tcW w:w="720" w:type="dxa"/>
            <w:vAlign w:val="bottom"/>
            <w:vMerge w:val="restart"/>
          </w:tcPr>
          <w:p>
            <w:pPr>
              <w:jc w:val="center"/>
              <w:ind w:right="9"/>
              <w:spacing w:after="0"/>
              <w:rPr>
                <w:sz w:val="20"/>
                <w:szCs w:val="20"/>
                <w:color w:val="auto"/>
              </w:rPr>
            </w:pPr>
            <w:r>
              <w:rPr>
                <w:rFonts w:ascii="Arial" w:cs="Arial" w:eastAsia="Arial" w:hAnsi="Arial"/>
                <w:sz w:val="10"/>
                <w:szCs w:val="10"/>
                <w:color w:val="666666"/>
                <w:w w:val="99"/>
              </w:rPr>
              <w:t>—</w:t>
            </w:r>
          </w:p>
        </w:tc>
        <w:tc>
          <w:tcPr>
            <w:tcW w:w="940" w:type="dxa"/>
            <w:vAlign w:val="bottom"/>
            <w:vMerge w:val="restart"/>
          </w:tcPr>
          <w:p>
            <w:pPr>
              <w:jc w:val="center"/>
              <w:spacing w:after="0"/>
              <w:rPr>
                <w:sz w:val="20"/>
                <w:szCs w:val="20"/>
                <w:color w:val="auto"/>
              </w:rPr>
            </w:pPr>
            <w:r>
              <w:rPr>
                <w:rFonts w:ascii="Arial" w:cs="Arial" w:eastAsia="Arial" w:hAnsi="Arial"/>
                <w:sz w:val="10"/>
                <w:szCs w:val="10"/>
                <w:color w:val="666666"/>
                <w:w w:val="99"/>
              </w:rPr>
              <w:t>—</w:t>
            </w:r>
          </w:p>
        </w:tc>
        <w:tc>
          <w:tcPr>
            <w:tcW w:w="940" w:type="dxa"/>
            <w:vAlign w:val="bottom"/>
            <w:vMerge w:val="restart"/>
          </w:tcPr>
          <w:p>
            <w:pPr>
              <w:jc w:val="center"/>
              <w:spacing w:after="0"/>
              <w:rPr>
                <w:sz w:val="20"/>
                <w:szCs w:val="20"/>
                <w:color w:val="auto"/>
              </w:rPr>
            </w:pPr>
            <w:r>
              <w:rPr>
                <w:rFonts w:ascii="Arial" w:cs="Arial" w:eastAsia="Arial" w:hAnsi="Arial"/>
                <w:sz w:val="10"/>
                <w:szCs w:val="10"/>
                <w:color w:val="666666"/>
                <w:w w:val="99"/>
              </w:rPr>
              <w:t>—</w:t>
            </w:r>
          </w:p>
        </w:tc>
        <w:tc>
          <w:tcPr>
            <w:tcW w:w="1460" w:type="dxa"/>
            <w:vAlign w:val="bottom"/>
            <w:vMerge w:val="restart"/>
          </w:tcPr>
          <w:p>
            <w:pPr>
              <w:jc w:val="center"/>
              <w:ind w:right="69"/>
              <w:spacing w:after="0"/>
              <w:rPr>
                <w:sz w:val="20"/>
                <w:szCs w:val="20"/>
                <w:color w:val="auto"/>
              </w:rPr>
            </w:pPr>
            <w:r>
              <w:rPr>
                <w:rFonts w:ascii="Arial" w:cs="Arial" w:eastAsia="Arial" w:hAnsi="Arial"/>
                <w:sz w:val="10"/>
                <w:szCs w:val="10"/>
                <w:color w:val="666666"/>
                <w:w w:val="99"/>
              </w:rPr>
              <w:t>—</w:t>
            </w:r>
          </w:p>
        </w:tc>
        <w:tc>
          <w:tcPr>
            <w:tcW w:w="1280" w:type="dxa"/>
            <w:vAlign w:val="bottom"/>
            <w:vMerge w:val="restart"/>
          </w:tcPr>
          <w:p>
            <w:pPr>
              <w:jc w:val="center"/>
              <w:ind w:right="49"/>
              <w:spacing w:after="0"/>
              <w:rPr>
                <w:sz w:val="20"/>
                <w:szCs w:val="20"/>
                <w:color w:val="auto"/>
              </w:rPr>
            </w:pPr>
            <w:r>
              <w:rPr>
                <w:rFonts w:ascii="Arial" w:cs="Arial" w:eastAsia="Arial" w:hAnsi="Arial"/>
                <w:sz w:val="10"/>
                <w:szCs w:val="10"/>
                <w:color w:val="666666"/>
                <w:w w:val="99"/>
              </w:rPr>
              <w:t>—</w:t>
            </w:r>
          </w:p>
        </w:tc>
        <w:tc>
          <w:tcPr>
            <w:tcW w:w="1620" w:type="dxa"/>
            <w:vAlign w:val="bottom"/>
            <w:vMerge w:val="restart"/>
          </w:tcPr>
          <w:p>
            <w:pPr>
              <w:jc w:val="center"/>
              <w:ind w:right="109"/>
              <w:spacing w:after="0"/>
              <w:rPr>
                <w:sz w:val="20"/>
                <w:szCs w:val="20"/>
                <w:color w:val="auto"/>
              </w:rPr>
            </w:pPr>
            <w:r>
              <w:rPr>
                <w:rFonts w:ascii="Arial" w:cs="Arial" w:eastAsia="Arial" w:hAnsi="Arial"/>
                <w:sz w:val="10"/>
                <w:szCs w:val="10"/>
                <w:color w:val="666666"/>
                <w:w w:val="99"/>
              </w:rPr>
              <w:t>—</w:t>
            </w:r>
          </w:p>
        </w:tc>
        <w:tc>
          <w:tcPr>
            <w:tcW w:w="880" w:type="dxa"/>
            <w:vAlign w:val="bottom"/>
            <w:vMerge w:val="restart"/>
          </w:tcPr>
          <w:p>
            <w:pPr>
              <w:ind w:left="300"/>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960" w:type="dxa"/>
            <w:vAlign w:val="bottom"/>
            <w:vMerge w:val="restart"/>
          </w:tcPr>
          <w:p>
            <w:pPr>
              <w:ind w:left="20"/>
              <w:spacing w:after="0"/>
              <w:rPr>
                <w:sz w:val="20"/>
                <w:szCs w:val="20"/>
                <w:color w:val="auto"/>
              </w:rPr>
            </w:pPr>
            <w:r>
              <w:rPr>
                <w:rFonts w:ascii="Arial" w:cs="Arial" w:eastAsia="Arial" w:hAnsi="Arial"/>
                <w:sz w:val="10"/>
                <w:szCs w:val="10"/>
                <w:color w:val="666666"/>
              </w:rPr>
              <w:t>Executive Vice President</w:t>
            </w:r>
          </w:p>
        </w:tc>
        <w:tc>
          <w:tcPr>
            <w:tcW w:w="680" w:type="dxa"/>
            <w:vAlign w:val="bottom"/>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gridSpan w:val="2"/>
            <w:vMerge w:val="restart"/>
          </w:tcPr>
          <w:p>
            <w:pPr>
              <w:jc w:val="center"/>
              <w:ind w:right="60"/>
              <w:spacing w:after="0"/>
              <w:rPr>
                <w:sz w:val="20"/>
                <w:szCs w:val="20"/>
                <w:color w:val="auto"/>
              </w:rPr>
            </w:pPr>
            <w:r>
              <w:rPr>
                <w:rFonts w:ascii="Arial" w:cs="Arial" w:eastAsia="Arial" w:hAnsi="Arial"/>
                <w:sz w:val="10"/>
                <w:szCs w:val="10"/>
                <w:color w:val="666666"/>
                <w:w w:val="99"/>
              </w:rPr>
              <w:t>—</w:t>
            </w:r>
          </w:p>
        </w:tc>
        <w:tc>
          <w:tcPr>
            <w:tcW w:w="720" w:type="dxa"/>
            <w:vAlign w:val="bottom"/>
            <w:vMerge w:val="restart"/>
          </w:tcPr>
          <w:p>
            <w:pPr>
              <w:jc w:val="center"/>
              <w:ind w:right="9"/>
              <w:spacing w:after="0"/>
              <w:rPr>
                <w:sz w:val="20"/>
                <w:szCs w:val="20"/>
                <w:color w:val="auto"/>
              </w:rPr>
            </w:pPr>
            <w:r>
              <w:rPr>
                <w:rFonts w:ascii="Arial" w:cs="Arial" w:eastAsia="Arial" w:hAnsi="Arial"/>
                <w:sz w:val="10"/>
                <w:szCs w:val="10"/>
                <w:color w:val="666666"/>
                <w:w w:val="99"/>
              </w:rPr>
              <w:t>—</w:t>
            </w:r>
          </w:p>
        </w:tc>
        <w:tc>
          <w:tcPr>
            <w:tcW w:w="940" w:type="dxa"/>
            <w:vAlign w:val="bottom"/>
            <w:vMerge w:val="restart"/>
          </w:tcPr>
          <w:p>
            <w:pPr>
              <w:jc w:val="center"/>
              <w:spacing w:after="0"/>
              <w:rPr>
                <w:sz w:val="20"/>
                <w:szCs w:val="20"/>
                <w:color w:val="auto"/>
              </w:rPr>
            </w:pPr>
            <w:r>
              <w:rPr>
                <w:rFonts w:ascii="Arial" w:cs="Arial" w:eastAsia="Arial" w:hAnsi="Arial"/>
                <w:sz w:val="10"/>
                <w:szCs w:val="10"/>
                <w:color w:val="666666"/>
                <w:w w:val="99"/>
              </w:rPr>
              <w:t>—</w:t>
            </w:r>
          </w:p>
        </w:tc>
        <w:tc>
          <w:tcPr>
            <w:tcW w:w="940" w:type="dxa"/>
            <w:vAlign w:val="bottom"/>
            <w:vMerge w:val="restart"/>
          </w:tcPr>
          <w:p>
            <w:pPr>
              <w:jc w:val="center"/>
              <w:spacing w:after="0"/>
              <w:rPr>
                <w:sz w:val="20"/>
                <w:szCs w:val="20"/>
                <w:color w:val="auto"/>
              </w:rPr>
            </w:pPr>
            <w:r>
              <w:rPr>
                <w:rFonts w:ascii="Arial" w:cs="Arial" w:eastAsia="Arial" w:hAnsi="Arial"/>
                <w:sz w:val="10"/>
                <w:szCs w:val="10"/>
                <w:color w:val="666666"/>
                <w:w w:val="99"/>
              </w:rPr>
              <w:t>—</w:t>
            </w:r>
          </w:p>
        </w:tc>
        <w:tc>
          <w:tcPr>
            <w:tcW w:w="1460" w:type="dxa"/>
            <w:vAlign w:val="bottom"/>
            <w:vMerge w:val="restart"/>
          </w:tcPr>
          <w:p>
            <w:pPr>
              <w:jc w:val="center"/>
              <w:ind w:right="69"/>
              <w:spacing w:after="0"/>
              <w:rPr>
                <w:sz w:val="20"/>
                <w:szCs w:val="20"/>
                <w:color w:val="auto"/>
              </w:rPr>
            </w:pPr>
            <w:r>
              <w:rPr>
                <w:rFonts w:ascii="Arial" w:cs="Arial" w:eastAsia="Arial" w:hAnsi="Arial"/>
                <w:sz w:val="10"/>
                <w:szCs w:val="10"/>
                <w:color w:val="666666"/>
                <w:w w:val="99"/>
              </w:rPr>
              <w:t>—</w:t>
            </w:r>
          </w:p>
        </w:tc>
        <w:tc>
          <w:tcPr>
            <w:tcW w:w="1280" w:type="dxa"/>
            <w:vAlign w:val="bottom"/>
            <w:vMerge w:val="restart"/>
          </w:tcPr>
          <w:p>
            <w:pPr>
              <w:jc w:val="center"/>
              <w:ind w:right="49"/>
              <w:spacing w:after="0"/>
              <w:rPr>
                <w:sz w:val="20"/>
                <w:szCs w:val="20"/>
                <w:color w:val="auto"/>
              </w:rPr>
            </w:pPr>
            <w:r>
              <w:rPr>
                <w:rFonts w:ascii="Arial" w:cs="Arial" w:eastAsia="Arial" w:hAnsi="Arial"/>
                <w:sz w:val="10"/>
                <w:szCs w:val="10"/>
                <w:color w:val="666666"/>
                <w:w w:val="99"/>
              </w:rPr>
              <w:t>—</w:t>
            </w:r>
          </w:p>
        </w:tc>
        <w:tc>
          <w:tcPr>
            <w:tcW w:w="1620" w:type="dxa"/>
            <w:vAlign w:val="bottom"/>
            <w:vMerge w:val="restart"/>
          </w:tcPr>
          <w:p>
            <w:pPr>
              <w:jc w:val="center"/>
              <w:ind w:right="109"/>
              <w:spacing w:after="0"/>
              <w:rPr>
                <w:sz w:val="20"/>
                <w:szCs w:val="20"/>
                <w:color w:val="auto"/>
              </w:rPr>
            </w:pPr>
            <w:r>
              <w:rPr>
                <w:rFonts w:ascii="Arial" w:cs="Arial" w:eastAsia="Arial" w:hAnsi="Arial"/>
                <w:sz w:val="10"/>
                <w:szCs w:val="10"/>
                <w:color w:val="666666"/>
                <w:w w:val="99"/>
              </w:rPr>
              <w:t>—</w:t>
            </w:r>
          </w:p>
        </w:tc>
        <w:tc>
          <w:tcPr>
            <w:tcW w:w="880" w:type="dxa"/>
            <w:vAlign w:val="bottom"/>
            <w:vMerge w:val="restart"/>
          </w:tcPr>
          <w:p>
            <w:pPr>
              <w:ind w:left="300"/>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600" w:hanging="228"/>
        <w:spacing w:after="0"/>
        <w:tabs>
          <w:tab w:leader="none" w:pos="600" w:val="left"/>
        </w:tabs>
        <w:numPr>
          <w:ilvl w:val="0"/>
          <w:numId w:val="37"/>
        </w:numPr>
        <w:rPr>
          <w:rFonts w:ascii="Arial" w:cs="Arial" w:eastAsia="Arial" w:hAnsi="Arial"/>
          <w:sz w:val="10"/>
          <w:szCs w:val="10"/>
          <w:color w:val="666666"/>
        </w:rPr>
      </w:pPr>
      <w:r>
        <w:rPr>
          <w:rFonts w:ascii="Arial" w:cs="Arial" w:eastAsia="Arial" w:hAnsi="Arial"/>
          <w:sz w:val="10"/>
          <w:szCs w:val="10"/>
          <w:color w:val="666666"/>
        </w:rPr>
        <w:t>Each year is a reflection of our fiscal year which runs from April 1 to March 31. For example, 2018 reflects fiscal 2018 - April 1, 2017 to March 31, 2018.</w:t>
      </w:r>
    </w:p>
    <w:p>
      <w:pPr>
        <w:spacing w:after="0" w:line="12" w:lineRule="exact"/>
        <w:rPr>
          <w:rFonts w:ascii="Arial" w:cs="Arial" w:eastAsia="Arial" w:hAnsi="Arial"/>
          <w:sz w:val="10"/>
          <w:szCs w:val="10"/>
          <w:color w:val="666666"/>
        </w:rPr>
      </w:pPr>
    </w:p>
    <w:p>
      <w:pPr>
        <w:jc w:val="both"/>
        <w:ind w:left="600" w:right="20" w:hanging="228"/>
        <w:spacing w:after="0"/>
        <w:tabs>
          <w:tab w:leader="none" w:pos="600" w:val="left"/>
        </w:tabs>
        <w:numPr>
          <w:ilvl w:val="0"/>
          <w:numId w:val="37"/>
        </w:numPr>
        <w:rPr>
          <w:rFonts w:ascii="Arial" w:cs="Arial" w:eastAsia="Arial" w:hAnsi="Arial"/>
          <w:sz w:val="10"/>
          <w:szCs w:val="10"/>
          <w:color w:val="666666"/>
        </w:rPr>
      </w:pPr>
      <w:r>
        <w:rPr>
          <w:rFonts w:ascii="Arial" w:cs="Arial" w:eastAsia="Arial" w:hAnsi="Arial"/>
          <w:sz w:val="10"/>
          <w:szCs w:val="10"/>
          <w:color w:val="666666"/>
        </w:rPr>
        <w:t>This column represents the aggregate grant date value of restricted stock units granted on July 3, 2017 as part of the fiscal year 2017 annual incentive. This column also includes the aggregate grant date value of the annual time and performance restricted stock units granted on May 19, 2017 under our redesigned executive compensation program. See “Compensation Discussion and Analysis -- Compensation Elements - Long-Term Equity Incentives" for details regarding these grants. The aggregate fair value of the awards was computed in accordance with FASB ASC Topic 718 using the valuation methodology and assumptions set forth in Note 18 to our financial statements for the fiscal year ended March 31, 2018, which are incorporated by reference herein, modified to exclude any forfeiture assumptions related to service-based vesting conditions. The amounts in this column do not reflect the value, if any, that ultimately may be realized by the executive. Assuming achievement of the highest performance conditions for the performance restricted stock units granted on May 19, 2017, the grant date fair value would be: Mr. Rozanski, $2,209,990; Mr. Howell, $1,049,956; Ms. Dahut, $1,049,956; Mr. Logue, $749,989; and Ms. Penfield, $774,938.</w:t>
      </w:r>
    </w:p>
    <w:p>
      <w:pPr>
        <w:spacing w:after="0" w:line="1" w:lineRule="exact"/>
        <w:rPr>
          <w:rFonts w:ascii="Arial" w:cs="Arial" w:eastAsia="Arial" w:hAnsi="Arial"/>
          <w:sz w:val="10"/>
          <w:szCs w:val="10"/>
          <w:color w:val="666666"/>
        </w:rPr>
      </w:pPr>
    </w:p>
    <w:p>
      <w:pPr>
        <w:jc w:val="both"/>
        <w:ind w:left="600" w:right="20" w:hanging="228"/>
        <w:spacing w:after="0"/>
        <w:tabs>
          <w:tab w:leader="none" w:pos="600" w:val="left"/>
        </w:tabs>
        <w:numPr>
          <w:ilvl w:val="0"/>
          <w:numId w:val="37"/>
        </w:numPr>
        <w:rPr>
          <w:rFonts w:ascii="Arial" w:cs="Arial" w:eastAsia="Arial" w:hAnsi="Arial"/>
          <w:sz w:val="10"/>
          <w:szCs w:val="10"/>
          <w:color w:val="666666"/>
        </w:rPr>
      </w:pPr>
      <w:r>
        <w:rPr>
          <w:rFonts w:ascii="Arial" w:cs="Arial" w:eastAsia="Arial" w:hAnsi="Arial"/>
          <w:sz w:val="10"/>
          <w:szCs w:val="10"/>
          <w:color w:val="666666"/>
        </w:rPr>
        <w:t>This column reflects the aggregate grant date value of options granted on May 19, 2017 to Mr. Howell and Mses. Dahut and Penfield, as reflected in the Grants of Plan Based Awards table below, upon advancement and increase in scope of role. See “Compensation Discussion and Analysis -- Compensation Elements - Long-Term Equity Incentives.” The aggregate fair value of the awards was computed in accordance with FASB ASC Topic 718 using the valuation methodology and assumptions set forth in Note 18 to our financial statements for the fiscal year ended March 31, 2018, which are incorporated by reference herein, modified to exclude any forfeiture assumptions related to service-based vesting conditions. The amounts in this column do not reflect the value, if any, that ultimately may be realized by the executive.</w:t>
      </w:r>
    </w:p>
    <w:p>
      <w:pPr>
        <w:ind w:left="600" w:right="20" w:hanging="228"/>
        <w:spacing w:after="0"/>
        <w:tabs>
          <w:tab w:leader="none" w:pos="600" w:val="left"/>
        </w:tabs>
        <w:numPr>
          <w:ilvl w:val="0"/>
          <w:numId w:val="37"/>
        </w:numPr>
        <w:rPr>
          <w:rFonts w:ascii="Arial" w:cs="Arial" w:eastAsia="Arial" w:hAnsi="Arial"/>
          <w:sz w:val="10"/>
          <w:szCs w:val="10"/>
          <w:color w:val="666666"/>
        </w:rPr>
      </w:pPr>
      <w:r>
        <w:rPr>
          <w:rFonts w:ascii="Arial" w:cs="Arial" w:eastAsia="Arial" w:hAnsi="Arial"/>
          <w:sz w:val="10"/>
          <w:szCs w:val="10"/>
          <w:color w:val="666666"/>
        </w:rPr>
        <w:t>This column reflects the fiscal year 2018 annual cash incentive bonus program, which provides awards based on the achievement of corporate performance objectives. The amount reported in the Summary Compensation Table is with respect to the year in which the bonus is earned. See “Compensation Discussion and Analysis - Compensation Elements - Annual Cash Incentive” for additional detail regarding the annual performance bonus program.</w:t>
      </w:r>
    </w:p>
    <w:p>
      <w:pPr>
        <w:ind w:left="600" w:hanging="228"/>
        <w:spacing w:after="0"/>
        <w:tabs>
          <w:tab w:leader="none" w:pos="600" w:val="left"/>
        </w:tabs>
        <w:numPr>
          <w:ilvl w:val="0"/>
          <w:numId w:val="37"/>
        </w:numPr>
        <w:rPr>
          <w:rFonts w:ascii="Arial" w:cs="Arial" w:eastAsia="Arial" w:hAnsi="Arial"/>
          <w:sz w:val="10"/>
          <w:szCs w:val="10"/>
          <w:color w:val="666666"/>
        </w:rPr>
      </w:pPr>
      <w:r>
        <w:rPr>
          <w:rFonts w:ascii="Arial" w:cs="Arial" w:eastAsia="Arial" w:hAnsi="Arial"/>
          <w:sz w:val="10"/>
          <w:szCs w:val="10"/>
          <w:color w:val="666666"/>
        </w:rPr>
        <w:t>This column reflects the change in value of the cash retirement benefit accrued under the Officers' Retirement Plan for each of our named executive officers.</w:t>
      </w:r>
    </w:p>
    <w:p>
      <w:pPr>
        <w:ind w:left="600" w:hanging="228"/>
        <w:spacing w:after="0"/>
        <w:tabs>
          <w:tab w:leader="none" w:pos="600" w:val="left"/>
        </w:tabs>
        <w:numPr>
          <w:ilvl w:val="0"/>
          <w:numId w:val="37"/>
        </w:numPr>
        <w:rPr>
          <w:rFonts w:ascii="Arial" w:cs="Arial" w:eastAsia="Arial" w:hAnsi="Arial"/>
          <w:sz w:val="10"/>
          <w:szCs w:val="10"/>
          <w:color w:val="666666"/>
        </w:rPr>
      </w:pPr>
      <w:r>
        <w:rPr>
          <w:rFonts w:ascii="Arial" w:cs="Arial" w:eastAsia="Arial" w:hAnsi="Arial"/>
          <w:sz w:val="10"/>
          <w:szCs w:val="10"/>
          <w:color w:val="666666"/>
        </w:rPr>
        <w:t>Ms. Penfield was not a named executive officer in fiscal year 2016 or 2017.</w:t>
      </w:r>
    </w:p>
    <w:p>
      <w:pPr>
        <w:ind w:left="600" w:hanging="228"/>
        <w:spacing w:after="0"/>
        <w:tabs>
          <w:tab w:leader="none" w:pos="600" w:val="left"/>
        </w:tabs>
        <w:numPr>
          <w:ilvl w:val="0"/>
          <w:numId w:val="37"/>
        </w:numPr>
        <w:rPr>
          <w:rFonts w:ascii="Arial" w:cs="Arial" w:eastAsia="Arial" w:hAnsi="Arial"/>
          <w:sz w:val="10"/>
          <w:szCs w:val="10"/>
          <w:color w:val="666666"/>
        </w:rPr>
      </w:pPr>
      <w:r>
        <w:rPr>
          <w:rFonts w:ascii="Arial" w:cs="Arial" w:eastAsia="Arial" w:hAnsi="Arial"/>
          <w:sz w:val="10"/>
          <w:szCs w:val="10"/>
          <w:color w:val="666666"/>
        </w:rPr>
        <w:t>The table below describes the elements included in All Other Compensation.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40</w:t>
      </w:r>
    </w:p>
    <w:p>
      <w:pPr>
        <w:sectPr>
          <w:pgSz w:w="11900" w:h="16838" w:orient="portrait"/>
          <w:cols w:equalWidth="0" w:num="1">
            <w:col w:w="11500"/>
          </w:cols>
          <w:pgMar w:left="200" w:top="443" w:right="19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869315</wp:posOffset>
            </wp:positionH>
            <wp:positionV relativeFrom="page">
              <wp:posOffset>357505</wp:posOffset>
            </wp:positionV>
            <wp:extent cx="5828665" cy="1146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28665" cy="1146175"/>
                    </a:xfrm>
                    <a:prstGeom prst="rect">
                      <a:avLst/>
                    </a:prstGeom>
                    <a:noFill/>
                  </pic:spPr>
                </pic:pic>
              </a:graphicData>
            </a:graphic>
          </wp:anchor>
        </w:drawing>
        <w:t>OTHER COMPENSATION TABLE</w:t>
      </w:r>
    </w:p>
    <w:p>
      <w:pPr>
        <w:spacing w:after="0" w:line="58" w:lineRule="exact"/>
        <w:rPr>
          <w:sz w:val="20"/>
          <w:szCs w:val="20"/>
          <w:color w:val="auto"/>
        </w:rPr>
      </w:pPr>
    </w:p>
    <w:tbl>
      <w:tblPr>
        <w:tblLayout w:type="fixed"/>
        <w:tblInd w:w="116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740" w:type="dxa"/>
            <w:vAlign w:val="bottom"/>
            <w:shd w:val="clear" w:color="auto" w:fill="DDDDDD"/>
          </w:tcPr>
          <w:p>
            <w:pPr>
              <w:spacing w:after="0"/>
              <w:rPr>
                <w:sz w:val="10"/>
                <w:szCs w:val="10"/>
                <w:color w:val="auto"/>
              </w:rPr>
            </w:pPr>
          </w:p>
        </w:tc>
        <w:tc>
          <w:tcPr>
            <w:tcW w:w="1080" w:type="dxa"/>
            <w:vAlign w:val="bottom"/>
            <w:shd w:val="clear" w:color="auto" w:fill="DDDDDD"/>
          </w:tcPr>
          <w:p>
            <w:pPr>
              <w:spacing w:after="0"/>
              <w:rPr>
                <w:sz w:val="10"/>
                <w:szCs w:val="10"/>
                <w:color w:val="auto"/>
              </w:rPr>
            </w:pPr>
          </w:p>
        </w:tc>
        <w:tc>
          <w:tcPr>
            <w:tcW w:w="1140" w:type="dxa"/>
            <w:vAlign w:val="bottom"/>
            <w:vMerge w:val="restart"/>
            <w:shd w:val="clear" w:color="auto" w:fill="DDDDDD"/>
          </w:tcPr>
          <w:p>
            <w:pPr>
              <w:jc w:val="center"/>
              <w:spacing w:after="0"/>
              <w:rPr>
                <w:sz w:val="20"/>
                <w:szCs w:val="20"/>
                <w:color w:val="auto"/>
              </w:rPr>
            </w:pPr>
            <w:r>
              <w:rPr>
                <w:rFonts w:ascii="Arial" w:cs="Arial" w:eastAsia="Arial" w:hAnsi="Arial"/>
                <w:sz w:val="10"/>
                <w:szCs w:val="10"/>
                <w:b w:val="1"/>
                <w:bCs w:val="1"/>
                <w:color w:val="666666"/>
              </w:rPr>
              <w:t>Qualified</w:t>
            </w:r>
          </w:p>
        </w:tc>
        <w:tc>
          <w:tcPr>
            <w:tcW w:w="1140" w:type="dxa"/>
            <w:vAlign w:val="bottom"/>
            <w:shd w:val="clear" w:color="auto" w:fill="DDDDDD"/>
          </w:tcPr>
          <w:p>
            <w:pPr>
              <w:jc w:val="center"/>
              <w:spacing w:after="0"/>
              <w:rPr>
                <w:sz w:val="20"/>
                <w:szCs w:val="20"/>
                <w:color w:val="auto"/>
              </w:rPr>
            </w:pPr>
            <w:r>
              <w:rPr>
                <w:rFonts w:ascii="Arial" w:cs="Arial" w:eastAsia="Arial" w:hAnsi="Arial"/>
                <w:sz w:val="10"/>
                <w:szCs w:val="10"/>
                <w:b w:val="1"/>
                <w:bCs w:val="1"/>
                <w:color w:val="666666"/>
              </w:rPr>
              <w:t>Company Non-</w:t>
            </w:r>
          </w:p>
        </w:tc>
        <w:tc>
          <w:tcPr>
            <w:tcW w:w="1320" w:type="dxa"/>
            <w:vAlign w:val="bottom"/>
            <w:vMerge w:val="restart"/>
            <w:shd w:val="clear" w:color="auto" w:fill="DDDDDD"/>
          </w:tcPr>
          <w:p>
            <w:pPr>
              <w:jc w:val="center"/>
              <w:spacing w:after="0"/>
              <w:rPr>
                <w:sz w:val="20"/>
                <w:szCs w:val="20"/>
                <w:color w:val="auto"/>
              </w:rPr>
            </w:pPr>
            <w:r>
              <w:rPr>
                <w:rFonts w:ascii="Arial" w:cs="Arial" w:eastAsia="Arial" w:hAnsi="Arial"/>
                <w:sz w:val="10"/>
                <w:szCs w:val="10"/>
                <w:b w:val="1"/>
                <w:bCs w:val="1"/>
                <w:color w:val="666666"/>
              </w:rPr>
              <w:t>Executive</w:t>
            </w:r>
          </w:p>
        </w:tc>
        <w:tc>
          <w:tcPr>
            <w:tcW w:w="920" w:type="dxa"/>
            <w:vAlign w:val="bottom"/>
            <w:shd w:val="clear" w:color="auto" w:fill="DDDDDD"/>
          </w:tcPr>
          <w:p>
            <w:pPr>
              <w:spacing w:after="0"/>
              <w:rPr>
                <w:sz w:val="10"/>
                <w:szCs w:val="10"/>
                <w:color w:val="auto"/>
              </w:rPr>
            </w:pPr>
          </w:p>
        </w:tc>
        <w:tc>
          <w:tcPr>
            <w:tcW w:w="940" w:type="dxa"/>
            <w:vAlign w:val="bottom"/>
            <w:shd w:val="clear" w:color="auto" w:fill="DDDDDD"/>
          </w:tcPr>
          <w:p>
            <w:pPr>
              <w:spacing w:after="0"/>
              <w:rPr>
                <w:sz w:val="10"/>
                <w:szCs w:val="10"/>
                <w:color w:val="auto"/>
              </w:rPr>
            </w:pPr>
          </w:p>
        </w:tc>
        <w:tc>
          <w:tcPr>
            <w:tcW w:w="88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40" w:type="dxa"/>
            <w:vAlign w:val="bottom"/>
            <w:shd w:val="clear" w:color="auto" w:fill="DDDDDD"/>
          </w:tcPr>
          <w:p>
            <w:pPr>
              <w:spacing w:after="0"/>
              <w:rPr>
                <w:sz w:val="10"/>
                <w:szCs w:val="10"/>
                <w:color w:val="auto"/>
              </w:rPr>
            </w:pPr>
          </w:p>
        </w:tc>
        <w:tc>
          <w:tcPr>
            <w:tcW w:w="1080" w:type="dxa"/>
            <w:vAlign w:val="bottom"/>
            <w:shd w:val="clear" w:color="auto" w:fill="DDDDDD"/>
          </w:tcPr>
          <w:p>
            <w:pPr>
              <w:spacing w:after="0"/>
              <w:rPr>
                <w:sz w:val="10"/>
                <w:szCs w:val="10"/>
                <w:color w:val="auto"/>
              </w:rPr>
            </w:pPr>
          </w:p>
        </w:tc>
        <w:tc>
          <w:tcPr>
            <w:tcW w:w="1140" w:type="dxa"/>
            <w:vAlign w:val="bottom"/>
            <w:vMerge w:val="continue"/>
            <w:shd w:val="clear" w:color="auto" w:fill="DDDDDD"/>
          </w:tcPr>
          <w:p>
            <w:pPr>
              <w:spacing w:after="0"/>
              <w:rPr>
                <w:sz w:val="10"/>
                <w:szCs w:val="10"/>
                <w:color w:val="auto"/>
              </w:rPr>
            </w:pPr>
          </w:p>
        </w:tc>
        <w:tc>
          <w:tcPr>
            <w:tcW w:w="1140" w:type="dxa"/>
            <w:vAlign w:val="bottom"/>
            <w:shd w:val="clear" w:color="auto" w:fill="DDDDDD"/>
          </w:tcPr>
          <w:p>
            <w:pPr>
              <w:jc w:val="center"/>
              <w:spacing w:after="0"/>
              <w:rPr>
                <w:sz w:val="20"/>
                <w:szCs w:val="20"/>
                <w:color w:val="auto"/>
              </w:rPr>
            </w:pPr>
            <w:r>
              <w:rPr>
                <w:rFonts w:ascii="Arial" w:cs="Arial" w:eastAsia="Arial" w:hAnsi="Arial"/>
                <w:sz w:val="10"/>
                <w:szCs w:val="10"/>
                <w:b w:val="1"/>
                <w:bCs w:val="1"/>
                <w:color w:val="666666"/>
                <w:w w:val="98"/>
              </w:rPr>
              <w:t>Qualified</w:t>
            </w:r>
          </w:p>
        </w:tc>
        <w:tc>
          <w:tcPr>
            <w:tcW w:w="1320" w:type="dxa"/>
            <w:vAlign w:val="bottom"/>
            <w:vMerge w:val="continue"/>
            <w:shd w:val="clear" w:color="auto" w:fill="DDDDDD"/>
          </w:tcPr>
          <w:p>
            <w:pPr>
              <w:spacing w:after="0"/>
              <w:rPr>
                <w:sz w:val="10"/>
                <w:szCs w:val="10"/>
                <w:color w:val="auto"/>
              </w:rPr>
            </w:pPr>
          </w:p>
        </w:tc>
        <w:tc>
          <w:tcPr>
            <w:tcW w:w="920" w:type="dxa"/>
            <w:vAlign w:val="bottom"/>
            <w:shd w:val="clear" w:color="auto" w:fill="DDDDDD"/>
          </w:tcPr>
          <w:p>
            <w:pPr>
              <w:spacing w:after="0"/>
              <w:rPr>
                <w:sz w:val="10"/>
                <w:szCs w:val="10"/>
                <w:color w:val="auto"/>
              </w:rPr>
            </w:pPr>
          </w:p>
        </w:tc>
        <w:tc>
          <w:tcPr>
            <w:tcW w:w="940" w:type="dxa"/>
            <w:vAlign w:val="bottom"/>
            <w:shd w:val="clear" w:color="auto" w:fill="DDDDDD"/>
          </w:tcPr>
          <w:p>
            <w:pPr>
              <w:spacing w:after="0"/>
              <w:rPr>
                <w:sz w:val="10"/>
                <w:szCs w:val="10"/>
                <w:color w:val="auto"/>
              </w:rPr>
            </w:pPr>
          </w:p>
        </w:tc>
        <w:tc>
          <w:tcPr>
            <w:tcW w:w="88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40" w:type="dxa"/>
            <w:vAlign w:val="bottom"/>
            <w:shd w:val="clear" w:color="auto" w:fill="DDDDDD"/>
          </w:tcPr>
          <w:p>
            <w:pPr>
              <w:spacing w:after="0"/>
              <w:rPr>
                <w:sz w:val="10"/>
                <w:szCs w:val="10"/>
                <w:color w:val="auto"/>
              </w:rPr>
            </w:pPr>
          </w:p>
        </w:tc>
        <w:tc>
          <w:tcPr>
            <w:tcW w:w="1080" w:type="dxa"/>
            <w:vAlign w:val="bottom"/>
            <w:vMerge w:val="restart"/>
            <w:shd w:val="clear" w:color="auto" w:fill="DDDDDD"/>
          </w:tcPr>
          <w:p>
            <w:pPr>
              <w:jc w:val="center"/>
              <w:spacing w:after="0"/>
              <w:rPr>
                <w:sz w:val="20"/>
                <w:szCs w:val="20"/>
                <w:color w:val="auto"/>
              </w:rPr>
            </w:pPr>
            <w:r>
              <w:rPr>
                <w:rFonts w:ascii="Arial" w:cs="Arial" w:eastAsia="Arial" w:hAnsi="Arial"/>
                <w:sz w:val="10"/>
                <w:szCs w:val="10"/>
                <w:b w:val="1"/>
                <w:bCs w:val="1"/>
                <w:color w:val="666666"/>
              </w:rPr>
              <w:t>Financial</w:t>
            </w:r>
          </w:p>
        </w:tc>
        <w:tc>
          <w:tcPr>
            <w:tcW w:w="1140" w:type="dxa"/>
            <w:vAlign w:val="bottom"/>
            <w:shd w:val="clear" w:color="auto" w:fill="DDDDDD"/>
          </w:tcPr>
          <w:p>
            <w:pPr>
              <w:jc w:val="center"/>
              <w:spacing w:after="0"/>
              <w:rPr>
                <w:sz w:val="20"/>
                <w:szCs w:val="20"/>
                <w:color w:val="auto"/>
              </w:rPr>
            </w:pPr>
            <w:r>
              <w:rPr>
                <w:rFonts w:ascii="Arial" w:cs="Arial" w:eastAsia="Arial" w:hAnsi="Arial"/>
                <w:sz w:val="10"/>
                <w:szCs w:val="10"/>
                <w:b w:val="1"/>
                <w:bCs w:val="1"/>
                <w:color w:val="666666"/>
              </w:rPr>
              <w:t>Company</w:t>
            </w:r>
          </w:p>
        </w:tc>
        <w:tc>
          <w:tcPr>
            <w:tcW w:w="1140" w:type="dxa"/>
            <w:vAlign w:val="bottom"/>
            <w:shd w:val="clear" w:color="auto" w:fill="DDDDDD"/>
          </w:tcPr>
          <w:p>
            <w:pPr>
              <w:jc w:val="center"/>
              <w:spacing w:after="0"/>
              <w:rPr>
                <w:sz w:val="20"/>
                <w:szCs w:val="20"/>
                <w:color w:val="auto"/>
              </w:rPr>
            </w:pPr>
            <w:r>
              <w:rPr>
                <w:rFonts w:ascii="Arial" w:cs="Arial" w:eastAsia="Arial" w:hAnsi="Arial"/>
                <w:sz w:val="10"/>
                <w:szCs w:val="10"/>
                <w:b w:val="1"/>
                <w:bCs w:val="1"/>
                <w:color w:val="666666"/>
              </w:rPr>
              <w:t>Retirement</w:t>
            </w:r>
          </w:p>
        </w:tc>
        <w:tc>
          <w:tcPr>
            <w:tcW w:w="1320" w:type="dxa"/>
            <w:vAlign w:val="bottom"/>
            <w:shd w:val="clear" w:color="auto" w:fill="DDDDDD"/>
          </w:tcPr>
          <w:p>
            <w:pPr>
              <w:jc w:val="center"/>
              <w:spacing w:after="0"/>
              <w:rPr>
                <w:sz w:val="20"/>
                <w:szCs w:val="20"/>
                <w:color w:val="auto"/>
              </w:rPr>
            </w:pPr>
            <w:r>
              <w:rPr>
                <w:rFonts w:ascii="Arial" w:cs="Arial" w:eastAsia="Arial" w:hAnsi="Arial"/>
                <w:sz w:val="10"/>
                <w:szCs w:val="10"/>
                <w:b w:val="1"/>
                <w:bCs w:val="1"/>
                <w:color w:val="666666"/>
              </w:rPr>
              <w:t>Medical and Retiree</w:t>
            </w:r>
          </w:p>
        </w:tc>
        <w:tc>
          <w:tcPr>
            <w:tcW w:w="920" w:type="dxa"/>
            <w:vAlign w:val="bottom"/>
            <w:vMerge w:val="restart"/>
            <w:shd w:val="clear" w:color="auto" w:fill="DDDDDD"/>
          </w:tcPr>
          <w:p>
            <w:pPr>
              <w:jc w:val="center"/>
              <w:ind w:right="29"/>
              <w:spacing w:after="0"/>
              <w:rPr>
                <w:sz w:val="20"/>
                <w:szCs w:val="20"/>
                <w:color w:val="auto"/>
              </w:rPr>
            </w:pPr>
            <w:r>
              <w:rPr>
                <w:rFonts w:ascii="Arial" w:cs="Arial" w:eastAsia="Arial" w:hAnsi="Arial"/>
                <w:sz w:val="10"/>
                <w:szCs w:val="10"/>
                <w:b w:val="1"/>
                <w:bCs w:val="1"/>
                <w:color w:val="666666"/>
              </w:rPr>
              <w:t>Life</w:t>
            </w:r>
          </w:p>
        </w:tc>
        <w:tc>
          <w:tcPr>
            <w:tcW w:w="940" w:type="dxa"/>
            <w:vAlign w:val="bottom"/>
            <w:shd w:val="clear" w:color="auto" w:fill="DDDDDD"/>
          </w:tcPr>
          <w:p>
            <w:pPr>
              <w:spacing w:after="0"/>
              <w:rPr>
                <w:sz w:val="10"/>
                <w:szCs w:val="10"/>
                <w:color w:val="auto"/>
              </w:rPr>
            </w:pPr>
          </w:p>
        </w:tc>
        <w:tc>
          <w:tcPr>
            <w:tcW w:w="88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740" w:type="dxa"/>
            <w:vAlign w:val="bottom"/>
            <w:vMerge w:val="restart"/>
            <w:shd w:val="clear" w:color="auto" w:fill="DDDDDD"/>
          </w:tcPr>
          <w:p>
            <w:pPr>
              <w:ind w:left="20"/>
              <w:spacing w:after="0"/>
              <w:rPr>
                <w:sz w:val="20"/>
                <w:szCs w:val="20"/>
                <w:color w:val="auto"/>
              </w:rPr>
            </w:pPr>
            <w:r>
              <w:rPr>
                <w:rFonts w:ascii="Arial" w:cs="Arial" w:eastAsia="Arial" w:hAnsi="Arial"/>
                <w:sz w:val="10"/>
                <w:szCs w:val="10"/>
                <w:b w:val="1"/>
                <w:bCs w:val="1"/>
                <w:color w:val="666666"/>
              </w:rPr>
              <w:t>Name</w:t>
            </w:r>
          </w:p>
        </w:tc>
        <w:tc>
          <w:tcPr>
            <w:tcW w:w="1080" w:type="dxa"/>
            <w:vAlign w:val="bottom"/>
            <w:vMerge w:val="continue"/>
            <w:shd w:val="clear" w:color="auto" w:fill="DDDDDD"/>
          </w:tcPr>
          <w:p>
            <w:pPr>
              <w:spacing w:after="0"/>
              <w:rPr>
                <w:sz w:val="9"/>
                <w:szCs w:val="9"/>
                <w:color w:val="auto"/>
              </w:rPr>
            </w:pPr>
          </w:p>
        </w:tc>
        <w:tc>
          <w:tcPr>
            <w:tcW w:w="1140" w:type="dxa"/>
            <w:vAlign w:val="bottom"/>
            <w:shd w:val="clear" w:color="auto" w:fill="DDDDDD"/>
          </w:tcPr>
          <w:p>
            <w:pPr>
              <w:jc w:val="center"/>
              <w:spacing w:after="0" w:line="114" w:lineRule="exact"/>
              <w:rPr>
                <w:sz w:val="20"/>
                <w:szCs w:val="20"/>
                <w:color w:val="auto"/>
              </w:rPr>
            </w:pPr>
            <w:r>
              <w:rPr>
                <w:rFonts w:ascii="Arial" w:cs="Arial" w:eastAsia="Arial" w:hAnsi="Arial"/>
                <w:sz w:val="10"/>
                <w:szCs w:val="10"/>
                <w:b w:val="1"/>
                <w:bCs w:val="1"/>
                <w:color w:val="666666"/>
              </w:rPr>
              <w:t>Contributions</w:t>
            </w:r>
          </w:p>
        </w:tc>
        <w:tc>
          <w:tcPr>
            <w:tcW w:w="1140" w:type="dxa"/>
            <w:vAlign w:val="bottom"/>
            <w:shd w:val="clear" w:color="auto" w:fill="DDDDDD"/>
          </w:tcPr>
          <w:p>
            <w:pPr>
              <w:jc w:val="center"/>
              <w:spacing w:after="0" w:line="114" w:lineRule="exact"/>
              <w:rPr>
                <w:sz w:val="20"/>
                <w:szCs w:val="20"/>
                <w:color w:val="auto"/>
              </w:rPr>
            </w:pPr>
            <w:r>
              <w:rPr>
                <w:rFonts w:ascii="Arial" w:cs="Arial" w:eastAsia="Arial" w:hAnsi="Arial"/>
                <w:sz w:val="10"/>
                <w:szCs w:val="10"/>
                <w:b w:val="1"/>
                <w:bCs w:val="1"/>
                <w:color w:val="666666"/>
              </w:rPr>
              <w:t>Contributions</w:t>
            </w:r>
          </w:p>
        </w:tc>
        <w:tc>
          <w:tcPr>
            <w:tcW w:w="1320" w:type="dxa"/>
            <w:vAlign w:val="bottom"/>
            <w:shd w:val="clear" w:color="auto" w:fill="DDDDDD"/>
          </w:tcPr>
          <w:p>
            <w:pPr>
              <w:jc w:val="center"/>
              <w:spacing w:after="0" w:line="114" w:lineRule="exact"/>
              <w:rPr>
                <w:sz w:val="20"/>
                <w:szCs w:val="20"/>
                <w:color w:val="auto"/>
              </w:rPr>
            </w:pPr>
            <w:r>
              <w:rPr>
                <w:rFonts w:ascii="Arial" w:cs="Arial" w:eastAsia="Arial" w:hAnsi="Arial"/>
                <w:sz w:val="10"/>
                <w:szCs w:val="10"/>
                <w:b w:val="1"/>
                <w:bCs w:val="1"/>
                <w:color w:val="666666"/>
              </w:rPr>
              <w:t>Plan</w:t>
            </w:r>
          </w:p>
        </w:tc>
        <w:tc>
          <w:tcPr>
            <w:tcW w:w="920" w:type="dxa"/>
            <w:vAlign w:val="bottom"/>
            <w:vMerge w:val="continue"/>
            <w:shd w:val="clear" w:color="auto" w:fill="DDDDDD"/>
          </w:tcPr>
          <w:p>
            <w:pPr>
              <w:spacing w:after="0"/>
              <w:rPr>
                <w:sz w:val="9"/>
                <w:szCs w:val="9"/>
                <w:color w:val="auto"/>
              </w:rPr>
            </w:pPr>
          </w:p>
        </w:tc>
        <w:tc>
          <w:tcPr>
            <w:tcW w:w="940" w:type="dxa"/>
            <w:vAlign w:val="bottom"/>
            <w:vMerge w:val="restart"/>
            <w:shd w:val="clear" w:color="auto" w:fill="DDDDDD"/>
          </w:tcPr>
          <w:p>
            <w:pPr>
              <w:ind w:left="280"/>
              <w:spacing w:after="0"/>
              <w:rPr>
                <w:sz w:val="20"/>
                <w:szCs w:val="20"/>
                <w:color w:val="auto"/>
              </w:rPr>
            </w:pPr>
            <w:r>
              <w:rPr>
                <w:rFonts w:ascii="Arial" w:cs="Arial" w:eastAsia="Arial" w:hAnsi="Arial"/>
                <w:sz w:val="10"/>
                <w:szCs w:val="10"/>
                <w:b w:val="1"/>
                <w:bCs w:val="1"/>
                <w:color w:val="666666"/>
              </w:rPr>
              <w:t xml:space="preserve">Other </w:t>
            </w:r>
            <w:r>
              <w:rPr>
                <w:rFonts w:ascii="Arial" w:cs="Arial" w:eastAsia="Arial" w:hAnsi="Arial"/>
                <w:sz w:val="17"/>
                <w:szCs w:val="17"/>
                <w:b w:val="1"/>
                <w:bCs w:val="1"/>
                <w:color w:val="666666"/>
                <w:vertAlign w:val="superscript"/>
              </w:rPr>
              <w:t>b</w:t>
            </w:r>
          </w:p>
        </w:tc>
        <w:tc>
          <w:tcPr>
            <w:tcW w:w="880" w:type="dxa"/>
            <w:vAlign w:val="bottom"/>
            <w:vMerge w:val="restart"/>
            <w:shd w:val="clear" w:color="auto" w:fill="DDDDDD"/>
          </w:tcPr>
          <w:p>
            <w:pPr>
              <w:jc w:val="right"/>
              <w:ind w:right="289"/>
              <w:spacing w:after="0"/>
              <w:rPr>
                <w:sz w:val="20"/>
                <w:szCs w:val="20"/>
                <w:color w:val="auto"/>
              </w:rPr>
            </w:pPr>
            <w:r>
              <w:rPr>
                <w:rFonts w:ascii="Arial" w:cs="Arial" w:eastAsia="Arial" w:hAnsi="Arial"/>
                <w:sz w:val="10"/>
                <w:szCs w:val="10"/>
                <w:b w:val="1"/>
                <w:bCs w:val="1"/>
                <w:color w:val="666666"/>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vMerge w:val="continue"/>
            <w:shd w:val="clear" w:color="auto" w:fill="DDDDDD"/>
          </w:tcPr>
          <w:p>
            <w:pPr>
              <w:spacing w:after="0"/>
              <w:rPr>
                <w:sz w:val="12"/>
                <w:szCs w:val="12"/>
                <w:color w:val="auto"/>
              </w:rPr>
            </w:pPr>
          </w:p>
        </w:tc>
        <w:tc>
          <w:tcPr>
            <w:tcW w:w="1080" w:type="dxa"/>
            <w:vAlign w:val="bottom"/>
            <w:shd w:val="clear" w:color="auto" w:fill="DDDDDD"/>
          </w:tcPr>
          <w:p>
            <w:pPr>
              <w:jc w:val="center"/>
              <w:spacing w:after="0"/>
              <w:rPr>
                <w:sz w:val="20"/>
                <w:szCs w:val="20"/>
                <w:color w:val="auto"/>
              </w:rPr>
            </w:pPr>
            <w:r>
              <w:rPr>
                <w:rFonts w:ascii="Arial" w:cs="Arial" w:eastAsia="Arial" w:hAnsi="Arial"/>
                <w:sz w:val="10"/>
                <w:szCs w:val="10"/>
                <w:b w:val="1"/>
                <w:bCs w:val="1"/>
                <w:color w:val="666666"/>
              </w:rPr>
              <w:t>Counseling</w:t>
            </w:r>
          </w:p>
        </w:tc>
        <w:tc>
          <w:tcPr>
            <w:tcW w:w="1140" w:type="dxa"/>
            <w:vAlign w:val="bottom"/>
            <w:shd w:val="clear" w:color="auto" w:fill="DDDDDD"/>
          </w:tcPr>
          <w:p>
            <w:pPr>
              <w:jc w:val="center"/>
              <w:spacing w:after="0"/>
              <w:rPr>
                <w:sz w:val="20"/>
                <w:szCs w:val="20"/>
                <w:color w:val="auto"/>
              </w:rPr>
            </w:pPr>
            <w:r>
              <w:rPr>
                <w:rFonts w:ascii="Arial" w:cs="Arial" w:eastAsia="Arial" w:hAnsi="Arial"/>
                <w:sz w:val="10"/>
                <w:szCs w:val="10"/>
                <w:b w:val="1"/>
                <w:bCs w:val="1"/>
                <w:color w:val="666666"/>
              </w:rPr>
              <w:t>to 401(k)</w:t>
            </w:r>
          </w:p>
        </w:tc>
        <w:tc>
          <w:tcPr>
            <w:tcW w:w="1140" w:type="dxa"/>
            <w:vAlign w:val="bottom"/>
            <w:shd w:val="clear" w:color="auto" w:fill="DDDDDD"/>
          </w:tcPr>
          <w:p>
            <w:pPr>
              <w:jc w:val="center"/>
              <w:spacing w:after="0" w:line="147" w:lineRule="exact"/>
              <w:rPr>
                <w:sz w:val="20"/>
                <w:szCs w:val="20"/>
                <w:color w:val="auto"/>
              </w:rPr>
            </w:pPr>
            <w:r>
              <w:rPr>
                <w:rFonts w:ascii="Arial" w:cs="Arial" w:eastAsia="Arial" w:hAnsi="Arial"/>
                <w:sz w:val="10"/>
                <w:szCs w:val="10"/>
                <w:b w:val="1"/>
                <w:bCs w:val="1"/>
                <w:color w:val="666666"/>
                <w:w w:val="99"/>
              </w:rPr>
              <w:t xml:space="preserve">to Employees </w:t>
            </w:r>
            <w:r>
              <w:rPr>
                <w:rFonts w:ascii="Arial" w:cs="Arial" w:eastAsia="Arial" w:hAnsi="Arial"/>
                <w:sz w:val="17"/>
                <w:szCs w:val="17"/>
                <w:b w:val="1"/>
                <w:bCs w:val="1"/>
                <w:color w:val="666666"/>
                <w:w w:val="99"/>
                <w:vertAlign w:val="superscript"/>
              </w:rPr>
              <w:t>a</w:t>
            </w:r>
          </w:p>
        </w:tc>
        <w:tc>
          <w:tcPr>
            <w:tcW w:w="1320" w:type="dxa"/>
            <w:vAlign w:val="bottom"/>
            <w:shd w:val="clear" w:color="auto" w:fill="DDDDDD"/>
          </w:tcPr>
          <w:p>
            <w:pPr>
              <w:jc w:val="center"/>
              <w:spacing w:after="0"/>
              <w:rPr>
                <w:sz w:val="20"/>
                <w:szCs w:val="20"/>
                <w:color w:val="auto"/>
              </w:rPr>
            </w:pPr>
            <w:r>
              <w:rPr>
                <w:rFonts w:ascii="Arial" w:cs="Arial" w:eastAsia="Arial" w:hAnsi="Arial"/>
                <w:sz w:val="10"/>
                <w:szCs w:val="10"/>
                <w:b w:val="1"/>
                <w:bCs w:val="1"/>
                <w:color w:val="666666"/>
              </w:rPr>
              <w:t>Contributions</w:t>
            </w:r>
          </w:p>
        </w:tc>
        <w:tc>
          <w:tcPr>
            <w:tcW w:w="920" w:type="dxa"/>
            <w:vAlign w:val="bottom"/>
            <w:shd w:val="clear" w:color="auto" w:fill="DDDDDD"/>
          </w:tcPr>
          <w:p>
            <w:pPr>
              <w:jc w:val="center"/>
              <w:ind w:right="29"/>
              <w:spacing w:after="0"/>
              <w:rPr>
                <w:sz w:val="20"/>
                <w:szCs w:val="20"/>
                <w:color w:val="auto"/>
              </w:rPr>
            </w:pPr>
            <w:r>
              <w:rPr>
                <w:rFonts w:ascii="Arial" w:cs="Arial" w:eastAsia="Arial" w:hAnsi="Arial"/>
                <w:sz w:val="10"/>
                <w:szCs w:val="10"/>
                <w:b w:val="1"/>
                <w:bCs w:val="1"/>
                <w:color w:val="666666"/>
              </w:rPr>
              <w:t>Insurance</w:t>
            </w:r>
          </w:p>
        </w:tc>
        <w:tc>
          <w:tcPr>
            <w:tcW w:w="940" w:type="dxa"/>
            <w:vAlign w:val="bottom"/>
            <w:vMerge w:val="continue"/>
            <w:shd w:val="clear" w:color="auto" w:fill="DDDDDD"/>
          </w:tcPr>
          <w:p>
            <w:pPr>
              <w:spacing w:after="0"/>
              <w:rPr>
                <w:sz w:val="12"/>
                <w:szCs w:val="12"/>
                <w:color w:val="auto"/>
              </w:rPr>
            </w:pPr>
          </w:p>
        </w:tc>
        <w:tc>
          <w:tcPr>
            <w:tcW w:w="880" w:type="dxa"/>
            <w:vAlign w:val="bottom"/>
            <w:vMerge w:val="continue"/>
            <w:shd w:val="clear" w:color="auto" w:fill="DDDDDD"/>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shd w:val="clear" w:color="auto" w:fill="DDDDDD"/>
          </w:tcPr>
          <w:p>
            <w:pPr>
              <w:spacing w:after="0"/>
              <w:rPr>
                <w:sz w:val="13"/>
                <w:szCs w:val="13"/>
                <w:color w:val="auto"/>
              </w:rPr>
            </w:pPr>
          </w:p>
        </w:tc>
        <w:tc>
          <w:tcPr>
            <w:tcW w:w="108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0"/>
                <w:szCs w:val="10"/>
                <w:b w:val="1"/>
                <w:bCs w:val="1"/>
                <w:color w:val="666666"/>
                <w:w w:val="97"/>
              </w:rPr>
              <w:t>($)</w:t>
            </w:r>
          </w:p>
        </w:tc>
        <w:tc>
          <w:tcPr>
            <w:tcW w:w="114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0"/>
                <w:szCs w:val="10"/>
                <w:b w:val="1"/>
                <w:bCs w:val="1"/>
                <w:color w:val="666666"/>
                <w:w w:val="97"/>
              </w:rPr>
              <w:t>($)</w:t>
            </w:r>
          </w:p>
        </w:tc>
        <w:tc>
          <w:tcPr>
            <w:tcW w:w="114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0"/>
                <w:szCs w:val="10"/>
                <w:b w:val="1"/>
                <w:bCs w:val="1"/>
                <w:color w:val="666666"/>
              </w:rPr>
              <w:t>($)</w:t>
            </w:r>
          </w:p>
        </w:tc>
        <w:tc>
          <w:tcPr>
            <w:tcW w:w="132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0"/>
                <w:szCs w:val="10"/>
                <w:b w:val="1"/>
                <w:bCs w:val="1"/>
                <w:color w:val="666666"/>
                <w:w w:val="97"/>
              </w:rPr>
              <w:t>($)</w:t>
            </w:r>
          </w:p>
        </w:tc>
        <w:tc>
          <w:tcPr>
            <w:tcW w:w="920" w:type="dxa"/>
            <w:vAlign w:val="bottom"/>
            <w:tcBorders>
              <w:bottom w:val="single" w:sz="8" w:color="auto"/>
            </w:tcBorders>
            <w:shd w:val="clear" w:color="auto" w:fill="DDDDDD"/>
          </w:tcPr>
          <w:p>
            <w:pPr>
              <w:jc w:val="center"/>
              <w:ind w:right="29"/>
              <w:spacing w:after="0"/>
              <w:rPr>
                <w:sz w:val="20"/>
                <w:szCs w:val="20"/>
                <w:color w:val="auto"/>
              </w:rPr>
            </w:pPr>
            <w:r>
              <w:rPr>
                <w:rFonts w:ascii="Arial" w:cs="Arial" w:eastAsia="Arial" w:hAnsi="Arial"/>
                <w:sz w:val="10"/>
                <w:szCs w:val="10"/>
                <w:b w:val="1"/>
                <w:bCs w:val="1"/>
                <w:color w:val="666666"/>
                <w:w w:val="97"/>
              </w:rPr>
              <w:t>($)</w:t>
            </w:r>
          </w:p>
        </w:tc>
        <w:tc>
          <w:tcPr>
            <w:tcW w:w="94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0"/>
                <w:szCs w:val="10"/>
                <w:b w:val="1"/>
                <w:bCs w:val="1"/>
                <w:color w:val="666666"/>
                <w:w w:val="97"/>
              </w:rPr>
              <w:t>($)</w:t>
            </w:r>
          </w:p>
        </w:tc>
        <w:tc>
          <w:tcPr>
            <w:tcW w:w="880" w:type="dxa"/>
            <w:vAlign w:val="bottom"/>
            <w:tcBorders>
              <w:bottom w:val="single" w:sz="8" w:color="auto"/>
            </w:tcBorders>
            <w:shd w:val="clear" w:color="auto" w:fill="DDDDDD"/>
          </w:tcPr>
          <w:p>
            <w:pPr>
              <w:jc w:val="right"/>
              <w:ind w:right="349"/>
              <w:spacing w:after="0"/>
              <w:rPr>
                <w:sz w:val="20"/>
                <w:szCs w:val="20"/>
                <w:color w:val="auto"/>
              </w:rPr>
            </w:pPr>
            <w:r>
              <w:rPr>
                <w:rFonts w:ascii="Arial" w:cs="Arial" w:eastAsia="Arial" w:hAnsi="Arial"/>
                <w:sz w:val="10"/>
                <w:szCs w:val="10"/>
                <w:b w:val="1"/>
                <w:bCs w:val="1"/>
                <w:color w:val="666666"/>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tcPr>
          <w:p>
            <w:pPr>
              <w:ind w:left="20"/>
              <w:spacing w:after="0"/>
              <w:rPr>
                <w:sz w:val="20"/>
                <w:szCs w:val="20"/>
                <w:color w:val="auto"/>
              </w:rPr>
            </w:pPr>
            <w:r>
              <w:rPr>
                <w:rFonts w:ascii="Arial" w:cs="Arial" w:eastAsia="Arial" w:hAnsi="Arial"/>
                <w:sz w:val="10"/>
                <w:szCs w:val="10"/>
                <w:b w:val="1"/>
                <w:bCs w:val="1"/>
                <w:color w:val="666666"/>
              </w:rPr>
              <w:t>Horacio D. Rozanski</w:t>
            </w:r>
          </w:p>
        </w:tc>
        <w:tc>
          <w:tcPr>
            <w:tcW w:w="1080" w:type="dxa"/>
            <w:vAlign w:val="bottom"/>
          </w:tcPr>
          <w:p>
            <w:pPr>
              <w:jc w:val="center"/>
              <w:spacing w:after="0"/>
              <w:rPr>
                <w:sz w:val="20"/>
                <w:szCs w:val="20"/>
                <w:color w:val="auto"/>
              </w:rPr>
            </w:pPr>
            <w:r>
              <w:rPr>
                <w:rFonts w:ascii="Arial" w:cs="Arial" w:eastAsia="Arial" w:hAnsi="Arial"/>
                <w:sz w:val="10"/>
                <w:szCs w:val="10"/>
                <w:color w:val="666666"/>
              </w:rPr>
              <w:t>15,000</w:t>
            </w:r>
          </w:p>
        </w:tc>
        <w:tc>
          <w:tcPr>
            <w:tcW w:w="1140" w:type="dxa"/>
            <w:vAlign w:val="bottom"/>
          </w:tcPr>
          <w:p>
            <w:pPr>
              <w:jc w:val="center"/>
              <w:spacing w:after="0"/>
              <w:rPr>
                <w:sz w:val="20"/>
                <w:szCs w:val="20"/>
                <w:color w:val="auto"/>
              </w:rPr>
            </w:pPr>
            <w:r>
              <w:rPr>
                <w:rFonts w:ascii="Arial" w:cs="Arial" w:eastAsia="Arial" w:hAnsi="Arial"/>
                <w:sz w:val="10"/>
                <w:szCs w:val="10"/>
                <w:color w:val="666666"/>
              </w:rPr>
              <w:t>16,200</w:t>
            </w:r>
          </w:p>
        </w:tc>
        <w:tc>
          <w:tcPr>
            <w:tcW w:w="1140" w:type="dxa"/>
            <w:vAlign w:val="bottom"/>
          </w:tcPr>
          <w:p>
            <w:pPr>
              <w:jc w:val="center"/>
              <w:spacing w:after="0"/>
              <w:rPr>
                <w:sz w:val="20"/>
                <w:szCs w:val="20"/>
                <w:color w:val="auto"/>
              </w:rPr>
            </w:pPr>
            <w:r>
              <w:rPr>
                <w:rFonts w:ascii="Arial" w:cs="Arial" w:eastAsia="Arial" w:hAnsi="Arial"/>
                <w:sz w:val="10"/>
                <w:szCs w:val="10"/>
                <w:color w:val="666666"/>
                <w:w w:val="97"/>
              </w:rPr>
              <w:t>18,000</w:t>
            </w:r>
          </w:p>
        </w:tc>
        <w:tc>
          <w:tcPr>
            <w:tcW w:w="1320" w:type="dxa"/>
            <w:vAlign w:val="bottom"/>
          </w:tcPr>
          <w:p>
            <w:pPr>
              <w:jc w:val="center"/>
              <w:spacing w:after="0"/>
              <w:rPr>
                <w:sz w:val="20"/>
                <w:szCs w:val="20"/>
                <w:color w:val="auto"/>
              </w:rPr>
            </w:pPr>
            <w:r>
              <w:rPr>
                <w:rFonts w:ascii="Arial" w:cs="Arial" w:eastAsia="Arial" w:hAnsi="Arial"/>
                <w:sz w:val="10"/>
                <w:szCs w:val="10"/>
                <w:color w:val="666666"/>
              </w:rPr>
              <w:t>50,171</w:t>
            </w:r>
          </w:p>
        </w:tc>
        <w:tc>
          <w:tcPr>
            <w:tcW w:w="920" w:type="dxa"/>
            <w:vAlign w:val="bottom"/>
          </w:tcPr>
          <w:p>
            <w:pPr>
              <w:jc w:val="center"/>
              <w:ind w:right="29"/>
              <w:spacing w:after="0"/>
              <w:rPr>
                <w:sz w:val="20"/>
                <w:szCs w:val="20"/>
                <w:color w:val="auto"/>
              </w:rPr>
            </w:pPr>
            <w:r>
              <w:rPr>
                <w:rFonts w:ascii="Arial" w:cs="Arial" w:eastAsia="Arial" w:hAnsi="Arial"/>
                <w:sz w:val="10"/>
                <w:szCs w:val="10"/>
                <w:color w:val="666666"/>
                <w:w w:val="95"/>
              </w:rPr>
              <w:t>2,988</w:t>
            </w:r>
          </w:p>
        </w:tc>
        <w:tc>
          <w:tcPr>
            <w:tcW w:w="940" w:type="dxa"/>
            <w:vAlign w:val="bottom"/>
          </w:tcPr>
          <w:p>
            <w:pPr>
              <w:jc w:val="center"/>
              <w:spacing w:after="0"/>
              <w:rPr>
                <w:sz w:val="20"/>
                <w:szCs w:val="20"/>
                <w:color w:val="auto"/>
              </w:rPr>
            </w:pPr>
            <w:r>
              <w:rPr>
                <w:rFonts w:ascii="Arial" w:cs="Arial" w:eastAsia="Arial" w:hAnsi="Arial"/>
                <w:sz w:val="10"/>
                <w:szCs w:val="10"/>
                <w:color w:val="666666"/>
                <w:w w:val="99"/>
              </w:rPr>
              <w:t>146,985</w:t>
            </w:r>
          </w:p>
        </w:tc>
        <w:tc>
          <w:tcPr>
            <w:tcW w:w="880" w:type="dxa"/>
            <w:vAlign w:val="bottom"/>
          </w:tcPr>
          <w:p>
            <w:pPr>
              <w:jc w:val="right"/>
              <w:ind w:right="49"/>
              <w:spacing w:after="0"/>
              <w:rPr>
                <w:sz w:val="20"/>
                <w:szCs w:val="20"/>
                <w:color w:val="auto"/>
              </w:rPr>
            </w:pPr>
            <w:r>
              <w:rPr>
                <w:rFonts w:ascii="Arial" w:cs="Arial" w:eastAsia="Arial" w:hAnsi="Arial"/>
                <w:sz w:val="10"/>
                <w:szCs w:val="10"/>
                <w:color w:val="666666"/>
              </w:rPr>
              <w:t>249,344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40" w:type="dxa"/>
            <w:vAlign w:val="bottom"/>
            <w:shd w:val="clear" w:color="auto" w:fill="DDDDDD"/>
          </w:tcPr>
          <w:p>
            <w:pPr>
              <w:ind w:left="20"/>
              <w:spacing w:after="0"/>
              <w:rPr>
                <w:sz w:val="20"/>
                <w:szCs w:val="20"/>
                <w:color w:val="auto"/>
              </w:rPr>
            </w:pPr>
            <w:r>
              <w:rPr>
                <w:rFonts w:ascii="Arial" w:cs="Arial" w:eastAsia="Arial" w:hAnsi="Arial"/>
                <w:sz w:val="10"/>
                <w:szCs w:val="10"/>
                <w:b w:val="1"/>
                <w:bCs w:val="1"/>
                <w:color w:val="666666"/>
              </w:rPr>
              <w:t>Lloyd W. Howell, Jr.</w:t>
            </w:r>
          </w:p>
        </w:tc>
        <w:tc>
          <w:tcPr>
            <w:tcW w:w="108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14,300</w:t>
            </w:r>
          </w:p>
        </w:tc>
        <w:tc>
          <w:tcPr>
            <w:tcW w:w="114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16,200</w:t>
            </w:r>
          </w:p>
        </w:tc>
        <w:tc>
          <w:tcPr>
            <w:tcW w:w="114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7"/>
              </w:rPr>
              <w:t>24,000</w:t>
            </w:r>
          </w:p>
        </w:tc>
        <w:tc>
          <w:tcPr>
            <w:tcW w:w="132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50,171</w:t>
            </w:r>
          </w:p>
        </w:tc>
        <w:tc>
          <w:tcPr>
            <w:tcW w:w="920" w:type="dxa"/>
            <w:vAlign w:val="bottom"/>
            <w:shd w:val="clear" w:color="auto" w:fill="DDDDDD"/>
          </w:tcPr>
          <w:p>
            <w:pPr>
              <w:jc w:val="center"/>
              <w:ind w:right="29"/>
              <w:spacing w:after="0"/>
              <w:rPr>
                <w:sz w:val="20"/>
                <w:szCs w:val="20"/>
                <w:color w:val="auto"/>
              </w:rPr>
            </w:pPr>
            <w:r>
              <w:rPr>
                <w:rFonts w:ascii="Arial" w:cs="Arial" w:eastAsia="Arial" w:hAnsi="Arial"/>
                <w:sz w:val="10"/>
                <w:szCs w:val="10"/>
                <w:color w:val="666666"/>
                <w:w w:val="95"/>
              </w:rPr>
              <w:t>3,468</w:t>
            </w:r>
          </w:p>
        </w:tc>
        <w:tc>
          <w:tcPr>
            <w:tcW w:w="94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21,708</w:t>
            </w:r>
          </w:p>
        </w:tc>
        <w:tc>
          <w:tcPr>
            <w:tcW w:w="880" w:type="dxa"/>
            <w:vAlign w:val="bottom"/>
            <w:shd w:val="clear" w:color="auto" w:fill="DDDDDD"/>
          </w:tcPr>
          <w:p>
            <w:pPr>
              <w:jc w:val="right"/>
              <w:ind w:right="49"/>
              <w:spacing w:after="0"/>
              <w:rPr>
                <w:sz w:val="20"/>
                <w:szCs w:val="20"/>
                <w:color w:val="auto"/>
              </w:rPr>
            </w:pPr>
            <w:r>
              <w:rPr>
                <w:rFonts w:ascii="Arial" w:cs="Arial" w:eastAsia="Arial" w:hAnsi="Arial"/>
                <w:sz w:val="10"/>
                <w:szCs w:val="10"/>
                <w:color w:val="666666"/>
              </w:rPr>
              <w:t>129,847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tcPr>
          <w:p>
            <w:pPr>
              <w:ind w:left="20"/>
              <w:spacing w:after="0"/>
              <w:rPr>
                <w:sz w:val="20"/>
                <w:szCs w:val="20"/>
                <w:color w:val="auto"/>
              </w:rPr>
            </w:pPr>
            <w:r>
              <w:rPr>
                <w:rFonts w:ascii="Arial" w:cs="Arial" w:eastAsia="Arial" w:hAnsi="Arial"/>
                <w:sz w:val="10"/>
                <w:szCs w:val="10"/>
                <w:b w:val="1"/>
                <w:bCs w:val="1"/>
                <w:color w:val="666666"/>
              </w:rPr>
              <w:t>Karen M. Dahut</w:t>
            </w:r>
          </w:p>
        </w:tc>
        <w:tc>
          <w:tcPr>
            <w:tcW w:w="1080" w:type="dxa"/>
            <w:vAlign w:val="bottom"/>
          </w:tcPr>
          <w:p>
            <w:pPr>
              <w:jc w:val="center"/>
              <w:spacing w:after="0"/>
              <w:rPr>
                <w:sz w:val="20"/>
                <w:szCs w:val="20"/>
                <w:color w:val="auto"/>
              </w:rPr>
            </w:pPr>
            <w:r>
              <w:rPr>
                <w:rFonts w:ascii="Arial" w:cs="Arial" w:eastAsia="Arial" w:hAnsi="Arial"/>
                <w:sz w:val="10"/>
                <w:szCs w:val="10"/>
                <w:color w:val="666666"/>
              </w:rPr>
              <w:t>15,000</w:t>
            </w:r>
          </w:p>
        </w:tc>
        <w:tc>
          <w:tcPr>
            <w:tcW w:w="1140" w:type="dxa"/>
            <w:vAlign w:val="bottom"/>
          </w:tcPr>
          <w:p>
            <w:pPr>
              <w:jc w:val="center"/>
              <w:spacing w:after="0"/>
              <w:rPr>
                <w:sz w:val="20"/>
                <w:szCs w:val="20"/>
                <w:color w:val="auto"/>
              </w:rPr>
            </w:pPr>
            <w:r>
              <w:rPr>
                <w:rFonts w:ascii="Arial" w:cs="Arial" w:eastAsia="Arial" w:hAnsi="Arial"/>
                <w:sz w:val="10"/>
                <w:szCs w:val="10"/>
                <w:color w:val="666666"/>
              </w:rPr>
              <w:t>16,200</w:t>
            </w:r>
          </w:p>
        </w:tc>
        <w:tc>
          <w:tcPr>
            <w:tcW w:w="1140" w:type="dxa"/>
            <w:vAlign w:val="bottom"/>
          </w:tcPr>
          <w:p>
            <w:pPr>
              <w:jc w:val="center"/>
              <w:spacing w:after="0"/>
              <w:rPr>
                <w:sz w:val="20"/>
                <w:szCs w:val="20"/>
                <w:color w:val="auto"/>
              </w:rPr>
            </w:pPr>
            <w:r>
              <w:rPr>
                <w:rFonts w:ascii="Arial" w:cs="Arial" w:eastAsia="Arial" w:hAnsi="Arial"/>
                <w:sz w:val="10"/>
                <w:szCs w:val="10"/>
                <w:color w:val="666666"/>
                <w:w w:val="97"/>
              </w:rPr>
              <w:t>24,000</w:t>
            </w:r>
          </w:p>
        </w:tc>
        <w:tc>
          <w:tcPr>
            <w:tcW w:w="1320" w:type="dxa"/>
            <w:vAlign w:val="bottom"/>
          </w:tcPr>
          <w:p>
            <w:pPr>
              <w:jc w:val="center"/>
              <w:spacing w:after="0"/>
              <w:rPr>
                <w:sz w:val="20"/>
                <w:szCs w:val="20"/>
                <w:color w:val="auto"/>
              </w:rPr>
            </w:pPr>
            <w:r>
              <w:rPr>
                <w:rFonts w:ascii="Arial" w:cs="Arial" w:eastAsia="Arial" w:hAnsi="Arial"/>
                <w:sz w:val="10"/>
                <w:szCs w:val="10"/>
                <w:color w:val="666666"/>
              </w:rPr>
              <w:t>50,171</w:t>
            </w:r>
          </w:p>
        </w:tc>
        <w:tc>
          <w:tcPr>
            <w:tcW w:w="920" w:type="dxa"/>
            <w:vAlign w:val="bottom"/>
          </w:tcPr>
          <w:p>
            <w:pPr>
              <w:jc w:val="center"/>
              <w:ind w:right="29"/>
              <w:spacing w:after="0"/>
              <w:rPr>
                <w:sz w:val="20"/>
                <w:szCs w:val="20"/>
                <w:color w:val="auto"/>
              </w:rPr>
            </w:pPr>
            <w:r>
              <w:rPr>
                <w:rFonts w:ascii="Arial" w:cs="Arial" w:eastAsia="Arial" w:hAnsi="Arial"/>
                <w:sz w:val="10"/>
                <w:szCs w:val="10"/>
                <w:color w:val="666666"/>
                <w:w w:val="95"/>
              </w:rPr>
              <w:t>4,542</w:t>
            </w:r>
          </w:p>
        </w:tc>
        <w:tc>
          <w:tcPr>
            <w:tcW w:w="940" w:type="dxa"/>
            <w:vAlign w:val="bottom"/>
          </w:tcPr>
          <w:p>
            <w:pPr>
              <w:jc w:val="center"/>
              <w:spacing w:after="0"/>
              <w:rPr>
                <w:sz w:val="20"/>
                <w:szCs w:val="20"/>
                <w:color w:val="auto"/>
              </w:rPr>
            </w:pPr>
            <w:r>
              <w:rPr>
                <w:rFonts w:ascii="Arial" w:cs="Arial" w:eastAsia="Arial" w:hAnsi="Arial"/>
                <w:sz w:val="10"/>
                <w:szCs w:val="10"/>
                <w:color w:val="666666"/>
              </w:rPr>
              <w:t>67,716</w:t>
            </w:r>
          </w:p>
        </w:tc>
        <w:tc>
          <w:tcPr>
            <w:tcW w:w="880" w:type="dxa"/>
            <w:vAlign w:val="bottom"/>
          </w:tcPr>
          <w:p>
            <w:pPr>
              <w:jc w:val="right"/>
              <w:ind w:right="49"/>
              <w:spacing w:after="0"/>
              <w:rPr>
                <w:sz w:val="20"/>
                <w:szCs w:val="20"/>
                <w:color w:val="auto"/>
              </w:rPr>
            </w:pPr>
            <w:r>
              <w:rPr>
                <w:rFonts w:ascii="Arial" w:cs="Arial" w:eastAsia="Arial" w:hAnsi="Arial"/>
                <w:sz w:val="10"/>
                <w:szCs w:val="10"/>
                <w:color w:val="666666"/>
              </w:rPr>
              <w:t>177,629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40" w:type="dxa"/>
            <w:vAlign w:val="bottom"/>
            <w:shd w:val="clear" w:color="auto" w:fill="DDDDDD"/>
          </w:tcPr>
          <w:p>
            <w:pPr>
              <w:ind w:left="20"/>
              <w:spacing w:after="0"/>
              <w:rPr>
                <w:sz w:val="20"/>
                <w:szCs w:val="20"/>
                <w:color w:val="auto"/>
              </w:rPr>
            </w:pPr>
            <w:r>
              <w:rPr>
                <w:rFonts w:ascii="Arial" w:cs="Arial" w:eastAsia="Arial" w:hAnsi="Arial"/>
                <w:sz w:val="10"/>
                <w:szCs w:val="10"/>
                <w:b w:val="1"/>
                <w:bCs w:val="1"/>
                <w:color w:val="666666"/>
              </w:rPr>
              <w:t>Joseph Logue</w:t>
            </w:r>
          </w:p>
        </w:tc>
        <w:tc>
          <w:tcPr>
            <w:tcW w:w="108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15,000</w:t>
            </w:r>
          </w:p>
        </w:tc>
        <w:tc>
          <w:tcPr>
            <w:tcW w:w="114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16,200</w:t>
            </w:r>
          </w:p>
        </w:tc>
        <w:tc>
          <w:tcPr>
            <w:tcW w:w="114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7"/>
              </w:rPr>
              <w:t>24,000</w:t>
            </w:r>
          </w:p>
        </w:tc>
        <w:tc>
          <w:tcPr>
            <w:tcW w:w="132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50,171</w:t>
            </w:r>
          </w:p>
        </w:tc>
        <w:tc>
          <w:tcPr>
            <w:tcW w:w="920" w:type="dxa"/>
            <w:vAlign w:val="bottom"/>
            <w:shd w:val="clear" w:color="auto" w:fill="DDDDDD"/>
          </w:tcPr>
          <w:p>
            <w:pPr>
              <w:jc w:val="center"/>
              <w:ind w:right="29"/>
              <w:spacing w:after="0"/>
              <w:rPr>
                <w:sz w:val="20"/>
                <w:szCs w:val="20"/>
                <w:color w:val="auto"/>
              </w:rPr>
            </w:pPr>
            <w:r>
              <w:rPr>
                <w:rFonts w:ascii="Arial" w:cs="Arial" w:eastAsia="Arial" w:hAnsi="Arial"/>
                <w:sz w:val="10"/>
                <w:szCs w:val="10"/>
                <w:color w:val="666666"/>
                <w:w w:val="95"/>
              </w:rPr>
              <w:t>4,116</w:t>
            </w:r>
          </w:p>
        </w:tc>
        <w:tc>
          <w:tcPr>
            <w:tcW w:w="94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21,608</w:t>
            </w:r>
          </w:p>
        </w:tc>
        <w:tc>
          <w:tcPr>
            <w:tcW w:w="880" w:type="dxa"/>
            <w:vAlign w:val="bottom"/>
            <w:shd w:val="clear" w:color="auto" w:fill="DDDDDD"/>
          </w:tcPr>
          <w:p>
            <w:pPr>
              <w:jc w:val="right"/>
              <w:ind w:right="49"/>
              <w:spacing w:after="0"/>
              <w:rPr>
                <w:sz w:val="20"/>
                <w:szCs w:val="20"/>
                <w:color w:val="auto"/>
              </w:rPr>
            </w:pPr>
            <w:r>
              <w:rPr>
                <w:rFonts w:ascii="Arial" w:cs="Arial" w:eastAsia="Arial" w:hAnsi="Arial"/>
                <w:sz w:val="10"/>
                <w:szCs w:val="10"/>
                <w:color w:val="666666"/>
              </w:rPr>
              <w:t>131,095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tcPr>
          <w:p>
            <w:pPr>
              <w:ind w:left="20"/>
              <w:spacing w:after="0"/>
              <w:rPr>
                <w:sz w:val="20"/>
                <w:szCs w:val="20"/>
                <w:color w:val="auto"/>
              </w:rPr>
            </w:pPr>
            <w:r>
              <w:rPr>
                <w:rFonts w:ascii="Arial" w:cs="Arial" w:eastAsia="Arial" w:hAnsi="Arial"/>
                <w:sz w:val="10"/>
                <w:szCs w:val="10"/>
                <w:b w:val="1"/>
                <w:bCs w:val="1"/>
                <w:color w:val="666666"/>
              </w:rPr>
              <w:t>Susan L. Penfield</w:t>
            </w:r>
          </w:p>
        </w:tc>
        <w:tc>
          <w:tcPr>
            <w:tcW w:w="1080" w:type="dxa"/>
            <w:vAlign w:val="bottom"/>
          </w:tcPr>
          <w:p>
            <w:pPr>
              <w:jc w:val="center"/>
              <w:spacing w:after="0"/>
              <w:rPr>
                <w:sz w:val="20"/>
                <w:szCs w:val="20"/>
                <w:color w:val="auto"/>
              </w:rPr>
            </w:pPr>
            <w:r>
              <w:rPr>
                <w:rFonts w:ascii="Arial" w:cs="Arial" w:eastAsia="Arial" w:hAnsi="Arial"/>
                <w:sz w:val="10"/>
                <w:szCs w:val="10"/>
                <w:color w:val="666666"/>
              </w:rPr>
              <w:t>12,500</w:t>
            </w:r>
          </w:p>
        </w:tc>
        <w:tc>
          <w:tcPr>
            <w:tcW w:w="1140" w:type="dxa"/>
            <w:vAlign w:val="bottom"/>
          </w:tcPr>
          <w:p>
            <w:pPr>
              <w:jc w:val="center"/>
              <w:spacing w:after="0"/>
              <w:rPr>
                <w:sz w:val="20"/>
                <w:szCs w:val="20"/>
                <w:color w:val="auto"/>
              </w:rPr>
            </w:pPr>
            <w:r>
              <w:rPr>
                <w:rFonts w:ascii="Arial" w:cs="Arial" w:eastAsia="Arial" w:hAnsi="Arial"/>
                <w:sz w:val="10"/>
                <w:szCs w:val="10"/>
                <w:color w:val="666666"/>
              </w:rPr>
              <w:t>16,200</w:t>
            </w:r>
          </w:p>
        </w:tc>
        <w:tc>
          <w:tcPr>
            <w:tcW w:w="1140" w:type="dxa"/>
            <w:vAlign w:val="bottom"/>
          </w:tcPr>
          <w:p>
            <w:pPr>
              <w:jc w:val="center"/>
              <w:spacing w:after="0"/>
              <w:rPr>
                <w:sz w:val="20"/>
                <w:szCs w:val="20"/>
                <w:color w:val="auto"/>
              </w:rPr>
            </w:pPr>
            <w:r>
              <w:rPr>
                <w:rFonts w:ascii="Arial" w:cs="Arial" w:eastAsia="Arial" w:hAnsi="Arial"/>
                <w:sz w:val="10"/>
                <w:szCs w:val="10"/>
                <w:color w:val="666666"/>
                <w:w w:val="97"/>
              </w:rPr>
              <w:t>24,000</w:t>
            </w:r>
          </w:p>
        </w:tc>
        <w:tc>
          <w:tcPr>
            <w:tcW w:w="1320" w:type="dxa"/>
            <w:vAlign w:val="bottom"/>
          </w:tcPr>
          <w:p>
            <w:pPr>
              <w:jc w:val="center"/>
              <w:spacing w:after="0"/>
              <w:rPr>
                <w:sz w:val="20"/>
                <w:szCs w:val="20"/>
                <w:color w:val="auto"/>
              </w:rPr>
            </w:pPr>
            <w:r>
              <w:rPr>
                <w:rFonts w:ascii="Arial" w:cs="Arial" w:eastAsia="Arial" w:hAnsi="Arial"/>
                <w:sz w:val="10"/>
                <w:szCs w:val="10"/>
                <w:color w:val="666666"/>
              </w:rPr>
              <w:t>50,171</w:t>
            </w:r>
          </w:p>
        </w:tc>
        <w:tc>
          <w:tcPr>
            <w:tcW w:w="920" w:type="dxa"/>
            <w:vAlign w:val="bottom"/>
          </w:tcPr>
          <w:p>
            <w:pPr>
              <w:jc w:val="center"/>
              <w:ind w:right="29"/>
              <w:spacing w:after="0"/>
              <w:rPr>
                <w:sz w:val="20"/>
                <w:szCs w:val="20"/>
                <w:color w:val="auto"/>
              </w:rPr>
            </w:pPr>
            <w:r>
              <w:rPr>
                <w:rFonts w:ascii="Arial" w:cs="Arial" w:eastAsia="Arial" w:hAnsi="Arial"/>
                <w:sz w:val="10"/>
                <w:szCs w:val="10"/>
                <w:color w:val="666666"/>
                <w:w w:val="95"/>
              </w:rPr>
              <w:t>5,862</w:t>
            </w:r>
          </w:p>
        </w:tc>
        <w:tc>
          <w:tcPr>
            <w:tcW w:w="940" w:type="dxa"/>
            <w:vAlign w:val="bottom"/>
          </w:tcPr>
          <w:p>
            <w:pPr>
              <w:jc w:val="center"/>
              <w:spacing w:after="0"/>
              <w:rPr>
                <w:sz w:val="20"/>
                <w:szCs w:val="20"/>
                <w:color w:val="auto"/>
              </w:rPr>
            </w:pPr>
            <w:r>
              <w:rPr>
                <w:rFonts w:ascii="Arial" w:cs="Arial" w:eastAsia="Arial" w:hAnsi="Arial"/>
                <w:sz w:val="10"/>
                <w:szCs w:val="10"/>
                <w:color w:val="666666"/>
              </w:rPr>
              <w:t>35,012</w:t>
            </w:r>
          </w:p>
        </w:tc>
        <w:tc>
          <w:tcPr>
            <w:tcW w:w="880" w:type="dxa"/>
            <w:vAlign w:val="bottom"/>
          </w:tcPr>
          <w:p>
            <w:pPr>
              <w:jc w:val="right"/>
              <w:ind w:right="49"/>
              <w:spacing w:after="0"/>
              <w:rPr>
                <w:sz w:val="20"/>
                <w:szCs w:val="20"/>
                <w:color w:val="auto"/>
              </w:rPr>
            </w:pPr>
            <w:r>
              <w:rPr>
                <w:rFonts w:ascii="Arial" w:cs="Arial" w:eastAsia="Arial" w:hAnsi="Arial"/>
                <w:sz w:val="10"/>
                <w:szCs w:val="10"/>
                <w:color w:val="666666"/>
              </w:rPr>
              <w:t>143,745</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400" w:hanging="230"/>
        <w:spacing w:after="0"/>
        <w:tabs>
          <w:tab w:leader="none" w:pos="400" w:val="left"/>
        </w:tabs>
        <w:numPr>
          <w:ilvl w:val="0"/>
          <w:numId w:val="38"/>
        </w:numPr>
        <w:rPr>
          <w:rFonts w:ascii="Arial" w:cs="Arial" w:eastAsia="Arial" w:hAnsi="Arial"/>
          <w:sz w:val="10"/>
          <w:szCs w:val="10"/>
          <w:color w:val="666666"/>
        </w:rPr>
      </w:pPr>
      <w:r>
        <w:rPr>
          <w:rFonts w:ascii="Arial" w:cs="Arial" w:eastAsia="Arial" w:hAnsi="Arial"/>
          <w:sz w:val="10"/>
          <w:szCs w:val="10"/>
          <w:color w:val="666666"/>
        </w:rPr>
        <w:t>Represents retirement plan contributions paid by the Company to the named executive officers as described above under “Compensation Discussion and Analysis — Compensation Elements — Retirement Benefits.”</w:t>
      </w:r>
    </w:p>
    <w:p>
      <w:pPr>
        <w:spacing w:after="0" w:line="12" w:lineRule="exact"/>
        <w:rPr>
          <w:rFonts w:ascii="Arial" w:cs="Arial" w:eastAsia="Arial" w:hAnsi="Arial"/>
          <w:sz w:val="10"/>
          <w:szCs w:val="10"/>
          <w:color w:val="666666"/>
        </w:rPr>
      </w:pPr>
    </w:p>
    <w:p>
      <w:pPr>
        <w:ind w:left="400" w:right="20" w:hanging="230"/>
        <w:spacing w:after="0" w:line="260" w:lineRule="auto"/>
        <w:tabs>
          <w:tab w:leader="none" w:pos="400" w:val="left"/>
        </w:tabs>
        <w:numPr>
          <w:ilvl w:val="0"/>
          <w:numId w:val="38"/>
        </w:numPr>
        <w:rPr>
          <w:rFonts w:ascii="Arial" w:cs="Arial" w:eastAsia="Arial" w:hAnsi="Arial"/>
          <w:sz w:val="10"/>
          <w:szCs w:val="10"/>
          <w:color w:val="666666"/>
        </w:rPr>
      </w:pPr>
      <w:r>
        <w:rPr>
          <w:rFonts w:ascii="Arial" w:cs="Arial" w:eastAsia="Arial" w:hAnsi="Arial"/>
          <w:sz w:val="10"/>
          <w:szCs w:val="10"/>
          <w:color w:val="666666"/>
        </w:rPr>
        <w:t>Includes: dental, supplemental medical (Mr. Howell $14,351, Mr. Logue $14,351), accident insurance, and personal excess liability coverage. This column also includes milestone anniversary awards for Messrs. Rozanski and Logue and Ms. Dahut, security services for Mr. Rozanski ($119,737), Ms. Dahut ($47,318), and Ms. Penfield ($16,364), and vehicle parking for Messrs. Rozanski and Howell and Mses. Dahut and Penfield.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7298690" cy="3426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8690" cy="342646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GRANTS OF PLAN BASED AWARDS TABLE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1500" w:type="dxa"/>
            <w:vAlign w:val="bottom"/>
            <w:shd w:val="clear" w:color="auto" w:fill="DDDDDD"/>
          </w:tcPr>
          <w:p>
            <w:pPr>
              <w:spacing w:after="0"/>
              <w:rPr>
                <w:sz w:val="9"/>
                <w:szCs w:val="9"/>
                <w:color w:val="auto"/>
              </w:rPr>
            </w:pPr>
          </w:p>
        </w:tc>
        <w:tc>
          <w:tcPr>
            <w:tcW w:w="800" w:type="dxa"/>
            <w:vAlign w:val="bottom"/>
            <w:shd w:val="clear" w:color="auto" w:fill="DDDDDD"/>
          </w:tcPr>
          <w:p>
            <w:pPr>
              <w:spacing w:after="0"/>
              <w:rPr>
                <w:sz w:val="9"/>
                <w:szCs w:val="9"/>
                <w:color w:val="auto"/>
              </w:rPr>
            </w:pPr>
          </w:p>
        </w:tc>
        <w:tc>
          <w:tcPr>
            <w:tcW w:w="800" w:type="dxa"/>
            <w:vAlign w:val="bottom"/>
            <w:shd w:val="clear" w:color="auto" w:fill="DDDDDD"/>
          </w:tcPr>
          <w:p>
            <w:pPr>
              <w:spacing w:after="0"/>
              <w:rPr>
                <w:sz w:val="9"/>
                <w:szCs w:val="9"/>
                <w:color w:val="auto"/>
              </w:rPr>
            </w:pPr>
          </w:p>
        </w:tc>
        <w:tc>
          <w:tcPr>
            <w:tcW w:w="620" w:type="dxa"/>
            <w:vAlign w:val="bottom"/>
            <w:shd w:val="clear" w:color="auto" w:fill="DDDDDD"/>
          </w:tcPr>
          <w:p>
            <w:pPr>
              <w:spacing w:after="0"/>
              <w:rPr>
                <w:sz w:val="9"/>
                <w:szCs w:val="9"/>
                <w:color w:val="auto"/>
              </w:rPr>
            </w:pPr>
          </w:p>
        </w:tc>
        <w:tc>
          <w:tcPr>
            <w:tcW w:w="1240" w:type="dxa"/>
            <w:vAlign w:val="bottom"/>
            <w:gridSpan w:val="2"/>
            <w:shd w:val="clear" w:color="auto" w:fill="DDDDDD"/>
          </w:tcPr>
          <w:p>
            <w:pPr>
              <w:jc w:val="center"/>
              <w:spacing w:after="0"/>
              <w:rPr>
                <w:sz w:val="20"/>
                <w:szCs w:val="20"/>
                <w:color w:val="auto"/>
              </w:rPr>
            </w:pPr>
            <w:r>
              <w:rPr>
                <w:rFonts w:ascii="Arial" w:cs="Arial" w:eastAsia="Arial" w:hAnsi="Arial"/>
                <w:sz w:val="9"/>
                <w:szCs w:val="9"/>
                <w:b w:val="1"/>
                <w:bCs w:val="1"/>
                <w:color w:val="666666"/>
                <w:w w:val="98"/>
              </w:rPr>
              <w:t>Estimated Possible Payouts</w:t>
            </w:r>
          </w:p>
        </w:tc>
        <w:tc>
          <w:tcPr>
            <w:tcW w:w="560" w:type="dxa"/>
            <w:vAlign w:val="bottom"/>
            <w:shd w:val="clear" w:color="auto" w:fill="DDDDDD"/>
          </w:tcPr>
          <w:p>
            <w:pPr>
              <w:spacing w:after="0"/>
              <w:rPr>
                <w:sz w:val="9"/>
                <w:szCs w:val="9"/>
                <w:color w:val="auto"/>
              </w:rPr>
            </w:pPr>
          </w:p>
        </w:tc>
        <w:tc>
          <w:tcPr>
            <w:tcW w:w="120" w:type="dxa"/>
            <w:vAlign w:val="bottom"/>
            <w:shd w:val="clear" w:color="auto" w:fill="DDDDDD"/>
          </w:tcPr>
          <w:p>
            <w:pPr>
              <w:spacing w:after="0"/>
              <w:rPr>
                <w:sz w:val="9"/>
                <w:szCs w:val="9"/>
                <w:color w:val="auto"/>
              </w:rPr>
            </w:pPr>
          </w:p>
        </w:tc>
        <w:tc>
          <w:tcPr>
            <w:tcW w:w="2420" w:type="dxa"/>
            <w:vAlign w:val="bottom"/>
            <w:gridSpan w:val="3"/>
            <w:shd w:val="clear" w:color="auto" w:fill="DDDDDD"/>
          </w:tcPr>
          <w:p>
            <w:pPr>
              <w:jc w:val="center"/>
              <w:spacing w:after="0"/>
              <w:rPr>
                <w:sz w:val="20"/>
                <w:szCs w:val="20"/>
                <w:color w:val="auto"/>
              </w:rPr>
            </w:pPr>
            <w:r>
              <w:rPr>
                <w:rFonts w:ascii="Arial" w:cs="Arial" w:eastAsia="Arial" w:hAnsi="Arial"/>
                <w:sz w:val="9"/>
                <w:szCs w:val="9"/>
                <w:b w:val="1"/>
                <w:bCs w:val="1"/>
                <w:color w:val="666666"/>
                <w:w w:val="99"/>
              </w:rPr>
              <w:t>Estimated Future and Possible Payouts Under Equity</w:t>
            </w: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b w:val="1"/>
                <w:bCs w:val="1"/>
                <w:color w:val="666666"/>
                <w:w w:val="99"/>
              </w:rPr>
              <w:t>All Other</w:t>
            </w:r>
          </w:p>
        </w:tc>
        <w:tc>
          <w:tcPr>
            <w:tcW w:w="860" w:type="dxa"/>
            <w:vAlign w:val="bottom"/>
            <w:shd w:val="clear" w:color="auto" w:fill="DDDDDD"/>
          </w:tcPr>
          <w:p>
            <w:pPr>
              <w:jc w:val="center"/>
              <w:spacing w:after="0"/>
              <w:rPr>
                <w:sz w:val="20"/>
                <w:szCs w:val="20"/>
                <w:color w:val="auto"/>
              </w:rPr>
            </w:pPr>
            <w:r>
              <w:rPr>
                <w:rFonts w:ascii="Arial" w:cs="Arial" w:eastAsia="Arial" w:hAnsi="Arial"/>
                <w:sz w:val="9"/>
                <w:szCs w:val="9"/>
                <w:b w:val="1"/>
                <w:bCs w:val="1"/>
                <w:color w:val="666666"/>
                <w:w w:val="99"/>
              </w:rPr>
              <w:t>All Other</w:t>
            </w:r>
          </w:p>
        </w:tc>
        <w:tc>
          <w:tcPr>
            <w:tcW w:w="820" w:type="dxa"/>
            <w:vAlign w:val="bottom"/>
            <w:shd w:val="clear" w:color="auto" w:fill="DDDDDD"/>
          </w:tcPr>
          <w:p>
            <w:pPr>
              <w:jc w:val="center"/>
              <w:ind w:right="100"/>
              <w:spacing w:after="0"/>
              <w:rPr>
                <w:sz w:val="20"/>
                <w:szCs w:val="20"/>
                <w:color w:val="auto"/>
              </w:rPr>
            </w:pPr>
            <w:r>
              <w:rPr>
                <w:rFonts w:ascii="Arial" w:cs="Arial" w:eastAsia="Arial" w:hAnsi="Arial"/>
                <w:sz w:val="9"/>
                <w:szCs w:val="9"/>
                <w:b w:val="1"/>
                <w:bCs w:val="1"/>
                <w:color w:val="666666"/>
                <w:w w:val="97"/>
              </w:rPr>
              <w:t>Exercise</w:t>
            </w:r>
          </w:p>
        </w:tc>
        <w:tc>
          <w:tcPr>
            <w:tcW w:w="940" w:type="dxa"/>
            <w:vAlign w:val="bottom"/>
            <w:shd w:val="clear" w:color="auto" w:fill="DDDDDD"/>
          </w:tcPr>
          <w:p>
            <w:pPr>
              <w:jc w:val="center"/>
              <w:ind w:right="78"/>
              <w:spacing w:after="0"/>
              <w:rPr>
                <w:sz w:val="20"/>
                <w:szCs w:val="20"/>
                <w:color w:val="auto"/>
              </w:rPr>
            </w:pPr>
            <w:r>
              <w:rPr>
                <w:rFonts w:ascii="Arial" w:cs="Arial" w:eastAsia="Arial" w:hAnsi="Arial"/>
                <w:sz w:val="9"/>
                <w:szCs w:val="9"/>
                <w:b w:val="1"/>
                <w:bCs w:val="1"/>
                <w:color w:val="666666"/>
                <w:w w:val="99"/>
              </w:rPr>
              <w:t>Grant Date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1500" w:type="dxa"/>
            <w:vAlign w:val="bottom"/>
            <w:tcBorders>
              <w:bottom w:val="single" w:sz="8" w:color="DDDDDD"/>
            </w:tcBorders>
            <w:shd w:val="clear" w:color="auto" w:fill="DDDDDD"/>
          </w:tcPr>
          <w:p>
            <w:pPr>
              <w:spacing w:after="0"/>
              <w:rPr>
                <w:sz w:val="11"/>
                <w:szCs w:val="11"/>
                <w:color w:val="auto"/>
              </w:rPr>
            </w:pPr>
          </w:p>
        </w:tc>
        <w:tc>
          <w:tcPr>
            <w:tcW w:w="800" w:type="dxa"/>
            <w:vAlign w:val="bottom"/>
            <w:tcBorders>
              <w:bottom w:val="single" w:sz="8" w:color="DDDDDD"/>
            </w:tcBorders>
            <w:shd w:val="clear" w:color="auto" w:fill="DDDDDD"/>
          </w:tcPr>
          <w:p>
            <w:pPr>
              <w:spacing w:after="0"/>
              <w:rPr>
                <w:sz w:val="11"/>
                <w:szCs w:val="11"/>
                <w:color w:val="auto"/>
              </w:rPr>
            </w:pPr>
          </w:p>
        </w:tc>
        <w:tc>
          <w:tcPr>
            <w:tcW w:w="800" w:type="dxa"/>
            <w:vAlign w:val="bottom"/>
            <w:tcBorders>
              <w:bottom w:val="single" w:sz="8" w:color="DDDDDD"/>
            </w:tcBorders>
            <w:shd w:val="clear" w:color="auto" w:fill="DDDDDD"/>
          </w:tcPr>
          <w:p>
            <w:pPr>
              <w:spacing w:after="0"/>
              <w:rPr>
                <w:sz w:val="11"/>
                <w:szCs w:val="11"/>
                <w:color w:val="auto"/>
              </w:rPr>
            </w:pPr>
          </w:p>
        </w:tc>
        <w:tc>
          <w:tcPr>
            <w:tcW w:w="2540" w:type="dxa"/>
            <w:vAlign w:val="bottom"/>
            <w:tcBorders>
              <w:bottom w:val="single" w:sz="8" w:color="DDDDDD"/>
            </w:tcBorders>
            <w:gridSpan w:val="5"/>
            <w:shd w:val="clear" w:color="auto" w:fill="DDDDDD"/>
          </w:tcPr>
          <w:p>
            <w:pPr>
              <w:jc w:val="center"/>
              <w:ind w:right="100"/>
              <w:spacing w:after="0" w:line="96" w:lineRule="exact"/>
              <w:rPr>
                <w:sz w:val="20"/>
                <w:szCs w:val="20"/>
                <w:color w:val="auto"/>
              </w:rPr>
            </w:pPr>
            <w:r>
              <w:rPr>
                <w:rFonts w:ascii="Arial" w:cs="Arial" w:eastAsia="Arial" w:hAnsi="Arial"/>
                <w:sz w:val="9"/>
                <w:szCs w:val="9"/>
                <w:b w:val="1"/>
                <w:bCs w:val="1"/>
                <w:color w:val="666666"/>
                <w:w w:val="99"/>
              </w:rPr>
              <w:t xml:space="preserve">Under Non-Equity Incentive Plan Awards </w:t>
            </w:r>
            <w:r>
              <w:rPr>
                <w:rFonts w:ascii="Arial" w:cs="Arial" w:eastAsia="Arial" w:hAnsi="Arial"/>
                <w:sz w:val="7"/>
                <w:szCs w:val="7"/>
                <w:b w:val="1"/>
                <w:bCs w:val="1"/>
                <w:color w:val="666666"/>
                <w:w w:val="99"/>
              </w:rPr>
              <w:t>1</w:t>
            </w:r>
          </w:p>
        </w:tc>
        <w:tc>
          <w:tcPr>
            <w:tcW w:w="660" w:type="dxa"/>
            <w:vAlign w:val="bottom"/>
            <w:tcBorders>
              <w:bottom w:val="single" w:sz="8" w:color="DDDDDD"/>
            </w:tcBorders>
            <w:shd w:val="clear" w:color="auto" w:fill="DDDDDD"/>
          </w:tcPr>
          <w:p>
            <w:pPr>
              <w:spacing w:after="0"/>
              <w:rPr>
                <w:sz w:val="11"/>
                <w:szCs w:val="11"/>
                <w:color w:val="auto"/>
              </w:rPr>
            </w:pPr>
          </w:p>
        </w:tc>
        <w:tc>
          <w:tcPr>
            <w:tcW w:w="1140" w:type="dxa"/>
            <w:vAlign w:val="bottom"/>
            <w:tcBorders>
              <w:bottom w:val="single" w:sz="8" w:color="DDDDDD"/>
            </w:tcBorders>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rPr>
              <w:t xml:space="preserve">Incentive Plan Awards </w:t>
            </w:r>
            <w:r>
              <w:rPr>
                <w:rFonts w:ascii="Arial" w:cs="Arial" w:eastAsia="Arial" w:hAnsi="Arial"/>
                <w:sz w:val="7"/>
                <w:szCs w:val="7"/>
                <w:b w:val="1"/>
                <w:bCs w:val="1"/>
                <w:color w:val="666666"/>
              </w:rPr>
              <w:t>2</w:t>
            </w:r>
          </w:p>
        </w:tc>
        <w:tc>
          <w:tcPr>
            <w:tcW w:w="620" w:type="dxa"/>
            <w:vAlign w:val="bottom"/>
            <w:tcBorders>
              <w:bottom w:val="single" w:sz="8" w:color="DDDDDD"/>
            </w:tcBorders>
            <w:shd w:val="clear" w:color="auto" w:fill="DDDDDD"/>
          </w:tcPr>
          <w:p>
            <w:pPr>
              <w:spacing w:after="0"/>
              <w:rPr>
                <w:sz w:val="11"/>
                <w:szCs w:val="11"/>
                <w:color w:val="auto"/>
              </w:rPr>
            </w:pPr>
          </w:p>
        </w:tc>
        <w:tc>
          <w:tcPr>
            <w:tcW w:w="800" w:type="dxa"/>
            <w:vAlign w:val="bottom"/>
            <w:tcBorders>
              <w:bottom w:val="single" w:sz="8" w:color="DDDDDD"/>
            </w:tcBorders>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7"/>
              </w:rPr>
              <w:t>Stock</w:t>
            </w:r>
          </w:p>
        </w:tc>
        <w:tc>
          <w:tcPr>
            <w:tcW w:w="860" w:type="dxa"/>
            <w:vAlign w:val="bottom"/>
            <w:tcBorders>
              <w:bottom w:val="single" w:sz="8" w:color="DDDDDD"/>
            </w:tcBorders>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rPr>
              <w:t>Option</w:t>
            </w:r>
          </w:p>
        </w:tc>
        <w:tc>
          <w:tcPr>
            <w:tcW w:w="820" w:type="dxa"/>
            <w:vAlign w:val="bottom"/>
            <w:tcBorders>
              <w:bottom w:val="single" w:sz="8" w:color="DDDDDD"/>
            </w:tcBorders>
            <w:shd w:val="clear" w:color="auto" w:fill="DDDDDD"/>
          </w:tcPr>
          <w:p>
            <w:pPr>
              <w:jc w:val="center"/>
              <w:ind w:right="100"/>
              <w:spacing w:after="0" w:line="96" w:lineRule="exact"/>
              <w:rPr>
                <w:sz w:val="20"/>
                <w:szCs w:val="20"/>
                <w:color w:val="auto"/>
              </w:rPr>
            </w:pPr>
            <w:r>
              <w:rPr>
                <w:rFonts w:ascii="Arial" w:cs="Arial" w:eastAsia="Arial" w:hAnsi="Arial"/>
                <w:sz w:val="9"/>
                <w:szCs w:val="9"/>
                <w:b w:val="1"/>
                <w:bCs w:val="1"/>
                <w:color w:val="666666"/>
                <w:w w:val="96"/>
              </w:rPr>
              <w:t>or Base</w:t>
            </w:r>
          </w:p>
        </w:tc>
        <w:tc>
          <w:tcPr>
            <w:tcW w:w="940" w:type="dxa"/>
            <w:vAlign w:val="bottom"/>
            <w:tcBorders>
              <w:bottom w:val="single" w:sz="8" w:color="DDDDDD"/>
            </w:tcBorders>
            <w:shd w:val="clear" w:color="auto" w:fill="DDDDDD"/>
          </w:tcPr>
          <w:p>
            <w:pPr>
              <w:jc w:val="center"/>
              <w:ind w:right="78"/>
              <w:spacing w:after="0" w:line="96" w:lineRule="exact"/>
              <w:rPr>
                <w:sz w:val="20"/>
                <w:szCs w:val="20"/>
                <w:color w:val="auto"/>
              </w:rPr>
            </w:pPr>
            <w:r>
              <w:rPr>
                <w:rFonts w:ascii="Arial" w:cs="Arial" w:eastAsia="Arial" w:hAnsi="Arial"/>
                <w:sz w:val="9"/>
                <w:szCs w:val="9"/>
                <w:b w:val="1"/>
                <w:bCs w:val="1"/>
                <w:color w:val="666666"/>
                <w:w w:val="97"/>
              </w:rPr>
              <w:t>Fair Value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DDDDDD"/>
            </w:tcBorders>
            <w:shd w:val="clear" w:color="auto" w:fill="DDDDDD"/>
          </w:tcPr>
          <w:p>
            <w:pPr>
              <w:spacing w:after="0" w:line="20" w:lineRule="exact"/>
              <w:rPr>
                <w:sz w:val="1"/>
                <w:szCs w:val="1"/>
                <w:color w:val="auto"/>
              </w:rPr>
            </w:pPr>
          </w:p>
        </w:tc>
        <w:tc>
          <w:tcPr>
            <w:tcW w:w="800" w:type="dxa"/>
            <w:vAlign w:val="bottom"/>
            <w:tcBorders>
              <w:top w:val="single" w:sz="8" w:color="DDDDDD"/>
            </w:tcBorders>
            <w:shd w:val="clear" w:color="auto" w:fill="DDDDDD"/>
          </w:tcPr>
          <w:p>
            <w:pPr>
              <w:spacing w:after="0" w:line="20" w:lineRule="exact"/>
              <w:rPr>
                <w:sz w:val="1"/>
                <w:szCs w:val="1"/>
                <w:color w:val="auto"/>
              </w:rPr>
            </w:pPr>
          </w:p>
        </w:tc>
        <w:tc>
          <w:tcPr>
            <w:tcW w:w="800" w:type="dxa"/>
            <w:vAlign w:val="bottom"/>
            <w:tcBorders>
              <w:top w:val="single" w:sz="8" w:color="DDDDDD"/>
            </w:tcBorders>
            <w:shd w:val="clear" w:color="auto" w:fill="DDDDDD"/>
          </w:tcPr>
          <w:p>
            <w:pPr>
              <w:spacing w:after="0" w:line="20" w:lineRule="exact"/>
              <w:rPr>
                <w:sz w:val="1"/>
                <w:szCs w:val="1"/>
                <w:color w:val="auto"/>
              </w:rPr>
            </w:pPr>
          </w:p>
        </w:tc>
        <w:tc>
          <w:tcPr>
            <w:tcW w:w="620" w:type="dxa"/>
            <w:vAlign w:val="bottom"/>
            <w:tcBorders>
              <w:top w:val="single" w:sz="8" w:color="666666"/>
            </w:tcBorders>
            <w:shd w:val="clear" w:color="auto" w:fill="DDDDDD"/>
          </w:tcPr>
          <w:p>
            <w:pPr>
              <w:spacing w:after="0" w:line="20" w:lineRule="exact"/>
              <w:rPr>
                <w:sz w:val="1"/>
                <w:szCs w:val="1"/>
                <w:color w:val="auto"/>
              </w:rPr>
            </w:pPr>
          </w:p>
        </w:tc>
        <w:tc>
          <w:tcPr>
            <w:tcW w:w="200" w:type="dxa"/>
            <w:vAlign w:val="bottom"/>
            <w:tcBorders>
              <w:top w:val="single" w:sz="8" w:color="666666"/>
            </w:tcBorders>
            <w:shd w:val="clear" w:color="auto" w:fill="DDDDDD"/>
          </w:tcPr>
          <w:p>
            <w:pPr>
              <w:spacing w:after="0" w:line="20" w:lineRule="exact"/>
              <w:rPr>
                <w:sz w:val="1"/>
                <w:szCs w:val="1"/>
                <w:color w:val="auto"/>
              </w:rPr>
            </w:pPr>
          </w:p>
        </w:tc>
        <w:tc>
          <w:tcPr>
            <w:tcW w:w="1040" w:type="dxa"/>
            <w:vAlign w:val="bottom"/>
            <w:tcBorders>
              <w:top w:val="single" w:sz="8" w:color="666666"/>
            </w:tcBorders>
            <w:shd w:val="clear" w:color="auto" w:fill="DDDDDD"/>
          </w:tcPr>
          <w:p>
            <w:pPr>
              <w:spacing w:after="0" w:line="20" w:lineRule="exact"/>
              <w:rPr>
                <w:sz w:val="1"/>
                <w:szCs w:val="1"/>
                <w:color w:val="auto"/>
              </w:rPr>
            </w:pPr>
          </w:p>
        </w:tc>
        <w:tc>
          <w:tcPr>
            <w:tcW w:w="560" w:type="dxa"/>
            <w:vAlign w:val="bottom"/>
            <w:tcBorders>
              <w:top w:val="single" w:sz="8" w:color="666666"/>
            </w:tcBorders>
            <w:shd w:val="clear" w:color="auto" w:fill="DDDDDD"/>
          </w:tcPr>
          <w:p>
            <w:pPr>
              <w:spacing w:after="0" w:line="20" w:lineRule="exact"/>
              <w:rPr>
                <w:sz w:val="1"/>
                <w:szCs w:val="1"/>
                <w:color w:val="auto"/>
              </w:rPr>
            </w:pPr>
          </w:p>
        </w:tc>
        <w:tc>
          <w:tcPr>
            <w:tcW w:w="120" w:type="dxa"/>
            <w:vAlign w:val="bottom"/>
            <w:tcBorders>
              <w:top w:val="single" w:sz="8" w:color="DDDDDD"/>
            </w:tcBorders>
            <w:shd w:val="clear" w:color="auto" w:fill="DDDDDD"/>
          </w:tcPr>
          <w:p>
            <w:pPr>
              <w:spacing w:after="0" w:line="20" w:lineRule="exact"/>
              <w:rPr>
                <w:sz w:val="1"/>
                <w:szCs w:val="1"/>
                <w:color w:val="auto"/>
              </w:rPr>
            </w:pPr>
          </w:p>
        </w:tc>
        <w:tc>
          <w:tcPr>
            <w:tcW w:w="660" w:type="dxa"/>
            <w:vAlign w:val="bottom"/>
            <w:tcBorders>
              <w:top w:val="single" w:sz="8" w:color="666666"/>
            </w:tcBorders>
            <w:shd w:val="clear" w:color="auto" w:fill="DDDDDD"/>
          </w:tcPr>
          <w:p>
            <w:pPr>
              <w:spacing w:after="0" w:line="20" w:lineRule="exact"/>
              <w:rPr>
                <w:sz w:val="1"/>
                <w:szCs w:val="1"/>
                <w:color w:val="auto"/>
              </w:rPr>
            </w:pPr>
          </w:p>
        </w:tc>
        <w:tc>
          <w:tcPr>
            <w:tcW w:w="1140" w:type="dxa"/>
            <w:vAlign w:val="bottom"/>
            <w:tcBorders>
              <w:top w:val="single" w:sz="8" w:color="666666"/>
            </w:tcBorders>
            <w:shd w:val="clear" w:color="auto" w:fill="DDDDDD"/>
          </w:tcPr>
          <w:p>
            <w:pPr>
              <w:spacing w:after="0" w:line="20" w:lineRule="exact"/>
              <w:rPr>
                <w:sz w:val="1"/>
                <w:szCs w:val="1"/>
                <w:color w:val="auto"/>
              </w:rPr>
            </w:pPr>
          </w:p>
        </w:tc>
        <w:tc>
          <w:tcPr>
            <w:tcW w:w="620" w:type="dxa"/>
            <w:vAlign w:val="bottom"/>
            <w:tcBorders>
              <w:top w:val="single" w:sz="8" w:color="666666"/>
            </w:tcBorders>
            <w:shd w:val="clear" w:color="auto" w:fill="DDDDDD"/>
          </w:tcPr>
          <w:p>
            <w:pPr>
              <w:spacing w:after="0" w:line="20" w:lineRule="exact"/>
              <w:rPr>
                <w:sz w:val="1"/>
                <w:szCs w:val="1"/>
                <w:color w:val="auto"/>
              </w:rPr>
            </w:pPr>
          </w:p>
        </w:tc>
        <w:tc>
          <w:tcPr>
            <w:tcW w:w="800" w:type="dxa"/>
            <w:vAlign w:val="bottom"/>
            <w:tcBorders>
              <w:top w:val="single" w:sz="8" w:color="DDDDDD"/>
            </w:tcBorders>
            <w:shd w:val="clear" w:color="auto" w:fill="DDDDDD"/>
          </w:tcPr>
          <w:p>
            <w:pPr>
              <w:jc w:val="center"/>
              <w:spacing w:after="0" w:line="22" w:lineRule="exact"/>
              <w:rPr>
                <w:sz w:val="20"/>
                <w:szCs w:val="20"/>
                <w:color w:val="auto"/>
              </w:rPr>
            </w:pPr>
            <w:r>
              <w:rPr>
                <w:rFonts w:ascii="Arial" w:cs="Arial" w:eastAsia="Arial" w:hAnsi="Arial"/>
                <w:sz w:val="2"/>
                <w:szCs w:val="2"/>
                <w:b w:val="1"/>
                <w:bCs w:val="1"/>
                <w:color w:val="666666"/>
              </w:rPr>
              <w:t>Awards;</w:t>
            </w:r>
          </w:p>
        </w:tc>
        <w:tc>
          <w:tcPr>
            <w:tcW w:w="860" w:type="dxa"/>
            <w:vAlign w:val="bottom"/>
            <w:tcBorders>
              <w:top w:val="single" w:sz="8" w:color="DDDDDD"/>
            </w:tcBorders>
            <w:shd w:val="clear" w:color="auto" w:fill="DDDDDD"/>
          </w:tcPr>
          <w:p>
            <w:pPr>
              <w:jc w:val="center"/>
              <w:spacing w:after="0" w:line="22" w:lineRule="exact"/>
              <w:rPr>
                <w:sz w:val="20"/>
                <w:szCs w:val="20"/>
                <w:color w:val="auto"/>
              </w:rPr>
            </w:pPr>
            <w:r>
              <w:rPr>
                <w:rFonts w:ascii="Arial" w:cs="Arial" w:eastAsia="Arial" w:hAnsi="Arial"/>
                <w:sz w:val="2"/>
                <w:szCs w:val="2"/>
                <w:b w:val="1"/>
                <w:bCs w:val="1"/>
                <w:color w:val="666666"/>
              </w:rPr>
              <w:t>Awards;</w:t>
            </w:r>
          </w:p>
        </w:tc>
        <w:tc>
          <w:tcPr>
            <w:tcW w:w="820" w:type="dxa"/>
            <w:vAlign w:val="bottom"/>
            <w:tcBorders>
              <w:top w:val="single" w:sz="8" w:color="DDDDDD"/>
            </w:tcBorders>
            <w:shd w:val="clear" w:color="auto" w:fill="DDDDDD"/>
          </w:tcPr>
          <w:p>
            <w:pPr>
              <w:jc w:val="center"/>
              <w:ind w:right="100"/>
              <w:spacing w:after="0" w:line="22" w:lineRule="exact"/>
              <w:rPr>
                <w:sz w:val="20"/>
                <w:szCs w:val="20"/>
                <w:color w:val="auto"/>
              </w:rPr>
            </w:pPr>
            <w:r>
              <w:rPr>
                <w:rFonts w:ascii="Arial" w:cs="Arial" w:eastAsia="Arial" w:hAnsi="Arial"/>
                <w:sz w:val="2"/>
                <w:szCs w:val="2"/>
                <w:b w:val="1"/>
                <w:bCs w:val="1"/>
                <w:color w:val="666666"/>
              </w:rPr>
              <w:t>Price of</w:t>
            </w:r>
          </w:p>
        </w:tc>
        <w:tc>
          <w:tcPr>
            <w:tcW w:w="940" w:type="dxa"/>
            <w:vAlign w:val="bottom"/>
            <w:tcBorders>
              <w:top w:val="single" w:sz="8" w:color="DDDDDD"/>
            </w:tcBorders>
            <w:shd w:val="clear" w:color="auto" w:fill="DDDDDD"/>
          </w:tcPr>
          <w:p>
            <w:pPr>
              <w:jc w:val="center"/>
              <w:ind w:right="58"/>
              <w:spacing w:after="0" w:line="22" w:lineRule="exact"/>
              <w:rPr>
                <w:sz w:val="20"/>
                <w:szCs w:val="20"/>
                <w:color w:val="auto"/>
              </w:rPr>
            </w:pPr>
            <w:r>
              <w:rPr>
                <w:rFonts w:ascii="Arial" w:cs="Arial" w:eastAsia="Arial" w:hAnsi="Arial"/>
                <w:sz w:val="2"/>
                <w:szCs w:val="2"/>
                <w:b w:val="1"/>
                <w:bCs w:val="1"/>
                <w:color w:val="666666"/>
              </w:rPr>
              <w:t>of Stock</w:t>
            </w: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500" w:type="dxa"/>
            <w:vAlign w:val="bottom"/>
            <w:shd w:val="clear" w:color="auto" w:fill="DDDDDD"/>
          </w:tcPr>
          <w:p>
            <w:pPr>
              <w:spacing w:after="0"/>
              <w:rPr>
                <w:sz w:val="10"/>
                <w:szCs w:val="10"/>
                <w:color w:val="auto"/>
              </w:rPr>
            </w:pPr>
          </w:p>
        </w:tc>
        <w:tc>
          <w:tcPr>
            <w:tcW w:w="800" w:type="dxa"/>
            <w:vAlign w:val="bottom"/>
            <w:shd w:val="clear" w:color="auto" w:fill="DDDDDD"/>
          </w:tcPr>
          <w:p>
            <w:pPr>
              <w:spacing w:after="0"/>
              <w:rPr>
                <w:sz w:val="10"/>
                <w:szCs w:val="10"/>
                <w:color w:val="auto"/>
              </w:rPr>
            </w:pPr>
          </w:p>
        </w:tc>
        <w:tc>
          <w:tcPr>
            <w:tcW w:w="800" w:type="dxa"/>
            <w:vAlign w:val="bottom"/>
            <w:shd w:val="clear" w:color="auto" w:fill="DDDDDD"/>
          </w:tcPr>
          <w:p>
            <w:pPr>
              <w:spacing w:after="0"/>
              <w:rPr>
                <w:sz w:val="10"/>
                <w:szCs w:val="10"/>
                <w:color w:val="auto"/>
              </w:rPr>
            </w:pPr>
          </w:p>
        </w:tc>
        <w:tc>
          <w:tcPr>
            <w:tcW w:w="620" w:type="dxa"/>
            <w:vAlign w:val="bottom"/>
            <w:shd w:val="clear" w:color="auto" w:fill="DDDDDD"/>
          </w:tcPr>
          <w:p>
            <w:pPr>
              <w:ind w:left="160"/>
              <w:spacing w:after="0"/>
              <w:rPr>
                <w:sz w:val="20"/>
                <w:szCs w:val="20"/>
                <w:color w:val="auto"/>
              </w:rPr>
            </w:pPr>
            <w:r>
              <w:rPr>
                <w:rFonts w:ascii="Arial" w:cs="Arial" w:eastAsia="Arial" w:hAnsi="Arial"/>
                <w:sz w:val="9"/>
                <w:szCs w:val="9"/>
                <w:b w:val="1"/>
                <w:bCs w:val="1"/>
                <w:color w:val="666666"/>
              </w:rPr>
              <w:t>Threshold</w:t>
            </w:r>
          </w:p>
        </w:tc>
        <w:tc>
          <w:tcPr>
            <w:tcW w:w="200" w:type="dxa"/>
            <w:vAlign w:val="bottom"/>
            <w:shd w:val="clear" w:color="auto" w:fill="DDDDDD"/>
          </w:tcPr>
          <w:p>
            <w:pPr>
              <w:spacing w:after="0"/>
              <w:rPr>
                <w:sz w:val="10"/>
                <w:szCs w:val="10"/>
                <w:color w:val="auto"/>
              </w:rPr>
            </w:pPr>
          </w:p>
        </w:tc>
        <w:tc>
          <w:tcPr>
            <w:tcW w:w="1040" w:type="dxa"/>
            <w:vAlign w:val="bottom"/>
            <w:shd w:val="clear" w:color="auto" w:fill="DDDDDD"/>
          </w:tcPr>
          <w:p>
            <w:pPr>
              <w:jc w:val="right"/>
              <w:ind w:right="495"/>
              <w:spacing w:after="0"/>
              <w:rPr>
                <w:sz w:val="20"/>
                <w:szCs w:val="20"/>
                <w:color w:val="auto"/>
              </w:rPr>
            </w:pPr>
            <w:r>
              <w:rPr>
                <w:rFonts w:ascii="Arial" w:cs="Arial" w:eastAsia="Arial" w:hAnsi="Arial"/>
                <w:sz w:val="9"/>
                <w:szCs w:val="9"/>
                <w:b w:val="1"/>
                <w:bCs w:val="1"/>
                <w:color w:val="666666"/>
              </w:rPr>
              <w:t>Target</w:t>
            </w:r>
          </w:p>
        </w:tc>
        <w:tc>
          <w:tcPr>
            <w:tcW w:w="680" w:type="dxa"/>
            <w:vAlign w:val="bottom"/>
            <w:gridSpan w:val="2"/>
            <w:shd w:val="clear" w:color="auto" w:fill="DDDDDD"/>
          </w:tcPr>
          <w:p>
            <w:pPr>
              <w:ind w:left="60"/>
              <w:spacing w:after="0"/>
              <w:rPr>
                <w:sz w:val="20"/>
                <w:szCs w:val="20"/>
                <w:color w:val="auto"/>
              </w:rPr>
            </w:pPr>
            <w:r>
              <w:rPr>
                <w:rFonts w:ascii="Arial" w:cs="Arial" w:eastAsia="Arial" w:hAnsi="Arial"/>
                <w:sz w:val="9"/>
                <w:szCs w:val="9"/>
                <w:b w:val="1"/>
                <w:bCs w:val="1"/>
                <w:color w:val="666666"/>
              </w:rPr>
              <w:t>Max</w:t>
            </w:r>
          </w:p>
        </w:tc>
        <w:tc>
          <w:tcPr>
            <w:tcW w:w="660" w:type="dxa"/>
            <w:vAlign w:val="bottom"/>
            <w:shd w:val="clear" w:color="auto" w:fill="DDDDDD"/>
          </w:tcPr>
          <w:p>
            <w:pPr>
              <w:ind w:left="180"/>
              <w:spacing w:after="0"/>
              <w:rPr>
                <w:sz w:val="20"/>
                <w:szCs w:val="20"/>
                <w:color w:val="auto"/>
              </w:rPr>
            </w:pPr>
            <w:r>
              <w:rPr>
                <w:rFonts w:ascii="Arial" w:cs="Arial" w:eastAsia="Arial" w:hAnsi="Arial"/>
                <w:sz w:val="9"/>
                <w:szCs w:val="9"/>
                <w:b w:val="1"/>
                <w:bCs w:val="1"/>
                <w:color w:val="666666"/>
              </w:rPr>
              <w:t>Threshold</w:t>
            </w:r>
          </w:p>
        </w:tc>
        <w:tc>
          <w:tcPr>
            <w:tcW w:w="1140" w:type="dxa"/>
            <w:vAlign w:val="bottom"/>
            <w:shd w:val="clear" w:color="auto" w:fill="DDDDDD"/>
          </w:tcPr>
          <w:p>
            <w:pPr>
              <w:jc w:val="center"/>
              <w:spacing w:after="0"/>
              <w:rPr>
                <w:sz w:val="20"/>
                <w:szCs w:val="20"/>
                <w:color w:val="auto"/>
              </w:rPr>
            </w:pPr>
            <w:r>
              <w:rPr>
                <w:rFonts w:ascii="Arial" w:cs="Arial" w:eastAsia="Arial" w:hAnsi="Arial"/>
                <w:sz w:val="9"/>
                <w:szCs w:val="9"/>
                <w:b w:val="1"/>
                <w:bCs w:val="1"/>
                <w:color w:val="666666"/>
                <w:w w:val="94"/>
              </w:rPr>
              <w:t>Target</w:t>
            </w:r>
          </w:p>
        </w:tc>
        <w:tc>
          <w:tcPr>
            <w:tcW w:w="620" w:type="dxa"/>
            <w:vAlign w:val="bottom"/>
            <w:shd w:val="clear" w:color="auto" w:fill="DDDDDD"/>
          </w:tcPr>
          <w:p>
            <w:pPr>
              <w:ind w:left="140"/>
              <w:spacing w:after="0"/>
              <w:rPr>
                <w:sz w:val="20"/>
                <w:szCs w:val="20"/>
                <w:color w:val="auto"/>
              </w:rPr>
            </w:pPr>
            <w:r>
              <w:rPr>
                <w:rFonts w:ascii="Arial" w:cs="Arial" w:eastAsia="Arial" w:hAnsi="Arial"/>
                <w:sz w:val="9"/>
                <w:szCs w:val="9"/>
                <w:b w:val="1"/>
                <w:bCs w:val="1"/>
                <w:color w:val="666666"/>
              </w:rPr>
              <w:t>Max</w:t>
            </w: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b w:val="1"/>
                <w:bCs w:val="1"/>
                <w:color w:val="666666"/>
                <w:w w:val="97"/>
              </w:rPr>
              <w:t>Number of</w:t>
            </w:r>
          </w:p>
        </w:tc>
        <w:tc>
          <w:tcPr>
            <w:tcW w:w="860" w:type="dxa"/>
            <w:vAlign w:val="bottom"/>
            <w:shd w:val="clear" w:color="auto" w:fill="DDDDDD"/>
          </w:tcPr>
          <w:p>
            <w:pPr>
              <w:jc w:val="center"/>
              <w:spacing w:after="0"/>
              <w:rPr>
                <w:sz w:val="20"/>
                <w:szCs w:val="20"/>
                <w:color w:val="auto"/>
              </w:rPr>
            </w:pPr>
            <w:r>
              <w:rPr>
                <w:rFonts w:ascii="Arial" w:cs="Arial" w:eastAsia="Arial" w:hAnsi="Arial"/>
                <w:sz w:val="9"/>
                <w:szCs w:val="9"/>
                <w:b w:val="1"/>
                <w:bCs w:val="1"/>
                <w:color w:val="666666"/>
              </w:rPr>
              <w:t>Number of</w:t>
            </w:r>
          </w:p>
        </w:tc>
        <w:tc>
          <w:tcPr>
            <w:tcW w:w="820" w:type="dxa"/>
            <w:vAlign w:val="bottom"/>
            <w:shd w:val="clear" w:color="auto" w:fill="DDDDDD"/>
          </w:tcPr>
          <w:p>
            <w:pPr>
              <w:jc w:val="center"/>
              <w:ind w:right="100"/>
              <w:spacing w:after="0"/>
              <w:rPr>
                <w:sz w:val="20"/>
                <w:szCs w:val="20"/>
                <w:color w:val="auto"/>
              </w:rPr>
            </w:pPr>
            <w:r>
              <w:rPr>
                <w:rFonts w:ascii="Arial" w:cs="Arial" w:eastAsia="Arial" w:hAnsi="Arial"/>
                <w:sz w:val="9"/>
                <w:szCs w:val="9"/>
                <w:b w:val="1"/>
                <w:bCs w:val="1"/>
                <w:color w:val="666666"/>
                <w:w w:val="96"/>
              </w:rPr>
              <w:t>Option</w:t>
            </w:r>
          </w:p>
        </w:tc>
        <w:tc>
          <w:tcPr>
            <w:tcW w:w="940" w:type="dxa"/>
            <w:vAlign w:val="bottom"/>
            <w:shd w:val="clear" w:color="auto" w:fill="DDDDDD"/>
          </w:tcPr>
          <w:p>
            <w:pPr>
              <w:jc w:val="center"/>
              <w:ind w:right="58"/>
              <w:spacing w:after="0"/>
              <w:rPr>
                <w:sz w:val="20"/>
                <w:szCs w:val="20"/>
                <w:color w:val="auto"/>
              </w:rPr>
            </w:pPr>
            <w:r>
              <w:rPr>
                <w:rFonts w:ascii="Arial" w:cs="Arial" w:eastAsia="Arial" w:hAnsi="Arial"/>
                <w:sz w:val="9"/>
                <w:szCs w:val="9"/>
                <w:b w:val="1"/>
                <w:bCs w:val="1"/>
                <w:color w:val="666666"/>
              </w:rPr>
              <w:t>and Option</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500" w:type="dxa"/>
            <w:vAlign w:val="bottom"/>
            <w:shd w:val="clear" w:color="auto" w:fill="DDDDDD"/>
          </w:tcPr>
          <w:p>
            <w:pPr>
              <w:spacing w:after="0"/>
              <w:rPr>
                <w:sz w:val="6"/>
                <w:szCs w:val="6"/>
                <w:color w:val="auto"/>
              </w:rPr>
            </w:pPr>
          </w:p>
        </w:tc>
        <w:tc>
          <w:tcPr>
            <w:tcW w:w="800" w:type="dxa"/>
            <w:vAlign w:val="bottom"/>
            <w:vMerge w:val="restart"/>
            <w:shd w:val="clear" w:color="auto" w:fill="DDDDDD"/>
          </w:tcPr>
          <w:p>
            <w:pPr>
              <w:jc w:val="center"/>
              <w:spacing w:after="0"/>
              <w:rPr>
                <w:sz w:val="20"/>
                <w:szCs w:val="20"/>
                <w:color w:val="auto"/>
              </w:rPr>
            </w:pPr>
            <w:r>
              <w:rPr>
                <w:rFonts w:ascii="Arial" w:cs="Arial" w:eastAsia="Arial" w:hAnsi="Arial"/>
                <w:sz w:val="9"/>
                <w:szCs w:val="9"/>
                <w:b w:val="1"/>
                <w:bCs w:val="1"/>
                <w:color w:val="666666"/>
                <w:w w:val="99"/>
              </w:rPr>
              <w:t>Grant</w:t>
            </w:r>
          </w:p>
        </w:tc>
        <w:tc>
          <w:tcPr>
            <w:tcW w:w="800" w:type="dxa"/>
            <w:vAlign w:val="bottom"/>
            <w:shd w:val="clear" w:color="auto" w:fill="DDDDDD"/>
          </w:tcPr>
          <w:p>
            <w:pPr>
              <w:spacing w:after="0"/>
              <w:rPr>
                <w:sz w:val="6"/>
                <w:szCs w:val="6"/>
                <w:color w:val="auto"/>
              </w:rPr>
            </w:pPr>
          </w:p>
        </w:tc>
        <w:tc>
          <w:tcPr>
            <w:tcW w:w="620" w:type="dxa"/>
            <w:vAlign w:val="bottom"/>
            <w:shd w:val="clear" w:color="auto" w:fill="DDDDDD"/>
          </w:tcPr>
          <w:p>
            <w:pPr>
              <w:spacing w:after="0"/>
              <w:rPr>
                <w:sz w:val="6"/>
                <w:szCs w:val="6"/>
                <w:color w:val="auto"/>
              </w:rPr>
            </w:pPr>
          </w:p>
        </w:tc>
        <w:tc>
          <w:tcPr>
            <w:tcW w:w="200" w:type="dxa"/>
            <w:vAlign w:val="bottom"/>
            <w:shd w:val="clear" w:color="auto" w:fill="DDDDDD"/>
          </w:tcPr>
          <w:p>
            <w:pPr>
              <w:spacing w:after="0"/>
              <w:rPr>
                <w:sz w:val="6"/>
                <w:szCs w:val="6"/>
                <w:color w:val="auto"/>
              </w:rPr>
            </w:pPr>
          </w:p>
        </w:tc>
        <w:tc>
          <w:tcPr>
            <w:tcW w:w="1040" w:type="dxa"/>
            <w:vAlign w:val="bottom"/>
            <w:shd w:val="clear" w:color="auto" w:fill="DDDDDD"/>
          </w:tcPr>
          <w:p>
            <w:pPr>
              <w:spacing w:after="0"/>
              <w:rPr>
                <w:sz w:val="6"/>
                <w:szCs w:val="6"/>
                <w:color w:val="auto"/>
              </w:rPr>
            </w:pPr>
          </w:p>
        </w:tc>
        <w:tc>
          <w:tcPr>
            <w:tcW w:w="560" w:type="dxa"/>
            <w:vAlign w:val="bottom"/>
            <w:shd w:val="clear" w:color="auto" w:fill="DDDDDD"/>
          </w:tcPr>
          <w:p>
            <w:pPr>
              <w:spacing w:after="0"/>
              <w:rPr>
                <w:sz w:val="6"/>
                <w:szCs w:val="6"/>
                <w:color w:val="auto"/>
              </w:rPr>
            </w:pPr>
          </w:p>
        </w:tc>
        <w:tc>
          <w:tcPr>
            <w:tcW w:w="120" w:type="dxa"/>
            <w:vAlign w:val="bottom"/>
            <w:shd w:val="clear" w:color="auto" w:fill="DDDDDD"/>
          </w:tcPr>
          <w:p>
            <w:pPr>
              <w:spacing w:after="0"/>
              <w:rPr>
                <w:sz w:val="6"/>
                <w:szCs w:val="6"/>
                <w:color w:val="auto"/>
              </w:rPr>
            </w:pPr>
          </w:p>
        </w:tc>
        <w:tc>
          <w:tcPr>
            <w:tcW w:w="660" w:type="dxa"/>
            <w:vAlign w:val="bottom"/>
            <w:shd w:val="clear" w:color="auto" w:fill="DDDDDD"/>
          </w:tcPr>
          <w:p>
            <w:pPr>
              <w:spacing w:after="0"/>
              <w:rPr>
                <w:sz w:val="6"/>
                <w:szCs w:val="6"/>
                <w:color w:val="auto"/>
              </w:rPr>
            </w:pPr>
          </w:p>
        </w:tc>
        <w:tc>
          <w:tcPr>
            <w:tcW w:w="1140" w:type="dxa"/>
            <w:vAlign w:val="bottom"/>
            <w:shd w:val="clear" w:color="auto" w:fill="DDDDDD"/>
          </w:tcPr>
          <w:p>
            <w:pPr>
              <w:spacing w:after="0"/>
              <w:rPr>
                <w:sz w:val="6"/>
                <w:szCs w:val="6"/>
                <w:color w:val="auto"/>
              </w:rPr>
            </w:pPr>
          </w:p>
        </w:tc>
        <w:tc>
          <w:tcPr>
            <w:tcW w:w="620" w:type="dxa"/>
            <w:vAlign w:val="bottom"/>
            <w:shd w:val="clear" w:color="auto" w:fill="DDDDDD"/>
          </w:tcPr>
          <w:p>
            <w:pPr>
              <w:spacing w:after="0"/>
              <w:rPr>
                <w:sz w:val="6"/>
                <w:szCs w:val="6"/>
                <w:color w:val="auto"/>
              </w:rPr>
            </w:pPr>
          </w:p>
        </w:tc>
        <w:tc>
          <w:tcPr>
            <w:tcW w:w="800" w:type="dxa"/>
            <w:vAlign w:val="bottom"/>
            <w:shd w:val="clear" w:color="auto" w:fill="DDDDDD"/>
          </w:tcPr>
          <w:p>
            <w:pPr>
              <w:jc w:val="center"/>
              <w:spacing w:after="0" w:line="71" w:lineRule="exact"/>
              <w:rPr>
                <w:sz w:val="20"/>
                <w:szCs w:val="20"/>
                <w:color w:val="auto"/>
              </w:rPr>
            </w:pPr>
            <w:r>
              <w:rPr>
                <w:rFonts w:ascii="Arial" w:cs="Arial" w:eastAsia="Arial" w:hAnsi="Arial"/>
                <w:sz w:val="8"/>
                <w:szCs w:val="8"/>
                <w:b w:val="1"/>
                <w:bCs w:val="1"/>
                <w:color w:val="666666"/>
              </w:rPr>
              <w:t>Shares or</w:t>
            </w:r>
          </w:p>
        </w:tc>
        <w:tc>
          <w:tcPr>
            <w:tcW w:w="860" w:type="dxa"/>
            <w:vAlign w:val="bottom"/>
            <w:shd w:val="clear" w:color="auto" w:fill="DDDDDD"/>
          </w:tcPr>
          <w:p>
            <w:pPr>
              <w:jc w:val="center"/>
              <w:spacing w:after="0" w:line="71" w:lineRule="exact"/>
              <w:rPr>
                <w:sz w:val="20"/>
                <w:szCs w:val="20"/>
                <w:color w:val="auto"/>
              </w:rPr>
            </w:pPr>
            <w:r>
              <w:rPr>
                <w:rFonts w:ascii="Arial" w:cs="Arial" w:eastAsia="Arial" w:hAnsi="Arial"/>
                <w:sz w:val="8"/>
                <w:szCs w:val="8"/>
                <w:b w:val="1"/>
                <w:bCs w:val="1"/>
                <w:color w:val="666666"/>
              </w:rPr>
              <w:t>Securities</w:t>
            </w:r>
          </w:p>
        </w:tc>
        <w:tc>
          <w:tcPr>
            <w:tcW w:w="820" w:type="dxa"/>
            <w:vAlign w:val="bottom"/>
            <w:shd w:val="clear" w:color="auto" w:fill="DDDDDD"/>
          </w:tcPr>
          <w:p>
            <w:pPr>
              <w:jc w:val="center"/>
              <w:ind w:right="100"/>
              <w:spacing w:after="0" w:line="71" w:lineRule="exact"/>
              <w:rPr>
                <w:sz w:val="20"/>
                <w:szCs w:val="20"/>
                <w:color w:val="auto"/>
              </w:rPr>
            </w:pPr>
            <w:r>
              <w:rPr>
                <w:rFonts w:ascii="Arial" w:cs="Arial" w:eastAsia="Arial" w:hAnsi="Arial"/>
                <w:sz w:val="8"/>
                <w:szCs w:val="8"/>
                <w:b w:val="1"/>
                <w:bCs w:val="1"/>
                <w:color w:val="666666"/>
              </w:rPr>
              <w:t>Awards</w:t>
            </w:r>
          </w:p>
        </w:tc>
        <w:tc>
          <w:tcPr>
            <w:tcW w:w="940" w:type="dxa"/>
            <w:vAlign w:val="bottom"/>
            <w:shd w:val="clear" w:color="auto" w:fill="DDDDDD"/>
          </w:tcPr>
          <w:p>
            <w:pPr>
              <w:jc w:val="center"/>
              <w:ind w:right="58"/>
              <w:spacing w:after="0" w:line="71" w:lineRule="exact"/>
              <w:rPr>
                <w:sz w:val="20"/>
                <w:szCs w:val="20"/>
                <w:color w:val="auto"/>
              </w:rPr>
            </w:pPr>
            <w:r>
              <w:rPr>
                <w:rFonts w:ascii="Arial" w:cs="Arial" w:eastAsia="Arial" w:hAnsi="Arial"/>
                <w:sz w:val="8"/>
                <w:szCs w:val="8"/>
                <w:b w:val="1"/>
                <w:bCs w:val="1"/>
                <w:color w:val="666666"/>
              </w:rPr>
              <w:t>Awards</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500" w:type="dxa"/>
            <w:vAlign w:val="bottom"/>
            <w:vMerge w:val="restart"/>
            <w:shd w:val="clear" w:color="auto" w:fill="DDDDDD"/>
          </w:tcPr>
          <w:p>
            <w:pPr>
              <w:ind w:left="20"/>
              <w:spacing w:after="0"/>
              <w:rPr>
                <w:sz w:val="20"/>
                <w:szCs w:val="20"/>
                <w:color w:val="auto"/>
              </w:rPr>
            </w:pPr>
            <w:r>
              <w:rPr>
                <w:rFonts w:ascii="Arial" w:cs="Arial" w:eastAsia="Arial" w:hAnsi="Arial"/>
                <w:sz w:val="9"/>
                <w:szCs w:val="9"/>
                <w:b w:val="1"/>
                <w:bCs w:val="1"/>
                <w:color w:val="666666"/>
              </w:rPr>
              <w:t>Name</w:t>
            </w:r>
          </w:p>
        </w:tc>
        <w:tc>
          <w:tcPr>
            <w:tcW w:w="800" w:type="dxa"/>
            <w:vAlign w:val="bottom"/>
            <w:vMerge w:val="continue"/>
            <w:shd w:val="clear" w:color="auto" w:fill="DDDDDD"/>
          </w:tcPr>
          <w:p>
            <w:pPr>
              <w:spacing w:after="0"/>
              <w:rPr>
                <w:sz w:val="8"/>
                <w:szCs w:val="8"/>
                <w:color w:val="auto"/>
              </w:rPr>
            </w:pPr>
          </w:p>
        </w:tc>
        <w:tc>
          <w:tcPr>
            <w:tcW w:w="800" w:type="dxa"/>
            <w:vAlign w:val="bottom"/>
            <w:vMerge w:val="restart"/>
            <w:shd w:val="clear" w:color="auto" w:fill="DDDDDD"/>
          </w:tcPr>
          <w:p>
            <w:pPr>
              <w:ind w:left="100"/>
              <w:spacing w:after="0"/>
              <w:rPr>
                <w:sz w:val="20"/>
                <w:szCs w:val="20"/>
                <w:color w:val="auto"/>
              </w:rPr>
            </w:pPr>
            <w:r>
              <w:rPr>
                <w:rFonts w:ascii="Arial" w:cs="Arial" w:eastAsia="Arial" w:hAnsi="Arial"/>
                <w:sz w:val="9"/>
                <w:szCs w:val="9"/>
                <w:b w:val="1"/>
                <w:bCs w:val="1"/>
                <w:color w:val="666666"/>
              </w:rPr>
              <w:t>Approval Date</w:t>
            </w:r>
          </w:p>
        </w:tc>
        <w:tc>
          <w:tcPr>
            <w:tcW w:w="620" w:type="dxa"/>
            <w:vAlign w:val="bottom"/>
            <w:vMerge w:val="restart"/>
            <w:shd w:val="clear" w:color="auto" w:fill="DDDDDD"/>
          </w:tcPr>
          <w:p>
            <w:pPr>
              <w:jc w:val="center"/>
              <w:ind w:left="156"/>
              <w:spacing w:after="0"/>
              <w:rPr>
                <w:sz w:val="20"/>
                <w:szCs w:val="20"/>
                <w:color w:val="auto"/>
              </w:rPr>
            </w:pPr>
            <w:r>
              <w:rPr>
                <w:rFonts w:ascii="Arial" w:cs="Arial" w:eastAsia="Arial" w:hAnsi="Arial"/>
                <w:sz w:val="9"/>
                <w:szCs w:val="9"/>
                <w:b w:val="1"/>
                <w:bCs w:val="1"/>
                <w:color w:val="666666"/>
                <w:w w:val="90"/>
              </w:rPr>
              <w:t>($)</w:t>
            </w:r>
          </w:p>
        </w:tc>
        <w:tc>
          <w:tcPr>
            <w:tcW w:w="200" w:type="dxa"/>
            <w:vAlign w:val="bottom"/>
            <w:shd w:val="clear" w:color="auto" w:fill="DDDDDD"/>
          </w:tcPr>
          <w:p>
            <w:pPr>
              <w:spacing w:after="0"/>
              <w:rPr>
                <w:sz w:val="8"/>
                <w:szCs w:val="8"/>
                <w:color w:val="auto"/>
              </w:rPr>
            </w:pPr>
          </w:p>
        </w:tc>
        <w:tc>
          <w:tcPr>
            <w:tcW w:w="1040" w:type="dxa"/>
            <w:vAlign w:val="bottom"/>
            <w:vMerge w:val="restart"/>
            <w:shd w:val="clear" w:color="auto" w:fill="DDDDDD"/>
          </w:tcPr>
          <w:p>
            <w:pPr>
              <w:jc w:val="center"/>
              <w:ind w:right="195"/>
              <w:spacing w:after="0"/>
              <w:rPr>
                <w:sz w:val="20"/>
                <w:szCs w:val="20"/>
                <w:color w:val="auto"/>
              </w:rPr>
            </w:pPr>
            <w:r>
              <w:rPr>
                <w:rFonts w:ascii="Arial" w:cs="Arial" w:eastAsia="Arial" w:hAnsi="Arial"/>
                <w:sz w:val="9"/>
                <w:szCs w:val="9"/>
                <w:b w:val="1"/>
                <w:bCs w:val="1"/>
                <w:color w:val="666666"/>
              </w:rPr>
              <w:t>($)</w:t>
            </w:r>
          </w:p>
        </w:tc>
        <w:tc>
          <w:tcPr>
            <w:tcW w:w="560" w:type="dxa"/>
            <w:vAlign w:val="bottom"/>
            <w:vMerge w:val="restart"/>
            <w:shd w:val="clear" w:color="auto" w:fill="DDDDDD"/>
          </w:tcPr>
          <w:p>
            <w:pPr>
              <w:jc w:val="right"/>
              <w:ind w:right="296"/>
              <w:spacing w:after="0"/>
              <w:rPr>
                <w:sz w:val="20"/>
                <w:szCs w:val="20"/>
                <w:color w:val="auto"/>
              </w:rPr>
            </w:pPr>
            <w:r>
              <w:rPr>
                <w:rFonts w:ascii="Arial" w:cs="Arial" w:eastAsia="Arial" w:hAnsi="Arial"/>
                <w:sz w:val="9"/>
                <w:szCs w:val="9"/>
                <w:b w:val="1"/>
                <w:bCs w:val="1"/>
                <w:color w:val="666666"/>
              </w:rPr>
              <w:t>($)</w:t>
            </w:r>
          </w:p>
        </w:tc>
        <w:tc>
          <w:tcPr>
            <w:tcW w:w="120" w:type="dxa"/>
            <w:vAlign w:val="bottom"/>
            <w:shd w:val="clear" w:color="auto" w:fill="DDDDDD"/>
          </w:tcPr>
          <w:p>
            <w:pPr>
              <w:spacing w:after="0"/>
              <w:rPr>
                <w:sz w:val="8"/>
                <w:szCs w:val="8"/>
                <w:color w:val="auto"/>
              </w:rPr>
            </w:pPr>
          </w:p>
        </w:tc>
        <w:tc>
          <w:tcPr>
            <w:tcW w:w="660" w:type="dxa"/>
            <w:vAlign w:val="bottom"/>
            <w:vMerge w:val="restart"/>
            <w:shd w:val="clear" w:color="auto" w:fill="DDDDDD"/>
          </w:tcPr>
          <w:p>
            <w:pPr>
              <w:jc w:val="center"/>
              <w:ind w:left="116"/>
              <w:spacing w:after="0"/>
              <w:rPr>
                <w:sz w:val="20"/>
                <w:szCs w:val="20"/>
                <w:color w:val="auto"/>
              </w:rPr>
            </w:pPr>
            <w:r>
              <w:rPr>
                <w:rFonts w:ascii="Arial" w:cs="Arial" w:eastAsia="Arial" w:hAnsi="Arial"/>
                <w:sz w:val="9"/>
                <w:szCs w:val="9"/>
                <w:b w:val="1"/>
                <w:bCs w:val="1"/>
                <w:color w:val="666666"/>
                <w:w w:val="90"/>
              </w:rPr>
              <w:t>(#)</w:t>
            </w:r>
          </w:p>
        </w:tc>
        <w:tc>
          <w:tcPr>
            <w:tcW w:w="1140" w:type="dxa"/>
            <w:vAlign w:val="bottom"/>
            <w:vMerge w:val="restart"/>
            <w:shd w:val="clear" w:color="auto" w:fill="DDDDDD"/>
          </w:tcPr>
          <w:p>
            <w:pPr>
              <w:jc w:val="center"/>
              <w:spacing w:after="0"/>
              <w:rPr>
                <w:sz w:val="20"/>
                <w:szCs w:val="20"/>
                <w:color w:val="auto"/>
              </w:rPr>
            </w:pPr>
            <w:r>
              <w:rPr>
                <w:rFonts w:ascii="Arial" w:cs="Arial" w:eastAsia="Arial" w:hAnsi="Arial"/>
                <w:sz w:val="9"/>
                <w:szCs w:val="9"/>
                <w:b w:val="1"/>
                <w:bCs w:val="1"/>
                <w:color w:val="666666"/>
                <w:w w:val="90"/>
              </w:rPr>
              <w:t>(#)</w:t>
            </w:r>
          </w:p>
        </w:tc>
        <w:tc>
          <w:tcPr>
            <w:tcW w:w="620" w:type="dxa"/>
            <w:vAlign w:val="bottom"/>
            <w:vMerge w:val="restart"/>
            <w:shd w:val="clear" w:color="auto" w:fill="DDDDDD"/>
          </w:tcPr>
          <w:p>
            <w:pPr>
              <w:jc w:val="center"/>
              <w:ind w:right="137"/>
              <w:spacing w:after="0"/>
              <w:rPr>
                <w:sz w:val="20"/>
                <w:szCs w:val="20"/>
                <w:color w:val="auto"/>
              </w:rPr>
            </w:pPr>
            <w:r>
              <w:rPr>
                <w:rFonts w:ascii="Arial" w:cs="Arial" w:eastAsia="Arial" w:hAnsi="Arial"/>
                <w:sz w:val="9"/>
                <w:szCs w:val="9"/>
                <w:b w:val="1"/>
                <w:bCs w:val="1"/>
                <w:color w:val="666666"/>
              </w:rPr>
              <w:t>(#)</w:t>
            </w:r>
          </w:p>
        </w:tc>
        <w:tc>
          <w:tcPr>
            <w:tcW w:w="80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7"/>
              </w:rPr>
              <w:t>Stock</w:t>
            </w:r>
          </w:p>
        </w:tc>
        <w:tc>
          <w:tcPr>
            <w:tcW w:w="86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7"/>
              </w:rPr>
              <w:t>Underlying</w:t>
            </w:r>
          </w:p>
        </w:tc>
        <w:tc>
          <w:tcPr>
            <w:tcW w:w="820" w:type="dxa"/>
            <w:vAlign w:val="bottom"/>
            <w:vMerge w:val="restart"/>
            <w:shd w:val="clear" w:color="auto" w:fill="DDDDDD"/>
          </w:tcPr>
          <w:p>
            <w:pPr>
              <w:jc w:val="center"/>
              <w:ind w:right="100"/>
              <w:spacing w:after="0"/>
              <w:rPr>
                <w:sz w:val="20"/>
                <w:szCs w:val="20"/>
                <w:color w:val="auto"/>
              </w:rPr>
            </w:pPr>
            <w:r>
              <w:rPr>
                <w:rFonts w:ascii="Arial" w:cs="Arial" w:eastAsia="Arial" w:hAnsi="Arial"/>
                <w:sz w:val="9"/>
                <w:szCs w:val="9"/>
                <w:b w:val="1"/>
                <w:bCs w:val="1"/>
                <w:color w:val="666666"/>
                <w:w w:val="95"/>
              </w:rPr>
              <w:t>($/Sh)</w:t>
            </w:r>
          </w:p>
        </w:tc>
        <w:tc>
          <w:tcPr>
            <w:tcW w:w="940" w:type="dxa"/>
            <w:vAlign w:val="bottom"/>
            <w:vMerge w:val="restart"/>
            <w:shd w:val="clear" w:color="auto" w:fill="DDDDDD"/>
          </w:tcPr>
          <w:p>
            <w:pPr>
              <w:jc w:val="center"/>
              <w:ind w:right="58"/>
              <w:spacing w:after="0"/>
              <w:rPr>
                <w:sz w:val="20"/>
                <w:szCs w:val="20"/>
                <w:color w:val="auto"/>
              </w:rPr>
            </w:pPr>
            <w:r>
              <w:rPr>
                <w:rFonts w:ascii="Arial" w:cs="Arial" w:eastAsia="Arial" w:hAnsi="Arial"/>
                <w:sz w:val="9"/>
                <w:szCs w:val="9"/>
                <w:b w:val="1"/>
                <w:bCs w:val="1"/>
                <w:color w:val="666666"/>
              </w:rPr>
              <w:t>($)</w:t>
            </w:r>
          </w:p>
        </w:tc>
        <w:tc>
          <w:tcPr>
            <w:tcW w:w="0" w:type="dxa"/>
            <w:vAlign w:val="bottom"/>
          </w:tcPr>
          <w:p>
            <w:pPr>
              <w:spacing w:after="0"/>
              <w:rPr>
                <w:sz w:val="1"/>
                <w:szCs w:val="1"/>
                <w:color w:val="auto"/>
              </w:rPr>
            </w:pPr>
          </w:p>
        </w:tc>
      </w:tr>
      <w:tr>
        <w:trPr>
          <w:trHeight w:val="131"/>
        </w:trPr>
        <w:tc>
          <w:tcPr>
            <w:tcW w:w="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vMerge w:val="continue"/>
            <w:shd w:val="clear" w:color="auto" w:fill="DDDDDD"/>
          </w:tcPr>
          <w:p>
            <w:pPr>
              <w:spacing w:after="0"/>
              <w:rPr>
                <w:sz w:val="11"/>
                <w:szCs w:val="11"/>
                <w:color w:val="auto"/>
              </w:rPr>
            </w:pPr>
          </w:p>
        </w:tc>
        <w:tc>
          <w:tcPr>
            <w:tcW w:w="80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9"/>
                <w:szCs w:val="9"/>
                <w:b w:val="1"/>
                <w:bCs w:val="1"/>
                <w:color w:val="666666"/>
              </w:rPr>
              <w:t>Date</w:t>
            </w:r>
          </w:p>
        </w:tc>
        <w:tc>
          <w:tcPr>
            <w:tcW w:w="800" w:type="dxa"/>
            <w:vAlign w:val="bottom"/>
            <w:tcBorders>
              <w:bottom w:val="single" w:sz="8" w:color="auto"/>
            </w:tcBorders>
            <w:vMerge w:val="continue"/>
            <w:shd w:val="clear" w:color="auto" w:fill="DDDDDD"/>
          </w:tcPr>
          <w:p>
            <w:pPr>
              <w:spacing w:after="0"/>
              <w:rPr>
                <w:sz w:val="11"/>
                <w:szCs w:val="11"/>
                <w:color w:val="auto"/>
              </w:rPr>
            </w:pPr>
          </w:p>
        </w:tc>
        <w:tc>
          <w:tcPr>
            <w:tcW w:w="620" w:type="dxa"/>
            <w:vAlign w:val="bottom"/>
            <w:tcBorders>
              <w:bottom w:val="single" w:sz="8" w:color="auto"/>
            </w:tcBorders>
            <w:vMerge w:val="continue"/>
            <w:shd w:val="clear" w:color="auto" w:fill="DDDDDD"/>
          </w:tcPr>
          <w:p>
            <w:pPr>
              <w:spacing w:after="0"/>
              <w:rPr>
                <w:sz w:val="11"/>
                <w:szCs w:val="11"/>
                <w:color w:val="auto"/>
              </w:rPr>
            </w:pPr>
          </w:p>
        </w:tc>
        <w:tc>
          <w:tcPr>
            <w:tcW w:w="200" w:type="dxa"/>
            <w:vAlign w:val="bottom"/>
            <w:tcBorders>
              <w:bottom w:val="single" w:sz="8" w:color="auto"/>
            </w:tcBorders>
            <w:shd w:val="clear" w:color="auto" w:fill="DDDDDD"/>
          </w:tcPr>
          <w:p>
            <w:pPr>
              <w:spacing w:after="0"/>
              <w:rPr>
                <w:sz w:val="11"/>
                <w:szCs w:val="11"/>
                <w:color w:val="auto"/>
              </w:rPr>
            </w:pPr>
          </w:p>
        </w:tc>
        <w:tc>
          <w:tcPr>
            <w:tcW w:w="1040" w:type="dxa"/>
            <w:vAlign w:val="bottom"/>
            <w:tcBorders>
              <w:bottom w:val="single" w:sz="8" w:color="auto"/>
            </w:tcBorders>
            <w:vMerge w:val="continue"/>
            <w:shd w:val="clear" w:color="auto" w:fill="DDDDDD"/>
          </w:tcPr>
          <w:p>
            <w:pPr>
              <w:spacing w:after="0"/>
              <w:rPr>
                <w:sz w:val="11"/>
                <w:szCs w:val="11"/>
                <w:color w:val="auto"/>
              </w:rPr>
            </w:pPr>
          </w:p>
        </w:tc>
        <w:tc>
          <w:tcPr>
            <w:tcW w:w="560" w:type="dxa"/>
            <w:vAlign w:val="bottom"/>
            <w:tcBorders>
              <w:bottom w:val="single" w:sz="8" w:color="auto"/>
            </w:tcBorders>
            <w:vMerge w:val="continue"/>
            <w:shd w:val="clear" w:color="auto" w:fill="DDDDDD"/>
          </w:tcPr>
          <w:p>
            <w:pPr>
              <w:spacing w:after="0"/>
              <w:rPr>
                <w:sz w:val="11"/>
                <w:szCs w:val="11"/>
                <w:color w:val="auto"/>
              </w:rPr>
            </w:pPr>
          </w:p>
        </w:tc>
        <w:tc>
          <w:tcPr>
            <w:tcW w:w="120" w:type="dxa"/>
            <w:vAlign w:val="bottom"/>
            <w:tcBorders>
              <w:bottom w:val="single" w:sz="8" w:color="auto"/>
            </w:tcBorders>
            <w:shd w:val="clear" w:color="auto" w:fill="DDDDDD"/>
          </w:tcPr>
          <w:p>
            <w:pPr>
              <w:spacing w:after="0"/>
              <w:rPr>
                <w:sz w:val="11"/>
                <w:szCs w:val="11"/>
                <w:color w:val="auto"/>
              </w:rPr>
            </w:pPr>
          </w:p>
        </w:tc>
        <w:tc>
          <w:tcPr>
            <w:tcW w:w="660" w:type="dxa"/>
            <w:vAlign w:val="bottom"/>
            <w:tcBorders>
              <w:bottom w:val="single" w:sz="8" w:color="auto"/>
            </w:tcBorders>
            <w:vMerge w:val="continue"/>
            <w:shd w:val="clear" w:color="auto" w:fill="DDDDDD"/>
          </w:tcPr>
          <w:p>
            <w:pPr>
              <w:spacing w:after="0"/>
              <w:rPr>
                <w:sz w:val="11"/>
                <w:szCs w:val="11"/>
                <w:color w:val="auto"/>
              </w:rPr>
            </w:pPr>
          </w:p>
        </w:tc>
        <w:tc>
          <w:tcPr>
            <w:tcW w:w="1140" w:type="dxa"/>
            <w:vAlign w:val="bottom"/>
            <w:tcBorders>
              <w:bottom w:val="single" w:sz="8" w:color="auto"/>
            </w:tcBorders>
            <w:vMerge w:val="continue"/>
            <w:shd w:val="clear" w:color="auto" w:fill="DDDDDD"/>
          </w:tcPr>
          <w:p>
            <w:pPr>
              <w:spacing w:after="0"/>
              <w:rPr>
                <w:sz w:val="11"/>
                <w:szCs w:val="11"/>
                <w:color w:val="auto"/>
              </w:rPr>
            </w:pPr>
          </w:p>
        </w:tc>
        <w:tc>
          <w:tcPr>
            <w:tcW w:w="620" w:type="dxa"/>
            <w:vAlign w:val="bottom"/>
            <w:tcBorders>
              <w:bottom w:val="single" w:sz="8" w:color="auto"/>
            </w:tcBorders>
            <w:vMerge w:val="continue"/>
            <w:shd w:val="clear" w:color="auto" w:fill="DDDDDD"/>
          </w:tcPr>
          <w:p>
            <w:pPr>
              <w:spacing w:after="0"/>
              <w:rPr>
                <w:sz w:val="11"/>
                <w:szCs w:val="11"/>
                <w:color w:val="auto"/>
              </w:rPr>
            </w:pPr>
          </w:p>
        </w:tc>
        <w:tc>
          <w:tcPr>
            <w:tcW w:w="80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9"/>
                <w:szCs w:val="9"/>
                <w:b w:val="1"/>
                <w:bCs w:val="1"/>
                <w:color w:val="666666"/>
                <w:w w:val="97"/>
              </w:rPr>
              <w:t>Units</w:t>
            </w:r>
          </w:p>
        </w:tc>
        <w:tc>
          <w:tcPr>
            <w:tcW w:w="8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9"/>
                <w:szCs w:val="9"/>
                <w:b w:val="1"/>
                <w:bCs w:val="1"/>
                <w:color w:val="666666"/>
                <w:w w:val="99"/>
              </w:rPr>
              <w:t>Options</w:t>
            </w:r>
          </w:p>
        </w:tc>
        <w:tc>
          <w:tcPr>
            <w:tcW w:w="820" w:type="dxa"/>
            <w:vAlign w:val="bottom"/>
            <w:tcBorders>
              <w:bottom w:val="single" w:sz="8" w:color="auto"/>
            </w:tcBorders>
            <w:vMerge w:val="continue"/>
            <w:shd w:val="clear" w:color="auto" w:fill="DDDDDD"/>
          </w:tcPr>
          <w:p>
            <w:pPr>
              <w:spacing w:after="0"/>
              <w:rPr>
                <w:sz w:val="11"/>
                <w:szCs w:val="11"/>
                <w:color w:val="auto"/>
              </w:rPr>
            </w:pPr>
          </w:p>
        </w:tc>
        <w:tc>
          <w:tcPr>
            <w:tcW w:w="940" w:type="dxa"/>
            <w:vAlign w:val="bottom"/>
            <w:tcBorders>
              <w:bottom w:val="single" w:sz="8" w:color="auto"/>
            </w:tcBorders>
            <w:vMerge w:val="continue"/>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00" w:type="dxa"/>
            <w:vAlign w:val="bottom"/>
          </w:tcPr>
          <w:p>
            <w:pPr>
              <w:ind w:left="20"/>
              <w:spacing w:after="0"/>
              <w:rPr>
                <w:sz w:val="20"/>
                <w:szCs w:val="20"/>
                <w:color w:val="auto"/>
              </w:rPr>
            </w:pPr>
            <w:r>
              <w:rPr>
                <w:rFonts w:ascii="Arial" w:cs="Arial" w:eastAsia="Arial" w:hAnsi="Arial"/>
                <w:sz w:val="9"/>
                <w:szCs w:val="9"/>
                <w:b w:val="1"/>
                <w:bCs w:val="1"/>
                <w:color w:val="666666"/>
              </w:rPr>
              <w:t>Horacio D. Rozanski</w:t>
            </w:r>
          </w:p>
        </w:tc>
        <w:tc>
          <w:tcPr>
            <w:tcW w:w="800" w:type="dxa"/>
            <w:vAlign w:val="bottom"/>
          </w:tcPr>
          <w:p>
            <w:pPr>
              <w:jc w:val="center"/>
              <w:spacing w:after="0"/>
              <w:rPr>
                <w:sz w:val="20"/>
                <w:szCs w:val="20"/>
                <w:color w:val="auto"/>
              </w:rPr>
            </w:pPr>
            <w:r>
              <w:rPr>
                <w:rFonts w:ascii="Arial" w:cs="Arial" w:eastAsia="Arial" w:hAnsi="Arial"/>
                <w:sz w:val="9"/>
                <w:szCs w:val="9"/>
                <w:color w:val="666666"/>
                <w:w w:val="96"/>
              </w:rPr>
              <w:t>7/3/2017</w:t>
            </w:r>
          </w:p>
        </w:tc>
        <w:tc>
          <w:tcPr>
            <w:tcW w:w="800" w:type="dxa"/>
            <w:vAlign w:val="bottom"/>
          </w:tcPr>
          <w:p>
            <w:pPr>
              <w:jc w:val="center"/>
              <w:spacing w:after="0"/>
              <w:rPr>
                <w:sz w:val="20"/>
                <w:szCs w:val="20"/>
                <w:color w:val="auto"/>
              </w:rPr>
            </w:pPr>
            <w:r>
              <w:rPr>
                <w:rFonts w:ascii="Arial" w:cs="Arial" w:eastAsia="Arial" w:hAnsi="Arial"/>
                <w:sz w:val="9"/>
                <w:szCs w:val="9"/>
                <w:color w:val="666666"/>
                <w:w w:val="94"/>
              </w:rPr>
              <w:t>5/17/2017</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9"/>
                <w:szCs w:val="9"/>
                <w:color w:val="666666"/>
                <w:w w:val="94"/>
              </w:rPr>
              <w:t>16,216</w:t>
            </w:r>
          </w:p>
        </w:tc>
        <w:tc>
          <w:tcPr>
            <w:tcW w:w="6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9"/>
                <w:szCs w:val="9"/>
                <w:color w:val="666666"/>
                <w:w w:val="88"/>
              </w:rPr>
              <w: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jc w:val="right"/>
              <w:ind w:right="78"/>
              <w:spacing w:after="0"/>
              <w:rPr>
                <w:sz w:val="20"/>
                <w:szCs w:val="20"/>
                <w:color w:val="auto"/>
              </w:rPr>
            </w:pPr>
            <w:r>
              <w:rPr>
                <w:rFonts w:ascii="Arial" w:cs="Arial" w:eastAsia="Arial" w:hAnsi="Arial"/>
                <w:sz w:val="9"/>
                <w:szCs w:val="9"/>
                <w:color w:val="666666"/>
              </w:rPr>
              <w:t>527,831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tcPr>
          <w:p>
            <w:pPr>
              <w:jc w:val="center"/>
              <w:ind w:left="156"/>
              <w:spacing w:after="0"/>
              <w:rPr>
                <w:sz w:val="20"/>
                <w:szCs w:val="20"/>
                <w:color w:val="auto"/>
              </w:rPr>
            </w:pPr>
            <w:r>
              <w:rPr>
                <w:rFonts w:ascii="Arial" w:cs="Arial" w:eastAsia="Arial" w:hAnsi="Arial"/>
                <w:sz w:val="9"/>
                <w:szCs w:val="9"/>
                <w:color w:val="666666"/>
              </w:rPr>
              <w:t>—</w:t>
            </w:r>
          </w:p>
        </w:tc>
        <w:tc>
          <w:tcPr>
            <w:tcW w:w="1240" w:type="dxa"/>
            <w:vAlign w:val="bottom"/>
            <w:gridSpan w:val="2"/>
          </w:tcPr>
          <w:p>
            <w:pPr>
              <w:jc w:val="right"/>
              <w:ind w:right="315"/>
              <w:spacing w:after="0"/>
              <w:rPr>
                <w:sz w:val="20"/>
                <w:szCs w:val="20"/>
                <w:color w:val="auto"/>
              </w:rPr>
            </w:pPr>
            <w:r>
              <w:rPr>
                <w:rFonts w:ascii="Arial" w:cs="Arial" w:eastAsia="Arial" w:hAnsi="Arial"/>
                <w:sz w:val="9"/>
                <w:szCs w:val="9"/>
                <w:color w:val="666666"/>
              </w:rPr>
              <w:t>800,000</w:t>
            </w:r>
          </w:p>
        </w:tc>
        <w:tc>
          <w:tcPr>
            <w:tcW w:w="560" w:type="dxa"/>
            <w:vAlign w:val="bottom"/>
          </w:tcPr>
          <w:p>
            <w:pPr>
              <w:jc w:val="right"/>
              <w:ind w:right="56"/>
              <w:spacing w:after="0"/>
              <w:rPr>
                <w:sz w:val="20"/>
                <w:szCs w:val="20"/>
                <w:color w:val="auto"/>
              </w:rPr>
            </w:pPr>
            <w:r>
              <w:rPr>
                <w:rFonts w:ascii="Arial" w:cs="Arial" w:eastAsia="Arial" w:hAnsi="Arial"/>
                <w:sz w:val="9"/>
                <w:szCs w:val="9"/>
                <w:color w:val="666666"/>
              </w:rPr>
              <w:t>1,600,000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left="96"/>
              <w:spacing w:after="0"/>
              <w:rPr>
                <w:sz w:val="20"/>
                <w:szCs w:val="20"/>
                <w:color w:val="auto"/>
              </w:rPr>
            </w:pPr>
            <w:r>
              <w:rPr>
                <w:rFonts w:ascii="Arial" w:cs="Arial" w:eastAsia="Arial" w:hAnsi="Arial"/>
                <w:sz w:val="9"/>
                <w:szCs w:val="9"/>
                <w:color w:val="666666"/>
                <w:w w:val="88"/>
              </w:rPr>
              <w:t>—</w:t>
            </w:r>
          </w:p>
        </w:tc>
        <w:tc>
          <w:tcPr>
            <w:tcW w:w="1140" w:type="dxa"/>
            <w:vAlign w:val="bottom"/>
          </w:tcPr>
          <w:p>
            <w:pPr>
              <w:jc w:val="center"/>
              <w:spacing w:after="0"/>
              <w:rPr>
                <w:sz w:val="20"/>
                <w:szCs w:val="20"/>
                <w:color w:val="auto"/>
              </w:rPr>
            </w:pPr>
            <w:r>
              <w:rPr>
                <w:rFonts w:ascii="Arial" w:cs="Arial" w:eastAsia="Arial" w:hAnsi="Arial"/>
                <w:sz w:val="9"/>
                <w:szCs w:val="9"/>
                <w:color w:val="666666"/>
                <w:w w:val="94"/>
              </w:rPr>
              <w:t>16,550</w:t>
            </w:r>
          </w:p>
        </w:tc>
        <w:tc>
          <w:tcPr>
            <w:tcW w:w="620" w:type="dxa"/>
            <w:vAlign w:val="bottom"/>
          </w:tcPr>
          <w:p>
            <w:pPr>
              <w:jc w:val="center"/>
              <w:ind w:right="137"/>
              <w:spacing w:after="0"/>
              <w:rPr>
                <w:sz w:val="20"/>
                <w:szCs w:val="20"/>
                <w:color w:val="auto"/>
              </w:rPr>
            </w:pPr>
            <w:r>
              <w:rPr>
                <w:rFonts w:ascii="Arial" w:cs="Arial" w:eastAsia="Arial" w:hAnsi="Arial"/>
                <w:sz w:val="9"/>
                <w:szCs w:val="9"/>
                <w:color w:val="666666"/>
                <w:w w:val="88"/>
              </w:rPr>
              <w:t>—</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jc w:val="right"/>
              <w:ind w:right="78"/>
              <w:spacing w:after="0"/>
              <w:rPr>
                <w:sz w:val="20"/>
                <w:szCs w:val="20"/>
                <w:color w:val="auto"/>
              </w:rPr>
            </w:pPr>
            <w:r>
              <w:rPr>
                <w:rFonts w:ascii="Arial" w:cs="Arial" w:eastAsia="Arial" w:hAnsi="Arial"/>
                <w:sz w:val="9"/>
                <w:szCs w:val="9"/>
                <w:color w:val="666666"/>
              </w:rPr>
              <w:t>594,973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left="116"/>
              <w:spacing w:after="0"/>
              <w:rPr>
                <w:sz w:val="20"/>
                <w:szCs w:val="20"/>
                <w:color w:val="auto"/>
              </w:rPr>
            </w:pPr>
            <w:r>
              <w:rPr>
                <w:rFonts w:ascii="Arial" w:cs="Arial" w:eastAsia="Arial" w:hAnsi="Arial"/>
                <w:sz w:val="9"/>
                <w:szCs w:val="9"/>
                <w:color w:val="666666"/>
                <w:w w:val="97"/>
              </w:rPr>
              <w:t>7,684</w:t>
            </w:r>
          </w:p>
        </w:tc>
        <w:tc>
          <w:tcPr>
            <w:tcW w:w="1140" w:type="dxa"/>
            <w:vAlign w:val="bottom"/>
          </w:tcPr>
          <w:p>
            <w:pPr>
              <w:jc w:val="center"/>
              <w:spacing w:after="0"/>
              <w:rPr>
                <w:sz w:val="20"/>
                <w:szCs w:val="20"/>
                <w:color w:val="auto"/>
              </w:rPr>
            </w:pPr>
            <w:r>
              <w:rPr>
                <w:rFonts w:ascii="Arial" w:cs="Arial" w:eastAsia="Arial" w:hAnsi="Arial"/>
                <w:sz w:val="9"/>
                <w:szCs w:val="9"/>
                <w:color w:val="666666"/>
                <w:w w:val="94"/>
              </w:rPr>
              <w:t>30,737</w:t>
            </w:r>
          </w:p>
        </w:tc>
        <w:tc>
          <w:tcPr>
            <w:tcW w:w="620" w:type="dxa"/>
            <w:vAlign w:val="bottom"/>
          </w:tcPr>
          <w:p>
            <w:pPr>
              <w:jc w:val="center"/>
              <w:ind w:right="137"/>
              <w:spacing w:after="0"/>
              <w:rPr>
                <w:sz w:val="20"/>
                <w:szCs w:val="20"/>
                <w:color w:val="auto"/>
              </w:rPr>
            </w:pPr>
            <w:r>
              <w:rPr>
                <w:rFonts w:ascii="Arial" w:cs="Arial" w:eastAsia="Arial" w:hAnsi="Arial"/>
                <w:sz w:val="9"/>
                <w:szCs w:val="9"/>
                <w:color w:val="666666"/>
              </w:rPr>
              <w:t>61,474</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jc w:val="right"/>
              <w:ind w:right="78"/>
              <w:spacing w:after="0"/>
              <w:rPr>
                <w:sz w:val="20"/>
                <w:szCs w:val="20"/>
                <w:color w:val="auto"/>
              </w:rPr>
            </w:pPr>
            <w:r>
              <w:rPr>
                <w:rFonts w:ascii="Arial" w:cs="Arial" w:eastAsia="Arial" w:hAnsi="Arial"/>
                <w:sz w:val="9"/>
                <w:szCs w:val="9"/>
                <w:color w:val="666666"/>
              </w:rPr>
              <w:t>1,104,995</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00" w:type="dxa"/>
            <w:vAlign w:val="bottom"/>
            <w:shd w:val="clear" w:color="auto" w:fill="DDDDDD"/>
          </w:tcPr>
          <w:p>
            <w:pPr>
              <w:ind w:left="20"/>
              <w:spacing w:after="0"/>
              <w:rPr>
                <w:sz w:val="20"/>
                <w:szCs w:val="20"/>
                <w:color w:val="auto"/>
              </w:rPr>
            </w:pPr>
            <w:r>
              <w:rPr>
                <w:rFonts w:ascii="Arial" w:cs="Arial" w:eastAsia="Arial" w:hAnsi="Arial"/>
                <w:sz w:val="9"/>
                <w:szCs w:val="9"/>
                <w:b w:val="1"/>
                <w:bCs w:val="1"/>
                <w:color w:val="666666"/>
              </w:rPr>
              <w:t>Lloyd W. Howell, Jr.</w:t>
            </w: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1040" w:type="dxa"/>
            <w:vAlign w:val="bottom"/>
            <w:shd w:val="clear" w:color="auto" w:fill="DDDDDD"/>
          </w:tcPr>
          <w:p>
            <w:pPr>
              <w:spacing w:after="0"/>
              <w:rPr>
                <w:sz w:val="13"/>
                <w:szCs w:val="13"/>
                <w:color w:val="auto"/>
              </w:rPr>
            </w:pPr>
          </w:p>
        </w:tc>
        <w:tc>
          <w:tcPr>
            <w:tcW w:w="56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660" w:type="dxa"/>
            <w:vAlign w:val="bottom"/>
            <w:shd w:val="clear" w:color="auto" w:fill="DDDDDD"/>
          </w:tcPr>
          <w:p>
            <w:pPr>
              <w:spacing w:after="0"/>
              <w:rPr>
                <w:sz w:val="13"/>
                <w:szCs w:val="13"/>
                <w:color w:val="auto"/>
              </w:rPr>
            </w:pPr>
          </w:p>
        </w:tc>
        <w:tc>
          <w:tcPr>
            <w:tcW w:w="1140" w:type="dxa"/>
            <w:vAlign w:val="bottom"/>
            <w:shd w:val="clear" w:color="auto" w:fill="DDDDDD"/>
          </w:tcPr>
          <w:p>
            <w:pPr>
              <w:spacing w:after="0"/>
              <w:rPr>
                <w:sz w:val="13"/>
                <w:szCs w:val="13"/>
                <w:color w:val="auto"/>
              </w:rPr>
            </w:pPr>
          </w:p>
        </w:tc>
        <w:tc>
          <w:tcPr>
            <w:tcW w:w="620" w:type="dxa"/>
            <w:vAlign w:val="bottom"/>
            <w:shd w:val="clear" w:color="auto" w:fill="DDDDDD"/>
          </w:tcPr>
          <w:p>
            <w:pPr>
              <w:spacing w:after="0"/>
              <w:rPr>
                <w:sz w:val="13"/>
                <w:szCs w:val="13"/>
                <w:color w:val="auto"/>
              </w:rPr>
            </w:pPr>
          </w:p>
        </w:tc>
        <w:tc>
          <w:tcPr>
            <w:tcW w:w="800" w:type="dxa"/>
            <w:vAlign w:val="bottom"/>
            <w:shd w:val="clear" w:color="auto" w:fill="DDDDDD"/>
          </w:tcPr>
          <w:p>
            <w:pPr>
              <w:spacing w:after="0"/>
              <w:rPr>
                <w:sz w:val="13"/>
                <w:szCs w:val="13"/>
                <w:color w:val="auto"/>
              </w:rPr>
            </w:pPr>
          </w:p>
        </w:tc>
        <w:tc>
          <w:tcPr>
            <w:tcW w:w="860" w:type="dxa"/>
            <w:vAlign w:val="bottom"/>
            <w:shd w:val="clear" w:color="auto" w:fill="DDDDDD"/>
          </w:tcPr>
          <w:p>
            <w:pPr>
              <w:jc w:val="right"/>
              <w:ind w:right="120"/>
              <w:spacing w:after="0"/>
              <w:rPr>
                <w:sz w:val="20"/>
                <w:szCs w:val="20"/>
                <w:color w:val="auto"/>
              </w:rPr>
            </w:pPr>
            <w:r>
              <w:rPr>
                <w:rFonts w:ascii="Arial" w:cs="Arial" w:eastAsia="Arial" w:hAnsi="Arial"/>
                <w:sz w:val="9"/>
                <w:szCs w:val="9"/>
                <w:color w:val="666666"/>
              </w:rPr>
              <w:t>52,761</w:t>
            </w:r>
          </w:p>
        </w:tc>
        <w:tc>
          <w:tcPr>
            <w:tcW w:w="820" w:type="dxa"/>
            <w:vAlign w:val="bottom"/>
            <w:shd w:val="clear" w:color="auto" w:fill="DDDDDD"/>
          </w:tcPr>
          <w:p>
            <w:pPr>
              <w:jc w:val="right"/>
              <w:ind w:right="160"/>
              <w:spacing w:after="0"/>
              <w:rPr>
                <w:sz w:val="20"/>
                <w:szCs w:val="20"/>
                <w:color w:val="auto"/>
              </w:rPr>
            </w:pPr>
            <w:r>
              <w:rPr>
                <w:rFonts w:ascii="Arial" w:cs="Arial" w:eastAsia="Arial" w:hAnsi="Arial"/>
                <w:sz w:val="9"/>
                <w:szCs w:val="9"/>
                <w:color w:val="666666"/>
              </w:rPr>
              <w:t>35.95</w:t>
            </w:r>
          </w:p>
        </w:tc>
        <w:tc>
          <w:tcPr>
            <w:tcW w:w="940" w:type="dxa"/>
            <w:vAlign w:val="bottom"/>
            <w:shd w:val="clear" w:color="auto" w:fill="DDDDDD"/>
          </w:tcPr>
          <w:p>
            <w:pPr>
              <w:jc w:val="right"/>
              <w:ind w:right="78"/>
              <w:spacing w:after="0"/>
              <w:rPr>
                <w:sz w:val="20"/>
                <w:szCs w:val="20"/>
                <w:color w:val="auto"/>
              </w:rPr>
            </w:pPr>
            <w:r>
              <w:rPr>
                <w:rFonts w:ascii="Arial" w:cs="Arial" w:eastAsia="Arial" w:hAnsi="Arial"/>
                <w:sz w:val="9"/>
                <w:szCs w:val="9"/>
                <w:color w:val="666666"/>
              </w:rPr>
              <w:t>499,991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00" w:type="dxa"/>
            <w:vAlign w:val="bottom"/>
            <w:shd w:val="clear" w:color="auto" w:fill="DDDDDD"/>
          </w:tcPr>
          <w:p>
            <w:pPr>
              <w:spacing w:after="0"/>
              <w:rPr>
                <w:sz w:val="16"/>
                <w:szCs w:val="16"/>
                <w:color w:val="auto"/>
              </w:rPr>
            </w:pP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96"/>
              </w:rPr>
              <w:t>7/3/2017</w:t>
            </w: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94"/>
              </w:rPr>
              <w:t>5/17/2017</w:t>
            </w:r>
          </w:p>
        </w:tc>
        <w:tc>
          <w:tcPr>
            <w:tcW w:w="62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60" w:type="dxa"/>
            <w:vAlign w:val="bottom"/>
            <w:shd w:val="clear" w:color="auto" w:fill="DDDDDD"/>
          </w:tcPr>
          <w:p>
            <w:pPr>
              <w:spacing w:after="0"/>
              <w:rPr>
                <w:sz w:val="16"/>
                <w:szCs w:val="16"/>
                <w:color w:val="auto"/>
              </w:rPr>
            </w:pPr>
          </w:p>
        </w:tc>
        <w:tc>
          <w:tcPr>
            <w:tcW w:w="114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94"/>
              </w:rPr>
              <w:t>11,281</w:t>
            </w:r>
          </w:p>
        </w:tc>
        <w:tc>
          <w:tcPr>
            <w:tcW w:w="620" w:type="dxa"/>
            <w:vAlign w:val="bottom"/>
            <w:shd w:val="clear" w:color="auto" w:fill="DDDDDD"/>
          </w:tcPr>
          <w:p>
            <w:pPr>
              <w:spacing w:after="0"/>
              <w:rPr>
                <w:sz w:val="16"/>
                <w:szCs w:val="16"/>
                <w:color w:val="auto"/>
              </w:rPr>
            </w:pP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88"/>
              </w:rPr>
              <w:t>—</w:t>
            </w:r>
          </w:p>
        </w:tc>
        <w:tc>
          <w:tcPr>
            <w:tcW w:w="86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940" w:type="dxa"/>
            <w:vAlign w:val="bottom"/>
            <w:shd w:val="clear" w:color="auto" w:fill="DDDDDD"/>
          </w:tcPr>
          <w:p>
            <w:pPr>
              <w:jc w:val="right"/>
              <w:ind w:right="78"/>
              <w:spacing w:after="0"/>
              <w:rPr>
                <w:sz w:val="20"/>
                <w:szCs w:val="20"/>
                <w:color w:val="auto"/>
              </w:rPr>
            </w:pPr>
            <w:r>
              <w:rPr>
                <w:rFonts w:ascii="Arial" w:cs="Arial" w:eastAsia="Arial" w:hAnsi="Arial"/>
                <w:sz w:val="9"/>
                <w:szCs w:val="9"/>
                <w:color w:val="666666"/>
              </w:rPr>
              <w:t>367,197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shd w:val="clear" w:color="auto" w:fill="DDDDDD"/>
          </w:tcPr>
          <w:p>
            <w:pPr>
              <w:spacing w:after="0"/>
              <w:rPr>
                <w:sz w:val="16"/>
                <w:szCs w:val="16"/>
                <w:color w:val="auto"/>
              </w:rPr>
            </w:pP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shd w:val="clear" w:color="auto" w:fill="DDDDDD"/>
          </w:tcPr>
          <w:p>
            <w:pPr>
              <w:jc w:val="center"/>
              <w:ind w:left="156"/>
              <w:spacing w:after="0"/>
              <w:rPr>
                <w:sz w:val="20"/>
                <w:szCs w:val="20"/>
                <w:color w:val="auto"/>
              </w:rPr>
            </w:pPr>
            <w:r>
              <w:rPr>
                <w:rFonts w:ascii="Arial" w:cs="Arial" w:eastAsia="Arial" w:hAnsi="Arial"/>
                <w:sz w:val="9"/>
                <w:szCs w:val="9"/>
                <w:color w:val="666666"/>
              </w:rPr>
              <w:t>—</w:t>
            </w:r>
          </w:p>
        </w:tc>
        <w:tc>
          <w:tcPr>
            <w:tcW w:w="1240" w:type="dxa"/>
            <w:vAlign w:val="bottom"/>
            <w:gridSpan w:val="2"/>
            <w:shd w:val="clear" w:color="auto" w:fill="DDDDDD"/>
          </w:tcPr>
          <w:p>
            <w:pPr>
              <w:jc w:val="right"/>
              <w:ind w:right="315"/>
              <w:spacing w:after="0"/>
              <w:rPr>
                <w:sz w:val="20"/>
                <w:szCs w:val="20"/>
                <w:color w:val="auto"/>
              </w:rPr>
            </w:pPr>
            <w:r>
              <w:rPr>
                <w:rFonts w:ascii="Arial" w:cs="Arial" w:eastAsia="Arial" w:hAnsi="Arial"/>
                <w:sz w:val="9"/>
                <w:szCs w:val="9"/>
                <w:color w:val="666666"/>
              </w:rPr>
              <w:t>500,000</w:t>
            </w:r>
          </w:p>
        </w:tc>
        <w:tc>
          <w:tcPr>
            <w:tcW w:w="560" w:type="dxa"/>
            <w:vAlign w:val="bottom"/>
            <w:shd w:val="clear" w:color="auto" w:fill="DDDDDD"/>
          </w:tcPr>
          <w:p>
            <w:pPr>
              <w:jc w:val="right"/>
              <w:ind w:right="56"/>
              <w:spacing w:after="0"/>
              <w:rPr>
                <w:sz w:val="20"/>
                <w:szCs w:val="20"/>
                <w:color w:val="auto"/>
              </w:rPr>
            </w:pPr>
            <w:r>
              <w:rPr>
                <w:rFonts w:ascii="Arial" w:cs="Arial" w:eastAsia="Arial" w:hAnsi="Arial"/>
                <w:sz w:val="9"/>
                <w:szCs w:val="9"/>
                <w:color w:val="666666"/>
              </w:rPr>
              <w:t>1,000,000</w:t>
            </w:r>
          </w:p>
        </w:tc>
        <w:tc>
          <w:tcPr>
            <w:tcW w:w="120" w:type="dxa"/>
            <w:vAlign w:val="bottom"/>
            <w:shd w:val="clear" w:color="auto" w:fill="DDDDDD"/>
          </w:tcPr>
          <w:p>
            <w:pPr>
              <w:spacing w:after="0"/>
              <w:rPr>
                <w:sz w:val="16"/>
                <w:szCs w:val="16"/>
                <w:color w:val="auto"/>
              </w:rPr>
            </w:pPr>
          </w:p>
        </w:tc>
        <w:tc>
          <w:tcPr>
            <w:tcW w:w="660" w:type="dxa"/>
            <w:vAlign w:val="bottom"/>
            <w:shd w:val="clear" w:color="auto" w:fill="DDDDDD"/>
          </w:tcPr>
          <w:p>
            <w:pPr>
              <w:spacing w:after="0"/>
              <w:rPr>
                <w:sz w:val="16"/>
                <w:szCs w:val="16"/>
                <w:color w:val="auto"/>
              </w:rPr>
            </w:pPr>
          </w:p>
        </w:tc>
        <w:tc>
          <w:tcPr>
            <w:tcW w:w="114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shd w:val="clear" w:color="auto" w:fill="DDDDDD"/>
          </w:tcPr>
          <w:p>
            <w:pPr>
              <w:spacing w:after="0"/>
              <w:rPr>
                <w:sz w:val="16"/>
                <w:szCs w:val="16"/>
                <w:color w:val="auto"/>
              </w:rPr>
            </w:pP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60" w:type="dxa"/>
            <w:vAlign w:val="bottom"/>
            <w:shd w:val="clear" w:color="auto" w:fill="DDDDDD"/>
          </w:tcPr>
          <w:p>
            <w:pPr>
              <w:jc w:val="center"/>
              <w:ind w:left="96"/>
              <w:spacing w:after="0"/>
              <w:rPr>
                <w:sz w:val="20"/>
                <w:szCs w:val="20"/>
                <w:color w:val="auto"/>
              </w:rPr>
            </w:pPr>
            <w:r>
              <w:rPr>
                <w:rFonts w:ascii="Arial" w:cs="Arial" w:eastAsia="Arial" w:hAnsi="Arial"/>
                <w:sz w:val="9"/>
                <w:szCs w:val="9"/>
                <w:color w:val="666666"/>
                <w:w w:val="88"/>
              </w:rPr>
              <w:t>—</w:t>
            </w:r>
          </w:p>
        </w:tc>
        <w:tc>
          <w:tcPr>
            <w:tcW w:w="114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97"/>
              </w:rPr>
              <w:t>9,735</w:t>
            </w:r>
          </w:p>
        </w:tc>
        <w:tc>
          <w:tcPr>
            <w:tcW w:w="620" w:type="dxa"/>
            <w:vAlign w:val="bottom"/>
            <w:shd w:val="clear" w:color="auto" w:fill="DDDDDD"/>
          </w:tcPr>
          <w:p>
            <w:pPr>
              <w:jc w:val="center"/>
              <w:ind w:right="137"/>
              <w:spacing w:after="0"/>
              <w:rPr>
                <w:sz w:val="20"/>
                <w:szCs w:val="20"/>
                <w:color w:val="auto"/>
              </w:rPr>
            </w:pPr>
            <w:r>
              <w:rPr>
                <w:rFonts w:ascii="Arial" w:cs="Arial" w:eastAsia="Arial" w:hAnsi="Arial"/>
                <w:sz w:val="9"/>
                <w:szCs w:val="9"/>
                <w:color w:val="666666"/>
                <w:w w:val="88"/>
              </w:rPr>
              <w:t>—</w:t>
            </w:r>
          </w:p>
        </w:tc>
        <w:tc>
          <w:tcPr>
            <w:tcW w:w="8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940" w:type="dxa"/>
            <w:vAlign w:val="bottom"/>
            <w:shd w:val="clear" w:color="auto" w:fill="DDDDDD"/>
          </w:tcPr>
          <w:p>
            <w:pPr>
              <w:jc w:val="right"/>
              <w:ind w:right="78"/>
              <w:spacing w:after="0"/>
              <w:rPr>
                <w:sz w:val="20"/>
                <w:szCs w:val="20"/>
                <w:color w:val="auto"/>
              </w:rPr>
            </w:pPr>
            <w:r>
              <w:rPr>
                <w:rFonts w:ascii="Arial" w:cs="Arial" w:eastAsia="Arial" w:hAnsi="Arial"/>
                <w:sz w:val="9"/>
                <w:szCs w:val="9"/>
                <w:color w:val="666666"/>
              </w:rPr>
              <w:t>349,973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Borders>
              <w:bottom w:val="single" w:sz="8" w:color="DDDDDD"/>
            </w:tcBorders>
            <w:shd w:val="clear" w:color="auto" w:fill="DDDDDD"/>
          </w:tcPr>
          <w:p>
            <w:pPr>
              <w:spacing w:after="0"/>
              <w:rPr>
                <w:sz w:val="18"/>
                <w:szCs w:val="18"/>
                <w:color w:val="auto"/>
              </w:rPr>
            </w:pPr>
          </w:p>
        </w:tc>
        <w:tc>
          <w:tcPr>
            <w:tcW w:w="80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040" w:type="dxa"/>
            <w:vAlign w:val="bottom"/>
            <w:tcBorders>
              <w:bottom w:val="single" w:sz="8" w:color="DDDDDD"/>
            </w:tcBorders>
            <w:shd w:val="clear" w:color="auto" w:fill="DDDDDD"/>
          </w:tcPr>
          <w:p>
            <w:pPr>
              <w:spacing w:after="0"/>
              <w:rPr>
                <w:sz w:val="18"/>
                <w:szCs w:val="18"/>
                <w:color w:val="auto"/>
              </w:rPr>
            </w:pPr>
          </w:p>
        </w:tc>
        <w:tc>
          <w:tcPr>
            <w:tcW w:w="56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660" w:type="dxa"/>
            <w:vAlign w:val="bottom"/>
            <w:tcBorders>
              <w:bottom w:val="single" w:sz="8" w:color="DDDDDD"/>
            </w:tcBorders>
            <w:shd w:val="clear" w:color="auto" w:fill="DDDDDD"/>
          </w:tcPr>
          <w:p>
            <w:pPr>
              <w:jc w:val="center"/>
              <w:ind w:left="116"/>
              <w:spacing w:after="0"/>
              <w:rPr>
                <w:sz w:val="20"/>
                <w:szCs w:val="20"/>
                <w:color w:val="auto"/>
              </w:rPr>
            </w:pPr>
            <w:r>
              <w:rPr>
                <w:rFonts w:ascii="Arial" w:cs="Arial" w:eastAsia="Arial" w:hAnsi="Arial"/>
                <w:sz w:val="9"/>
                <w:szCs w:val="9"/>
                <w:color w:val="666666"/>
                <w:w w:val="97"/>
              </w:rPr>
              <w:t>3,650</w:t>
            </w:r>
          </w:p>
        </w:tc>
        <w:tc>
          <w:tcPr>
            <w:tcW w:w="114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9"/>
                <w:szCs w:val="9"/>
                <w:color w:val="666666"/>
                <w:w w:val="94"/>
              </w:rPr>
              <w:t>14,603</w:t>
            </w:r>
          </w:p>
        </w:tc>
        <w:tc>
          <w:tcPr>
            <w:tcW w:w="620" w:type="dxa"/>
            <w:vAlign w:val="bottom"/>
            <w:tcBorders>
              <w:bottom w:val="single" w:sz="8" w:color="DDDDDD"/>
            </w:tcBorders>
            <w:shd w:val="clear" w:color="auto" w:fill="DDDDDD"/>
          </w:tcPr>
          <w:p>
            <w:pPr>
              <w:jc w:val="center"/>
              <w:ind w:right="137"/>
              <w:spacing w:after="0"/>
              <w:rPr>
                <w:sz w:val="20"/>
                <w:szCs w:val="20"/>
                <w:color w:val="auto"/>
              </w:rPr>
            </w:pPr>
            <w:r>
              <w:rPr>
                <w:rFonts w:ascii="Arial" w:cs="Arial" w:eastAsia="Arial" w:hAnsi="Arial"/>
                <w:sz w:val="9"/>
                <w:szCs w:val="9"/>
                <w:color w:val="666666"/>
              </w:rPr>
              <w:t>29,206</w:t>
            </w:r>
          </w:p>
        </w:tc>
        <w:tc>
          <w:tcPr>
            <w:tcW w:w="800" w:type="dxa"/>
            <w:vAlign w:val="bottom"/>
            <w:tcBorders>
              <w:bottom w:val="single" w:sz="8" w:color="DDDDDD"/>
            </w:tcBorders>
            <w:shd w:val="clear" w:color="auto" w:fill="DDDDDD"/>
          </w:tcPr>
          <w:p>
            <w:pPr>
              <w:spacing w:after="0"/>
              <w:rPr>
                <w:sz w:val="18"/>
                <w:szCs w:val="18"/>
                <w:color w:val="auto"/>
              </w:rPr>
            </w:pPr>
          </w:p>
        </w:tc>
        <w:tc>
          <w:tcPr>
            <w:tcW w:w="860" w:type="dxa"/>
            <w:vAlign w:val="bottom"/>
            <w:tcBorders>
              <w:bottom w:val="single" w:sz="8" w:color="DDDDDD"/>
            </w:tcBorders>
            <w:shd w:val="clear" w:color="auto" w:fill="DDDDDD"/>
          </w:tcPr>
          <w:p>
            <w:pPr>
              <w:spacing w:after="0"/>
              <w:rPr>
                <w:sz w:val="18"/>
                <w:szCs w:val="18"/>
                <w:color w:val="auto"/>
              </w:rPr>
            </w:pPr>
          </w:p>
        </w:tc>
        <w:tc>
          <w:tcPr>
            <w:tcW w:w="820" w:type="dxa"/>
            <w:vAlign w:val="bottom"/>
            <w:tcBorders>
              <w:bottom w:val="single" w:sz="8" w:color="DDDDDD"/>
            </w:tcBorders>
            <w:shd w:val="clear" w:color="auto" w:fill="DDDDDD"/>
          </w:tcPr>
          <w:p>
            <w:pPr>
              <w:spacing w:after="0"/>
              <w:rPr>
                <w:sz w:val="18"/>
                <w:szCs w:val="18"/>
                <w:color w:val="auto"/>
              </w:rPr>
            </w:pPr>
          </w:p>
        </w:tc>
        <w:tc>
          <w:tcPr>
            <w:tcW w:w="940" w:type="dxa"/>
            <w:vAlign w:val="bottom"/>
            <w:tcBorders>
              <w:bottom w:val="single" w:sz="8" w:color="DDDDDD"/>
            </w:tcBorders>
            <w:shd w:val="clear" w:color="auto" w:fill="DDDDDD"/>
          </w:tcPr>
          <w:p>
            <w:pPr>
              <w:jc w:val="right"/>
              <w:ind w:right="78"/>
              <w:spacing w:after="0"/>
              <w:rPr>
                <w:sz w:val="20"/>
                <w:szCs w:val="20"/>
                <w:color w:val="auto"/>
              </w:rPr>
            </w:pPr>
            <w:r>
              <w:rPr>
                <w:rFonts w:ascii="Arial" w:cs="Arial" w:eastAsia="Arial" w:hAnsi="Arial"/>
                <w:sz w:val="9"/>
                <w:szCs w:val="9"/>
                <w:color w:val="666666"/>
              </w:rPr>
              <w:t>524,978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00" w:type="dxa"/>
            <w:vAlign w:val="bottom"/>
          </w:tcPr>
          <w:p>
            <w:pPr>
              <w:ind w:left="20"/>
              <w:spacing w:after="0"/>
              <w:rPr>
                <w:sz w:val="20"/>
                <w:szCs w:val="20"/>
                <w:color w:val="auto"/>
              </w:rPr>
            </w:pPr>
            <w:r>
              <w:rPr>
                <w:rFonts w:ascii="Arial" w:cs="Arial" w:eastAsia="Arial" w:hAnsi="Arial"/>
                <w:sz w:val="9"/>
                <w:szCs w:val="9"/>
                <w:b w:val="1"/>
                <w:bCs w:val="1"/>
                <w:color w:val="666666"/>
              </w:rPr>
              <w:t>Karen M. Dahut</w:t>
            </w:r>
          </w:p>
        </w:tc>
        <w:tc>
          <w:tcPr>
            <w:tcW w:w="800" w:type="dxa"/>
            <w:vAlign w:val="bottom"/>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jc w:val="right"/>
              <w:ind w:right="120"/>
              <w:spacing w:after="0"/>
              <w:rPr>
                <w:sz w:val="20"/>
                <w:szCs w:val="20"/>
                <w:color w:val="auto"/>
              </w:rPr>
            </w:pPr>
            <w:r>
              <w:rPr>
                <w:rFonts w:ascii="Arial" w:cs="Arial" w:eastAsia="Arial" w:hAnsi="Arial"/>
                <w:sz w:val="9"/>
                <w:szCs w:val="9"/>
                <w:color w:val="666666"/>
              </w:rPr>
              <w:t>52,761</w:t>
            </w:r>
          </w:p>
        </w:tc>
        <w:tc>
          <w:tcPr>
            <w:tcW w:w="820" w:type="dxa"/>
            <w:vAlign w:val="bottom"/>
          </w:tcPr>
          <w:p>
            <w:pPr>
              <w:jc w:val="right"/>
              <w:ind w:right="160"/>
              <w:spacing w:after="0"/>
              <w:rPr>
                <w:sz w:val="20"/>
                <w:szCs w:val="20"/>
                <w:color w:val="auto"/>
              </w:rPr>
            </w:pPr>
            <w:r>
              <w:rPr>
                <w:rFonts w:ascii="Arial" w:cs="Arial" w:eastAsia="Arial" w:hAnsi="Arial"/>
                <w:sz w:val="9"/>
                <w:szCs w:val="9"/>
                <w:color w:val="666666"/>
              </w:rPr>
              <w:t>35.95</w:t>
            </w:r>
          </w:p>
        </w:tc>
        <w:tc>
          <w:tcPr>
            <w:tcW w:w="940" w:type="dxa"/>
            <w:vAlign w:val="bottom"/>
          </w:tcPr>
          <w:p>
            <w:pPr>
              <w:jc w:val="right"/>
              <w:ind w:right="78"/>
              <w:spacing w:after="0"/>
              <w:rPr>
                <w:sz w:val="20"/>
                <w:szCs w:val="20"/>
                <w:color w:val="auto"/>
              </w:rPr>
            </w:pPr>
            <w:r>
              <w:rPr>
                <w:rFonts w:ascii="Arial" w:cs="Arial" w:eastAsia="Arial" w:hAnsi="Arial"/>
                <w:sz w:val="9"/>
                <w:szCs w:val="9"/>
                <w:color w:val="666666"/>
              </w:rPr>
              <w:t>499,991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9"/>
                <w:szCs w:val="9"/>
                <w:color w:val="666666"/>
                <w:w w:val="96"/>
              </w:rPr>
              <w:t>7/3/2017</w:t>
            </w:r>
          </w:p>
        </w:tc>
        <w:tc>
          <w:tcPr>
            <w:tcW w:w="800" w:type="dxa"/>
            <w:vAlign w:val="bottom"/>
          </w:tcPr>
          <w:p>
            <w:pPr>
              <w:jc w:val="center"/>
              <w:spacing w:after="0"/>
              <w:rPr>
                <w:sz w:val="20"/>
                <w:szCs w:val="20"/>
                <w:color w:val="auto"/>
              </w:rPr>
            </w:pPr>
            <w:r>
              <w:rPr>
                <w:rFonts w:ascii="Arial" w:cs="Arial" w:eastAsia="Arial" w:hAnsi="Arial"/>
                <w:sz w:val="9"/>
                <w:szCs w:val="9"/>
                <w:color w:val="666666"/>
                <w:w w:val="94"/>
              </w:rPr>
              <w:t>5/17/2017</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9"/>
                <w:szCs w:val="9"/>
                <w:color w:val="666666"/>
                <w:w w:val="94"/>
              </w:rPr>
              <w:t>11,281</w:t>
            </w:r>
          </w:p>
        </w:tc>
        <w:tc>
          <w:tcPr>
            <w:tcW w:w="6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9"/>
                <w:szCs w:val="9"/>
                <w:color w:val="666666"/>
                <w:w w:val="88"/>
              </w:rPr>
              <w:t>—</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jc w:val="right"/>
              <w:ind w:right="78"/>
              <w:spacing w:after="0"/>
              <w:rPr>
                <w:sz w:val="20"/>
                <w:szCs w:val="20"/>
                <w:color w:val="auto"/>
              </w:rPr>
            </w:pPr>
            <w:r>
              <w:rPr>
                <w:rFonts w:ascii="Arial" w:cs="Arial" w:eastAsia="Arial" w:hAnsi="Arial"/>
                <w:sz w:val="9"/>
                <w:szCs w:val="9"/>
                <w:color w:val="666666"/>
              </w:rPr>
              <w:t>367,197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tcPr>
          <w:p>
            <w:pPr>
              <w:jc w:val="center"/>
              <w:ind w:left="156"/>
              <w:spacing w:after="0"/>
              <w:rPr>
                <w:sz w:val="20"/>
                <w:szCs w:val="20"/>
                <w:color w:val="auto"/>
              </w:rPr>
            </w:pPr>
            <w:r>
              <w:rPr>
                <w:rFonts w:ascii="Arial" w:cs="Arial" w:eastAsia="Arial" w:hAnsi="Arial"/>
                <w:sz w:val="9"/>
                <w:szCs w:val="9"/>
                <w:color w:val="666666"/>
              </w:rPr>
              <w:t>—</w:t>
            </w:r>
          </w:p>
        </w:tc>
        <w:tc>
          <w:tcPr>
            <w:tcW w:w="1240" w:type="dxa"/>
            <w:vAlign w:val="bottom"/>
            <w:gridSpan w:val="2"/>
          </w:tcPr>
          <w:p>
            <w:pPr>
              <w:jc w:val="right"/>
              <w:ind w:right="315"/>
              <w:spacing w:after="0"/>
              <w:rPr>
                <w:sz w:val="20"/>
                <w:szCs w:val="20"/>
                <w:color w:val="auto"/>
              </w:rPr>
            </w:pPr>
            <w:r>
              <w:rPr>
                <w:rFonts w:ascii="Arial" w:cs="Arial" w:eastAsia="Arial" w:hAnsi="Arial"/>
                <w:sz w:val="9"/>
                <w:szCs w:val="9"/>
                <w:color w:val="666666"/>
              </w:rPr>
              <w:t>500,000</w:t>
            </w:r>
          </w:p>
        </w:tc>
        <w:tc>
          <w:tcPr>
            <w:tcW w:w="560" w:type="dxa"/>
            <w:vAlign w:val="bottom"/>
          </w:tcPr>
          <w:p>
            <w:pPr>
              <w:jc w:val="right"/>
              <w:ind w:right="56"/>
              <w:spacing w:after="0"/>
              <w:rPr>
                <w:sz w:val="20"/>
                <w:szCs w:val="20"/>
                <w:color w:val="auto"/>
              </w:rPr>
            </w:pPr>
            <w:r>
              <w:rPr>
                <w:rFonts w:ascii="Arial" w:cs="Arial" w:eastAsia="Arial" w:hAnsi="Arial"/>
                <w:sz w:val="9"/>
                <w:szCs w:val="9"/>
                <w:color w:val="666666"/>
              </w:rPr>
              <w:t>1,000,000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left="96"/>
              <w:spacing w:after="0"/>
              <w:rPr>
                <w:sz w:val="20"/>
                <w:szCs w:val="20"/>
                <w:color w:val="auto"/>
              </w:rPr>
            </w:pPr>
            <w:r>
              <w:rPr>
                <w:rFonts w:ascii="Arial" w:cs="Arial" w:eastAsia="Arial" w:hAnsi="Arial"/>
                <w:sz w:val="9"/>
                <w:szCs w:val="9"/>
                <w:color w:val="666666"/>
                <w:w w:val="88"/>
              </w:rPr>
              <w:t>—</w:t>
            </w:r>
          </w:p>
        </w:tc>
        <w:tc>
          <w:tcPr>
            <w:tcW w:w="1140" w:type="dxa"/>
            <w:vAlign w:val="bottom"/>
          </w:tcPr>
          <w:p>
            <w:pPr>
              <w:jc w:val="center"/>
              <w:spacing w:after="0"/>
              <w:rPr>
                <w:sz w:val="20"/>
                <w:szCs w:val="20"/>
                <w:color w:val="auto"/>
              </w:rPr>
            </w:pPr>
            <w:r>
              <w:rPr>
                <w:rFonts w:ascii="Arial" w:cs="Arial" w:eastAsia="Arial" w:hAnsi="Arial"/>
                <w:sz w:val="9"/>
                <w:szCs w:val="9"/>
                <w:color w:val="666666"/>
                <w:w w:val="97"/>
              </w:rPr>
              <w:t>9,735</w:t>
            </w:r>
          </w:p>
        </w:tc>
        <w:tc>
          <w:tcPr>
            <w:tcW w:w="620" w:type="dxa"/>
            <w:vAlign w:val="bottom"/>
          </w:tcPr>
          <w:p>
            <w:pPr>
              <w:jc w:val="center"/>
              <w:ind w:right="137"/>
              <w:spacing w:after="0"/>
              <w:rPr>
                <w:sz w:val="20"/>
                <w:szCs w:val="20"/>
                <w:color w:val="auto"/>
              </w:rPr>
            </w:pPr>
            <w:r>
              <w:rPr>
                <w:rFonts w:ascii="Arial" w:cs="Arial" w:eastAsia="Arial" w:hAnsi="Arial"/>
                <w:sz w:val="9"/>
                <w:szCs w:val="9"/>
                <w:color w:val="666666"/>
                <w:w w:val="88"/>
              </w:rPr>
              <w:t>—</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jc w:val="right"/>
              <w:ind w:right="78"/>
              <w:spacing w:after="0"/>
              <w:rPr>
                <w:sz w:val="20"/>
                <w:szCs w:val="20"/>
                <w:color w:val="auto"/>
              </w:rPr>
            </w:pPr>
            <w:r>
              <w:rPr>
                <w:rFonts w:ascii="Arial" w:cs="Arial" w:eastAsia="Arial" w:hAnsi="Arial"/>
                <w:sz w:val="9"/>
                <w:szCs w:val="9"/>
                <w:color w:val="666666"/>
              </w:rPr>
              <w:t>349,973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left="116"/>
              <w:spacing w:after="0"/>
              <w:rPr>
                <w:sz w:val="20"/>
                <w:szCs w:val="20"/>
                <w:color w:val="auto"/>
              </w:rPr>
            </w:pPr>
            <w:r>
              <w:rPr>
                <w:rFonts w:ascii="Arial" w:cs="Arial" w:eastAsia="Arial" w:hAnsi="Arial"/>
                <w:sz w:val="9"/>
                <w:szCs w:val="9"/>
                <w:color w:val="666666"/>
                <w:w w:val="97"/>
              </w:rPr>
              <w:t>3,650</w:t>
            </w:r>
          </w:p>
        </w:tc>
        <w:tc>
          <w:tcPr>
            <w:tcW w:w="1140" w:type="dxa"/>
            <w:vAlign w:val="bottom"/>
          </w:tcPr>
          <w:p>
            <w:pPr>
              <w:jc w:val="center"/>
              <w:spacing w:after="0"/>
              <w:rPr>
                <w:sz w:val="20"/>
                <w:szCs w:val="20"/>
                <w:color w:val="auto"/>
              </w:rPr>
            </w:pPr>
            <w:r>
              <w:rPr>
                <w:rFonts w:ascii="Arial" w:cs="Arial" w:eastAsia="Arial" w:hAnsi="Arial"/>
                <w:sz w:val="9"/>
                <w:szCs w:val="9"/>
                <w:color w:val="666666"/>
                <w:w w:val="94"/>
              </w:rPr>
              <w:t>14,603</w:t>
            </w:r>
          </w:p>
        </w:tc>
        <w:tc>
          <w:tcPr>
            <w:tcW w:w="620" w:type="dxa"/>
            <w:vAlign w:val="bottom"/>
          </w:tcPr>
          <w:p>
            <w:pPr>
              <w:jc w:val="center"/>
              <w:ind w:right="137"/>
              <w:spacing w:after="0"/>
              <w:rPr>
                <w:sz w:val="20"/>
                <w:szCs w:val="20"/>
                <w:color w:val="auto"/>
              </w:rPr>
            </w:pPr>
            <w:r>
              <w:rPr>
                <w:rFonts w:ascii="Arial" w:cs="Arial" w:eastAsia="Arial" w:hAnsi="Arial"/>
                <w:sz w:val="9"/>
                <w:szCs w:val="9"/>
                <w:color w:val="666666"/>
              </w:rPr>
              <w:t>29,206</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jc w:val="right"/>
              <w:ind w:right="78"/>
              <w:spacing w:after="0"/>
              <w:rPr>
                <w:sz w:val="20"/>
                <w:szCs w:val="20"/>
                <w:color w:val="auto"/>
              </w:rPr>
            </w:pPr>
            <w:r>
              <w:rPr>
                <w:rFonts w:ascii="Arial" w:cs="Arial" w:eastAsia="Arial" w:hAnsi="Arial"/>
                <w:sz w:val="9"/>
                <w:szCs w:val="9"/>
                <w:color w:val="666666"/>
              </w:rPr>
              <w:t>524,978</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00" w:type="dxa"/>
            <w:vAlign w:val="bottom"/>
            <w:shd w:val="clear" w:color="auto" w:fill="DDDDDD"/>
          </w:tcPr>
          <w:p>
            <w:pPr>
              <w:ind w:left="20"/>
              <w:spacing w:after="0"/>
              <w:rPr>
                <w:sz w:val="20"/>
                <w:szCs w:val="20"/>
                <w:color w:val="auto"/>
              </w:rPr>
            </w:pPr>
            <w:r>
              <w:rPr>
                <w:rFonts w:ascii="Arial" w:cs="Arial" w:eastAsia="Arial" w:hAnsi="Arial"/>
                <w:sz w:val="9"/>
                <w:szCs w:val="9"/>
                <w:b w:val="1"/>
                <w:bCs w:val="1"/>
                <w:color w:val="666666"/>
              </w:rPr>
              <w:t>Joseph Logue</w:t>
            </w: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96"/>
              </w:rPr>
              <w:t>7/3/2017</w:t>
            </w: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94"/>
              </w:rPr>
              <w:t>5/17/2017</w:t>
            </w:r>
          </w:p>
        </w:tc>
        <w:tc>
          <w:tcPr>
            <w:tcW w:w="62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1040" w:type="dxa"/>
            <w:vAlign w:val="bottom"/>
            <w:shd w:val="clear" w:color="auto" w:fill="DDDDDD"/>
          </w:tcPr>
          <w:p>
            <w:pPr>
              <w:spacing w:after="0"/>
              <w:rPr>
                <w:sz w:val="13"/>
                <w:szCs w:val="13"/>
                <w:color w:val="auto"/>
              </w:rPr>
            </w:pPr>
          </w:p>
        </w:tc>
        <w:tc>
          <w:tcPr>
            <w:tcW w:w="56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660" w:type="dxa"/>
            <w:vAlign w:val="bottom"/>
            <w:shd w:val="clear" w:color="auto" w:fill="DDDDDD"/>
          </w:tcPr>
          <w:p>
            <w:pPr>
              <w:spacing w:after="0"/>
              <w:rPr>
                <w:sz w:val="13"/>
                <w:szCs w:val="13"/>
                <w:color w:val="auto"/>
              </w:rPr>
            </w:pPr>
          </w:p>
        </w:tc>
        <w:tc>
          <w:tcPr>
            <w:tcW w:w="114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94"/>
              </w:rPr>
              <w:t>14,101</w:t>
            </w:r>
          </w:p>
        </w:tc>
        <w:tc>
          <w:tcPr>
            <w:tcW w:w="620" w:type="dxa"/>
            <w:vAlign w:val="bottom"/>
            <w:shd w:val="clear" w:color="auto" w:fill="DDDDDD"/>
          </w:tcPr>
          <w:p>
            <w:pPr>
              <w:spacing w:after="0"/>
              <w:rPr>
                <w:sz w:val="13"/>
                <w:szCs w:val="13"/>
                <w:color w:val="auto"/>
              </w:rPr>
            </w:pP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88"/>
              </w:rPr>
              <w:t>—</w:t>
            </w:r>
          </w:p>
        </w:tc>
        <w:tc>
          <w:tcPr>
            <w:tcW w:w="860" w:type="dxa"/>
            <w:vAlign w:val="bottom"/>
            <w:shd w:val="clear" w:color="auto" w:fill="DDDDDD"/>
          </w:tcPr>
          <w:p>
            <w:pPr>
              <w:spacing w:after="0"/>
              <w:rPr>
                <w:sz w:val="13"/>
                <w:szCs w:val="13"/>
                <w:color w:val="auto"/>
              </w:rPr>
            </w:pPr>
          </w:p>
        </w:tc>
        <w:tc>
          <w:tcPr>
            <w:tcW w:w="820" w:type="dxa"/>
            <w:vAlign w:val="bottom"/>
            <w:shd w:val="clear" w:color="auto" w:fill="DDDDDD"/>
          </w:tcPr>
          <w:p>
            <w:pPr>
              <w:spacing w:after="0"/>
              <w:rPr>
                <w:sz w:val="13"/>
                <w:szCs w:val="13"/>
                <w:color w:val="auto"/>
              </w:rPr>
            </w:pPr>
          </w:p>
        </w:tc>
        <w:tc>
          <w:tcPr>
            <w:tcW w:w="940" w:type="dxa"/>
            <w:vAlign w:val="bottom"/>
            <w:shd w:val="clear" w:color="auto" w:fill="DDDDDD"/>
          </w:tcPr>
          <w:p>
            <w:pPr>
              <w:jc w:val="right"/>
              <w:ind w:right="78"/>
              <w:spacing w:after="0"/>
              <w:rPr>
                <w:sz w:val="20"/>
                <w:szCs w:val="20"/>
                <w:color w:val="auto"/>
              </w:rPr>
            </w:pPr>
            <w:r>
              <w:rPr>
                <w:rFonts w:ascii="Arial" w:cs="Arial" w:eastAsia="Arial" w:hAnsi="Arial"/>
                <w:sz w:val="9"/>
                <w:szCs w:val="9"/>
                <w:color w:val="666666"/>
              </w:rPr>
              <w:t>458,988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00" w:type="dxa"/>
            <w:vAlign w:val="bottom"/>
            <w:shd w:val="clear" w:color="auto" w:fill="DDDDDD"/>
          </w:tcPr>
          <w:p>
            <w:pPr>
              <w:spacing w:after="0"/>
              <w:rPr>
                <w:sz w:val="16"/>
                <w:szCs w:val="16"/>
                <w:color w:val="auto"/>
              </w:rPr>
            </w:pP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shd w:val="clear" w:color="auto" w:fill="DDDDDD"/>
          </w:tcPr>
          <w:p>
            <w:pPr>
              <w:jc w:val="center"/>
              <w:ind w:left="156"/>
              <w:spacing w:after="0"/>
              <w:rPr>
                <w:sz w:val="20"/>
                <w:szCs w:val="20"/>
                <w:color w:val="auto"/>
              </w:rPr>
            </w:pPr>
            <w:r>
              <w:rPr>
                <w:rFonts w:ascii="Arial" w:cs="Arial" w:eastAsia="Arial" w:hAnsi="Arial"/>
                <w:sz w:val="9"/>
                <w:szCs w:val="9"/>
                <w:color w:val="666666"/>
              </w:rPr>
              <w:t>—</w:t>
            </w:r>
          </w:p>
        </w:tc>
        <w:tc>
          <w:tcPr>
            <w:tcW w:w="1240" w:type="dxa"/>
            <w:vAlign w:val="bottom"/>
            <w:gridSpan w:val="2"/>
            <w:shd w:val="clear" w:color="auto" w:fill="DDDDDD"/>
          </w:tcPr>
          <w:p>
            <w:pPr>
              <w:jc w:val="right"/>
              <w:ind w:right="315"/>
              <w:spacing w:after="0"/>
              <w:rPr>
                <w:sz w:val="20"/>
                <w:szCs w:val="20"/>
                <w:color w:val="auto"/>
              </w:rPr>
            </w:pPr>
            <w:r>
              <w:rPr>
                <w:rFonts w:ascii="Arial" w:cs="Arial" w:eastAsia="Arial" w:hAnsi="Arial"/>
                <w:sz w:val="9"/>
                <w:szCs w:val="9"/>
                <w:color w:val="666666"/>
              </w:rPr>
              <w:t>600,000</w:t>
            </w:r>
          </w:p>
        </w:tc>
        <w:tc>
          <w:tcPr>
            <w:tcW w:w="560" w:type="dxa"/>
            <w:vAlign w:val="bottom"/>
            <w:shd w:val="clear" w:color="auto" w:fill="DDDDDD"/>
          </w:tcPr>
          <w:p>
            <w:pPr>
              <w:jc w:val="right"/>
              <w:ind w:right="56"/>
              <w:spacing w:after="0"/>
              <w:rPr>
                <w:sz w:val="20"/>
                <w:szCs w:val="20"/>
                <w:color w:val="auto"/>
              </w:rPr>
            </w:pPr>
            <w:r>
              <w:rPr>
                <w:rFonts w:ascii="Arial" w:cs="Arial" w:eastAsia="Arial" w:hAnsi="Arial"/>
                <w:sz w:val="9"/>
                <w:szCs w:val="9"/>
                <w:color w:val="666666"/>
              </w:rPr>
              <w:t>1,200,000</w:t>
            </w:r>
          </w:p>
        </w:tc>
        <w:tc>
          <w:tcPr>
            <w:tcW w:w="120" w:type="dxa"/>
            <w:vAlign w:val="bottom"/>
            <w:shd w:val="clear" w:color="auto" w:fill="DDDDDD"/>
          </w:tcPr>
          <w:p>
            <w:pPr>
              <w:spacing w:after="0"/>
              <w:rPr>
                <w:sz w:val="16"/>
                <w:szCs w:val="16"/>
                <w:color w:val="auto"/>
              </w:rPr>
            </w:pPr>
          </w:p>
        </w:tc>
        <w:tc>
          <w:tcPr>
            <w:tcW w:w="660" w:type="dxa"/>
            <w:vAlign w:val="bottom"/>
            <w:shd w:val="clear" w:color="auto" w:fill="DDDDDD"/>
          </w:tcPr>
          <w:p>
            <w:pPr>
              <w:spacing w:after="0"/>
              <w:rPr>
                <w:sz w:val="16"/>
                <w:szCs w:val="16"/>
                <w:color w:val="auto"/>
              </w:rPr>
            </w:pPr>
          </w:p>
        </w:tc>
        <w:tc>
          <w:tcPr>
            <w:tcW w:w="114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shd w:val="clear" w:color="auto" w:fill="DDDDDD"/>
          </w:tcPr>
          <w:p>
            <w:pPr>
              <w:spacing w:after="0"/>
              <w:rPr>
                <w:sz w:val="16"/>
                <w:szCs w:val="16"/>
                <w:color w:val="auto"/>
              </w:rPr>
            </w:pP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c>
          <w:tcPr>
            <w:tcW w:w="56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60" w:type="dxa"/>
            <w:vAlign w:val="bottom"/>
            <w:shd w:val="clear" w:color="auto" w:fill="DDDDDD"/>
          </w:tcPr>
          <w:p>
            <w:pPr>
              <w:jc w:val="center"/>
              <w:ind w:left="96"/>
              <w:spacing w:after="0"/>
              <w:rPr>
                <w:sz w:val="20"/>
                <w:szCs w:val="20"/>
                <w:color w:val="auto"/>
              </w:rPr>
            </w:pPr>
            <w:r>
              <w:rPr>
                <w:rFonts w:ascii="Arial" w:cs="Arial" w:eastAsia="Arial" w:hAnsi="Arial"/>
                <w:sz w:val="9"/>
                <w:szCs w:val="9"/>
                <w:color w:val="666666"/>
                <w:w w:val="88"/>
              </w:rPr>
              <w:t>—</w:t>
            </w:r>
          </w:p>
        </w:tc>
        <w:tc>
          <w:tcPr>
            <w:tcW w:w="1140" w:type="dxa"/>
            <w:vAlign w:val="bottom"/>
            <w:shd w:val="clear" w:color="auto" w:fill="DDDDDD"/>
          </w:tcPr>
          <w:p>
            <w:pPr>
              <w:jc w:val="center"/>
              <w:spacing w:after="0"/>
              <w:rPr>
                <w:sz w:val="20"/>
                <w:szCs w:val="20"/>
                <w:color w:val="auto"/>
              </w:rPr>
            </w:pPr>
            <w:r>
              <w:rPr>
                <w:rFonts w:ascii="Arial" w:cs="Arial" w:eastAsia="Arial" w:hAnsi="Arial"/>
                <w:sz w:val="9"/>
                <w:szCs w:val="9"/>
                <w:color w:val="666666"/>
                <w:w w:val="97"/>
              </w:rPr>
              <w:t>6,954</w:t>
            </w:r>
          </w:p>
        </w:tc>
        <w:tc>
          <w:tcPr>
            <w:tcW w:w="620" w:type="dxa"/>
            <w:vAlign w:val="bottom"/>
            <w:shd w:val="clear" w:color="auto" w:fill="DDDDDD"/>
          </w:tcPr>
          <w:p>
            <w:pPr>
              <w:jc w:val="center"/>
              <w:ind w:right="137"/>
              <w:spacing w:after="0"/>
              <w:rPr>
                <w:sz w:val="20"/>
                <w:szCs w:val="20"/>
                <w:color w:val="auto"/>
              </w:rPr>
            </w:pPr>
            <w:r>
              <w:rPr>
                <w:rFonts w:ascii="Arial" w:cs="Arial" w:eastAsia="Arial" w:hAnsi="Arial"/>
                <w:sz w:val="9"/>
                <w:szCs w:val="9"/>
                <w:color w:val="666666"/>
                <w:w w:val="88"/>
              </w:rPr>
              <w:t>—</w:t>
            </w:r>
          </w:p>
        </w:tc>
        <w:tc>
          <w:tcPr>
            <w:tcW w:w="8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940" w:type="dxa"/>
            <w:vAlign w:val="bottom"/>
            <w:shd w:val="clear" w:color="auto" w:fill="DDDDDD"/>
          </w:tcPr>
          <w:p>
            <w:pPr>
              <w:jc w:val="right"/>
              <w:ind w:right="78"/>
              <w:spacing w:after="0"/>
              <w:rPr>
                <w:sz w:val="20"/>
                <w:szCs w:val="20"/>
                <w:color w:val="auto"/>
              </w:rPr>
            </w:pPr>
            <w:r>
              <w:rPr>
                <w:rFonts w:ascii="Arial" w:cs="Arial" w:eastAsia="Arial" w:hAnsi="Arial"/>
                <w:sz w:val="9"/>
                <w:szCs w:val="9"/>
                <w:color w:val="666666"/>
              </w:rPr>
              <w:t>249,996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Borders>
              <w:bottom w:val="single" w:sz="8" w:color="DDDDDD"/>
            </w:tcBorders>
            <w:shd w:val="clear" w:color="auto" w:fill="DDDDDD"/>
          </w:tcPr>
          <w:p>
            <w:pPr>
              <w:spacing w:after="0"/>
              <w:rPr>
                <w:sz w:val="18"/>
                <w:szCs w:val="18"/>
                <w:color w:val="auto"/>
              </w:rPr>
            </w:pPr>
          </w:p>
        </w:tc>
        <w:tc>
          <w:tcPr>
            <w:tcW w:w="80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040" w:type="dxa"/>
            <w:vAlign w:val="bottom"/>
            <w:tcBorders>
              <w:bottom w:val="single" w:sz="8" w:color="DDDDDD"/>
            </w:tcBorders>
            <w:shd w:val="clear" w:color="auto" w:fill="DDDDDD"/>
          </w:tcPr>
          <w:p>
            <w:pPr>
              <w:spacing w:after="0"/>
              <w:rPr>
                <w:sz w:val="18"/>
                <w:szCs w:val="18"/>
                <w:color w:val="auto"/>
              </w:rPr>
            </w:pPr>
          </w:p>
        </w:tc>
        <w:tc>
          <w:tcPr>
            <w:tcW w:w="56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660" w:type="dxa"/>
            <w:vAlign w:val="bottom"/>
            <w:tcBorders>
              <w:bottom w:val="single" w:sz="8" w:color="DDDDDD"/>
            </w:tcBorders>
            <w:shd w:val="clear" w:color="auto" w:fill="DDDDDD"/>
          </w:tcPr>
          <w:p>
            <w:pPr>
              <w:jc w:val="center"/>
              <w:ind w:left="116"/>
              <w:spacing w:after="0"/>
              <w:rPr>
                <w:sz w:val="20"/>
                <w:szCs w:val="20"/>
                <w:color w:val="auto"/>
              </w:rPr>
            </w:pPr>
            <w:r>
              <w:rPr>
                <w:rFonts w:ascii="Arial" w:cs="Arial" w:eastAsia="Arial" w:hAnsi="Arial"/>
                <w:sz w:val="9"/>
                <w:szCs w:val="9"/>
                <w:color w:val="666666"/>
                <w:w w:val="97"/>
              </w:rPr>
              <w:t>2,607</w:t>
            </w:r>
          </w:p>
        </w:tc>
        <w:tc>
          <w:tcPr>
            <w:tcW w:w="114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9"/>
                <w:szCs w:val="9"/>
                <w:color w:val="666666"/>
                <w:w w:val="94"/>
              </w:rPr>
              <w:t>10,431</w:t>
            </w:r>
          </w:p>
        </w:tc>
        <w:tc>
          <w:tcPr>
            <w:tcW w:w="620" w:type="dxa"/>
            <w:vAlign w:val="bottom"/>
            <w:tcBorders>
              <w:bottom w:val="single" w:sz="8" w:color="DDDDDD"/>
            </w:tcBorders>
            <w:shd w:val="clear" w:color="auto" w:fill="DDDDDD"/>
          </w:tcPr>
          <w:p>
            <w:pPr>
              <w:jc w:val="center"/>
              <w:ind w:right="137"/>
              <w:spacing w:after="0"/>
              <w:rPr>
                <w:sz w:val="20"/>
                <w:szCs w:val="20"/>
                <w:color w:val="auto"/>
              </w:rPr>
            </w:pPr>
            <w:r>
              <w:rPr>
                <w:rFonts w:ascii="Arial" w:cs="Arial" w:eastAsia="Arial" w:hAnsi="Arial"/>
                <w:sz w:val="9"/>
                <w:szCs w:val="9"/>
                <w:color w:val="666666"/>
              </w:rPr>
              <w:t>20,862</w:t>
            </w:r>
          </w:p>
        </w:tc>
        <w:tc>
          <w:tcPr>
            <w:tcW w:w="800" w:type="dxa"/>
            <w:vAlign w:val="bottom"/>
            <w:tcBorders>
              <w:bottom w:val="single" w:sz="8" w:color="DDDDDD"/>
            </w:tcBorders>
            <w:shd w:val="clear" w:color="auto" w:fill="DDDDDD"/>
          </w:tcPr>
          <w:p>
            <w:pPr>
              <w:spacing w:after="0"/>
              <w:rPr>
                <w:sz w:val="18"/>
                <w:szCs w:val="18"/>
                <w:color w:val="auto"/>
              </w:rPr>
            </w:pPr>
          </w:p>
        </w:tc>
        <w:tc>
          <w:tcPr>
            <w:tcW w:w="860" w:type="dxa"/>
            <w:vAlign w:val="bottom"/>
            <w:tcBorders>
              <w:bottom w:val="single" w:sz="8" w:color="DDDDDD"/>
            </w:tcBorders>
            <w:shd w:val="clear" w:color="auto" w:fill="DDDDDD"/>
          </w:tcPr>
          <w:p>
            <w:pPr>
              <w:spacing w:after="0"/>
              <w:rPr>
                <w:sz w:val="18"/>
                <w:szCs w:val="18"/>
                <w:color w:val="auto"/>
              </w:rPr>
            </w:pPr>
          </w:p>
        </w:tc>
        <w:tc>
          <w:tcPr>
            <w:tcW w:w="820" w:type="dxa"/>
            <w:vAlign w:val="bottom"/>
            <w:tcBorders>
              <w:bottom w:val="single" w:sz="8" w:color="DDDDDD"/>
            </w:tcBorders>
            <w:shd w:val="clear" w:color="auto" w:fill="DDDDDD"/>
          </w:tcPr>
          <w:p>
            <w:pPr>
              <w:spacing w:after="0"/>
              <w:rPr>
                <w:sz w:val="18"/>
                <w:szCs w:val="18"/>
                <w:color w:val="auto"/>
              </w:rPr>
            </w:pPr>
          </w:p>
        </w:tc>
        <w:tc>
          <w:tcPr>
            <w:tcW w:w="940" w:type="dxa"/>
            <w:vAlign w:val="bottom"/>
            <w:tcBorders>
              <w:bottom w:val="single" w:sz="8" w:color="DDDDDD"/>
            </w:tcBorders>
            <w:shd w:val="clear" w:color="auto" w:fill="DDDDDD"/>
          </w:tcPr>
          <w:p>
            <w:pPr>
              <w:jc w:val="right"/>
              <w:ind w:right="78"/>
              <w:spacing w:after="0"/>
              <w:rPr>
                <w:sz w:val="20"/>
                <w:szCs w:val="20"/>
                <w:color w:val="auto"/>
              </w:rPr>
            </w:pPr>
            <w:r>
              <w:rPr>
                <w:rFonts w:ascii="Arial" w:cs="Arial" w:eastAsia="Arial" w:hAnsi="Arial"/>
                <w:sz w:val="9"/>
                <w:szCs w:val="9"/>
                <w:color w:val="666666"/>
              </w:rPr>
              <w:t>374,994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00" w:type="dxa"/>
            <w:vAlign w:val="bottom"/>
          </w:tcPr>
          <w:p>
            <w:pPr>
              <w:ind w:left="20"/>
              <w:spacing w:after="0"/>
              <w:rPr>
                <w:sz w:val="20"/>
                <w:szCs w:val="20"/>
                <w:color w:val="auto"/>
              </w:rPr>
            </w:pPr>
            <w:r>
              <w:rPr>
                <w:rFonts w:ascii="Arial" w:cs="Arial" w:eastAsia="Arial" w:hAnsi="Arial"/>
                <w:sz w:val="9"/>
                <w:szCs w:val="9"/>
                <w:b w:val="1"/>
                <w:bCs w:val="1"/>
                <w:color w:val="666666"/>
              </w:rPr>
              <w:t>Susan L. Penfield</w:t>
            </w:r>
          </w:p>
        </w:tc>
        <w:tc>
          <w:tcPr>
            <w:tcW w:w="800" w:type="dxa"/>
            <w:vAlign w:val="bottom"/>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jc w:val="right"/>
              <w:ind w:right="120"/>
              <w:spacing w:after="0"/>
              <w:rPr>
                <w:sz w:val="20"/>
                <w:szCs w:val="20"/>
                <w:color w:val="auto"/>
              </w:rPr>
            </w:pPr>
            <w:r>
              <w:rPr>
                <w:rFonts w:ascii="Arial" w:cs="Arial" w:eastAsia="Arial" w:hAnsi="Arial"/>
                <w:sz w:val="9"/>
                <w:szCs w:val="9"/>
                <w:color w:val="666666"/>
              </w:rPr>
              <w:t>52,761</w:t>
            </w:r>
          </w:p>
        </w:tc>
        <w:tc>
          <w:tcPr>
            <w:tcW w:w="820" w:type="dxa"/>
            <w:vAlign w:val="bottom"/>
          </w:tcPr>
          <w:p>
            <w:pPr>
              <w:jc w:val="right"/>
              <w:ind w:right="160"/>
              <w:spacing w:after="0"/>
              <w:rPr>
                <w:sz w:val="20"/>
                <w:szCs w:val="20"/>
                <w:color w:val="auto"/>
              </w:rPr>
            </w:pPr>
            <w:r>
              <w:rPr>
                <w:rFonts w:ascii="Arial" w:cs="Arial" w:eastAsia="Arial" w:hAnsi="Arial"/>
                <w:sz w:val="9"/>
                <w:szCs w:val="9"/>
                <w:color w:val="666666"/>
              </w:rPr>
              <w:t>35.95</w:t>
            </w:r>
          </w:p>
        </w:tc>
        <w:tc>
          <w:tcPr>
            <w:tcW w:w="940" w:type="dxa"/>
            <w:vAlign w:val="bottom"/>
          </w:tcPr>
          <w:p>
            <w:pPr>
              <w:jc w:val="right"/>
              <w:ind w:right="78"/>
              <w:spacing w:after="0"/>
              <w:rPr>
                <w:sz w:val="20"/>
                <w:szCs w:val="20"/>
                <w:color w:val="auto"/>
              </w:rPr>
            </w:pPr>
            <w:r>
              <w:rPr>
                <w:rFonts w:ascii="Arial" w:cs="Arial" w:eastAsia="Arial" w:hAnsi="Arial"/>
                <w:sz w:val="9"/>
                <w:szCs w:val="9"/>
                <w:color w:val="666666"/>
              </w:rPr>
              <w:t>499,991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9"/>
                <w:szCs w:val="9"/>
                <w:color w:val="666666"/>
                <w:w w:val="96"/>
              </w:rPr>
              <w:t>7/3/2017</w:t>
            </w:r>
          </w:p>
        </w:tc>
        <w:tc>
          <w:tcPr>
            <w:tcW w:w="800" w:type="dxa"/>
            <w:vAlign w:val="bottom"/>
          </w:tcPr>
          <w:p>
            <w:pPr>
              <w:jc w:val="center"/>
              <w:spacing w:after="0"/>
              <w:rPr>
                <w:sz w:val="20"/>
                <w:szCs w:val="20"/>
                <w:color w:val="auto"/>
              </w:rPr>
            </w:pPr>
            <w:r>
              <w:rPr>
                <w:rFonts w:ascii="Arial" w:cs="Arial" w:eastAsia="Arial" w:hAnsi="Arial"/>
                <w:sz w:val="9"/>
                <w:szCs w:val="9"/>
                <w:color w:val="666666"/>
                <w:w w:val="94"/>
              </w:rPr>
              <w:t>5/17/2017</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9"/>
                <w:szCs w:val="9"/>
                <w:color w:val="666666"/>
                <w:w w:val="97"/>
              </w:rPr>
              <w:t>8,460</w:t>
            </w:r>
          </w:p>
        </w:tc>
        <w:tc>
          <w:tcPr>
            <w:tcW w:w="6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9"/>
                <w:szCs w:val="9"/>
                <w:color w:val="666666"/>
                <w:w w:val="88"/>
              </w:rPr>
              <w:t>—</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jc w:val="right"/>
              <w:ind w:right="78"/>
              <w:spacing w:after="0"/>
              <w:rPr>
                <w:sz w:val="20"/>
                <w:szCs w:val="20"/>
                <w:color w:val="auto"/>
              </w:rPr>
            </w:pPr>
            <w:r>
              <w:rPr>
                <w:rFonts w:ascii="Arial" w:cs="Arial" w:eastAsia="Arial" w:hAnsi="Arial"/>
                <w:sz w:val="9"/>
                <w:szCs w:val="9"/>
                <w:color w:val="666666"/>
              </w:rPr>
              <w:t>275,373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tcPr>
          <w:p>
            <w:pPr>
              <w:jc w:val="center"/>
              <w:ind w:left="156"/>
              <w:spacing w:after="0"/>
              <w:rPr>
                <w:sz w:val="20"/>
                <w:szCs w:val="20"/>
                <w:color w:val="auto"/>
              </w:rPr>
            </w:pPr>
            <w:r>
              <w:rPr>
                <w:rFonts w:ascii="Arial" w:cs="Arial" w:eastAsia="Arial" w:hAnsi="Arial"/>
                <w:sz w:val="9"/>
                <w:szCs w:val="9"/>
                <w:color w:val="666666"/>
              </w:rPr>
              <w:t>—</w:t>
            </w:r>
          </w:p>
        </w:tc>
        <w:tc>
          <w:tcPr>
            <w:tcW w:w="1240" w:type="dxa"/>
            <w:vAlign w:val="bottom"/>
            <w:gridSpan w:val="2"/>
          </w:tcPr>
          <w:p>
            <w:pPr>
              <w:jc w:val="right"/>
              <w:ind w:right="315"/>
              <w:spacing w:after="0"/>
              <w:rPr>
                <w:sz w:val="20"/>
                <w:szCs w:val="20"/>
                <w:color w:val="auto"/>
              </w:rPr>
            </w:pPr>
            <w:r>
              <w:rPr>
                <w:rFonts w:ascii="Arial" w:cs="Arial" w:eastAsia="Arial" w:hAnsi="Arial"/>
                <w:sz w:val="9"/>
                <w:szCs w:val="9"/>
                <w:color w:val="666666"/>
              </w:rPr>
              <w:t>425,000</w:t>
            </w:r>
          </w:p>
        </w:tc>
        <w:tc>
          <w:tcPr>
            <w:tcW w:w="560" w:type="dxa"/>
            <w:vAlign w:val="bottom"/>
          </w:tcPr>
          <w:p>
            <w:pPr>
              <w:jc w:val="right"/>
              <w:ind w:right="56"/>
              <w:spacing w:after="0"/>
              <w:rPr>
                <w:sz w:val="20"/>
                <w:szCs w:val="20"/>
                <w:color w:val="auto"/>
              </w:rPr>
            </w:pPr>
            <w:r>
              <w:rPr>
                <w:rFonts w:ascii="Arial" w:cs="Arial" w:eastAsia="Arial" w:hAnsi="Arial"/>
                <w:sz w:val="9"/>
                <w:szCs w:val="9"/>
                <w:color w:val="666666"/>
              </w:rPr>
              <w:t>850,000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left="96"/>
              <w:spacing w:after="0"/>
              <w:rPr>
                <w:sz w:val="20"/>
                <w:szCs w:val="20"/>
                <w:color w:val="auto"/>
              </w:rPr>
            </w:pPr>
            <w:r>
              <w:rPr>
                <w:rFonts w:ascii="Arial" w:cs="Arial" w:eastAsia="Arial" w:hAnsi="Arial"/>
                <w:sz w:val="9"/>
                <w:szCs w:val="9"/>
                <w:color w:val="666666"/>
                <w:w w:val="88"/>
              </w:rPr>
              <w:t>—</w:t>
            </w:r>
          </w:p>
        </w:tc>
        <w:tc>
          <w:tcPr>
            <w:tcW w:w="1140" w:type="dxa"/>
            <w:vAlign w:val="bottom"/>
          </w:tcPr>
          <w:p>
            <w:pPr>
              <w:jc w:val="center"/>
              <w:spacing w:after="0"/>
              <w:rPr>
                <w:sz w:val="20"/>
                <w:szCs w:val="20"/>
                <w:color w:val="auto"/>
              </w:rPr>
            </w:pPr>
            <w:r>
              <w:rPr>
                <w:rFonts w:ascii="Arial" w:cs="Arial" w:eastAsia="Arial" w:hAnsi="Arial"/>
                <w:sz w:val="9"/>
                <w:szCs w:val="9"/>
                <w:color w:val="666666"/>
                <w:w w:val="94"/>
              </w:rPr>
              <w:t>10,778</w:t>
            </w:r>
          </w:p>
        </w:tc>
        <w:tc>
          <w:tcPr>
            <w:tcW w:w="620" w:type="dxa"/>
            <w:vAlign w:val="bottom"/>
          </w:tcPr>
          <w:p>
            <w:pPr>
              <w:jc w:val="center"/>
              <w:ind w:right="137"/>
              <w:spacing w:after="0"/>
              <w:rPr>
                <w:sz w:val="20"/>
                <w:szCs w:val="20"/>
                <w:color w:val="auto"/>
              </w:rPr>
            </w:pPr>
            <w:r>
              <w:rPr>
                <w:rFonts w:ascii="Arial" w:cs="Arial" w:eastAsia="Arial" w:hAnsi="Arial"/>
                <w:sz w:val="9"/>
                <w:szCs w:val="9"/>
                <w:color w:val="666666"/>
                <w:w w:val="88"/>
              </w:rPr>
              <w:t>—</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jc w:val="right"/>
              <w:ind w:right="78"/>
              <w:spacing w:after="0"/>
              <w:rPr>
                <w:sz w:val="20"/>
                <w:szCs w:val="20"/>
                <w:color w:val="auto"/>
              </w:rPr>
            </w:pPr>
            <w:r>
              <w:rPr>
                <w:rFonts w:ascii="Arial" w:cs="Arial" w:eastAsia="Arial" w:hAnsi="Arial"/>
                <w:sz w:val="9"/>
                <w:szCs w:val="9"/>
                <w:color w:val="666666"/>
              </w:rPr>
              <w:t>387,469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9"/>
                <w:szCs w:val="9"/>
                <w:color w:val="666666"/>
                <w:w w:val="99"/>
              </w:rPr>
              <w:t>5/19/2017</w:t>
            </w:r>
          </w:p>
        </w:tc>
        <w:tc>
          <w:tcPr>
            <w:tcW w:w="800" w:type="dxa"/>
            <w:vAlign w:val="bottom"/>
          </w:tcPr>
          <w:p>
            <w:pPr>
              <w:jc w:val="center"/>
              <w:spacing w:after="0"/>
              <w:rPr>
                <w:sz w:val="20"/>
                <w:szCs w:val="20"/>
                <w:color w:val="auto"/>
              </w:rPr>
            </w:pPr>
            <w:r>
              <w:rPr>
                <w:rFonts w:ascii="Arial" w:cs="Arial" w:eastAsia="Arial" w:hAnsi="Arial"/>
                <w:sz w:val="9"/>
                <w:szCs w:val="9"/>
                <w:color w:val="666666"/>
                <w:w w:val="88"/>
              </w:rPr>
              <w: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left="116"/>
              <w:spacing w:after="0"/>
              <w:rPr>
                <w:sz w:val="20"/>
                <w:szCs w:val="20"/>
                <w:color w:val="auto"/>
              </w:rPr>
            </w:pPr>
            <w:r>
              <w:rPr>
                <w:rFonts w:ascii="Arial" w:cs="Arial" w:eastAsia="Arial" w:hAnsi="Arial"/>
                <w:sz w:val="9"/>
                <w:szCs w:val="9"/>
                <w:color w:val="666666"/>
                <w:w w:val="97"/>
              </w:rPr>
              <w:t>2,694</w:t>
            </w:r>
          </w:p>
        </w:tc>
        <w:tc>
          <w:tcPr>
            <w:tcW w:w="1140" w:type="dxa"/>
            <w:vAlign w:val="bottom"/>
          </w:tcPr>
          <w:p>
            <w:pPr>
              <w:jc w:val="center"/>
              <w:spacing w:after="0"/>
              <w:rPr>
                <w:sz w:val="20"/>
                <w:szCs w:val="20"/>
                <w:color w:val="auto"/>
              </w:rPr>
            </w:pPr>
            <w:r>
              <w:rPr>
                <w:rFonts w:ascii="Arial" w:cs="Arial" w:eastAsia="Arial" w:hAnsi="Arial"/>
                <w:sz w:val="9"/>
                <w:szCs w:val="9"/>
                <w:color w:val="666666"/>
                <w:w w:val="94"/>
              </w:rPr>
              <w:t>10,778</w:t>
            </w:r>
          </w:p>
        </w:tc>
        <w:tc>
          <w:tcPr>
            <w:tcW w:w="620" w:type="dxa"/>
            <w:vAlign w:val="bottom"/>
          </w:tcPr>
          <w:p>
            <w:pPr>
              <w:jc w:val="center"/>
              <w:ind w:right="137"/>
              <w:spacing w:after="0"/>
              <w:rPr>
                <w:sz w:val="20"/>
                <w:szCs w:val="20"/>
                <w:color w:val="auto"/>
              </w:rPr>
            </w:pPr>
            <w:r>
              <w:rPr>
                <w:rFonts w:ascii="Arial" w:cs="Arial" w:eastAsia="Arial" w:hAnsi="Arial"/>
                <w:sz w:val="9"/>
                <w:szCs w:val="9"/>
                <w:color w:val="666666"/>
              </w:rPr>
              <w:t>21,556</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jc w:val="right"/>
              <w:ind w:right="78"/>
              <w:spacing w:after="0"/>
              <w:rPr>
                <w:sz w:val="20"/>
                <w:szCs w:val="20"/>
                <w:color w:val="auto"/>
              </w:rPr>
            </w:pPr>
            <w:r>
              <w:rPr>
                <w:rFonts w:ascii="Arial" w:cs="Arial" w:eastAsia="Arial" w:hAnsi="Arial"/>
                <w:sz w:val="9"/>
                <w:szCs w:val="9"/>
                <w:color w:val="666666"/>
              </w:rPr>
              <w:t>387,469</w:t>
            </w: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41</w:t>
      </w:r>
    </w:p>
    <w:p>
      <w:pPr>
        <w:sectPr>
          <w:pgSz w:w="11900" w:h="16838" w:orient="portrait"/>
          <w:cols w:equalWidth="0" w:num="1">
            <w:col w:w="11500"/>
          </w:cols>
          <w:pgMar w:left="200" w:top="578" w:right="199" w:bottom="1440" w:gutter="0" w:footer="0" w:header="0"/>
        </w:sectPr>
      </w:pPr>
    </w:p>
    <w:bookmarkStart w:id="50" w:name="page51"/>
    <w:bookmarkEnd w:id="50"/>
    <w:p>
      <w:pPr>
        <w:jc w:val="both"/>
        <w:ind w:left="340" w:hanging="237"/>
        <w:spacing w:after="0" w:line="248" w:lineRule="auto"/>
        <w:tabs>
          <w:tab w:leader="none" w:pos="340" w:val="left"/>
        </w:tabs>
        <w:numPr>
          <w:ilvl w:val="0"/>
          <w:numId w:val="39"/>
        </w:numPr>
        <w:rPr>
          <w:rFonts w:ascii="Arial" w:cs="Arial" w:eastAsia="Arial" w:hAnsi="Arial"/>
          <w:sz w:val="10"/>
          <w:szCs w:val="10"/>
          <w:color w:val="666666"/>
        </w:rPr>
      </w:pPr>
      <w:r>
        <w:rPr>
          <w:rFonts w:ascii="Arial" w:cs="Arial" w:eastAsia="Arial" w:hAnsi="Arial"/>
          <w:sz w:val="10"/>
          <w:szCs w:val="10"/>
          <w:color w:val="666666"/>
        </w:rPr>
        <w:t>Reflects the portion of the target and maximum bonus levels for fiscal year 2018 under our annual performance bonus plan, which provides awards based on the achievement of corporate performance objectives, payable in cash. The annual performance bonus plan is described more fully under “Compensation Discussion and Analysis - Compensation Elements - Annual Cash Incentive.” Non-equity incentive plan awards have no minimum threshold payouts. The maximum payout for the annual bonus is equal to 200% of target. The actual cash bonuses paid for fiscal year 2018 are reflected in the Summary Compensation Table.</w:t>
      </w:r>
    </w:p>
    <w:p>
      <w:pPr>
        <w:spacing w:after="0" w:line="1" w:lineRule="exact"/>
        <w:rPr>
          <w:rFonts w:ascii="Arial" w:cs="Arial" w:eastAsia="Arial" w:hAnsi="Arial"/>
          <w:sz w:val="10"/>
          <w:szCs w:val="10"/>
          <w:color w:val="666666"/>
        </w:rPr>
      </w:pPr>
    </w:p>
    <w:p>
      <w:pPr>
        <w:jc w:val="both"/>
        <w:ind w:left="340" w:hanging="237"/>
        <w:spacing w:after="0" w:line="244" w:lineRule="auto"/>
        <w:tabs>
          <w:tab w:leader="none" w:pos="340" w:val="left"/>
        </w:tabs>
        <w:numPr>
          <w:ilvl w:val="0"/>
          <w:numId w:val="39"/>
        </w:numPr>
        <w:rPr>
          <w:rFonts w:ascii="Arial" w:cs="Arial" w:eastAsia="Arial" w:hAnsi="Arial"/>
          <w:sz w:val="10"/>
          <w:szCs w:val="10"/>
          <w:color w:val="666666"/>
        </w:rPr>
      </w:pPr>
      <w:r>
        <w:rPr>
          <w:rFonts w:ascii="Arial" w:cs="Arial" w:eastAsia="Arial" w:hAnsi="Arial"/>
          <w:sz w:val="10"/>
          <w:szCs w:val="10"/>
          <w:color w:val="666666"/>
        </w:rPr>
        <w:t>Reflects the actual number of restricted stock units grants under our Annual Incentive Plan during fiscal year 2018, which occurred on July 3, 2017, with respect to fiscal year 2017 performance under our legacy executive compensation program. Restricted stock units granted in July 2017 will vest ratably over a three-year period on March 31 of each year based on continued employment, subject to certain exceptions. Also reflects the target number of time restricted stock units and performance restricted stock units granted on May 19, 2017 under our redesigned executive compensation program. The time-vested restricted stock units include a performance condition that the Company generate net income as reported in the Company’s audited financial statements for any of the three fiscal years of the vest schedule in order for any of the time-based restricted stock units to vest. The maximum payout for the performance-vested restricted stock units is equal to 200% of target, and threshold payout is 25% of target. The performance restricted stock units are based on the Company's performance against ADEPS (75% weighting) and VAR (25% weighting) based on cumulative performance over a three year period. See “Compensation Discussion and Analysis -- Compensation Elements - Long-Term Equity Incentives" for details regarding these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298690" cy="3006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8690" cy="30060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OUTSTANDING EQUITY AWARDS AT FISCAL YEAR-END TABLE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60" w:type="dxa"/>
            <w:vAlign w:val="bottom"/>
            <w:tcBorders>
              <w:bottom w:val="single" w:sz="8" w:color="DDDDDD"/>
            </w:tcBorders>
            <w:shd w:val="clear" w:color="auto" w:fill="DDDDDD"/>
          </w:tcPr>
          <w:p>
            <w:pPr>
              <w:spacing w:after="0"/>
              <w:rPr>
                <w:sz w:val="16"/>
                <w:szCs w:val="16"/>
                <w:color w:val="auto"/>
              </w:rPr>
            </w:pPr>
          </w:p>
        </w:tc>
        <w:tc>
          <w:tcPr>
            <w:tcW w:w="980" w:type="dxa"/>
            <w:vAlign w:val="bottom"/>
            <w:tcBorders>
              <w:bottom w:val="single" w:sz="8" w:color="666666"/>
            </w:tcBorders>
            <w:shd w:val="clear" w:color="auto" w:fill="DDDDDD"/>
          </w:tcPr>
          <w:p>
            <w:pPr>
              <w:spacing w:after="0"/>
              <w:rPr>
                <w:sz w:val="16"/>
                <w:szCs w:val="16"/>
                <w:color w:val="auto"/>
              </w:rPr>
            </w:pPr>
          </w:p>
        </w:tc>
        <w:tc>
          <w:tcPr>
            <w:tcW w:w="920" w:type="dxa"/>
            <w:vAlign w:val="bottom"/>
            <w:tcBorders>
              <w:bottom w:val="single" w:sz="8" w:color="666666"/>
            </w:tcBorders>
            <w:shd w:val="clear" w:color="auto" w:fill="DDDDDD"/>
          </w:tcPr>
          <w:p>
            <w:pPr>
              <w:spacing w:after="0"/>
              <w:rPr>
                <w:sz w:val="16"/>
                <w:szCs w:val="16"/>
                <w:color w:val="auto"/>
              </w:rPr>
            </w:pPr>
          </w:p>
        </w:tc>
        <w:tc>
          <w:tcPr>
            <w:tcW w:w="240" w:type="dxa"/>
            <w:vAlign w:val="bottom"/>
            <w:tcBorders>
              <w:bottom w:val="single" w:sz="8" w:color="666666"/>
            </w:tcBorders>
            <w:shd w:val="clear" w:color="auto" w:fill="DDDDDD"/>
          </w:tcPr>
          <w:p>
            <w:pPr>
              <w:spacing w:after="0"/>
              <w:rPr>
                <w:sz w:val="16"/>
                <w:szCs w:val="16"/>
                <w:color w:val="auto"/>
              </w:rPr>
            </w:pPr>
          </w:p>
        </w:tc>
        <w:tc>
          <w:tcPr>
            <w:tcW w:w="1240" w:type="dxa"/>
            <w:vAlign w:val="bottom"/>
            <w:tcBorders>
              <w:bottom w:val="single" w:sz="8" w:color="666666"/>
            </w:tcBorders>
            <w:shd w:val="clear" w:color="auto" w:fill="DDDDDD"/>
          </w:tcPr>
          <w:p>
            <w:pPr>
              <w:ind w:left="140"/>
              <w:spacing w:after="0"/>
              <w:rPr>
                <w:sz w:val="20"/>
                <w:szCs w:val="20"/>
                <w:color w:val="auto"/>
              </w:rPr>
            </w:pPr>
            <w:r>
              <w:rPr>
                <w:rFonts w:ascii="Arial" w:cs="Arial" w:eastAsia="Arial" w:hAnsi="Arial"/>
                <w:sz w:val="9"/>
                <w:szCs w:val="9"/>
                <w:b w:val="1"/>
                <w:bCs w:val="1"/>
                <w:color w:val="666666"/>
              </w:rPr>
              <w:t>Option Awards</w:t>
            </w:r>
          </w:p>
        </w:tc>
        <w:tc>
          <w:tcPr>
            <w:tcW w:w="780" w:type="dxa"/>
            <w:vAlign w:val="bottom"/>
            <w:tcBorders>
              <w:bottom w:val="single" w:sz="8" w:color="666666"/>
            </w:tcBorders>
            <w:shd w:val="clear" w:color="auto" w:fill="DDDDDD"/>
          </w:tcPr>
          <w:p>
            <w:pPr>
              <w:spacing w:after="0"/>
              <w:rPr>
                <w:sz w:val="16"/>
                <w:szCs w:val="16"/>
                <w:color w:val="auto"/>
              </w:rPr>
            </w:pPr>
          </w:p>
        </w:tc>
        <w:tc>
          <w:tcPr>
            <w:tcW w:w="300" w:type="dxa"/>
            <w:vAlign w:val="bottom"/>
            <w:tcBorders>
              <w:bottom w:val="single" w:sz="8" w:color="666666"/>
            </w:tcBorders>
            <w:shd w:val="clear" w:color="auto" w:fill="DDDDDD"/>
          </w:tcPr>
          <w:p>
            <w:pPr>
              <w:spacing w:after="0"/>
              <w:rPr>
                <w:sz w:val="16"/>
                <w:szCs w:val="16"/>
                <w:color w:val="auto"/>
              </w:rPr>
            </w:pPr>
          </w:p>
        </w:tc>
        <w:tc>
          <w:tcPr>
            <w:tcW w:w="720" w:type="dxa"/>
            <w:vAlign w:val="bottom"/>
            <w:tcBorders>
              <w:bottom w:val="single" w:sz="8" w:color="666666"/>
            </w:tcBorders>
            <w:shd w:val="clear" w:color="auto" w:fill="DDDDDD"/>
          </w:tcPr>
          <w:p>
            <w:pPr>
              <w:spacing w:after="0"/>
              <w:rPr>
                <w:sz w:val="16"/>
                <w:szCs w:val="16"/>
                <w:color w:val="auto"/>
              </w:rPr>
            </w:pPr>
          </w:p>
        </w:tc>
        <w:tc>
          <w:tcPr>
            <w:tcW w:w="120" w:type="dxa"/>
            <w:vAlign w:val="bottom"/>
            <w:tcBorders>
              <w:bottom w:val="single" w:sz="8" w:color="DDDDDD"/>
            </w:tcBorders>
            <w:shd w:val="clear" w:color="auto" w:fill="DDDDDD"/>
          </w:tcPr>
          <w:p>
            <w:pPr>
              <w:spacing w:after="0"/>
              <w:rPr>
                <w:sz w:val="16"/>
                <w:szCs w:val="16"/>
                <w:color w:val="auto"/>
              </w:rPr>
            </w:pPr>
          </w:p>
        </w:tc>
        <w:tc>
          <w:tcPr>
            <w:tcW w:w="1120" w:type="dxa"/>
            <w:vAlign w:val="bottom"/>
            <w:tcBorders>
              <w:bottom w:val="single" w:sz="8" w:color="666666"/>
            </w:tcBorders>
            <w:shd w:val="clear" w:color="auto" w:fill="DDDDDD"/>
          </w:tcPr>
          <w:p>
            <w:pPr>
              <w:spacing w:after="0"/>
              <w:rPr>
                <w:sz w:val="16"/>
                <w:szCs w:val="16"/>
                <w:color w:val="auto"/>
              </w:rPr>
            </w:pPr>
          </w:p>
        </w:tc>
        <w:tc>
          <w:tcPr>
            <w:tcW w:w="2420" w:type="dxa"/>
            <w:vAlign w:val="bottom"/>
            <w:tcBorders>
              <w:bottom w:val="single" w:sz="8" w:color="666666"/>
            </w:tcBorders>
            <w:gridSpan w:val="2"/>
            <w:shd w:val="clear" w:color="auto" w:fill="DDDDDD"/>
          </w:tcPr>
          <w:p>
            <w:pPr>
              <w:jc w:val="right"/>
              <w:ind w:right="736"/>
              <w:spacing w:after="0"/>
              <w:rPr>
                <w:sz w:val="20"/>
                <w:szCs w:val="20"/>
                <w:color w:val="auto"/>
              </w:rPr>
            </w:pPr>
            <w:r>
              <w:rPr>
                <w:rFonts w:ascii="Arial" w:cs="Arial" w:eastAsia="Arial" w:hAnsi="Arial"/>
                <w:sz w:val="9"/>
                <w:szCs w:val="9"/>
                <w:b w:val="1"/>
                <w:bCs w:val="1"/>
                <w:color w:val="666666"/>
              </w:rPr>
              <w:t>Stock Awards</w:t>
            </w:r>
          </w:p>
        </w:tc>
        <w:tc>
          <w:tcPr>
            <w:tcW w:w="1360" w:type="dxa"/>
            <w:vAlign w:val="bottom"/>
            <w:tcBorders>
              <w:bottom w:val="single" w:sz="8" w:color="666666"/>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60" w:type="dxa"/>
            <w:vAlign w:val="bottom"/>
            <w:shd w:val="clear" w:color="auto" w:fill="DDDDDD"/>
          </w:tcPr>
          <w:p>
            <w:pPr>
              <w:spacing w:after="0"/>
              <w:rPr>
                <w:sz w:val="7"/>
                <w:szCs w:val="7"/>
                <w:color w:val="auto"/>
              </w:rPr>
            </w:pPr>
          </w:p>
        </w:tc>
        <w:tc>
          <w:tcPr>
            <w:tcW w:w="980" w:type="dxa"/>
            <w:vAlign w:val="bottom"/>
            <w:vMerge w:val="restart"/>
            <w:shd w:val="clear" w:color="auto" w:fill="DDDDDD"/>
          </w:tcPr>
          <w:p>
            <w:pPr>
              <w:jc w:val="center"/>
              <w:ind w:right="16"/>
              <w:spacing w:after="0"/>
              <w:rPr>
                <w:sz w:val="20"/>
                <w:szCs w:val="20"/>
                <w:color w:val="auto"/>
              </w:rPr>
            </w:pPr>
            <w:r>
              <w:rPr>
                <w:rFonts w:ascii="Arial" w:cs="Arial" w:eastAsia="Arial" w:hAnsi="Arial"/>
                <w:sz w:val="9"/>
                <w:szCs w:val="9"/>
                <w:b w:val="1"/>
                <w:bCs w:val="1"/>
                <w:color w:val="666666"/>
                <w:w w:val="97"/>
              </w:rPr>
              <w:t>Number of</w:t>
            </w:r>
          </w:p>
        </w:tc>
        <w:tc>
          <w:tcPr>
            <w:tcW w:w="920" w:type="dxa"/>
            <w:vAlign w:val="bottom"/>
            <w:vMerge w:val="restart"/>
            <w:shd w:val="clear" w:color="auto" w:fill="DDDDDD"/>
          </w:tcPr>
          <w:p>
            <w:pPr>
              <w:jc w:val="center"/>
              <w:spacing w:after="0"/>
              <w:rPr>
                <w:sz w:val="20"/>
                <w:szCs w:val="20"/>
                <w:color w:val="auto"/>
              </w:rPr>
            </w:pPr>
            <w:r>
              <w:rPr>
                <w:rFonts w:ascii="Arial" w:cs="Arial" w:eastAsia="Arial" w:hAnsi="Arial"/>
                <w:sz w:val="9"/>
                <w:szCs w:val="9"/>
                <w:b w:val="1"/>
                <w:bCs w:val="1"/>
                <w:color w:val="666666"/>
                <w:w w:val="97"/>
              </w:rPr>
              <w:t>Number of</w:t>
            </w:r>
          </w:p>
        </w:tc>
        <w:tc>
          <w:tcPr>
            <w:tcW w:w="240" w:type="dxa"/>
            <w:vAlign w:val="bottom"/>
            <w:shd w:val="clear" w:color="auto" w:fill="DDDDDD"/>
          </w:tcPr>
          <w:p>
            <w:pPr>
              <w:spacing w:after="0"/>
              <w:rPr>
                <w:sz w:val="7"/>
                <w:szCs w:val="7"/>
                <w:color w:val="auto"/>
              </w:rPr>
            </w:pPr>
          </w:p>
        </w:tc>
        <w:tc>
          <w:tcPr>
            <w:tcW w:w="1240" w:type="dxa"/>
            <w:vAlign w:val="bottom"/>
            <w:shd w:val="clear" w:color="auto" w:fill="DDDDDD"/>
          </w:tcPr>
          <w:p>
            <w:pPr>
              <w:jc w:val="center"/>
              <w:ind w:right="56"/>
              <w:spacing w:after="0" w:line="92" w:lineRule="exact"/>
              <w:rPr>
                <w:sz w:val="20"/>
                <w:szCs w:val="20"/>
                <w:color w:val="auto"/>
              </w:rPr>
            </w:pPr>
            <w:r>
              <w:rPr>
                <w:rFonts w:ascii="Arial" w:cs="Arial" w:eastAsia="Arial" w:hAnsi="Arial"/>
                <w:sz w:val="9"/>
                <w:szCs w:val="9"/>
                <w:b w:val="1"/>
                <w:bCs w:val="1"/>
                <w:color w:val="666666"/>
                <w:w w:val="99"/>
              </w:rPr>
              <w:t>Equity Incentive Plan</w:t>
            </w:r>
          </w:p>
        </w:tc>
        <w:tc>
          <w:tcPr>
            <w:tcW w:w="780" w:type="dxa"/>
            <w:vAlign w:val="bottom"/>
            <w:shd w:val="clear" w:color="auto" w:fill="DDDDDD"/>
          </w:tcPr>
          <w:p>
            <w:pPr>
              <w:spacing w:after="0"/>
              <w:rPr>
                <w:sz w:val="7"/>
                <w:szCs w:val="7"/>
                <w:color w:val="auto"/>
              </w:rPr>
            </w:pPr>
          </w:p>
        </w:tc>
        <w:tc>
          <w:tcPr>
            <w:tcW w:w="300" w:type="dxa"/>
            <w:vAlign w:val="bottom"/>
            <w:shd w:val="clear" w:color="auto" w:fill="DDDDDD"/>
          </w:tcPr>
          <w:p>
            <w:pPr>
              <w:spacing w:after="0"/>
              <w:rPr>
                <w:sz w:val="7"/>
                <w:szCs w:val="7"/>
                <w:color w:val="auto"/>
              </w:rPr>
            </w:pPr>
          </w:p>
        </w:tc>
        <w:tc>
          <w:tcPr>
            <w:tcW w:w="720" w:type="dxa"/>
            <w:vAlign w:val="bottom"/>
            <w:shd w:val="clear" w:color="auto" w:fill="DDDDDD"/>
          </w:tcPr>
          <w:p>
            <w:pPr>
              <w:spacing w:after="0"/>
              <w:rPr>
                <w:sz w:val="7"/>
                <w:szCs w:val="7"/>
                <w:color w:val="auto"/>
              </w:rPr>
            </w:pPr>
          </w:p>
        </w:tc>
        <w:tc>
          <w:tcPr>
            <w:tcW w:w="120" w:type="dxa"/>
            <w:vAlign w:val="bottom"/>
            <w:shd w:val="clear" w:color="auto" w:fill="DDDDDD"/>
          </w:tcPr>
          <w:p>
            <w:pPr>
              <w:spacing w:after="0"/>
              <w:rPr>
                <w:sz w:val="7"/>
                <w:szCs w:val="7"/>
                <w:color w:val="auto"/>
              </w:rPr>
            </w:pPr>
          </w:p>
        </w:tc>
        <w:tc>
          <w:tcPr>
            <w:tcW w:w="1120" w:type="dxa"/>
            <w:vAlign w:val="bottom"/>
            <w:shd w:val="clear" w:color="auto" w:fill="DDDDDD"/>
          </w:tcPr>
          <w:p>
            <w:pPr>
              <w:spacing w:after="0"/>
              <w:rPr>
                <w:sz w:val="7"/>
                <w:szCs w:val="7"/>
                <w:color w:val="auto"/>
              </w:rPr>
            </w:pPr>
          </w:p>
        </w:tc>
        <w:tc>
          <w:tcPr>
            <w:tcW w:w="1160" w:type="dxa"/>
            <w:vAlign w:val="bottom"/>
            <w:shd w:val="clear" w:color="auto" w:fill="DDDDDD"/>
          </w:tcPr>
          <w:p>
            <w:pPr>
              <w:spacing w:after="0"/>
              <w:rPr>
                <w:sz w:val="7"/>
                <w:szCs w:val="7"/>
                <w:color w:val="auto"/>
              </w:rPr>
            </w:pPr>
          </w:p>
        </w:tc>
        <w:tc>
          <w:tcPr>
            <w:tcW w:w="1260" w:type="dxa"/>
            <w:vAlign w:val="bottom"/>
            <w:shd w:val="clear" w:color="auto" w:fill="DDDDDD"/>
          </w:tcPr>
          <w:p>
            <w:pPr>
              <w:spacing w:after="0"/>
              <w:rPr>
                <w:sz w:val="7"/>
                <w:szCs w:val="7"/>
                <w:color w:val="auto"/>
              </w:rPr>
            </w:pPr>
          </w:p>
        </w:tc>
        <w:tc>
          <w:tcPr>
            <w:tcW w:w="1360" w:type="dxa"/>
            <w:vAlign w:val="bottom"/>
            <w:shd w:val="clear" w:color="auto" w:fill="DDDDDD"/>
          </w:tcPr>
          <w:p>
            <w:pPr>
              <w:spacing w:after="0"/>
              <w:rPr>
                <w:sz w:val="7"/>
                <w:szCs w:val="7"/>
                <w:color w:val="auto"/>
              </w:rPr>
            </w:pPr>
          </w:p>
        </w:tc>
        <w:tc>
          <w:tcPr>
            <w:tcW w:w="20" w:type="dxa"/>
            <w:vAlign w:val="bottom"/>
            <w:shd w:val="clear" w:color="auto" w:fill="DDDDDD"/>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60" w:type="dxa"/>
            <w:vAlign w:val="bottom"/>
            <w:shd w:val="clear" w:color="auto" w:fill="DDDDDD"/>
          </w:tcPr>
          <w:p>
            <w:pPr>
              <w:spacing w:after="0"/>
              <w:rPr>
                <w:sz w:val="8"/>
                <w:szCs w:val="8"/>
                <w:color w:val="auto"/>
              </w:rPr>
            </w:pPr>
          </w:p>
        </w:tc>
        <w:tc>
          <w:tcPr>
            <w:tcW w:w="980" w:type="dxa"/>
            <w:vAlign w:val="bottom"/>
            <w:vMerge w:val="continue"/>
            <w:shd w:val="clear" w:color="auto" w:fill="DDDDDD"/>
          </w:tcPr>
          <w:p>
            <w:pPr>
              <w:spacing w:after="0"/>
              <w:rPr>
                <w:sz w:val="8"/>
                <w:szCs w:val="8"/>
                <w:color w:val="auto"/>
              </w:rPr>
            </w:pPr>
          </w:p>
        </w:tc>
        <w:tc>
          <w:tcPr>
            <w:tcW w:w="920" w:type="dxa"/>
            <w:vAlign w:val="bottom"/>
            <w:vMerge w:val="continue"/>
            <w:shd w:val="clear" w:color="auto" w:fill="DDDDDD"/>
          </w:tcPr>
          <w:p>
            <w:pPr>
              <w:spacing w:after="0"/>
              <w:rPr>
                <w:sz w:val="8"/>
                <w:szCs w:val="8"/>
                <w:color w:val="auto"/>
              </w:rPr>
            </w:pPr>
          </w:p>
        </w:tc>
        <w:tc>
          <w:tcPr>
            <w:tcW w:w="240" w:type="dxa"/>
            <w:vAlign w:val="bottom"/>
            <w:shd w:val="clear" w:color="auto" w:fill="DDDDDD"/>
          </w:tcPr>
          <w:p>
            <w:pPr>
              <w:spacing w:after="0"/>
              <w:rPr>
                <w:sz w:val="8"/>
                <w:szCs w:val="8"/>
                <w:color w:val="auto"/>
              </w:rPr>
            </w:pPr>
          </w:p>
        </w:tc>
        <w:tc>
          <w:tcPr>
            <w:tcW w:w="1240" w:type="dxa"/>
            <w:vAlign w:val="bottom"/>
            <w:shd w:val="clear" w:color="auto" w:fill="DDDDDD"/>
          </w:tcPr>
          <w:p>
            <w:pPr>
              <w:jc w:val="center"/>
              <w:ind w:right="56"/>
              <w:spacing w:after="0" w:line="96" w:lineRule="exact"/>
              <w:rPr>
                <w:sz w:val="20"/>
                <w:szCs w:val="20"/>
                <w:color w:val="auto"/>
              </w:rPr>
            </w:pPr>
            <w:r>
              <w:rPr>
                <w:rFonts w:ascii="Arial" w:cs="Arial" w:eastAsia="Arial" w:hAnsi="Arial"/>
                <w:sz w:val="9"/>
                <w:szCs w:val="9"/>
                <w:b w:val="1"/>
                <w:bCs w:val="1"/>
                <w:color w:val="666666"/>
                <w:w w:val="98"/>
              </w:rPr>
              <w:t>Awards: Number of</w:t>
            </w:r>
          </w:p>
        </w:tc>
        <w:tc>
          <w:tcPr>
            <w:tcW w:w="780" w:type="dxa"/>
            <w:vAlign w:val="bottom"/>
            <w:shd w:val="clear" w:color="auto" w:fill="DDDDDD"/>
          </w:tcPr>
          <w:p>
            <w:pPr>
              <w:spacing w:after="0"/>
              <w:rPr>
                <w:sz w:val="8"/>
                <w:szCs w:val="8"/>
                <w:color w:val="auto"/>
              </w:rPr>
            </w:pPr>
          </w:p>
        </w:tc>
        <w:tc>
          <w:tcPr>
            <w:tcW w:w="300" w:type="dxa"/>
            <w:vAlign w:val="bottom"/>
            <w:shd w:val="clear" w:color="auto" w:fill="DDDDDD"/>
          </w:tcPr>
          <w:p>
            <w:pPr>
              <w:spacing w:after="0"/>
              <w:rPr>
                <w:sz w:val="8"/>
                <w:szCs w:val="8"/>
                <w:color w:val="auto"/>
              </w:rPr>
            </w:pPr>
          </w:p>
        </w:tc>
        <w:tc>
          <w:tcPr>
            <w:tcW w:w="720" w:type="dxa"/>
            <w:vAlign w:val="bottom"/>
            <w:shd w:val="clear" w:color="auto" w:fill="DDDDDD"/>
          </w:tcPr>
          <w:p>
            <w:pPr>
              <w:spacing w:after="0"/>
              <w:rPr>
                <w:sz w:val="8"/>
                <w:szCs w:val="8"/>
                <w:color w:val="auto"/>
              </w:rPr>
            </w:pPr>
          </w:p>
        </w:tc>
        <w:tc>
          <w:tcPr>
            <w:tcW w:w="120" w:type="dxa"/>
            <w:vAlign w:val="bottom"/>
            <w:shd w:val="clear" w:color="auto" w:fill="DDDDDD"/>
          </w:tcPr>
          <w:p>
            <w:pPr>
              <w:spacing w:after="0"/>
              <w:rPr>
                <w:sz w:val="8"/>
                <w:szCs w:val="8"/>
                <w:color w:val="auto"/>
              </w:rPr>
            </w:pPr>
          </w:p>
        </w:tc>
        <w:tc>
          <w:tcPr>
            <w:tcW w:w="1120" w:type="dxa"/>
            <w:vAlign w:val="bottom"/>
            <w:vMerge w:val="restart"/>
            <w:shd w:val="clear" w:color="auto" w:fill="DDDDDD"/>
          </w:tcPr>
          <w:p>
            <w:pPr>
              <w:jc w:val="center"/>
              <w:ind w:right="56"/>
              <w:spacing w:after="0"/>
              <w:rPr>
                <w:sz w:val="20"/>
                <w:szCs w:val="20"/>
                <w:color w:val="auto"/>
              </w:rPr>
            </w:pPr>
            <w:r>
              <w:rPr>
                <w:rFonts w:ascii="Arial" w:cs="Arial" w:eastAsia="Arial" w:hAnsi="Arial"/>
                <w:sz w:val="9"/>
                <w:szCs w:val="9"/>
                <w:b w:val="1"/>
                <w:bCs w:val="1"/>
                <w:color w:val="666666"/>
              </w:rPr>
              <w:t>Number of</w:t>
            </w:r>
          </w:p>
        </w:tc>
        <w:tc>
          <w:tcPr>
            <w:tcW w:w="1160" w:type="dxa"/>
            <w:vAlign w:val="bottom"/>
            <w:shd w:val="clear" w:color="auto" w:fill="DDDDDD"/>
          </w:tcPr>
          <w:p>
            <w:pPr>
              <w:spacing w:after="0"/>
              <w:rPr>
                <w:sz w:val="8"/>
                <w:szCs w:val="8"/>
                <w:color w:val="auto"/>
              </w:rPr>
            </w:pPr>
          </w:p>
        </w:tc>
        <w:tc>
          <w:tcPr>
            <w:tcW w:w="1260" w:type="dxa"/>
            <w:vAlign w:val="bottom"/>
            <w:vMerge w:val="restart"/>
            <w:shd w:val="clear" w:color="auto" w:fill="DDDDDD"/>
          </w:tcPr>
          <w:p>
            <w:pPr>
              <w:jc w:val="center"/>
              <w:spacing w:after="0"/>
              <w:rPr>
                <w:sz w:val="20"/>
                <w:szCs w:val="20"/>
                <w:color w:val="auto"/>
              </w:rPr>
            </w:pPr>
            <w:r>
              <w:rPr>
                <w:rFonts w:ascii="Arial" w:cs="Arial" w:eastAsia="Arial" w:hAnsi="Arial"/>
                <w:sz w:val="9"/>
                <w:szCs w:val="9"/>
                <w:b w:val="1"/>
                <w:bCs w:val="1"/>
                <w:color w:val="666666"/>
                <w:w w:val="99"/>
              </w:rPr>
              <w:t>Equity Incentive Plan</w:t>
            </w:r>
          </w:p>
        </w:tc>
        <w:tc>
          <w:tcPr>
            <w:tcW w:w="1380" w:type="dxa"/>
            <w:vAlign w:val="bottom"/>
            <w:gridSpan w:val="2"/>
            <w:vMerge w:val="restart"/>
            <w:shd w:val="clear" w:color="auto" w:fill="DDDDDD"/>
          </w:tcPr>
          <w:p>
            <w:pPr>
              <w:jc w:val="center"/>
              <w:ind w:right="20"/>
              <w:spacing w:after="0"/>
              <w:rPr>
                <w:sz w:val="20"/>
                <w:szCs w:val="20"/>
                <w:color w:val="auto"/>
              </w:rPr>
            </w:pPr>
            <w:r>
              <w:rPr>
                <w:rFonts w:ascii="Arial" w:cs="Arial" w:eastAsia="Arial" w:hAnsi="Arial"/>
                <w:sz w:val="9"/>
                <w:szCs w:val="9"/>
                <w:b w:val="1"/>
                <w:bCs w:val="1"/>
                <w:color w:val="666666"/>
                <w:w w:val="99"/>
              </w:rPr>
              <w:t>Equity Incentive Plan Awards:</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60" w:type="dxa"/>
            <w:vAlign w:val="bottom"/>
            <w:shd w:val="clear" w:color="auto" w:fill="DDDDDD"/>
          </w:tcPr>
          <w:p>
            <w:pPr>
              <w:spacing w:after="0"/>
              <w:rPr>
                <w:sz w:val="8"/>
                <w:szCs w:val="8"/>
                <w:color w:val="auto"/>
              </w:rPr>
            </w:pPr>
          </w:p>
        </w:tc>
        <w:tc>
          <w:tcPr>
            <w:tcW w:w="98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7"/>
              </w:rPr>
              <w:t>Securities</w:t>
            </w:r>
          </w:p>
        </w:tc>
        <w:tc>
          <w:tcPr>
            <w:tcW w:w="92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7"/>
              </w:rPr>
              <w:t>Securities</w:t>
            </w:r>
          </w:p>
        </w:tc>
        <w:tc>
          <w:tcPr>
            <w:tcW w:w="240" w:type="dxa"/>
            <w:vAlign w:val="bottom"/>
            <w:shd w:val="clear" w:color="auto" w:fill="DDDDDD"/>
          </w:tcPr>
          <w:p>
            <w:pPr>
              <w:spacing w:after="0"/>
              <w:rPr>
                <w:sz w:val="8"/>
                <w:szCs w:val="8"/>
                <w:color w:val="auto"/>
              </w:rPr>
            </w:pPr>
          </w:p>
        </w:tc>
        <w:tc>
          <w:tcPr>
            <w:tcW w:w="1240" w:type="dxa"/>
            <w:vAlign w:val="bottom"/>
            <w:shd w:val="clear" w:color="auto" w:fill="DDDDDD"/>
          </w:tcPr>
          <w:p>
            <w:pPr>
              <w:jc w:val="center"/>
              <w:ind w:right="56"/>
              <w:spacing w:after="0" w:line="96" w:lineRule="exact"/>
              <w:rPr>
                <w:sz w:val="20"/>
                <w:szCs w:val="20"/>
                <w:color w:val="auto"/>
              </w:rPr>
            </w:pPr>
            <w:r>
              <w:rPr>
                <w:rFonts w:ascii="Arial" w:cs="Arial" w:eastAsia="Arial" w:hAnsi="Arial"/>
                <w:sz w:val="9"/>
                <w:szCs w:val="9"/>
                <w:b w:val="1"/>
                <w:bCs w:val="1"/>
                <w:color w:val="666666"/>
                <w:w w:val="97"/>
              </w:rPr>
              <w:t>Securities</w:t>
            </w:r>
          </w:p>
        </w:tc>
        <w:tc>
          <w:tcPr>
            <w:tcW w:w="780" w:type="dxa"/>
            <w:vAlign w:val="bottom"/>
            <w:shd w:val="clear" w:color="auto" w:fill="DDDDDD"/>
          </w:tcPr>
          <w:p>
            <w:pPr>
              <w:spacing w:after="0"/>
              <w:rPr>
                <w:sz w:val="8"/>
                <w:szCs w:val="8"/>
                <w:color w:val="auto"/>
              </w:rPr>
            </w:pPr>
          </w:p>
        </w:tc>
        <w:tc>
          <w:tcPr>
            <w:tcW w:w="300" w:type="dxa"/>
            <w:vAlign w:val="bottom"/>
            <w:shd w:val="clear" w:color="auto" w:fill="DDDDDD"/>
          </w:tcPr>
          <w:p>
            <w:pPr>
              <w:spacing w:after="0"/>
              <w:rPr>
                <w:sz w:val="8"/>
                <w:szCs w:val="8"/>
                <w:color w:val="auto"/>
              </w:rPr>
            </w:pPr>
          </w:p>
        </w:tc>
        <w:tc>
          <w:tcPr>
            <w:tcW w:w="720" w:type="dxa"/>
            <w:vAlign w:val="bottom"/>
            <w:shd w:val="clear" w:color="auto" w:fill="DDDDDD"/>
          </w:tcPr>
          <w:p>
            <w:pPr>
              <w:spacing w:after="0"/>
              <w:rPr>
                <w:sz w:val="8"/>
                <w:szCs w:val="8"/>
                <w:color w:val="auto"/>
              </w:rPr>
            </w:pPr>
          </w:p>
        </w:tc>
        <w:tc>
          <w:tcPr>
            <w:tcW w:w="120" w:type="dxa"/>
            <w:vAlign w:val="bottom"/>
            <w:shd w:val="clear" w:color="auto" w:fill="DDDDDD"/>
          </w:tcPr>
          <w:p>
            <w:pPr>
              <w:spacing w:after="0"/>
              <w:rPr>
                <w:sz w:val="8"/>
                <w:szCs w:val="8"/>
                <w:color w:val="auto"/>
              </w:rPr>
            </w:pPr>
          </w:p>
        </w:tc>
        <w:tc>
          <w:tcPr>
            <w:tcW w:w="1120" w:type="dxa"/>
            <w:vAlign w:val="bottom"/>
            <w:vMerge w:val="continue"/>
            <w:shd w:val="clear" w:color="auto" w:fill="DDDDDD"/>
          </w:tcPr>
          <w:p>
            <w:pPr>
              <w:spacing w:after="0"/>
              <w:rPr>
                <w:sz w:val="8"/>
                <w:szCs w:val="8"/>
                <w:color w:val="auto"/>
              </w:rPr>
            </w:pPr>
          </w:p>
        </w:tc>
        <w:tc>
          <w:tcPr>
            <w:tcW w:w="1160" w:type="dxa"/>
            <w:vAlign w:val="bottom"/>
            <w:vMerge w:val="restart"/>
            <w:shd w:val="clear" w:color="auto" w:fill="DDDDDD"/>
          </w:tcPr>
          <w:p>
            <w:pPr>
              <w:jc w:val="center"/>
              <w:ind w:right="16"/>
              <w:spacing w:after="0"/>
              <w:rPr>
                <w:sz w:val="20"/>
                <w:szCs w:val="20"/>
                <w:color w:val="auto"/>
              </w:rPr>
            </w:pPr>
            <w:r>
              <w:rPr>
                <w:rFonts w:ascii="Arial" w:cs="Arial" w:eastAsia="Arial" w:hAnsi="Arial"/>
                <w:sz w:val="9"/>
                <w:szCs w:val="9"/>
                <w:b w:val="1"/>
                <w:bCs w:val="1"/>
                <w:color w:val="666666"/>
                <w:w w:val="99"/>
              </w:rPr>
              <w:t>Market Value of</w:t>
            </w:r>
          </w:p>
        </w:tc>
        <w:tc>
          <w:tcPr>
            <w:tcW w:w="1260" w:type="dxa"/>
            <w:vAlign w:val="bottom"/>
            <w:vMerge w:val="continue"/>
            <w:shd w:val="clear" w:color="auto" w:fill="DDDDDD"/>
          </w:tcPr>
          <w:p>
            <w:pPr>
              <w:spacing w:after="0"/>
              <w:rPr>
                <w:sz w:val="8"/>
                <w:szCs w:val="8"/>
                <w:color w:val="auto"/>
              </w:rPr>
            </w:pPr>
          </w:p>
        </w:tc>
        <w:tc>
          <w:tcPr>
            <w:tcW w:w="1380" w:type="dxa"/>
            <w:vAlign w:val="bottom"/>
            <w:gridSpan w:val="2"/>
            <w:vMerge w:val="continue"/>
            <w:shd w:val="clear" w:color="auto" w:fill="DDDDDD"/>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60" w:type="dxa"/>
            <w:vAlign w:val="bottom"/>
            <w:shd w:val="clear" w:color="auto" w:fill="DDDDDD"/>
          </w:tcPr>
          <w:p>
            <w:pPr>
              <w:spacing w:after="0"/>
              <w:rPr>
                <w:sz w:val="8"/>
                <w:szCs w:val="8"/>
                <w:color w:val="auto"/>
              </w:rPr>
            </w:pPr>
          </w:p>
        </w:tc>
        <w:tc>
          <w:tcPr>
            <w:tcW w:w="98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7"/>
              </w:rPr>
              <w:t>Underlying</w:t>
            </w:r>
          </w:p>
        </w:tc>
        <w:tc>
          <w:tcPr>
            <w:tcW w:w="92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7"/>
              </w:rPr>
              <w:t>Underlying</w:t>
            </w:r>
          </w:p>
        </w:tc>
        <w:tc>
          <w:tcPr>
            <w:tcW w:w="240" w:type="dxa"/>
            <w:vAlign w:val="bottom"/>
            <w:shd w:val="clear" w:color="auto" w:fill="DDDDDD"/>
          </w:tcPr>
          <w:p>
            <w:pPr>
              <w:spacing w:after="0"/>
              <w:rPr>
                <w:sz w:val="8"/>
                <w:szCs w:val="8"/>
                <w:color w:val="auto"/>
              </w:rPr>
            </w:pPr>
          </w:p>
        </w:tc>
        <w:tc>
          <w:tcPr>
            <w:tcW w:w="1240" w:type="dxa"/>
            <w:vAlign w:val="bottom"/>
            <w:shd w:val="clear" w:color="auto" w:fill="DDDDDD"/>
          </w:tcPr>
          <w:p>
            <w:pPr>
              <w:jc w:val="center"/>
              <w:ind w:right="56"/>
              <w:spacing w:after="0" w:line="96" w:lineRule="exact"/>
              <w:rPr>
                <w:sz w:val="20"/>
                <w:szCs w:val="20"/>
                <w:color w:val="auto"/>
              </w:rPr>
            </w:pPr>
            <w:r>
              <w:rPr>
                <w:rFonts w:ascii="Arial" w:cs="Arial" w:eastAsia="Arial" w:hAnsi="Arial"/>
                <w:sz w:val="9"/>
                <w:szCs w:val="9"/>
                <w:b w:val="1"/>
                <w:bCs w:val="1"/>
                <w:color w:val="666666"/>
                <w:w w:val="97"/>
              </w:rPr>
              <w:t>Underlying</w:t>
            </w:r>
          </w:p>
        </w:tc>
        <w:tc>
          <w:tcPr>
            <w:tcW w:w="780" w:type="dxa"/>
            <w:vAlign w:val="bottom"/>
            <w:vMerge w:val="restart"/>
            <w:shd w:val="clear" w:color="auto" w:fill="DDDDDD"/>
          </w:tcPr>
          <w:p>
            <w:pPr>
              <w:jc w:val="center"/>
              <w:ind w:left="36"/>
              <w:spacing w:after="0"/>
              <w:rPr>
                <w:sz w:val="20"/>
                <w:szCs w:val="20"/>
                <w:color w:val="auto"/>
              </w:rPr>
            </w:pPr>
            <w:r>
              <w:rPr>
                <w:rFonts w:ascii="Arial" w:cs="Arial" w:eastAsia="Arial" w:hAnsi="Arial"/>
                <w:sz w:val="9"/>
                <w:szCs w:val="9"/>
                <w:b w:val="1"/>
                <w:bCs w:val="1"/>
                <w:color w:val="666666"/>
              </w:rPr>
              <w:t>Option</w:t>
            </w:r>
          </w:p>
        </w:tc>
        <w:tc>
          <w:tcPr>
            <w:tcW w:w="300" w:type="dxa"/>
            <w:vAlign w:val="bottom"/>
            <w:shd w:val="clear" w:color="auto" w:fill="DDDDDD"/>
          </w:tcPr>
          <w:p>
            <w:pPr>
              <w:spacing w:after="0"/>
              <w:rPr>
                <w:sz w:val="8"/>
                <w:szCs w:val="8"/>
                <w:color w:val="auto"/>
              </w:rPr>
            </w:pPr>
          </w:p>
        </w:tc>
        <w:tc>
          <w:tcPr>
            <w:tcW w:w="720" w:type="dxa"/>
            <w:vAlign w:val="bottom"/>
            <w:shd w:val="clear" w:color="auto" w:fill="DDDDDD"/>
          </w:tcPr>
          <w:p>
            <w:pPr>
              <w:spacing w:after="0"/>
              <w:rPr>
                <w:sz w:val="8"/>
                <w:szCs w:val="8"/>
                <w:color w:val="auto"/>
              </w:rPr>
            </w:pPr>
          </w:p>
        </w:tc>
        <w:tc>
          <w:tcPr>
            <w:tcW w:w="120" w:type="dxa"/>
            <w:vAlign w:val="bottom"/>
            <w:shd w:val="clear" w:color="auto" w:fill="DDDDDD"/>
          </w:tcPr>
          <w:p>
            <w:pPr>
              <w:spacing w:after="0"/>
              <w:rPr>
                <w:sz w:val="8"/>
                <w:szCs w:val="8"/>
                <w:color w:val="auto"/>
              </w:rPr>
            </w:pPr>
          </w:p>
        </w:tc>
        <w:tc>
          <w:tcPr>
            <w:tcW w:w="1120" w:type="dxa"/>
            <w:vAlign w:val="bottom"/>
            <w:shd w:val="clear" w:color="auto" w:fill="DDDDDD"/>
          </w:tcPr>
          <w:p>
            <w:pPr>
              <w:jc w:val="center"/>
              <w:ind w:right="36"/>
              <w:spacing w:after="0" w:line="96" w:lineRule="exact"/>
              <w:rPr>
                <w:sz w:val="20"/>
                <w:szCs w:val="20"/>
                <w:color w:val="auto"/>
              </w:rPr>
            </w:pPr>
            <w:r>
              <w:rPr>
                <w:rFonts w:ascii="Arial" w:cs="Arial" w:eastAsia="Arial" w:hAnsi="Arial"/>
                <w:sz w:val="9"/>
                <w:szCs w:val="9"/>
                <w:b w:val="1"/>
                <w:bCs w:val="1"/>
                <w:color w:val="666666"/>
                <w:w w:val="97"/>
              </w:rPr>
              <w:t>Shares or Units of</w:t>
            </w:r>
          </w:p>
        </w:tc>
        <w:tc>
          <w:tcPr>
            <w:tcW w:w="1160" w:type="dxa"/>
            <w:vAlign w:val="bottom"/>
            <w:vMerge w:val="continue"/>
            <w:shd w:val="clear" w:color="auto" w:fill="DDDDDD"/>
          </w:tcPr>
          <w:p>
            <w:pPr>
              <w:spacing w:after="0"/>
              <w:rPr>
                <w:sz w:val="8"/>
                <w:szCs w:val="8"/>
                <w:color w:val="auto"/>
              </w:rPr>
            </w:pPr>
          </w:p>
        </w:tc>
        <w:tc>
          <w:tcPr>
            <w:tcW w:w="126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8"/>
              </w:rPr>
              <w:t>Awards: Number of</w:t>
            </w:r>
          </w:p>
        </w:tc>
        <w:tc>
          <w:tcPr>
            <w:tcW w:w="1380" w:type="dxa"/>
            <w:vAlign w:val="bottom"/>
            <w:gridSpan w:val="2"/>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9"/>
              </w:rPr>
              <w:t>Market or Payout Value of</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60" w:type="dxa"/>
            <w:vAlign w:val="bottom"/>
            <w:shd w:val="clear" w:color="auto" w:fill="DDDDDD"/>
          </w:tcPr>
          <w:p>
            <w:pPr>
              <w:spacing w:after="0"/>
              <w:rPr>
                <w:sz w:val="8"/>
                <w:szCs w:val="8"/>
                <w:color w:val="auto"/>
              </w:rPr>
            </w:pPr>
          </w:p>
        </w:tc>
        <w:tc>
          <w:tcPr>
            <w:tcW w:w="98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rPr>
              <w:t>Unexercised</w:t>
            </w:r>
          </w:p>
        </w:tc>
        <w:tc>
          <w:tcPr>
            <w:tcW w:w="92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rPr>
              <w:t>Unexercised</w:t>
            </w:r>
          </w:p>
        </w:tc>
        <w:tc>
          <w:tcPr>
            <w:tcW w:w="240" w:type="dxa"/>
            <w:vAlign w:val="bottom"/>
            <w:shd w:val="clear" w:color="auto" w:fill="DDDDDD"/>
          </w:tcPr>
          <w:p>
            <w:pPr>
              <w:spacing w:after="0"/>
              <w:rPr>
                <w:sz w:val="8"/>
                <w:szCs w:val="8"/>
                <w:color w:val="auto"/>
              </w:rPr>
            </w:pPr>
          </w:p>
        </w:tc>
        <w:tc>
          <w:tcPr>
            <w:tcW w:w="1240" w:type="dxa"/>
            <w:vAlign w:val="bottom"/>
            <w:shd w:val="clear" w:color="auto" w:fill="DDDDDD"/>
          </w:tcPr>
          <w:p>
            <w:pPr>
              <w:jc w:val="center"/>
              <w:ind w:right="56"/>
              <w:spacing w:after="0" w:line="96" w:lineRule="exact"/>
              <w:rPr>
                <w:sz w:val="20"/>
                <w:szCs w:val="20"/>
                <w:color w:val="auto"/>
              </w:rPr>
            </w:pPr>
            <w:r>
              <w:rPr>
                <w:rFonts w:ascii="Arial" w:cs="Arial" w:eastAsia="Arial" w:hAnsi="Arial"/>
                <w:sz w:val="9"/>
                <w:szCs w:val="9"/>
                <w:b w:val="1"/>
                <w:bCs w:val="1"/>
                <w:color w:val="666666"/>
              </w:rPr>
              <w:t>Unexercised</w:t>
            </w:r>
          </w:p>
        </w:tc>
        <w:tc>
          <w:tcPr>
            <w:tcW w:w="780" w:type="dxa"/>
            <w:vAlign w:val="bottom"/>
            <w:vMerge w:val="continue"/>
            <w:shd w:val="clear" w:color="auto" w:fill="DDDDDD"/>
          </w:tcPr>
          <w:p>
            <w:pPr>
              <w:spacing w:after="0"/>
              <w:rPr>
                <w:sz w:val="8"/>
                <w:szCs w:val="8"/>
                <w:color w:val="auto"/>
              </w:rPr>
            </w:pPr>
          </w:p>
        </w:tc>
        <w:tc>
          <w:tcPr>
            <w:tcW w:w="300" w:type="dxa"/>
            <w:vAlign w:val="bottom"/>
            <w:shd w:val="clear" w:color="auto" w:fill="DDDDDD"/>
          </w:tcPr>
          <w:p>
            <w:pPr>
              <w:spacing w:after="0"/>
              <w:rPr>
                <w:sz w:val="8"/>
                <w:szCs w:val="8"/>
                <w:color w:val="auto"/>
              </w:rPr>
            </w:pPr>
          </w:p>
        </w:tc>
        <w:tc>
          <w:tcPr>
            <w:tcW w:w="840" w:type="dxa"/>
            <w:vAlign w:val="bottom"/>
            <w:gridSpan w:val="2"/>
            <w:vMerge w:val="restart"/>
            <w:shd w:val="clear" w:color="auto" w:fill="DDDDDD"/>
          </w:tcPr>
          <w:p>
            <w:pPr>
              <w:jc w:val="center"/>
              <w:ind w:right="180"/>
              <w:spacing w:after="0"/>
              <w:rPr>
                <w:sz w:val="20"/>
                <w:szCs w:val="20"/>
                <w:color w:val="auto"/>
              </w:rPr>
            </w:pPr>
            <w:r>
              <w:rPr>
                <w:rFonts w:ascii="Arial" w:cs="Arial" w:eastAsia="Arial" w:hAnsi="Arial"/>
                <w:sz w:val="9"/>
                <w:szCs w:val="9"/>
                <w:b w:val="1"/>
                <w:bCs w:val="1"/>
                <w:color w:val="666666"/>
              </w:rPr>
              <w:t>Option</w:t>
            </w:r>
          </w:p>
        </w:tc>
        <w:tc>
          <w:tcPr>
            <w:tcW w:w="1120" w:type="dxa"/>
            <w:vAlign w:val="bottom"/>
            <w:shd w:val="clear" w:color="auto" w:fill="DDDDDD"/>
          </w:tcPr>
          <w:p>
            <w:pPr>
              <w:jc w:val="center"/>
              <w:ind w:right="36"/>
              <w:spacing w:after="0" w:line="96" w:lineRule="exact"/>
              <w:rPr>
                <w:sz w:val="20"/>
                <w:szCs w:val="20"/>
                <w:color w:val="auto"/>
              </w:rPr>
            </w:pPr>
            <w:r>
              <w:rPr>
                <w:rFonts w:ascii="Arial" w:cs="Arial" w:eastAsia="Arial" w:hAnsi="Arial"/>
                <w:sz w:val="9"/>
                <w:szCs w:val="9"/>
                <w:b w:val="1"/>
                <w:bCs w:val="1"/>
                <w:color w:val="666666"/>
                <w:w w:val="97"/>
              </w:rPr>
              <w:t>Stock</w:t>
            </w:r>
          </w:p>
        </w:tc>
        <w:tc>
          <w:tcPr>
            <w:tcW w:w="1160" w:type="dxa"/>
            <w:vAlign w:val="bottom"/>
            <w:shd w:val="clear" w:color="auto" w:fill="DDDDDD"/>
          </w:tcPr>
          <w:p>
            <w:pPr>
              <w:jc w:val="center"/>
              <w:ind w:right="16"/>
              <w:spacing w:after="0" w:line="96" w:lineRule="exact"/>
              <w:rPr>
                <w:sz w:val="20"/>
                <w:szCs w:val="20"/>
                <w:color w:val="auto"/>
              </w:rPr>
            </w:pPr>
            <w:r>
              <w:rPr>
                <w:rFonts w:ascii="Arial" w:cs="Arial" w:eastAsia="Arial" w:hAnsi="Arial"/>
                <w:sz w:val="9"/>
                <w:szCs w:val="9"/>
                <w:b w:val="1"/>
                <w:bCs w:val="1"/>
                <w:color w:val="666666"/>
                <w:w w:val="99"/>
              </w:rPr>
              <w:t>Shares or Units</w:t>
            </w:r>
          </w:p>
        </w:tc>
        <w:tc>
          <w:tcPr>
            <w:tcW w:w="126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9"/>
              </w:rPr>
              <w:t>Unearned Shares, Units or</w:t>
            </w:r>
          </w:p>
        </w:tc>
        <w:tc>
          <w:tcPr>
            <w:tcW w:w="1380" w:type="dxa"/>
            <w:vAlign w:val="bottom"/>
            <w:gridSpan w:val="2"/>
            <w:shd w:val="clear" w:color="auto" w:fill="DDDDDD"/>
          </w:tcPr>
          <w:p>
            <w:pPr>
              <w:jc w:val="center"/>
              <w:ind w:right="20"/>
              <w:spacing w:after="0" w:line="96" w:lineRule="exact"/>
              <w:rPr>
                <w:sz w:val="20"/>
                <w:szCs w:val="20"/>
                <w:color w:val="auto"/>
              </w:rPr>
            </w:pPr>
            <w:r>
              <w:rPr>
                <w:rFonts w:ascii="Arial" w:cs="Arial" w:eastAsia="Arial" w:hAnsi="Arial"/>
                <w:sz w:val="9"/>
                <w:szCs w:val="9"/>
                <w:b w:val="1"/>
                <w:bCs w:val="1"/>
                <w:color w:val="666666"/>
                <w:w w:val="99"/>
              </w:rPr>
              <w:t>Unearned Shares, Units or</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60" w:type="dxa"/>
            <w:vAlign w:val="bottom"/>
            <w:shd w:val="clear" w:color="auto" w:fill="DDDDDD"/>
          </w:tcPr>
          <w:p>
            <w:pPr>
              <w:spacing w:after="0"/>
              <w:rPr>
                <w:sz w:val="8"/>
                <w:szCs w:val="8"/>
                <w:color w:val="auto"/>
              </w:rPr>
            </w:pPr>
          </w:p>
        </w:tc>
        <w:tc>
          <w:tcPr>
            <w:tcW w:w="98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9"/>
              </w:rPr>
              <w:t>Options</w:t>
            </w:r>
          </w:p>
        </w:tc>
        <w:tc>
          <w:tcPr>
            <w:tcW w:w="92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9"/>
              </w:rPr>
              <w:t>Options</w:t>
            </w:r>
          </w:p>
        </w:tc>
        <w:tc>
          <w:tcPr>
            <w:tcW w:w="240" w:type="dxa"/>
            <w:vAlign w:val="bottom"/>
            <w:shd w:val="clear" w:color="auto" w:fill="DDDDDD"/>
          </w:tcPr>
          <w:p>
            <w:pPr>
              <w:spacing w:after="0"/>
              <w:rPr>
                <w:sz w:val="8"/>
                <w:szCs w:val="8"/>
                <w:color w:val="auto"/>
              </w:rPr>
            </w:pPr>
          </w:p>
        </w:tc>
        <w:tc>
          <w:tcPr>
            <w:tcW w:w="1240" w:type="dxa"/>
            <w:vAlign w:val="bottom"/>
            <w:shd w:val="clear" w:color="auto" w:fill="DDDDDD"/>
          </w:tcPr>
          <w:p>
            <w:pPr>
              <w:jc w:val="center"/>
              <w:ind w:right="56"/>
              <w:spacing w:after="0" w:line="96" w:lineRule="exact"/>
              <w:rPr>
                <w:sz w:val="20"/>
                <w:szCs w:val="20"/>
                <w:color w:val="auto"/>
              </w:rPr>
            </w:pPr>
            <w:r>
              <w:rPr>
                <w:rFonts w:ascii="Arial" w:cs="Arial" w:eastAsia="Arial" w:hAnsi="Arial"/>
                <w:sz w:val="9"/>
                <w:szCs w:val="9"/>
                <w:b w:val="1"/>
                <w:bCs w:val="1"/>
                <w:color w:val="666666"/>
              </w:rPr>
              <w:t>Unearned</w:t>
            </w:r>
          </w:p>
        </w:tc>
        <w:tc>
          <w:tcPr>
            <w:tcW w:w="780" w:type="dxa"/>
            <w:vAlign w:val="bottom"/>
            <w:shd w:val="clear" w:color="auto" w:fill="DDDDDD"/>
          </w:tcPr>
          <w:p>
            <w:pPr>
              <w:jc w:val="center"/>
              <w:ind w:left="16"/>
              <w:spacing w:after="0" w:line="96" w:lineRule="exact"/>
              <w:rPr>
                <w:sz w:val="20"/>
                <w:szCs w:val="20"/>
                <w:color w:val="auto"/>
              </w:rPr>
            </w:pPr>
            <w:r>
              <w:rPr>
                <w:rFonts w:ascii="Arial" w:cs="Arial" w:eastAsia="Arial" w:hAnsi="Arial"/>
                <w:sz w:val="9"/>
                <w:szCs w:val="9"/>
                <w:b w:val="1"/>
                <w:bCs w:val="1"/>
                <w:color w:val="666666"/>
                <w:w w:val="97"/>
              </w:rPr>
              <w:t>Exercise</w:t>
            </w:r>
          </w:p>
        </w:tc>
        <w:tc>
          <w:tcPr>
            <w:tcW w:w="300" w:type="dxa"/>
            <w:vAlign w:val="bottom"/>
            <w:shd w:val="clear" w:color="auto" w:fill="DDDDDD"/>
          </w:tcPr>
          <w:p>
            <w:pPr>
              <w:spacing w:after="0"/>
              <w:rPr>
                <w:sz w:val="8"/>
                <w:szCs w:val="8"/>
                <w:color w:val="auto"/>
              </w:rPr>
            </w:pPr>
          </w:p>
        </w:tc>
        <w:tc>
          <w:tcPr>
            <w:tcW w:w="840" w:type="dxa"/>
            <w:vAlign w:val="bottom"/>
            <w:gridSpan w:val="2"/>
            <w:vMerge w:val="continue"/>
            <w:shd w:val="clear" w:color="auto" w:fill="DDDDDD"/>
          </w:tcPr>
          <w:p>
            <w:pPr>
              <w:spacing w:after="0"/>
              <w:rPr>
                <w:sz w:val="8"/>
                <w:szCs w:val="8"/>
                <w:color w:val="auto"/>
              </w:rPr>
            </w:pPr>
          </w:p>
        </w:tc>
        <w:tc>
          <w:tcPr>
            <w:tcW w:w="1120" w:type="dxa"/>
            <w:vAlign w:val="bottom"/>
            <w:shd w:val="clear" w:color="auto" w:fill="DDDDDD"/>
          </w:tcPr>
          <w:p>
            <w:pPr>
              <w:jc w:val="center"/>
              <w:ind w:right="36"/>
              <w:spacing w:after="0" w:line="96" w:lineRule="exact"/>
              <w:rPr>
                <w:sz w:val="20"/>
                <w:szCs w:val="20"/>
                <w:color w:val="auto"/>
              </w:rPr>
            </w:pPr>
            <w:r>
              <w:rPr>
                <w:rFonts w:ascii="Arial" w:cs="Arial" w:eastAsia="Arial" w:hAnsi="Arial"/>
                <w:sz w:val="9"/>
                <w:szCs w:val="9"/>
                <w:b w:val="1"/>
                <w:bCs w:val="1"/>
                <w:color w:val="666666"/>
                <w:w w:val="99"/>
              </w:rPr>
              <w:t>That Have Not</w:t>
            </w:r>
          </w:p>
        </w:tc>
        <w:tc>
          <w:tcPr>
            <w:tcW w:w="1160" w:type="dxa"/>
            <w:vAlign w:val="bottom"/>
            <w:shd w:val="clear" w:color="auto" w:fill="DDDDDD"/>
          </w:tcPr>
          <w:p>
            <w:pPr>
              <w:jc w:val="center"/>
              <w:ind w:right="16"/>
              <w:spacing w:after="0" w:line="96" w:lineRule="exact"/>
              <w:rPr>
                <w:sz w:val="20"/>
                <w:szCs w:val="20"/>
                <w:color w:val="auto"/>
              </w:rPr>
            </w:pPr>
            <w:r>
              <w:rPr>
                <w:rFonts w:ascii="Arial" w:cs="Arial" w:eastAsia="Arial" w:hAnsi="Arial"/>
                <w:sz w:val="9"/>
                <w:szCs w:val="9"/>
                <w:b w:val="1"/>
                <w:bCs w:val="1"/>
                <w:color w:val="666666"/>
              </w:rPr>
              <w:t>of Stock That</w:t>
            </w:r>
          </w:p>
        </w:tc>
        <w:tc>
          <w:tcPr>
            <w:tcW w:w="126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9"/>
              </w:rPr>
              <w:t>Other Rights that Have Not</w:t>
            </w:r>
          </w:p>
        </w:tc>
        <w:tc>
          <w:tcPr>
            <w:tcW w:w="1380" w:type="dxa"/>
            <w:vAlign w:val="bottom"/>
            <w:gridSpan w:val="2"/>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9"/>
              </w:rPr>
              <w:t>Other Rights that Have Not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60" w:type="dxa"/>
            <w:vAlign w:val="bottom"/>
            <w:vMerge w:val="restart"/>
            <w:shd w:val="clear" w:color="auto" w:fill="DDDDDD"/>
          </w:tcPr>
          <w:p>
            <w:pPr>
              <w:ind w:left="20"/>
              <w:spacing w:after="0"/>
              <w:rPr>
                <w:sz w:val="20"/>
                <w:szCs w:val="20"/>
                <w:color w:val="auto"/>
              </w:rPr>
            </w:pPr>
            <w:r>
              <w:rPr>
                <w:rFonts w:ascii="Arial" w:cs="Arial" w:eastAsia="Arial" w:hAnsi="Arial"/>
                <w:sz w:val="9"/>
                <w:szCs w:val="9"/>
                <w:b w:val="1"/>
                <w:bCs w:val="1"/>
                <w:color w:val="666666"/>
              </w:rPr>
              <w:t>Name</w:t>
            </w:r>
          </w:p>
        </w:tc>
        <w:tc>
          <w:tcPr>
            <w:tcW w:w="98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9"/>
              </w:rPr>
              <w:t>Exercisable</w:t>
            </w:r>
          </w:p>
        </w:tc>
        <w:tc>
          <w:tcPr>
            <w:tcW w:w="92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8"/>
              </w:rPr>
              <w:t>Unexercisable</w:t>
            </w:r>
          </w:p>
        </w:tc>
        <w:tc>
          <w:tcPr>
            <w:tcW w:w="240" w:type="dxa"/>
            <w:vAlign w:val="bottom"/>
            <w:shd w:val="clear" w:color="auto" w:fill="DDDDDD"/>
          </w:tcPr>
          <w:p>
            <w:pPr>
              <w:spacing w:after="0"/>
              <w:rPr>
                <w:sz w:val="8"/>
                <w:szCs w:val="8"/>
                <w:color w:val="auto"/>
              </w:rPr>
            </w:pPr>
          </w:p>
        </w:tc>
        <w:tc>
          <w:tcPr>
            <w:tcW w:w="1240" w:type="dxa"/>
            <w:vAlign w:val="bottom"/>
            <w:shd w:val="clear" w:color="auto" w:fill="DDDDDD"/>
          </w:tcPr>
          <w:p>
            <w:pPr>
              <w:jc w:val="center"/>
              <w:ind w:right="56"/>
              <w:spacing w:after="0" w:line="96" w:lineRule="exact"/>
              <w:rPr>
                <w:sz w:val="20"/>
                <w:szCs w:val="20"/>
                <w:color w:val="auto"/>
              </w:rPr>
            </w:pPr>
            <w:r>
              <w:rPr>
                <w:rFonts w:ascii="Arial" w:cs="Arial" w:eastAsia="Arial" w:hAnsi="Arial"/>
                <w:sz w:val="9"/>
                <w:szCs w:val="9"/>
                <w:b w:val="1"/>
                <w:bCs w:val="1"/>
                <w:color w:val="666666"/>
                <w:w w:val="99"/>
              </w:rPr>
              <w:t>Options</w:t>
            </w:r>
          </w:p>
        </w:tc>
        <w:tc>
          <w:tcPr>
            <w:tcW w:w="780" w:type="dxa"/>
            <w:vAlign w:val="bottom"/>
            <w:shd w:val="clear" w:color="auto" w:fill="DDDDDD"/>
          </w:tcPr>
          <w:p>
            <w:pPr>
              <w:jc w:val="center"/>
              <w:ind w:left="36"/>
              <w:spacing w:after="0" w:line="96" w:lineRule="exact"/>
              <w:rPr>
                <w:sz w:val="20"/>
                <w:szCs w:val="20"/>
                <w:color w:val="auto"/>
              </w:rPr>
            </w:pPr>
            <w:r>
              <w:rPr>
                <w:rFonts w:ascii="Arial" w:cs="Arial" w:eastAsia="Arial" w:hAnsi="Arial"/>
                <w:sz w:val="9"/>
                <w:szCs w:val="9"/>
                <w:b w:val="1"/>
                <w:bCs w:val="1"/>
                <w:color w:val="666666"/>
                <w:w w:val="99"/>
              </w:rPr>
              <w:t>Price</w:t>
            </w:r>
          </w:p>
        </w:tc>
        <w:tc>
          <w:tcPr>
            <w:tcW w:w="300" w:type="dxa"/>
            <w:vAlign w:val="bottom"/>
            <w:shd w:val="clear" w:color="auto" w:fill="DDDDDD"/>
          </w:tcPr>
          <w:p>
            <w:pPr>
              <w:spacing w:after="0"/>
              <w:rPr>
                <w:sz w:val="8"/>
                <w:szCs w:val="8"/>
                <w:color w:val="auto"/>
              </w:rPr>
            </w:pPr>
          </w:p>
        </w:tc>
        <w:tc>
          <w:tcPr>
            <w:tcW w:w="840" w:type="dxa"/>
            <w:vAlign w:val="bottom"/>
            <w:gridSpan w:val="2"/>
            <w:shd w:val="clear" w:color="auto" w:fill="DDDDDD"/>
          </w:tcPr>
          <w:p>
            <w:pPr>
              <w:jc w:val="center"/>
              <w:ind w:right="200"/>
              <w:spacing w:after="0" w:line="96" w:lineRule="exact"/>
              <w:rPr>
                <w:sz w:val="20"/>
                <w:szCs w:val="20"/>
                <w:color w:val="auto"/>
              </w:rPr>
            </w:pPr>
            <w:r>
              <w:rPr>
                <w:rFonts w:ascii="Arial" w:cs="Arial" w:eastAsia="Arial" w:hAnsi="Arial"/>
                <w:sz w:val="9"/>
                <w:szCs w:val="9"/>
                <w:b w:val="1"/>
                <w:bCs w:val="1"/>
                <w:color w:val="666666"/>
                <w:w w:val="99"/>
              </w:rPr>
              <w:t>Expiration</w:t>
            </w:r>
          </w:p>
        </w:tc>
        <w:tc>
          <w:tcPr>
            <w:tcW w:w="1120" w:type="dxa"/>
            <w:vAlign w:val="bottom"/>
            <w:shd w:val="clear" w:color="auto" w:fill="DDDDDD"/>
          </w:tcPr>
          <w:p>
            <w:pPr>
              <w:jc w:val="center"/>
              <w:ind w:right="36"/>
              <w:spacing w:after="0" w:line="96" w:lineRule="exact"/>
              <w:rPr>
                <w:sz w:val="20"/>
                <w:szCs w:val="20"/>
                <w:color w:val="auto"/>
              </w:rPr>
            </w:pPr>
            <w:r>
              <w:rPr>
                <w:rFonts w:ascii="Arial" w:cs="Arial" w:eastAsia="Arial" w:hAnsi="Arial"/>
                <w:sz w:val="9"/>
                <w:szCs w:val="9"/>
                <w:b w:val="1"/>
                <w:bCs w:val="1"/>
                <w:color w:val="666666"/>
                <w:w w:val="94"/>
              </w:rPr>
              <w:t>Vested</w:t>
            </w:r>
          </w:p>
        </w:tc>
        <w:tc>
          <w:tcPr>
            <w:tcW w:w="1160" w:type="dxa"/>
            <w:vAlign w:val="bottom"/>
            <w:shd w:val="clear" w:color="auto" w:fill="DDDDDD"/>
          </w:tcPr>
          <w:p>
            <w:pPr>
              <w:jc w:val="center"/>
              <w:ind w:right="16"/>
              <w:spacing w:after="0" w:line="96" w:lineRule="exact"/>
              <w:rPr>
                <w:sz w:val="20"/>
                <w:szCs w:val="20"/>
                <w:color w:val="auto"/>
              </w:rPr>
            </w:pPr>
            <w:r>
              <w:rPr>
                <w:rFonts w:ascii="Arial" w:cs="Arial" w:eastAsia="Arial" w:hAnsi="Arial"/>
                <w:sz w:val="9"/>
                <w:szCs w:val="9"/>
                <w:b w:val="1"/>
                <w:bCs w:val="1"/>
                <w:color w:val="666666"/>
                <w:w w:val="98"/>
              </w:rPr>
              <w:t>Have Not Vested</w:t>
            </w:r>
          </w:p>
        </w:tc>
        <w:tc>
          <w:tcPr>
            <w:tcW w:w="1260" w:type="dxa"/>
            <w:vAlign w:val="bottom"/>
            <w:shd w:val="clear" w:color="auto" w:fill="DDDDDD"/>
          </w:tcPr>
          <w:p>
            <w:pPr>
              <w:jc w:val="center"/>
              <w:spacing w:after="0" w:line="96" w:lineRule="exact"/>
              <w:rPr>
                <w:sz w:val="20"/>
                <w:szCs w:val="20"/>
                <w:color w:val="auto"/>
              </w:rPr>
            </w:pPr>
            <w:r>
              <w:rPr>
                <w:rFonts w:ascii="Arial" w:cs="Arial" w:eastAsia="Arial" w:hAnsi="Arial"/>
                <w:sz w:val="9"/>
                <w:szCs w:val="9"/>
                <w:b w:val="1"/>
                <w:bCs w:val="1"/>
                <w:color w:val="666666"/>
                <w:w w:val="94"/>
              </w:rPr>
              <w:t>Vested</w:t>
            </w:r>
          </w:p>
        </w:tc>
        <w:tc>
          <w:tcPr>
            <w:tcW w:w="1380" w:type="dxa"/>
            <w:vAlign w:val="bottom"/>
            <w:gridSpan w:val="2"/>
            <w:shd w:val="clear" w:color="auto" w:fill="DDDDDD"/>
          </w:tcPr>
          <w:p>
            <w:pPr>
              <w:jc w:val="center"/>
              <w:ind w:right="20"/>
              <w:spacing w:after="0" w:line="96" w:lineRule="exact"/>
              <w:rPr>
                <w:sz w:val="20"/>
                <w:szCs w:val="20"/>
                <w:color w:val="auto"/>
              </w:rPr>
            </w:pPr>
            <w:r>
              <w:rPr>
                <w:rFonts w:ascii="Arial" w:cs="Arial" w:eastAsia="Arial" w:hAnsi="Arial"/>
                <w:sz w:val="9"/>
                <w:szCs w:val="9"/>
                <w:b w:val="1"/>
                <w:bCs w:val="1"/>
                <w:color w:val="666666"/>
                <w:w w:val="94"/>
              </w:rPr>
              <w:t>Vested</w:t>
            </w:r>
          </w:p>
        </w:tc>
        <w:tc>
          <w:tcPr>
            <w:tcW w:w="0" w:type="dxa"/>
            <w:vAlign w:val="bottom"/>
          </w:tcPr>
          <w:p>
            <w:pPr>
              <w:spacing w:after="0"/>
              <w:rPr>
                <w:sz w:val="1"/>
                <w:szCs w:val="1"/>
                <w:color w:val="auto"/>
              </w:rPr>
            </w:pPr>
          </w:p>
        </w:tc>
      </w:tr>
      <w:tr>
        <w:trPr>
          <w:trHeight w:val="131"/>
        </w:trPr>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vMerge w:val="continue"/>
            <w:shd w:val="clear" w:color="auto" w:fill="DDDDDD"/>
          </w:tcPr>
          <w:p>
            <w:pPr>
              <w:spacing w:after="0"/>
              <w:rPr>
                <w:sz w:val="11"/>
                <w:szCs w:val="11"/>
                <w:color w:val="auto"/>
              </w:rPr>
            </w:pPr>
          </w:p>
        </w:tc>
        <w:tc>
          <w:tcPr>
            <w:tcW w:w="98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9"/>
                <w:szCs w:val="9"/>
                <w:b w:val="1"/>
                <w:bCs w:val="1"/>
                <w:color w:val="666666"/>
                <w:w w:val="90"/>
              </w:rPr>
              <w:t>(#)</w:t>
            </w:r>
          </w:p>
        </w:tc>
        <w:tc>
          <w:tcPr>
            <w:tcW w:w="92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9"/>
                <w:szCs w:val="9"/>
                <w:b w:val="1"/>
                <w:bCs w:val="1"/>
                <w:color w:val="666666"/>
              </w:rPr>
              <w:t>(#)</w:t>
            </w:r>
          </w:p>
        </w:tc>
        <w:tc>
          <w:tcPr>
            <w:tcW w:w="240" w:type="dxa"/>
            <w:vAlign w:val="bottom"/>
            <w:tcBorders>
              <w:bottom w:val="single" w:sz="8" w:color="auto"/>
            </w:tcBorders>
            <w:shd w:val="clear" w:color="auto" w:fill="DDDDDD"/>
          </w:tcPr>
          <w:p>
            <w:pPr>
              <w:spacing w:after="0"/>
              <w:rPr>
                <w:sz w:val="11"/>
                <w:szCs w:val="11"/>
                <w:color w:val="auto"/>
              </w:rPr>
            </w:pPr>
          </w:p>
        </w:tc>
        <w:tc>
          <w:tcPr>
            <w:tcW w:w="1240" w:type="dxa"/>
            <w:vAlign w:val="bottom"/>
            <w:tcBorders>
              <w:bottom w:val="single" w:sz="8" w:color="auto"/>
            </w:tcBorders>
            <w:shd w:val="clear" w:color="auto" w:fill="DDDDDD"/>
          </w:tcPr>
          <w:p>
            <w:pPr>
              <w:jc w:val="center"/>
              <w:ind w:right="56"/>
              <w:spacing w:after="0"/>
              <w:rPr>
                <w:sz w:val="20"/>
                <w:szCs w:val="20"/>
                <w:color w:val="auto"/>
              </w:rPr>
            </w:pPr>
            <w:r>
              <w:rPr>
                <w:rFonts w:ascii="Arial" w:cs="Arial" w:eastAsia="Arial" w:hAnsi="Arial"/>
                <w:sz w:val="9"/>
                <w:szCs w:val="9"/>
                <w:b w:val="1"/>
                <w:bCs w:val="1"/>
                <w:color w:val="666666"/>
                <w:w w:val="90"/>
              </w:rPr>
              <w:t>(#)</w:t>
            </w:r>
          </w:p>
        </w:tc>
        <w:tc>
          <w:tcPr>
            <w:tcW w:w="780" w:type="dxa"/>
            <w:vAlign w:val="bottom"/>
            <w:tcBorders>
              <w:bottom w:val="single" w:sz="8" w:color="auto"/>
            </w:tcBorders>
            <w:shd w:val="clear" w:color="auto" w:fill="DDDDDD"/>
          </w:tcPr>
          <w:p>
            <w:pPr>
              <w:jc w:val="center"/>
              <w:ind w:left="36"/>
              <w:spacing w:after="0"/>
              <w:rPr>
                <w:sz w:val="20"/>
                <w:szCs w:val="20"/>
                <w:color w:val="auto"/>
              </w:rPr>
            </w:pPr>
            <w:r>
              <w:rPr>
                <w:rFonts w:ascii="Arial" w:cs="Arial" w:eastAsia="Arial" w:hAnsi="Arial"/>
                <w:sz w:val="9"/>
                <w:szCs w:val="9"/>
                <w:b w:val="1"/>
                <w:bCs w:val="1"/>
                <w:color w:val="666666"/>
                <w:w w:val="90"/>
              </w:rPr>
              <w:t>($)</w:t>
            </w:r>
          </w:p>
        </w:tc>
        <w:tc>
          <w:tcPr>
            <w:tcW w:w="300" w:type="dxa"/>
            <w:vAlign w:val="bottom"/>
            <w:tcBorders>
              <w:bottom w:val="single" w:sz="8" w:color="auto"/>
            </w:tcBorders>
            <w:shd w:val="clear" w:color="auto" w:fill="DDDDDD"/>
          </w:tcPr>
          <w:p>
            <w:pPr>
              <w:spacing w:after="0"/>
              <w:rPr>
                <w:sz w:val="11"/>
                <w:szCs w:val="11"/>
                <w:color w:val="auto"/>
              </w:rPr>
            </w:pPr>
          </w:p>
        </w:tc>
        <w:tc>
          <w:tcPr>
            <w:tcW w:w="840" w:type="dxa"/>
            <w:vAlign w:val="bottom"/>
            <w:tcBorders>
              <w:bottom w:val="single" w:sz="8" w:color="auto"/>
            </w:tcBorders>
            <w:gridSpan w:val="2"/>
            <w:shd w:val="clear" w:color="auto" w:fill="DDDDDD"/>
          </w:tcPr>
          <w:p>
            <w:pPr>
              <w:jc w:val="center"/>
              <w:ind w:right="200"/>
              <w:spacing w:after="0"/>
              <w:rPr>
                <w:sz w:val="20"/>
                <w:szCs w:val="20"/>
                <w:color w:val="auto"/>
              </w:rPr>
            </w:pPr>
            <w:r>
              <w:rPr>
                <w:rFonts w:ascii="Arial" w:cs="Arial" w:eastAsia="Arial" w:hAnsi="Arial"/>
                <w:sz w:val="9"/>
                <w:szCs w:val="9"/>
                <w:b w:val="1"/>
                <w:bCs w:val="1"/>
                <w:color w:val="666666"/>
              </w:rPr>
              <w:t>Date</w:t>
            </w:r>
          </w:p>
        </w:tc>
        <w:tc>
          <w:tcPr>
            <w:tcW w:w="1120" w:type="dxa"/>
            <w:vAlign w:val="bottom"/>
            <w:tcBorders>
              <w:bottom w:val="single" w:sz="8" w:color="auto"/>
            </w:tcBorders>
            <w:shd w:val="clear" w:color="auto" w:fill="DDDDDD"/>
          </w:tcPr>
          <w:p>
            <w:pPr>
              <w:jc w:val="center"/>
              <w:ind w:right="16"/>
              <w:spacing w:after="0"/>
              <w:rPr>
                <w:sz w:val="20"/>
                <w:szCs w:val="20"/>
                <w:color w:val="auto"/>
              </w:rPr>
            </w:pPr>
            <w:r>
              <w:rPr>
                <w:rFonts w:ascii="Arial" w:cs="Arial" w:eastAsia="Arial" w:hAnsi="Arial"/>
                <w:sz w:val="9"/>
                <w:szCs w:val="9"/>
                <w:b w:val="1"/>
                <w:bCs w:val="1"/>
                <w:color w:val="666666"/>
              </w:rPr>
              <w:t xml:space="preserve">(#) </w:t>
            </w:r>
            <w:r>
              <w:rPr>
                <w:rFonts w:ascii="Arial" w:cs="Arial" w:eastAsia="Arial" w:hAnsi="Arial"/>
                <w:sz w:val="7"/>
                <w:szCs w:val="7"/>
                <w:b w:val="1"/>
                <w:bCs w:val="1"/>
                <w:color w:val="666666"/>
              </w:rPr>
              <w:t>2</w:t>
            </w:r>
          </w:p>
        </w:tc>
        <w:tc>
          <w:tcPr>
            <w:tcW w:w="1160" w:type="dxa"/>
            <w:vAlign w:val="bottom"/>
            <w:tcBorders>
              <w:bottom w:val="single" w:sz="8" w:color="auto"/>
            </w:tcBorders>
            <w:shd w:val="clear" w:color="auto" w:fill="DDDDDD"/>
          </w:tcPr>
          <w:p>
            <w:pPr>
              <w:jc w:val="center"/>
              <w:ind w:right="16"/>
              <w:spacing w:after="0"/>
              <w:rPr>
                <w:sz w:val="20"/>
                <w:szCs w:val="20"/>
                <w:color w:val="auto"/>
              </w:rPr>
            </w:pPr>
            <w:r>
              <w:rPr>
                <w:rFonts w:ascii="Arial" w:cs="Arial" w:eastAsia="Arial" w:hAnsi="Arial"/>
                <w:sz w:val="9"/>
                <w:szCs w:val="9"/>
                <w:b w:val="1"/>
                <w:bCs w:val="1"/>
                <w:color w:val="666666"/>
              </w:rPr>
              <w:t xml:space="preserve">($) </w:t>
            </w:r>
            <w:r>
              <w:rPr>
                <w:rFonts w:ascii="Arial" w:cs="Arial" w:eastAsia="Arial" w:hAnsi="Arial"/>
                <w:sz w:val="7"/>
                <w:szCs w:val="7"/>
                <w:b w:val="1"/>
                <w:bCs w:val="1"/>
                <w:color w:val="666666"/>
              </w:rPr>
              <w:t>3</w:t>
            </w:r>
          </w:p>
        </w:tc>
        <w:tc>
          <w:tcPr>
            <w:tcW w:w="12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9"/>
                <w:szCs w:val="9"/>
                <w:b w:val="1"/>
                <w:bCs w:val="1"/>
                <w:color w:val="666666"/>
              </w:rPr>
              <w:t xml:space="preserve">(#) </w:t>
            </w:r>
            <w:r>
              <w:rPr>
                <w:rFonts w:ascii="Arial" w:cs="Arial" w:eastAsia="Arial" w:hAnsi="Arial"/>
                <w:sz w:val="7"/>
                <w:szCs w:val="7"/>
                <w:b w:val="1"/>
                <w:bCs w:val="1"/>
                <w:color w:val="666666"/>
              </w:rPr>
              <w:t>5</w:t>
            </w:r>
          </w:p>
        </w:tc>
        <w:tc>
          <w:tcPr>
            <w:tcW w:w="13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9"/>
                <w:szCs w:val="9"/>
                <w:b w:val="1"/>
                <w:bCs w:val="1"/>
                <w:color w:val="666666"/>
              </w:rPr>
              <w:t xml:space="preserve">($) </w:t>
            </w:r>
            <w:r>
              <w:rPr>
                <w:rFonts w:ascii="Arial" w:cs="Arial" w:eastAsia="Arial" w:hAnsi="Arial"/>
                <w:sz w:val="7"/>
                <w:szCs w:val="7"/>
                <w:b w:val="1"/>
                <w:bCs w:val="1"/>
                <w:color w:val="666666"/>
              </w:rPr>
              <w:t>6</w:t>
            </w:r>
          </w:p>
        </w:tc>
        <w:tc>
          <w:tcPr>
            <w:tcW w:w="20" w:type="dxa"/>
            <w:vAlign w:val="bottom"/>
            <w:tcBorders>
              <w:bottom w:val="single" w:sz="8" w:color="auto"/>
            </w:tcBorders>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60" w:type="dxa"/>
            <w:vAlign w:val="bottom"/>
          </w:tcPr>
          <w:p>
            <w:pPr>
              <w:ind w:left="20"/>
              <w:spacing w:after="0"/>
              <w:rPr>
                <w:sz w:val="20"/>
                <w:szCs w:val="20"/>
                <w:color w:val="auto"/>
              </w:rPr>
            </w:pPr>
            <w:r>
              <w:rPr>
                <w:rFonts w:ascii="Arial" w:cs="Arial" w:eastAsia="Arial" w:hAnsi="Arial"/>
                <w:sz w:val="9"/>
                <w:szCs w:val="9"/>
                <w:b w:val="1"/>
                <w:bCs w:val="1"/>
                <w:color w:val="666666"/>
              </w:rPr>
              <w:t>Horacio D. Rozanski</w:t>
            </w: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ind w:right="156"/>
              <w:spacing w:after="0"/>
              <w:rPr>
                <w:sz w:val="20"/>
                <w:szCs w:val="20"/>
                <w:color w:val="auto"/>
              </w:rPr>
            </w:pPr>
            <w:r>
              <w:rPr>
                <w:rFonts w:ascii="Arial" w:cs="Arial" w:eastAsia="Arial" w:hAnsi="Arial"/>
                <w:sz w:val="9"/>
                <w:szCs w:val="9"/>
                <w:color w:val="666666"/>
              </w:rPr>
              <w:t>40,436</w:t>
            </w:r>
          </w:p>
        </w:tc>
        <w:tc>
          <w:tcPr>
            <w:tcW w:w="1160" w:type="dxa"/>
            <w:vAlign w:val="bottom"/>
            <w:vMerge w:val="restart"/>
          </w:tcPr>
          <w:p>
            <w:pPr>
              <w:jc w:val="right"/>
              <w:ind w:right="36"/>
              <w:spacing w:after="0"/>
              <w:rPr>
                <w:sz w:val="20"/>
                <w:szCs w:val="20"/>
                <w:color w:val="auto"/>
              </w:rPr>
            </w:pPr>
            <w:r>
              <w:rPr>
                <w:rFonts w:ascii="Arial" w:cs="Arial" w:eastAsia="Arial" w:hAnsi="Arial"/>
                <w:sz w:val="9"/>
                <w:szCs w:val="9"/>
                <w:color w:val="666666"/>
              </w:rPr>
              <w:t>1,565,682</w:t>
            </w:r>
          </w:p>
        </w:tc>
        <w:tc>
          <w:tcPr>
            <w:tcW w:w="1260" w:type="dxa"/>
            <w:vAlign w:val="bottom"/>
            <w:vMerge w:val="restart"/>
          </w:tcPr>
          <w:p>
            <w:pPr>
              <w:jc w:val="right"/>
              <w:ind w:right="56"/>
              <w:spacing w:after="0"/>
              <w:rPr>
                <w:sz w:val="20"/>
                <w:szCs w:val="20"/>
                <w:color w:val="auto"/>
              </w:rPr>
            </w:pPr>
            <w:r>
              <w:rPr>
                <w:rFonts w:ascii="Arial" w:cs="Arial" w:eastAsia="Arial" w:hAnsi="Arial"/>
                <w:sz w:val="9"/>
                <w:szCs w:val="9"/>
                <w:color w:val="666666"/>
              </w:rPr>
              <w:t>7,684</w:t>
            </w:r>
          </w:p>
        </w:tc>
        <w:tc>
          <w:tcPr>
            <w:tcW w:w="1360" w:type="dxa"/>
            <w:vAlign w:val="bottom"/>
            <w:vMerge w:val="restart"/>
          </w:tcPr>
          <w:p>
            <w:pPr>
              <w:jc w:val="right"/>
              <w:ind w:right="56"/>
              <w:spacing w:after="0"/>
              <w:rPr>
                <w:sz w:val="20"/>
                <w:szCs w:val="20"/>
                <w:color w:val="auto"/>
              </w:rPr>
            </w:pPr>
            <w:r>
              <w:rPr>
                <w:rFonts w:ascii="Arial" w:cs="Arial" w:eastAsia="Arial" w:hAnsi="Arial"/>
                <w:sz w:val="9"/>
                <w:szCs w:val="9"/>
                <w:color w:val="666666"/>
              </w:rPr>
              <w:t>297,524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jc w:val="right"/>
              <w:ind w:right="116"/>
              <w:spacing w:after="0"/>
              <w:rPr>
                <w:sz w:val="20"/>
                <w:szCs w:val="20"/>
                <w:color w:val="auto"/>
              </w:rPr>
            </w:pPr>
            <w:r>
              <w:rPr>
                <w:rFonts w:ascii="Arial" w:cs="Arial" w:eastAsia="Arial" w:hAnsi="Arial"/>
                <w:sz w:val="9"/>
                <w:szCs w:val="9"/>
                <w:color w:val="666666"/>
              </w:rPr>
              <w:t>53,628</w:t>
            </w:r>
          </w:p>
        </w:tc>
        <w:tc>
          <w:tcPr>
            <w:tcW w:w="920" w:type="dxa"/>
            <w:vAlign w:val="bottom"/>
          </w:tcPr>
          <w:p>
            <w:pPr>
              <w:jc w:val="right"/>
              <w:ind w:right="16"/>
              <w:spacing w:after="0"/>
              <w:rPr>
                <w:sz w:val="20"/>
                <w:szCs w:val="20"/>
                <w:color w:val="auto"/>
              </w:rPr>
            </w:pPr>
            <w:r>
              <w:rPr>
                <w:rFonts w:ascii="Arial" w:cs="Arial" w:eastAsia="Arial" w:hAnsi="Arial"/>
                <w:sz w:val="9"/>
                <w:szCs w:val="9"/>
                <w:color w:val="666666"/>
              </w:rPr>
              <w:t>35,752</w:t>
            </w:r>
          </w:p>
        </w:tc>
        <w:tc>
          <w:tcPr>
            <w:tcW w:w="240" w:type="dxa"/>
            <w:vAlign w:val="bottom"/>
          </w:tcPr>
          <w:p>
            <w:pPr>
              <w:jc w:val="right"/>
              <w:ind w:right="77"/>
              <w:spacing w:after="0"/>
              <w:rPr>
                <w:sz w:val="20"/>
                <w:szCs w:val="20"/>
                <w:color w:val="auto"/>
              </w:rPr>
            </w:pPr>
            <w:r>
              <w:rPr>
                <w:rFonts w:ascii="Arial" w:cs="Arial" w:eastAsia="Arial" w:hAnsi="Arial"/>
                <w:sz w:val="9"/>
                <w:szCs w:val="9"/>
                <w:color w:val="666666"/>
              </w:rPr>
              <w:t>1</w:t>
            </w:r>
          </w:p>
        </w:tc>
        <w:tc>
          <w:tcPr>
            <w:tcW w:w="1240" w:type="dxa"/>
            <w:vAlign w:val="bottom"/>
          </w:tcPr>
          <w:p>
            <w:pPr>
              <w:ind w:left="880"/>
              <w:spacing w:after="0"/>
              <w:rPr>
                <w:sz w:val="20"/>
                <w:szCs w:val="20"/>
                <w:color w:val="auto"/>
              </w:rPr>
            </w:pPr>
            <w:r>
              <w:rPr>
                <w:rFonts w:ascii="Arial" w:cs="Arial" w:eastAsia="Arial" w:hAnsi="Arial"/>
                <w:sz w:val="9"/>
                <w:szCs w:val="9"/>
                <w:color w:val="666666"/>
              </w:rPr>
              <w:t>—</w:t>
            </w:r>
          </w:p>
        </w:tc>
        <w:tc>
          <w:tcPr>
            <w:tcW w:w="780" w:type="dxa"/>
            <w:vAlign w:val="bottom"/>
          </w:tcPr>
          <w:p>
            <w:pPr>
              <w:jc w:val="right"/>
              <w:ind w:right="76"/>
              <w:spacing w:after="0"/>
              <w:rPr>
                <w:sz w:val="20"/>
                <w:szCs w:val="20"/>
                <w:color w:val="auto"/>
              </w:rPr>
            </w:pPr>
            <w:r>
              <w:rPr>
                <w:rFonts w:ascii="Arial" w:cs="Arial" w:eastAsia="Arial" w:hAnsi="Arial"/>
                <w:sz w:val="9"/>
                <w:szCs w:val="9"/>
                <w:color w:val="666666"/>
              </w:rPr>
              <w:t>29.08</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666666"/>
              </w:rPr>
              <w:t>4/1/2025</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jc w:val="right"/>
              <w:ind w:right="116"/>
              <w:spacing w:after="0"/>
              <w:rPr>
                <w:sz w:val="20"/>
                <w:szCs w:val="20"/>
                <w:color w:val="auto"/>
              </w:rPr>
            </w:pPr>
            <w:r>
              <w:rPr>
                <w:rFonts w:ascii="Arial" w:cs="Arial" w:eastAsia="Arial" w:hAnsi="Arial"/>
                <w:sz w:val="9"/>
                <w:szCs w:val="9"/>
                <w:color w:val="666666"/>
              </w:rPr>
              <w:t>36,000</w:t>
            </w:r>
          </w:p>
        </w:tc>
        <w:tc>
          <w:tcPr>
            <w:tcW w:w="920" w:type="dxa"/>
            <w:vAlign w:val="bottom"/>
          </w:tcPr>
          <w:p>
            <w:pPr>
              <w:jc w:val="right"/>
              <w:ind w:right="16"/>
              <w:spacing w:after="0"/>
              <w:rPr>
                <w:sz w:val="20"/>
                <w:szCs w:val="20"/>
                <w:color w:val="auto"/>
              </w:rPr>
            </w:pPr>
            <w:r>
              <w:rPr>
                <w:rFonts w:ascii="Arial" w:cs="Arial" w:eastAsia="Arial" w:hAnsi="Arial"/>
                <w:sz w:val="9"/>
                <w:szCs w:val="9"/>
                <w:color w:val="666666"/>
              </w:rPr>
              <w:t>9,000</w:t>
            </w:r>
          </w:p>
        </w:tc>
        <w:tc>
          <w:tcPr>
            <w:tcW w:w="240" w:type="dxa"/>
            <w:vAlign w:val="bottom"/>
          </w:tcPr>
          <w:p>
            <w:pPr>
              <w:jc w:val="right"/>
              <w:ind w:right="77"/>
              <w:spacing w:after="0"/>
              <w:rPr>
                <w:sz w:val="20"/>
                <w:szCs w:val="20"/>
                <w:color w:val="auto"/>
              </w:rPr>
            </w:pPr>
            <w:r>
              <w:rPr>
                <w:rFonts w:ascii="Arial" w:cs="Arial" w:eastAsia="Arial" w:hAnsi="Arial"/>
                <w:sz w:val="9"/>
                <w:szCs w:val="9"/>
                <w:color w:val="666666"/>
              </w:rPr>
              <w:t>1</w:t>
            </w:r>
          </w:p>
        </w:tc>
        <w:tc>
          <w:tcPr>
            <w:tcW w:w="1240" w:type="dxa"/>
            <w:vAlign w:val="bottom"/>
          </w:tcPr>
          <w:p>
            <w:pPr>
              <w:ind w:left="880"/>
              <w:spacing w:after="0"/>
              <w:rPr>
                <w:sz w:val="20"/>
                <w:szCs w:val="20"/>
                <w:color w:val="auto"/>
              </w:rPr>
            </w:pPr>
            <w:r>
              <w:rPr>
                <w:rFonts w:ascii="Arial" w:cs="Arial" w:eastAsia="Arial" w:hAnsi="Arial"/>
                <w:sz w:val="9"/>
                <w:szCs w:val="9"/>
                <w:color w:val="666666"/>
              </w:rPr>
              <w:t>—</w:t>
            </w:r>
          </w:p>
        </w:tc>
        <w:tc>
          <w:tcPr>
            <w:tcW w:w="780" w:type="dxa"/>
            <w:vAlign w:val="bottom"/>
          </w:tcPr>
          <w:p>
            <w:pPr>
              <w:jc w:val="right"/>
              <w:ind w:right="76"/>
              <w:spacing w:after="0"/>
              <w:rPr>
                <w:sz w:val="20"/>
                <w:szCs w:val="20"/>
                <w:color w:val="auto"/>
              </w:rPr>
            </w:pPr>
            <w:r>
              <w:rPr>
                <w:rFonts w:ascii="Arial" w:cs="Arial" w:eastAsia="Arial" w:hAnsi="Arial"/>
                <w:sz w:val="9"/>
                <w:szCs w:val="9"/>
                <w:color w:val="666666"/>
              </w:rPr>
              <w:t>18.35</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666666"/>
              </w:rPr>
              <w:t>5/23/2023</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jc w:val="right"/>
              <w:ind w:right="116"/>
              <w:spacing w:after="0"/>
              <w:rPr>
                <w:sz w:val="20"/>
                <w:szCs w:val="20"/>
                <w:color w:val="auto"/>
              </w:rPr>
            </w:pPr>
            <w:r>
              <w:rPr>
                <w:rFonts w:ascii="Arial" w:cs="Arial" w:eastAsia="Arial" w:hAnsi="Arial"/>
                <w:sz w:val="9"/>
                <w:szCs w:val="9"/>
                <w:color w:val="666666"/>
              </w:rPr>
              <w:t>45,000</w:t>
            </w:r>
          </w:p>
        </w:tc>
        <w:tc>
          <w:tcPr>
            <w:tcW w:w="920" w:type="dxa"/>
            <w:vAlign w:val="bottom"/>
          </w:tcPr>
          <w:p>
            <w:pPr>
              <w:jc w:val="right"/>
              <w:ind w:right="16"/>
              <w:spacing w:after="0"/>
              <w:rPr>
                <w:sz w:val="20"/>
                <w:szCs w:val="20"/>
                <w:color w:val="auto"/>
              </w:rPr>
            </w:pPr>
            <w:r>
              <w:rPr>
                <w:rFonts w:ascii="Arial" w:cs="Arial" w:eastAsia="Arial" w:hAnsi="Arial"/>
                <w:sz w:val="9"/>
                <w:szCs w:val="9"/>
                <w:color w:val="666666"/>
              </w:rPr>
              <w:t>—</w:t>
            </w:r>
          </w:p>
        </w:tc>
        <w:tc>
          <w:tcPr>
            <w:tcW w:w="240" w:type="dxa"/>
            <w:vAlign w:val="bottom"/>
          </w:tcPr>
          <w:p>
            <w:pPr>
              <w:spacing w:after="0"/>
              <w:rPr>
                <w:sz w:val="17"/>
                <w:szCs w:val="17"/>
                <w:color w:val="auto"/>
              </w:rPr>
            </w:pPr>
          </w:p>
        </w:tc>
        <w:tc>
          <w:tcPr>
            <w:tcW w:w="1240" w:type="dxa"/>
            <w:vAlign w:val="bottom"/>
          </w:tcPr>
          <w:p>
            <w:pPr>
              <w:ind w:left="880"/>
              <w:spacing w:after="0"/>
              <w:rPr>
                <w:sz w:val="20"/>
                <w:szCs w:val="20"/>
                <w:color w:val="auto"/>
              </w:rPr>
            </w:pPr>
            <w:r>
              <w:rPr>
                <w:rFonts w:ascii="Arial" w:cs="Arial" w:eastAsia="Arial" w:hAnsi="Arial"/>
                <w:sz w:val="9"/>
                <w:szCs w:val="9"/>
                <w:color w:val="666666"/>
              </w:rPr>
              <w:t>—</w:t>
            </w:r>
          </w:p>
        </w:tc>
        <w:tc>
          <w:tcPr>
            <w:tcW w:w="780" w:type="dxa"/>
            <w:vAlign w:val="bottom"/>
          </w:tcPr>
          <w:p>
            <w:pPr>
              <w:jc w:val="right"/>
              <w:ind w:right="76"/>
              <w:spacing w:after="0"/>
              <w:rPr>
                <w:sz w:val="20"/>
                <w:szCs w:val="20"/>
                <w:color w:val="auto"/>
              </w:rPr>
            </w:pPr>
            <w:r>
              <w:rPr>
                <w:rFonts w:ascii="Arial" w:cs="Arial" w:eastAsia="Arial" w:hAnsi="Arial"/>
                <w:sz w:val="9"/>
                <w:szCs w:val="9"/>
                <w:color w:val="666666"/>
              </w:rPr>
              <w:t>6.45</w:t>
            </w:r>
          </w:p>
        </w:tc>
        <w:tc>
          <w:tcPr>
            <w:tcW w:w="300" w:type="dxa"/>
            <w:vAlign w:val="bottom"/>
          </w:tcPr>
          <w:p>
            <w:pPr>
              <w:jc w:val="right"/>
              <w:ind w:right="77"/>
              <w:spacing w:after="0"/>
              <w:rPr>
                <w:sz w:val="20"/>
                <w:szCs w:val="20"/>
                <w:color w:val="auto"/>
              </w:rPr>
            </w:pPr>
            <w:r>
              <w:rPr>
                <w:rFonts w:ascii="Arial" w:cs="Arial" w:eastAsia="Arial" w:hAnsi="Arial"/>
                <w:sz w:val="9"/>
                <w:szCs w:val="9"/>
                <w:color w:val="666666"/>
              </w:rPr>
              <w:t>4</w:t>
            </w:r>
          </w:p>
        </w:tc>
        <w:tc>
          <w:tcPr>
            <w:tcW w:w="720" w:type="dxa"/>
            <w:vAlign w:val="bottom"/>
          </w:tcPr>
          <w:p>
            <w:pPr>
              <w:jc w:val="right"/>
              <w:spacing w:after="0"/>
              <w:rPr>
                <w:sz w:val="20"/>
                <w:szCs w:val="20"/>
                <w:color w:val="auto"/>
              </w:rPr>
            </w:pPr>
            <w:r>
              <w:rPr>
                <w:rFonts w:ascii="Arial" w:cs="Arial" w:eastAsia="Arial" w:hAnsi="Arial"/>
                <w:sz w:val="9"/>
                <w:szCs w:val="9"/>
                <w:color w:val="666666"/>
              </w:rPr>
              <w:t>4/29/2020</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shd w:val="clear" w:color="auto" w:fill="DDDDDD"/>
          </w:tcPr>
          <w:p>
            <w:pPr>
              <w:ind w:left="20"/>
              <w:spacing w:after="0"/>
              <w:rPr>
                <w:sz w:val="20"/>
                <w:szCs w:val="20"/>
                <w:color w:val="auto"/>
              </w:rPr>
            </w:pPr>
            <w:r>
              <w:rPr>
                <w:rFonts w:ascii="Arial" w:cs="Arial" w:eastAsia="Arial" w:hAnsi="Arial"/>
                <w:sz w:val="9"/>
                <w:szCs w:val="9"/>
                <w:b w:val="1"/>
                <w:bCs w:val="1"/>
                <w:color w:val="666666"/>
              </w:rPr>
              <w:t>Lloyd W. Howell, Jr.</w:t>
            </w:r>
          </w:p>
        </w:tc>
        <w:tc>
          <w:tcPr>
            <w:tcW w:w="980" w:type="dxa"/>
            <w:vAlign w:val="bottom"/>
            <w:shd w:val="clear" w:color="auto" w:fill="DDDDDD"/>
          </w:tcPr>
          <w:p>
            <w:pPr>
              <w:spacing w:after="0"/>
              <w:rPr>
                <w:sz w:val="11"/>
                <w:szCs w:val="11"/>
                <w:color w:val="auto"/>
              </w:rPr>
            </w:pPr>
          </w:p>
        </w:tc>
        <w:tc>
          <w:tcPr>
            <w:tcW w:w="920" w:type="dxa"/>
            <w:vAlign w:val="bottom"/>
            <w:shd w:val="clear" w:color="auto" w:fill="DDDDDD"/>
          </w:tcPr>
          <w:p>
            <w:pPr>
              <w:spacing w:after="0"/>
              <w:rPr>
                <w:sz w:val="11"/>
                <w:szCs w:val="11"/>
                <w:color w:val="auto"/>
              </w:rPr>
            </w:pPr>
          </w:p>
        </w:tc>
        <w:tc>
          <w:tcPr>
            <w:tcW w:w="240" w:type="dxa"/>
            <w:vAlign w:val="bottom"/>
            <w:shd w:val="clear" w:color="auto" w:fill="DDDDDD"/>
          </w:tcPr>
          <w:p>
            <w:pPr>
              <w:spacing w:after="0"/>
              <w:rPr>
                <w:sz w:val="11"/>
                <w:szCs w:val="11"/>
                <w:color w:val="auto"/>
              </w:rPr>
            </w:pPr>
          </w:p>
        </w:tc>
        <w:tc>
          <w:tcPr>
            <w:tcW w:w="1240" w:type="dxa"/>
            <w:vAlign w:val="bottom"/>
            <w:shd w:val="clear" w:color="auto" w:fill="DDDDDD"/>
          </w:tcPr>
          <w:p>
            <w:pPr>
              <w:spacing w:after="0"/>
              <w:rPr>
                <w:sz w:val="11"/>
                <w:szCs w:val="11"/>
                <w:color w:val="auto"/>
              </w:rPr>
            </w:pPr>
          </w:p>
        </w:tc>
        <w:tc>
          <w:tcPr>
            <w:tcW w:w="780" w:type="dxa"/>
            <w:vAlign w:val="bottom"/>
            <w:shd w:val="clear" w:color="auto" w:fill="DDDDDD"/>
          </w:tcPr>
          <w:p>
            <w:pPr>
              <w:spacing w:after="0"/>
              <w:rPr>
                <w:sz w:val="11"/>
                <w:szCs w:val="11"/>
                <w:color w:val="auto"/>
              </w:rPr>
            </w:pPr>
          </w:p>
        </w:tc>
        <w:tc>
          <w:tcPr>
            <w:tcW w:w="30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1120" w:type="dxa"/>
            <w:vAlign w:val="bottom"/>
            <w:vMerge w:val="restart"/>
            <w:shd w:val="clear" w:color="auto" w:fill="DDDDDD"/>
          </w:tcPr>
          <w:p>
            <w:pPr>
              <w:jc w:val="right"/>
              <w:ind w:right="156"/>
              <w:spacing w:after="0"/>
              <w:rPr>
                <w:sz w:val="20"/>
                <w:szCs w:val="20"/>
                <w:color w:val="auto"/>
              </w:rPr>
            </w:pPr>
            <w:r>
              <w:rPr>
                <w:rFonts w:ascii="Arial" w:cs="Arial" w:eastAsia="Arial" w:hAnsi="Arial"/>
                <w:sz w:val="9"/>
                <w:szCs w:val="9"/>
                <w:color w:val="666666"/>
              </w:rPr>
              <w:t>27,501</w:t>
            </w:r>
          </w:p>
        </w:tc>
        <w:tc>
          <w:tcPr>
            <w:tcW w:w="1160" w:type="dxa"/>
            <w:vAlign w:val="bottom"/>
            <w:vMerge w:val="restart"/>
            <w:shd w:val="clear" w:color="auto" w:fill="DDDDDD"/>
          </w:tcPr>
          <w:p>
            <w:pPr>
              <w:jc w:val="right"/>
              <w:ind w:right="36"/>
              <w:spacing w:after="0"/>
              <w:rPr>
                <w:sz w:val="20"/>
                <w:szCs w:val="20"/>
                <w:color w:val="auto"/>
              </w:rPr>
            </w:pPr>
            <w:r>
              <w:rPr>
                <w:rFonts w:ascii="Arial" w:cs="Arial" w:eastAsia="Arial" w:hAnsi="Arial"/>
                <w:sz w:val="9"/>
                <w:szCs w:val="9"/>
                <w:color w:val="666666"/>
              </w:rPr>
              <w:t>1,064,839</w:t>
            </w:r>
          </w:p>
        </w:tc>
        <w:tc>
          <w:tcPr>
            <w:tcW w:w="1260" w:type="dxa"/>
            <w:vAlign w:val="bottom"/>
            <w:vMerge w:val="restart"/>
            <w:shd w:val="clear" w:color="auto" w:fill="DDDDDD"/>
          </w:tcPr>
          <w:p>
            <w:pPr>
              <w:jc w:val="right"/>
              <w:ind w:right="56"/>
              <w:spacing w:after="0"/>
              <w:rPr>
                <w:sz w:val="20"/>
                <w:szCs w:val="20"/>
                <w:color w:val="auto"/>
              </w:rPr>
            </w:pPr>
            <w:r>
              <w:rPr>
                <w:rFonts w:ascii="Arial" w:cs="Arial" w:eastAsia="Arial" w:hAnsi="Arial"/>
                <w:sz w:val="9"/>
                <w:szCs w:val="9"/>
                <w:color w:val="666666"/>
              </w:rPr>
              <w:t>3,650</w:t>
            </w:r>
          </w:p>
        </w:tc>
        <w:tc>
          <w:tcPr>
            <w:tcW w:w="1360" w:type="dxa"/>
            <w:vAlign w:val="bottom"/>
            <w:vMerge w:val="restart"/>
            <w:shd w:val="clear" w:color="auto" w:fill="DDDDDD"/>
          </w:tcPr>
          <w:p>
            <w:pPr>
              <w:jc w:val="right"/>
              <w:ind w:right="56"/>
              <w:spacing w:after="0"/>
              <w:rPr>
                <w:sz w:val="20"/>
                <w:szCs w:val="20"/>
                <w:color w:val="auto"/>
              </w:rPr>
            </w:pPr>
            <w:r>
              <w:rPr>
                <w:rFonts w:ascii="Arial" w:cs="Arial" w:eastAsia="Arial" w:hAnsi="Arial"/>
                <w:sz w:val="9"/>
                <w:szCs w:val="9"/>
                <w:color w:val="666666"/>
              </w:rPr>
              <w:t>141,328</w:t>
            </w:r>
          </w:p>
        </w:tc>
        <w:tc>
          <w:tcPr>
            <w:tcW w:w="2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60" w:type="dxa"/>
            <w:vAlign w:val="bottom"/>
            <w:shd w:val="clear" w:color="auto" w:fill="DDDDDD"/>
          </w:tcPr>
          <w:p>
            <w:pPr>
              <w:spacing w:after="0"/>
              <w:rPr>
                <w:sz w:val="4"/>
                <w:szCs w:val="4"/>
                <w:color w:val="auto"/>
              </w:rPr>
            </w:pPr>
          </w:p>
        </w:tc>
        <w:tc>
          <w:tcPr>
            <w:tcW w:w="980" w:type="dxa"/>
            <w:vAlign w:val="bottom"/>
            <w:shd w:val="clear" w:color="auto" w:fill="DDDDDD"/>
          </w:tcPr>
          <w:p>
            <w:pPr>
              <w:spacing w:after="0"/>
              <w:rPr>
                <w:sz w:val="4"/>
                <w:szCs w:val="4"/>
                <w:color w:val="auto"/>
              </w:rPr>
            </w:pPr>
          </w:p>
        </w:tc>
        <w:tc>
          <w:tcPr>
            <w:tcW w:w="920" w:type="dxa"/>
            <w:vAlign w:val="bottom"/>
            <w:shd w:val="clear" w:color="auto" w:fill="DDDDDD"/>
          </w:tcPr>
          <w:p>
            <w:pPr>
              <w:spacing w:after="0"/>
              <w:rPr>
                <w:sz w:val="4"/>
                <w:szCs w:val="4"/>
                <w:color w:val="auto"/>
              </w:rPr>
            </w:pPr>
          </w:p>
        </w:tc>
        <w:tc>
          <w:tcPr>
            <w:tcW w:w="240" w:type="dxa"/>
            <w:vAlign w:val="bottom"/>
            <w:shd w:val="clear" w:color="auto" w:fill="DDDDDD"/>
          </w:tcPr>
          <w:p>
            <w:pPr>
              <w:spacing w:after="0"/>
              <w:rPr>
                <w:sz w:val="4"/>
                <w:szCs w:val="4"/>
                <w:color w:val="auto"/>
              </w:rPr>
            </w:pPr>
          </w:p>
        </w:tc>
        <w:tc>
          <w:tcPr>
            <w:tcW w:w="1240" w:type="dxa"/>
            <w:vAlign w:val="bottom"/>
            <w:shd w:val="clear" w:color="auto" w:fill="DDDDDD"/>
          </w:tcPr>
          <w:p>
            <w:pPr>
              <w:spacing w:after="0"/>
              <w:rPr>
                <w:sz w:val="4"/>
                <w:szCs w:val="4"/>
                <w:color w:val="auto"/>
              </w:rPr>
            </w:pPr>
          </w:p>
        </w:tc>
        <w:tc>
          <w:tcPr>
            <w:tcW w:w="780" w:type="dxa"/>
            <w:vAlign w:val="bottom"/>
            <w:shd w:val="clear" w:color="auto" w:fill="DDDDDD"/>
          </w:tcPr>
          <w:p>
            <w:pPr>
              <w:spacing w:after="0"/>
              <w:rPr>
                <w:sz w:val="4"/>
                <w:szCs w:val="4"/>
                <w:color w:val="auto"/>
              </w:rPr>
            </w:pPr>
          </w:p>
        </w:tc>
        <w:tc>
          <w:tcPr>
            <w:tcW w:w="300" w:type="dxa"/>
            <w:vAlign w:val="bottom"/>
            <w:shd w:val="clear" w:color="auto" w:fill="DDDDDD"/>
          </w:tcPr>
          <w:p>
            <w:pPr>
              <w:spacing w:after="0"/>
              <w:rPr>
                <w:sz w:val="4"/>
                <w:szCs w:val="4"/>
                <w:color w:val="auto"/>
              </w:rPr>
            </w:pPr>
          </w:p>
        </w:tc>
        <w:tc>
          <w:tcPr>
            <w:tcW w:w="7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120" w:type="dxa"/>
            <w:vAlign w:val="bottom"/>
            <w:vMerge w:val="continue"/>
            <w:shd w:val="clear" w:color="auto" w:fill="DDDDDD"/>
          </w:tcPr>
          <w:p>
            <w:pPr>
              <w:spacing w:after="0"/>
              <w:rPr>
                <w:sz w:val="4"/>
                <w:szCs w:val="4"/>
                <w:color w:val="auto"/>
              </w:rPr>
            </w:pPr>
          </w:p>
        </w:tc>
        <w:tc>
          <w:tcPr>
            <w:tcW w:w="1160" w:type="dxa"/>
            <w:vAlign w:val="bottom"/>
            <w:vMerge w:val="continue"/>
            <w:shd w:val="clear" w:color="auto" w:fill="DDDDDD"/>
          </w:tcPr>
          <w:p>
            <w:pPr>
              <w:spacing w:after="0"/>
              <w:rPr>
                <w:sz w:val="4"/>
                <w:szCs w:val="4"/>
                <w:color w:val="auto"/>
              </w:rPr>
            </w:pPr>
          </w:p>
        </w:tc>
        <w:tc>
          <w:tcPr>
            <w:tcW w:w="1260" w:type="dxa"/>
            <w:vAlign w:val="bottom"/>
            <w:vMerge w:val="continue"/>
            <w:shd w:val="clear" w:color="auto" w:fill="DDDDDD"/>
          </w:tcPr>
          <w:p>
            <w:pPr>
              <w:spacing w:after="0"/>
              <w:rPr>
                <w:sz w:val="4"/>
                <w:szCs w:val="4"/>
                <w:color w:val="auto"/>
              </w:rPr>
            </w:pPr>
          </w:p>
        </w:tc>
        <w:tc>
          <w:tcPr>
            <w:tcW w:w="1360" w:type="dxa"/>
            <w:vAlign w:val="bottom"/>
            <w:vMerge w:val="continue"/>
            <w:shd w:val="clear" w:color="auto" w:fill="DDDDDD"/>
          </w:tcPr>
          <w:p>
            <w:pPr>
              <w:spacing w:after="0"/>
              <w:rPr>
                <w:sz w:val="4"/>
                <w:szCs w:val="4"/>
                <w:color w:val="auto"/>
              </w:rPr>
            </w:pPr>
          </w:p>
        </w:tc>
        <w:tc>
          <w:tcPr>
            <w:tcW w:w="20" w:type="dxa"/>
            <w:vAlign w:val="bottom"/>
            <w:shd w:val="clear" w:color="auto" w:fill="DDDDDD"/>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shd w:val="clear" w:color="auto" w:fill="DDDDDD"/>
          </w:tcPr>
          <w:p>
            <w:pPr>
              <w:spacing w:after="0"/>
              <w:rPr>
                <w:sz w:val="17"/>
                <w:szCs w:val="17"/>
                <w:color w:val="auto"/>
              </w:rPr>
            </w:pPr>
          </w:p>
        </w:tc>
        <w:tc>
          <w:tcPr>
            <w:tcW w:w="980" w:type="dxa"/>
            <w:vAlign w:val="bottom"/>
            <w:shd w:val="clear" w:color="auto" w:fill="DDDDDD"/>
          </w:tcPr>
          <w:p>
            <w:pPr>
              <w:jc w:val="right"/>
              <w:ind w:right="116"/>
              <w:spacing w:after="0"/>
              <w:rPr>
                <w:sz w:val="20"/>
                <w:szCs w:val="20"/>
                <w:color w:val="auto"/>
              </w:rPr>
            </w:pPr>
            <w:r>
              <w:rPr>
                <w:rFonts w:ascii="Arial" w:cs="Arial" w:eastAsia="Arial" w:hAnsi="Arial"/>
                <w:sz w:val="9"/>
                <w:szCs w:val="9"/>
                <w:color w:val="666666"/>
              </w:rPr>
              <w:t>10,552</w:t>
            </w:r>
          </w:p>
        </w:tc>
        <w:tc>
          <w:tcPr>
            <w:tcW w:w="920" w:type="dxa"/>
            <w:vAlign w:val="bottom"/>
            <w:shd w:val="clear" w:color="auto" w:fill="DDDDDD"/>
          </w:tcPr>
          <w:p>
            <w:pPr>
              <w:jc w:val="right"/>
              <w:ind w:right="16"/>
              <w:spacing w:after="0"/>
              <w:rPr>
                <w:sz w:val="20"/>
                <w:szCs w:val="20"/>
                <w:color w:val="auto"/>
              </w:rPr>
            </w:pPr>
            <w:r>
              <w:rPr>
                <w:rFonts w:ascii="Arial" w:cs="Arial" w:eastAsia="Arial" w:hAnsi="Arial"/>
                <w:sz w:val="9"/>
                <w:szCs w:val="9"/>
                <w:color w:val="666666"/>
              </w:rPr>
              <w:t>42,209</w:t>
            </w:r>
          </w:p>
        </w:tc>
        <w:tc>
          <w:tcPr>
            <w:tcW w:w="240" w:type="dxa"/>
            <w:vAlign w:val="bottom"/>
            <w:shd w:val="clear" w:color="auto" w:fill="DDDDDD"/>
          </w:tcPr>
          <w:p>
            <w:pPr>
              <w:jc w:val="right"/>
              <w:ind w:right="77"/>
              <w:spacing w:after="0"/>
              <w:rPr>
                <w:sz w:val="20"/>
                <w:szCs w:val="20"/>
                <w:color w:val="auto"/>
              </w:rPr>
            </w:pPr>
            <w:r>
              <w:rPr>
                <w:rFonts w:ascii="Arial" w:cs="Arial" w:eastAsia="Arial" w:hAnsi="Arial"/>
                <w:sz w:val="9"/>
                <w:szCs w:val="9"/>
                <w:color w:val="666666"/>
              </w:rPr>
              <w:t>1</w:t>
            </w:r>
          </w:p>
        </w:tc>
        <w:tc>
          <w:tcPr>
            <w:tcW w:w="1240" w:type="dxa"/>
            <w:vAlign w:val="bottom"/>
            <w:shd w:val="clear" w:color="auto" w:fill="DDDDDD"/>
          </w:tcPr>
          <w:p>
            <w:pPr>
              <w:ind w:left="880"/>
              <w:spacing w:after="0"/>
              <w:rPr>
                <w:sz w:val="20"/>
                <w:szCs w:val="20"/>
                <w:color w:val="auto"/>
              </w:rPr>
            </w:pPr>
            <w:r>
              <w:rPr>
                <w:rFonts w:ascii="Arial" w:cs="Arial" w:eastAsia="Arial" w:hAnsi="Arial"/>
                <w:sz w:val="9"/>
                <w:szCs w:val="9"/>
                <w:color w:val="666666"/>
              </w:rPr>
              <w:t>—</w:t>
            </w:r>
          </w:p>
        </w:tc>
        <w:tc>
          <w:tcPr>
            <w:tcW w:w="780" w:type="dxa"/>
            <w:vAlign w:val="bottom"/>
            <w:shd w:val="clear" w:color="auto" w:fill="DDDDDD"/>
          </w:tcPr>
          <w:p>
            <w:pPr>
              <w:jc w:val="right"/>
              <w:ind w:right="76"/>
              <w:spacing w:after="0"/>
              <w:rPr>
                <w:sz w:val="20"/>
                <w:szCs w:val="20"/>
                <w:color w:val="auto"/>
              </w:rPr>
            </w:pPr>
            <w:r>
              <w:rPr>
                <w:rFonts w:ascii="Arial" w:cs="Arial" w:eastAsia="Arial" w:hAnsi="Arial"/>
                <w:sz w:val="9"/>
                <w:szCs w:val="9"/>
                <w:color w:val="666666"/>
              </w:rPr>
              <w:t>35.95</w:t>
            </w:r>
          </w:p>
        </w:tc>
        <w:tc>
          <w:tcPr>
            <w:tcW w:w="30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9"/>
                <w:szCs w:val="9"/>
                <w:color w:val="666666"/>
              </w:rPr>
              <w:t>5/19/2027</w:t>
            </w:r>
          </w:p>
        </w:tc>
        <w:tc>
          <w:tcPr>
            <w:tcW w:w="120" w:type="dxa"/>
            <w:vAlign w:val="bottom"/>
            <w:shd w:val="clear" w:color="auto" w:fill="DDDDDD"/>
          </w:tcPr>
          <w:p>
            <w:pPr>
              <w:spacing w:after="0"/>
              <w:rPr>
                <w:sz w:val="17"/>
                <w:szCs w:val="17"/>
                <w:color w:val="auto"/>
              </w:rPr>
            </w:pPr>
          </w:p>
        </w:tc>
        <w:tc>
          <w:tcPr>
            <w:tcW w:w="1120" w:type="dxa"/>
            <w:vAlign w:val="bottom"/>
            <w:shd w:val="clear" w:color="auto" w:fill="DDDDDD"/>
          </w:tcPr>
          <w:p>
            <w:pPr>
              <w:spacing w:after="0"/>
              <w:rPr>
                <w:sz w:val="17"/>
                <w:szCs w:val="17"/>
                <w:color w:val="auto"/>
              </w:rPr>
            </w:pPr>
          </w:p>
        </w:tc>
        <w:tc>
          <w:tcPr>
            <w:tcW w:w="1160" w:type="dxa"/>
            <w:vAlign w:val="bottom"/>
            <w:shd w:val="clear" w:color="auto" w:fill="DDDDDD"/>
          </w:tcPr>
          <w:p>
            <w:pPr>
              <w:spacing w:after="0"/>
              <w:rPr>
                <w:sz w:val="17"/>
                <w:szCs w:val="17"/>
                <w:color w:val="auto"/>
              </w:rPr>
            </w:pPr>
          </w:p>
        </w:tc>
        <w:tc>
          <w:tcPr>
            <w:tcW w:w="1260" w:type="dxa"/>
            <w:vAlign w:val="bottom"/>
            <w:shd w:val="clear" w:color="auto" w:fill="DDDDDD"/>
          </w:tcPr>
          <w:p>
            <w:pPr>
              <w:spacing w:after="0"/>
              <w:rPr>
                <w:sz w:val="17"/>
                <w:szCs w:val="17"/>
                <w:color w:val="auto"/>
              </w:rPr>
            </w:pPr>
          </w:p>
        </w:tc>
        <w:tc>
          <w:tcPr>
            <w:tcW w:w="13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60" w:type="dxa"/>
            <w:vAlign w:val="bottom"/>
          </w:tcPr>
          <w:p>
            <w:pPr>
              <w:ind w:left="20"/>
              <w:spacing w:after="0"/>
              <w:rPr>
                <w:sz w:val="20"/>
                <w:szCs w:val="20"/>
                <w:color w:val="auto"/>
              </w:rPr>
            </w:pPr>
            <w:r>
              <w:rPr>
                <w:rFonts w:ascii="Arial" w:cs="Arial" w:eastAsia="Arial" w:hAnsi="Arial"/>
                <w:sz w:val="9"/>
                <w:szCs w:val="9"/>
                <w:b w:val="1"/>
                <w:bCs w:val="1"/>
                <w:color w:val="666666"/>
              </w:rPr>
              <w:t>Karen M. Dahut</w:t>
            </w: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ind w:right="156"/>
              <w:spacing w:after="0"/>
              <w:rPr>
                <w:sz w:val="20"/>
                <w:szCs w:val="20"/>
                <w:color w:val="auto"/>
              </w:rPr>
            </w:pPr>
            <w:r>
              <w:rPr>
                <w:rFonts w:ascii="Arial" w:cs="Arial" w:eastAsia="Arial" w:hAnsi="Arial"/>
                <w:sz w:val="9"/>
                <w:szCs w:val="9"/>
                <w:color w:val="666666"/>
              </w:rPr>
              <w:t>27,501</w:t>
            </w:r>
          </w:p>
        </w:tc>
        <w:tc>
          <w:tcPr>
            <w:tcW w:w="1160" w:type="dxa"/>
            <w:vAlign w:val="bottom"/>
            <w:vMerge w:val="restart"/>
          </w:tcPr>
          <w:p>
            <w:pPr>
              <w:jc w:val="right"/>
              <w:ind w:right="36"/>
              <w:spacing w:after="0"/>
              <w:rPr>
                <w:sz w:val="20"/>
                <w:szCs w:val="20"/>
                <w:color w:val="auto"/>
              </w:rPr>
            </w:pPr>
            <w:r>
              <w:rPr>
                <w:rFonts w:ascii="Arial" w:cs="Arial" w:eastAsia="Arial" w:hAnsi="Arial"/>
                <w:sz w:val="9"/>
                <w:szCs w:val="9"/>
                <w:color w:val="666666"/>
              </w:rPr>
              <w:t>1,064,839</w:t>
            </w:r>
          </w:p>
        </w:tc>
        <w:tc>
          <w:tcPr>
            <w:tcW w:w="1260" w:type="dxa"/>
            <w:vAlign w:val="bottom"/>
            <w:vMerge w:val="restart"/>
          </w:tcPr>
          <w:p>
            <w:pPr>
              <w:jc w:val="right"/>
              <w:ind w:right="56"/>
              <w:spacing w:after="0"/>
              <w:rPr>
                <w:sz w:val="20"/>
                <w:szCs w:val="20"/>
                <w:color w:val="auto"/>
              </w:rPr>
            </w:pPr>
            <w:r>
              <w:rPr>
                <w:rFonts w:ascii="Arial" w:cs="Arial" w:eastAsia="Arial" w:hAnsi="Arial"/>
                <w:sz w:val="9"/>
                <w:szCs w:val="9"/>
                <w:color w:val="666666"/>
              </w:rPr>
              <w:t>3,650</w:t>
            </w:r>
          </w:p>
        </w:tc>
        <w:tc>
          <w:tcPr>
            <w:tcW w:w="1360" w:type="dxa"/>
            <w:vAlign w:val="bottom"/>
            <w:vMerge w:val="restart"/>
          </w:tcPr>
          <w:p>
            <w:pPr>
              <w:jc w:val="right"/>
              <w:ind w:right="56"/>
              <w:spacing w:after="0"/>
              <w:rPr>
                <w:sz w:val="20"/>
                <w:szCs w:val="20"/>
                <w:color w:val="auto"/>
              </w:rPr>
            </w:pPr>
            <w:r>
              <w:rPr>
                <w:rFonts w:ascii="Arial" w:cs="Arial" w:eastAsia="Arial" w:hAnsi="Arial"/>
                <w:sz w:val="9"/>
                <w:szCs w:val="9"/>
                <w:color w:val="666666"/>
              </w:rPr>
              <w:t>141,328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jc w:val="right"/>
              <w:ind w:right="116"/>
              <w:spacing w:after="0"/>
              <w:rPr>
                <w:sz w:val="20"/>
                <w:szCs w:val="20"/>
                <w:color w:val="auto"/>
              </w:rPr>
            </w:pPr>
            <w:r>
              <w:rPr>
                <w:rFonts w:ascii="Arial" w:cs="Arial" w:eastAsia="Arial" w:hAnsi="Arial"/>
                <w:sz w:val="9"/>
                <w:szCs w:val="9"/>
                <w:color w:val="666666"/>
              </w:rPr>
              <w:t>10,552</w:t>
            </w:r>
          </w:p>
        </w:tc>
        <w:tc>
          <w:tcPr>
            <w:tcW w:w="920" w:type="dxa"/>
            <w:vAlign w:val="bottom"/>
          </w:tcPr>
          <w:p>
            <w:pPr>
              <w:jc w:val="right"/>
              <w:ind w:right="16"/>
              <w:spacing w:after="0"/>
              <w:rPr>
                <w:sz w:val="20"/>
                <w:szCs w:val="20"/>
                <w:color w:val="auto"/>
              </w:rPr>
            </w:pPr>
            <w:r>
              <w:rPr>
                <w:rFonts w:ascii="Arial" w:cs="Arial" w:eastAsia="Arial" w:hAnsi="Arial"/>
                <w:sz w:val="9"/>
                <w:szCs w:val="9"/>
                <w:color w:val="666666"/>
              </w:rPr>
              <w:t>42,209</w:t>
            </w:r>
          </w:p>
        </w:tc>
        <w:tc>
          <w:tcPr>
            <w:tcW w:w="240" w:type="dxa"/>
            <w:vAlign w:val="bottom"/>
          </w:tcPr>
          <w:p>
            <w:pPr>
              <w:jc w:val="right"/>
              <w:ind w:right="77"/>
              <w:spacing w:after="0"/>
              <w:rPr>
                <w:sz w:val="20"/>
                <w:szCs w:val="20"/>
                <w:color w:val="auto"/>
              </w:rPr>
            </w:pPr>
            <w:r>
              <w:rPr>
                <w:rFonts w:ascii="Arial" w:cs="Arial" w:eastAsia="Arial" w:hAnsi="Arial"/>
                <w:sz w:val="9"/>
                <w:szCs w:val="9"/>
                <w:color w:val="666666"/>
              </w:rPr>
              <w:t>1</w:t>
            </w:r>
          </w:p>
        </w:tc>
        <w:tc>
          <w:tcPr>
            <w:tcW w:w="1240" w:type="dxa"/>
            <w:vAlign w:val="bottom"/>
          </w:tcPr>
          <w:p>
            <w:pPr>
              <w:ind w:left="880"/>
              <w:spacing w:after="0"/>
              <w:rPr>
                <w:sz w:val="20"/>
                <w:szCs w:val="20"/>
                <w:color w:val="auto"/>
              </w:rPr>
            </w:pPr>
            <w:r>
              <w:rPr>
                <w:rFonts w:ascii="Arial" w:cs="Arial" w:eastAsia="Arial" w:hAnsi="Arial"/>
                <w:sz w:val="9"/>
                <w:szCs w:val="9"/>
                <w:color w:val="666666"/>
              </w:rPr>
              <w:t>—</w:t>
            </w:r>
          </w:p>
        </w:tc>
        <w:tc>
          <w:tcPr>
            <w:tcW w:w="780" w:type="dxa"/>
            <w:vAlign w:val="bottom"/>
          </w:tcPr>
          <w:p>
            <w:pPr>
              <w:jc w:val="right"/>
              <w:ind w:right="76"/>
              <w:spacing w:after="0"/>
              <w:rPr>
                <w:sz w:val="20"/>
                <w:szCs w:val="20"/>
                <w:color w:val="auto"/>
              </w:rPr>
            </w:pPr>
            <w:r>
              <w:rPr>
                <w:rFonts w:ascii="Arial" w:cs="Arial" w:eastAsia="Arial" w:hAnsi="Arial"/>
                <w:sz w:val="9"/>
                <w:szCs w:val="9"/>
                <w:color w:val="666666"/>
              </w:rPr>
              <w:t>35.95</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666666"/>
              </w:rPr>
              <w:t>5/19/2027</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jc w:val="right"/>
              <w:ind w:right="116"/>
              <w:spacing w:after="0"/>
              <w:rPr>
                <w:sz w:val="20"/>
                <w:szCs w:val="20"/>
                <w:color w:val="auto"/>
              </w:rPr>
            </w:pPr>
            <w:r>
              <w:rPr>
                <w:rFonts w:ascii="Arial" w:cs="Arial" w:eastAsia="Arial" w:hAnsi="Arial"/>
                <w:sz w:val="9"/>
                <w:szCs w:val="9"/>
                <w:color w:val="666666"/>
              </w:rPr>
              <w:t>36,000</w:t>
            </w:r>
          </w:p>
        </w:tc>
        <w:tc>
          <w:tcPr>
            <w:tcW w:w="920" w:type="dxa"/>
            <w:vAlign w:val="bottom"/>
          </w:tcPr>
          <w:p>
            <w:pPr>
              <w:jc w:val="right"/>
              <w:ind w:right="16"/>
              <w:spacing w:after="0"/>
              <w:rPr>
                <w:sz w:val="20"/>
                <w:szCs w:val="20"/>
                <w:color w:val="auto"/>
              </w:rPr>
            </w:pPr>
            <w:r>
              <w:rPr>
                <w:rFonts w:ascii="Arial" w:cs="Arial" w:eastAsia="Arial" w:hAnsi="Arial"/>
                <w:sz w:val="9"/>
                <w:szCs w:val="9"/>
                <w:color w:val="666666"/>
              </w:rPr>
              <w:t>9,000</w:t>
            </w:r>
          </w:p>
        </w:tc>
        <w:tc>
          <w:tcPr>
            <w:tcW w:w="240" w:type="dxa"/>
            <w:vAlign w:val="bottom"/>
          </w:tcPr>
          <w:p>
            <w:pPr>
              <w:jc w:val="right"/>
              <w:ind w:right="77"/>
              <w:spacing w:after="0"/>
              <w:rPr>
                <w:sz w:val="20"/>
                <w:szCs w:val="20"/>
                <w:color w:val="auto"/>
              </w:rPr>
            </w:pPr>
            <w:r>
              <w:rPr>
                <w:rFonts w:ascii="Arial" w:cs="Arial" w:eastAsia="Arial" w:hAnsi="Arial"/>
                <w:sz w:val="9"/>
                <w:szCs w:val="9"/>
                <w:color w:val="666666"/>
              </w:rPr>
              <w:t>1</w:t>
            </w:r>
          </w:p>
        </w:tc>
        <w:tc>
          <w:tcPr>
            <w:tcW w:w="1240" w:type="dxa"/>
            <w:vAlign w:val="bottom"/>
          </w:tcPr>
          <w:p>
            <w:pPr>
              <w:ind w:left="880"/>
              <w:spacing w:after="0"/>
              <w:rPr>
                <w:sz w:val="20"/>
                <w:szCs w:val="20"/>
                <w:color w:val="auto"/>
              </w:rPr>
            </w:pPr>
            <w:r>
              <w:rPr>
                <w:rFonts w:ascii="Arial" w:cs="Arial" w:eastAsia="Arial" w:hAnsi="Arial"/>
                <w:sz w:val="9"/>
                <w:szCs w:val="9"/>
                <w:color w:val="666666"/>
              </w:rPr>
              <w:t>—</w:t>
            </w:r>
          </w:p>
        </w:tc>
        <w:tc>
          <w:tcPr>
            <w:tcW w:w="780" w:type="dxa"/>
            <w:vAlign w:val="bottom"/>
          </w:tcPr>
          <w:p>
            <w:pPr>
              <w:jc w:val="right"/>
              <w:ind w:right="76"/>
              <w:spacing w:after="0"/>
              <w:rPr>
                <w:sz w:val="20"/>
                <w:szCs w:val="20"/>
                <w:color w:val="auto"/>
              </w:rPr>
            </w:pPr>
            <w:r>
              <w:rPr>
                <w:rFonts w:ascii="Arial" w:cs="Arial" w:eastAsia="Arial" w:hAnsi="Arial"/>
                <w:sz w:val="9"/>
                <w:szCs w:val="9"/>
                <w:color w:val="666666"/>
              </w:rPr>
              <w:t>18.35</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666666"/>
              </w:rPr>
              <w:t>5/23/2023</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jc w:val="right"/>
              <w:ind w:right="116"/>
              <w:spacing w:after="0"/>
              <w:rPr>
                <w:sz w:val="20"/>
                <w:szCs w:val="20"/>
                <w:color w:val="auto"/>
              </w:rPr>
            </w:pPr>
            <w:r>
              <w:rPr>
                <w:rFonts w:ascii="Arial" w:cs="Arial" w:eastAsia="Arial" w:hAnsi="Arial"/>
                <w:sz w:val="9"/>
                <w:szCs w:val="9"/>
                <w:color w:val="666666"/>
              </w:rPr>
              <w:t>45,000</w:t>
            </w:r>
          </w:p>
        </w:tc>
        <w:tc>
          <w:tcPr>
            <w:tcW w:w="920" w:type="dxa"/>
            <w:vAlign w:val="bottom"/>
          </w:tcPr>
          <w:p>
            <w:pPr>
              <w:jc w:val="right"/>
              <w:ind w:right="16"/>
              <w:spacing w:after="0"/>
              <w:rPr>
                <w:sz w:val="20"/>
                <w:szCs w:val="20"/>
                <w:color w:val="auto"/>
              </w:rPr>
            </w:pPr>
            <w:r>
              <w:rPr>
                <w:rFonts w:ascii="Arial" w:cs="Arial" w:eastAsia="Arial" w:hAnsi="Arial"/>
                <w:sz w:val="9"/>
                <w:szCs w:val="9"/>
                <w:color w:val="666666"/>
              </w:rPr>
              <w:t>—</w:t>
            </w:r>
          </w:p>
        </w:tc>
        <w:tc>
          <w:tcPr>
            <w:tcW w:w="240" w:type="dxa"/>
            <w:vAlign w:val="bottom"/>
          </w:tcPr>
          <w:p>
            <w:pPr>
              <w:spacing w:after="0"/>
              <w:rPr>
                <w:sz w:val="17"/>
                <w:szCs w:val="17"/>
                <w:color w:val="auto"/>
              </w:rPr>
            </w:pPr>
          </w:p>
        </w:tc>
        <w:tc>
          <w:tcPr>
            <w:tcW w:w="1240" w:type="dxa"/>
            <w:vAlign w:val="bottom"/>
          </w:tcPr>
          <w:p>
            <w:pPr>
              <w:ind w:left="880"/>
              <w:spacing w:after="0"/>
              <w:rPr>
                <w:sz w:val="20"/>
                <w:szCs w:val="20"/>
                <w:color w:val="auto"/>
              </w:rPr>
            </w:pPr>
            <w:r>
              <w:rPr>
                <w:rFonts w:ascii="Arial" w:cs="Arial" w:eastAsia="Arial" w:hAnsi="Arial"/>
                <w:sz w:val="9"/>
                <w:szCs w:val="9"/>
                <w:color w:val="666666"/>
              </w:rPr>
              <w:t>—</w:t>
            </w:r>
          </w:p>
        </w:tc>
        <w:tc>
          <w:tcPr>
            <w:tcW w:w="780" w:type="dxa"/>
            <w:vAlign w:val="bottom"/>
          </w:tcPr>
          <w:p>
            <w:pPr>
              <w:jc w:val="right"/>
              <w:ind w:right="76"/>
              <w:spacing w:after="0"/>
              <w:rPr>
                <w:sz w:val="20"/>
                <w:szCs w:val="20"/>
                <w:color w:val="auto"/>
              </w:rPr>
            </w:pPr>
            <w:r>
              <w:rPr>
                <w:rFonts w:ascii="Arial" w:cs="Arial" w:eastAsia="Arial" w:hAnsi="Arial"/>
                <w:sz w:val="9"/>
                <w:szCs w:val="9"/>
                <w:color w:val="666666"/>
              </w:rPr>
              <w:t>10.67</w:t>
            </w:r>
          </w:p>
        </w:tc>
        <w:tc>
          <w:tcPr>
            <w:tcW w:w="300" w:type="dxa"/>
            <w:vAlign w:val="bottom"/>
          </w:tcPr>
          <w:p>
            <w:pPr>
              <w:jc w:val="right"/>
              <w:ind w:right="77"/>
              <w:spacing w:after="0"/>
              <w:rPr>
                <w:sz w:val="20"/>
                <w:szCs w:val="20"/>
                <w:color w:val="auto"/>
              </w:rPr>
            </w:pPr>
            <w:r>
              <w:rPr>
                <w:rFonts w:ascii="Arial" w:cs="Arial" w:eastAsia="Arial" w:hAnsi="Arial"/>
                <w:sz w:val="9"/>
                <w:szCs w:val="9"/>
                <w:color w:val="666666"/>
              </w:rPr>
              <w:t>4</w:t>
            </w:r>
          </w:p>
        </w:tc>
        <w:tc>
          <w:tcPr>
            <w:tcW w:w="720" w:type="dxa"/>
            <w:vAlign w:val="bottom"/>
          </w:tcPr>
          <w:p>
            <w:pPr>
              <w:jc w:val="right"/>
              <w:spacing w:after="0"/>
              <w:rPr>
                <w:sz w:val="20"/>
                <w:szCs w:val="20"/>
                <w:color w:val="auto"/>
              </w:rPr>
            </w:pPr>
            <w:r>
              <w:rPr>
                <w:rFonts w:ascii="Arial" w:cs="Arial" w:eastAsia="Arial" w:hAnsi="Arial"/>
                <w:sz w:val="9"/>
                <w:szCs w:val="9"/>
                <w:color w:val="666666"/>
              </w:rPr>
              <w:t>4/1/2022</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60" w:type="dxa"/>
            <w:vAlign w:val="bottom"/>
            <w:shd w:val="clear" w:color="auto" w:fill="DDDDDD"/>
          </w:tcPr>
          <w:p>
            <w:pPr>
              <w:ind w:left="20"/>
              <w:spacing w:after="0"/>
              <w:rPr>
                <w:sz w:val="20"/>
                <w:szCs w:val="20"/>
                <w:color w:val="auto"/>
              </w:rPr>
            </w:pPr>
            <w:r>
              <w:rPr>
                <w:rFonts w:ascii="Arial" w:cs="Arial" w:eastAsia="Arial" w:hAnsi="Arial"/>
                <w:sz w:val="9"/>
                <w:szCs w:val="9"/>
                <w:b w:val="1"/>
                <w:bCs w:val="1"/>
                <w:color w:val="666666"/>
              </w:rPr>
              <w:t>Joseph Logue</w:t>
            </w:r>
          </w:p>
        </w:tc>
        <w:tc>
          <w:tcPr>
            <w:tcW w:w="980" w:type="dxa"/>
            <w:vAlign w:val="bottom"/>
            <w:shd w:val="clear" w:color="auto" w:fill="DDDDDD"/>
          </w:tcPr>
          <w:p>
            <w:pPr>
              <w:spacing w:after="0"/>
              <w:rPr>
                <w:sz w:val="11"/>
                <w:szCs w:val="11"/>
                <w:color w:val="auto"/>
              </w:rPr>
            </w:pPr>
          </w:p>
        </w:tc>
        <w:tc>
          <w:tcPr>
            <w:tcW w:w="920" w:type="dxa"/>
            <w:vAlign w:val="bottom"/>
            <w:shd w:val="clear" w:color="auto" w:fill="DDDDDD"/>
          </w:tcPr>
          <w:p>
            <w:pPr>
              <w:spacing w:after="0"/>
              <w:rPr>
                <w:sz w:val="11"/>
                <w:szCs w:val="11"/>
                <w:color w:val="auto"/>
              </w:rPr>
            </w:pPr>
          </w:p>
        </w:tc>
        <w:tc>
          <w:tcPr>
            <w:tcW w:w="240" w:type="dxa"/>
            <w:vAlign w:val="bottom"/>
            <w:shd w:val="clear" w:color="auto" w:fill="DDDDDD"/>
          </w:tcPr>
          <w:p>
            <w:pPr>
              <w:spacing w:after="0"/>
              <w:rPr>
                <w:sz w:val="11"/>
                <w:szCs w:val="11"/>
                <w:color w:val="auto"/>
              </w:rPr>
            </w:pPr>
          </w:p>
        </w:tc>
        <w:tc>
          <w:tcPr>
            <w:tcW w:w="1240" w:type="dxa"/>
            <w:vAlign w:val="bottom"/>
            <w:shd w:val="clear" w:color="auto" w:fill="DDDDDD"/>
          </w:tcPr>
          <w:p>
            <w:pPr>
              <w:spacing w:after="0"/>
              <w:rPr>
                <w:sz w:val="11"/>
                <w:szCs w:val="11"/>
                <w:color w:val="auto"/>
              </w:rPr>
            </w:pPr>
          </w:p>
        </w:tc>
        <w:tc>
          <w:tcPr>
            <w:tcW w:w="780" w:type="dxa"/>
            <w:vAlign w:val="bottom"/>
            <w:shd w:val="clear" w:color="auto" w:fill="DDDDDD"/>
          </w:tcPr>
          <w:p>
            <w:pPr>
              <w:spacing w:after="0"/>
              <w:rPr>
                <w:sz w:val="11"/>
                <w:szCs w:val="11"/>
                <w:color w:val="auto"/>
              </w:rPr>
            </w:pPr>
          </w:p>
        </w:tc>
        <w:tc>
          <w:tcPr>
            <w:tcW w:w="30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1120" w:type="dxa"/>
            <w:vAlign w:val="bottom"/>
            <w:vMerge w:val="restart"/>
            <w:shd w:val="clear" w:color="auto" w:fill="DDDDDD"/>
          </w:tcPr>
          <w:p>
            <w:pPr>
              <w:jc w:val="right"/>
              <w:ind w:right="156"/>
              <w:spacing w:after="0"/>
              <w:rPr>
                <w:sz w:val="20"/>
                <w:szCs w:val="20"/>
                <w:color w:val="auto"/>
              </w:rPr>
            </w:pPr>
            <w:r>
              <w:rPr>
                <w:rFonts w:ascii="Arial" w:cs="Arial" w:eastAsia="Arial" w:hAnsi="Arial"/>
                <w:sz w:val="9"/>
                <w:szCs w:val="9"/>
                <w:color w:val="666666"/>
              </w:rPr>
              <w:t>31,009</w:t>
            </w:r>
          </w:p>
        </w:tc>
        <w:tc>
          <w:tcPr>
            <w:tcW w:w="1160" w:type="dxa"/>
            <w:vAlign w:val="bottom"/>
            <w:vMerge w:val="restart"/>
            <w:shd w:val="clear" w:color="auto" w:fill="DDDDDD"/>
          </w:tcPr>
          <w:p>
            <w:pPr>
              <w:jc w:val="right"/>
              <w:ind w:right="36"/>
              <w:spacing w:after="0"/>
              <w:rPr>
                <w:sz w:val="20"/>
                <w:szCs w:val="20"/>
                <w:color w:val="auto"/>
              </w:rPr>
            </w:pPr>
            <w:r>
              <w:rPr>
                <w:rFonts w:ascii="Arial" w:cs="Arial" w:eastAsia="Arial" w:hAnsi="Arial"/>
                <w:sz w:val="9"/>
                <w:szCs w:val="9"/>
                <w:color w:val="666666"/>
              </w:rPr>
              <w:t>1,200,668</w:t>
            </w:r>
          </w:p>
        </w:tc>
        <w:tc>
          <w:tcPr>
            <w:tcW w:w="1260" w:type="dxa"/>
            <w:vAlign w:val="bottom"/>
            <w:vMerge w:val="restart"/>
            <w:shd w:val="clear" w:color="auto" w:fill="DDDDDD"/>
          </w:tcPr>
          <w:p>
            <w:pPr>
              <w:jc w:val="right"/>
              <w:ind w:right="56"/>
              <w:spacing w:after="0"/>
              <w:rPr>
                <w:sz w:val="20"/>
                <w:szCs w:val="20"/>
                <w:color w:val="auto"/>
              </w:rPr>
            </w:pPr>
            <w:r>
              <w:rPr>
                <w:rFonts w:ascii="Arial" w:cs="Arial" w:eastAsia="Arial" w:hAnsi="Arial"/>
                <w:sz w:val="9"/>
                <w:szCs w:val="9"/>
                <w:color w:val="666666"/>
              </w:rPr>
              <w:t>2,607</w:t>
            </w:r>
          </w:p>
        </w:tc>
        <w:tc>
          <w:tcPr>
            <w:tcW w:w="1360" w:type="dxa"/>
            <w:vAlign w:val="bottom"/>
            <w:vMerge w:val="restart"/>
            <w:shd w:val="clear" w:color="auto" w:fill="DDDDDD"/>
          </w:tcPr>
          <w:p>
            <w:pPr>
              <w:jc w:val="right"/>
              <w:ind w:right="56"/>
              <w:spacing w:after="0"/>
              <w:rPr>
                <w:sz w:val="20"/>
                <w:szCs w:val="20"/>
                <w:color w:val="auto"/>
              </w:rPr>
            </w:pPr>
            <w:r>
              <w:rPr>
                <w:rFonts w:ascii="Arial" w:cs="Arial" w:eastAsia="Arial" w:hAnsi="Arial"/>
                <w:sz w:val="9"/>
                <w:szCs w:val="9"/>
                <w:color w:val="666666"/>
              </w:rPr>
              <w:t>100,943</w:t>
            </w:r>
          </w:p>
        </w:tc>
        <w:tc>
          <w:tcPr>
            <w:tcW w:w="2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60" w:type="dxa"/>
            <w:vAlign w:val="bottom"/>
            <w:shd w:val="clear" w:color="auto" w:fill="DDDDDD"/>
          </w:tcPr>
          <w:p>
            <w:pPr>
              <w:spacing w:after="0"/>
              <w:rPr>
                <w:sz w:val="4"/>
                <w:szCs w:val="4"/>
                <w:color w:val="auto"/>
              </w:rPr>
            </w:pPr>
          </w:p>
        </w:tc>
        <w:tc>
          <w:tcPr>
            <w:tcW w:w="980" w:type="dxa"/>
            <w:vAlign w:val="bottom"/>
            <w:shd w:val="clear" w:color="auto" w:fill="DDDDDD"/>
          </w:tcPr>
          <w:p>
            <w:pPr>
              <w:spacing w:after="0"/>
              <w:rPr>
                <w:sz w:val="4"/>
                <w:szCs w:val="4"/>
                <w:color w:val="auto"/>
              </w:rPr>
            </w:pPr>
          </w:p>
        </w:tc>
        <w:tc>
          <w:tcPr>
            <w:tcW w:w="920" w:type="dxa"/>
            <w:vAlign w:val="bottom"/>
            <w:shd w:val="clear" w:color="auto" w:fill="DDDDDD"/>
          </w:tcPr>
          <w:p>
            <w:pPr>
              <w:spacing w:after="0"/>
              <w:rPr>
                <w:sz w:val="4"/>
                <w:szCs w:val="4"/>
                <w:color w:val="auto"/>
              </w:rPr>
            </w:pPr>
          </w:p>
        </w:tc>
        <w:tc>
          <w:tcPr>
            <w:tcW w:w="240" w:type="dxa"/>
            <w:vAlign w:val="bottom"/>
            <w:shd w:val="clear" w:color="auto" w:fill="DDDDDD"/>
          </w:tcPr>
          <w:p>
            <w:pPr>
              <w:spacing w:after="0"/>
              <w:rPr>
                <w:sz w:val="4"/>
                <w:szCs w:val="4"/>
                <w:color w:val="auto"/>
              </w:rPr>
            </w:pPr>
          </w:p>
        </w:tc>
        <w:tc>
          <w:tcPr>
            <w:tcW w:w="1240" w:type="dxa"/>
            <w:vAlign w:val="bottom"/>
            <w:shd w:val="clear" w:color="auto" w:fill="DDDDDD"/>
          </w:tcPr>
          <w:p>
            <w:pPr>
              <w:spacing w:after="0"/>
              <w:rPr>
                <w:sz w:val="4"/>
                <w:szCs w:val="4"/>
                <w:color w:val="auto"/>
              </w:rPr>
            </w:pPr>
          </w:p>
        </w:tc>
        <w:tc>
          <w:tcPr>
            <w:tcW w:w="780" w:type="dxa"/>
            <w:vAlign w:val="bottom"/>
            <w:shd w:val="clear" w:color="auto" w:fill="DDDDDD"/>
          </w:tcPr>
          <w:p>
            <w:pPr>
              <w:spacing w:after="0"/>
              <w:rPr>
                <w:sz w:val="4"/>
                <w:szCs w:val="4"/>
                <w:color w:val="auto"/>
              </w:rPr>
            </w:pPr>
          </w:p>
        </w:tc>
        <w:tc>
          <w:tcPr>
            <w:tcW w:w="300" w:type="dxa"/>
            <w:vAlign w:val="bottom"/>
            <w:shd w:val="clear" w:color="auto" w:fill="DDDDDD"/>
          </w:tcPr>
          <w:p>
            <w:pPr>
              <w:spacing w:after="0"/>
              <w:rPr>
                <w:sz w:val="4"/>
                <w:szCs w:val="4"/>
                <w:color w:val="auto"/>
              </w:rPr>
            </w:pPr>
          </w:p>
        </w:tc>
        <w:tc>
          <w:tcPr>
            <w:tcW w:w="7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120" w:type="dxa"/>
            <w:vAlign w:val="bottom"/>
            <w:vMerge w:val="continue"/>
            <w:shd w:val="clear" w:color="auto" w:fill="DDDDDD"/>
          </w:tcPr>
          <w:p>
            <w:pPr>
              <w:spacing w:after="0"/>
              <w:rPr>
                <w:sz w:val="4"/>
                <w:szCs w:val="4"/>
                <w:color w:val="auto"/>
              </w:rPr>
            </w:pPr>
          </w:p>
        </w:tc>
        <w:tc>
          <w:tcPr>
            <w:tcW w:w="1160" w:type="dxa"/>
            <w:vAlign w:val="bottom"/>
            <w:vMerge w:val="continue"/>
            <w:shd w:val="clear" w:color="auto" w:fill="DDDDDD"/>
          </w:tcPr>
          <w:p>
            <w:pPr>
              <w:spacing w:after="0"/>
              <w:rPr>
                <w:sz w:val="4"/>
                <w:szCs w:val="4"/>
                <w:color w:val="auto"/>
              </w:rPr>
            </w:pPr>
          </w:p>
        </w:tc>
        <w:tc>
          <w:tcPr>
            <w:tcW w:w="1260" w:type="dxa"/>
            <w:vAlign w:val="bottom"/>
            <w:vMerge w:val="continue"/>
            <w:shd w:val="clear" w:color="auto" w:fill="DDDDDD"/>
          </w:tcPr>
          <w:p>
            <w:pPr>
              <w:spacing w:after="0"/>
              <w:rPr>
                <w:sz w:val="4"/>
                <w:szCs w:val="4"/>
                <w:color w:val="auto"/>
              </w:rPr>
            </w:pPr>
          </w:p>
        </w:tc>
        <w:tc>
          <w:tcPr>
            <w:tcW w:w="1360" w:type="dxa"/>
            <w:vAlign w:val="bottom"/>
            <w:vMerge w:val="continue"/>
            <w:shd w:val="clear" w:color="auto" w:fill="DDDDDD"/>
          </w:tcPr>
          <w:p>
            <w:pPr>
              <w:spacing w:after="0"/>
              <w:rPr>
                <w:sz w:val="4"/>
                <w:szCs w:val="4"/>
                <w:color w:val="auto"/>
              </w:rPr>
            </w:pPr>
          </w:p>
        </w:tc>
        <w:tc>
          <w:tcPr>
            <w:tcW w:w="20" w:type="dxa"/>
            <w:vAlign w:val="bottom"/>
            <w:shd w:val="clear" w:color="auto" w:fill="DDDDDD"/>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980" w:type="dxa"/>
            <w:vAlign w:val="bottom"/>
            <w:shd w:val="clear" w:color="auto" w:fill="DDDDDD"/>
          </w:tcPr>
          <w:p>
            <w:pPr>
              <w:jc w:val="right"/>
              <w:ind w:right="116"/>
              <w:spacing w:after="0"/>
              <w:rPr>
                <w:sz w:val="20"/>
                <w:szCs w:val="20"/>
                <w:color w:val="auto"/>
              </w:rPr>
            </w:pPr>
            <w:r>
              <w:rPr>
                <w:rFonts w:ascii="Arial" w:cs="Arial" w:eastAsia="Arial" w:hAnsi="Arial"/>
                <w:sz w:val="9"/>
                <w:szCs w:val="9"/>
                <w:color w:val="666666"/>
              </w:rPr>
              <w:t>36,000</w:t>
            </w:r>
          </w:p>
        </w:tc>
        <w:tc>
          <w:tcPr>
            <w:tcW w:w="920" w:type="dxa"/>
            <w:vAlign w:val="bottom"/>
            <w:shd w:val="clear" w:color="auto" w:fill="DDDDDD"/>
          </w:tcPr>
          <w:p>
            <w:pPr>
              <w:jc w:val="right"/>
              <w:ind w:right="16"/>
              <w:spacing w:after="0"/>
              <w:rPr>
                <w:sz w:val="20"/>
                <w:szCs w:val="20"/>
                <w:color w:val="auto"/>
              </w:rPr>
            </w:pPr>
            <w:r>
              <w:rPr>
                <w:rFonts w:ascii="Arial" w:cs="Arial" w:eastAsia="Arial" w:hAnsi="Arial"/>
                <w:sz w:val="9"/>
                <w:szCs w:val="9"/>
                <w:color w:val="666666"/>
              </w:rPr>
              <w:t>9,000</w:t>
            </w:r>
          </w:p>
        </w:tc>
        <w:tc>
          <w:tcPr>
            <w:tcW w:w="240" w:type="dxa"/>
            <w:vAlign w:val="bottom"/>
            <w:shd w:val="clear" w:color="auto" w:fill="DDDDDD"/>
          </w:tcPr>
          <w:p>
            <w:pPr>
              <w:jc w:val="right"/>
              <w:ind w:right="77"/>
              <w:spacing w:after="0"/>
              <w:rPr>
                <w:sz w:val="20"/>
                <w:szCs w:val="20"/>
                <w:color w:val="auto"/>
              </w:rPr>
            </w:pPr>
            <w:r>
              <w:rPr>
                <w:rFonts w:ascii="Arial" w:cs="Arial" w:eastAsia="Arial" w:hAnsi="Arial"/>
                <w:sz w:val="9"/>
                <w:szCs w:val="9"/>
                <w:color w:val="666666"/>
              </w:rPr>
              <w:t>1</w:t>
            </w:r>
          </w:p>
        </w:tc>
        <w:tc>
          <w:tcPr>
            <w:tcW w:w="1240" w:type="dxa"/>
            <w:vAlign w:val="bottom"/>
            <w:shd w:val="clear" w:color="auto" w:fill="DDDDDD"/>
          </w:tcPr>
          <w:p>
            <w:pPr>
              <w:ind w:left="880"/>
              <w:spacing w:after="0"/>
              <w:rPr>
                <w:sz w:val="20"/>
                <w:szCs w:val="20"/>
                <w:color w:val="auto"/>
              </w:rPr>
            </w:pPr>
            <w:r>
              <w:rPr>
                <w:rFonts w:ascii="Arial" w:cs="Arial" w:eastAsia="Arial" w:hAnsi="Arial"/>
                <w:sz w:val="9"/>
                <w:szCs w:val="9"/>
                <w:color w:val="666666"/>
              </w:rPr>
              <w:t>—</w:t>
            </w:r>
          </w:p>
        </w:tc>
        <w:tc>
          <w:tcPr>
            <w:tcW w:w="780" w:type="dxa"/>
            <w:vAlign w:val="bottom"/>
            <w:shd w:val="clear" w:color="auto" w:fill="DDDDDD"/>
          </w:tcPr>
          <w:p>
            <w:pPr>
              <w:jc w:val="right"/>
              <w:ind w:right="76"/>
              <w:spacing w:after="0"/>
              <w:rPr>
                <w:sz w:val="20"/>
                <w:szCs w:val="20"/>
                <w:color w:val="auto"/>
              </w:rPr>
            </w:pPr>
            <w:r>
              <w:rPr>
                <w:rFonts w:ascii="Arial" w:cs="Arial" w:eastAsia="Arial" w:hAnsi="Arial"/>
                <w:sz w:val="9"/>
                <w:szCs w:val="9"/>
                <w:color w:val="666666"/>
              </w:rPr>
              <w:t>18.35</w:t>
            </w:r>
          </w:p>
        </w:tc>
        <w:tc>
          <w:tcPr>
            <w:tcW w:w="300" w:type="dxa"/>
            <w:vAlign w:val="bottom"/>
            <w:shd w:val="clear" w:color="auto" w:fill="DDDDDD"/>
          </w:tcPr>
          <w:p>
            <w:pPr>
              <w:spacing w:after="0"/>
              <w:rPr>
                <w:sz w:val="16"/>
                <w:szCs w:val="16"/>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9"/>
                <w:szCs w:val="9"/>
                <w:color w:val="666666"/>
              </w:rPr>
              <w:t>5/23/2023</w:t>
            </w:r>
          </w:p>
        </w:tc>
        <w:tc>
          <w:tcPr>
            <w:tcW w:w="120" w:type="dxa"/>
            <w:vAlign w:val="bottom"/>
            <w:shd w:val="clear" w:color="auto" w:fill="DDDDDD"/>
          </w:tcPr>
          <w:p>
            <w:pPr>
              <w:spacing w:after="0"/>
              <w:rPr>
                <w:sz w:val="16"/>
                <w:szCs w:val="16"/>
                <w:color w:val="auto"/>
              </w:rPr>
            </w:pPr>
          </w:p>
        </w:tc>
        <w:tc>
          <w:tcPr>
            <w:tcW w:w="1120" w:type="dxa"/>
            <w:vAlign w:val="bottom"/>
            <w:shd w:val="clear" w:color="auto" w:fill="DDDDDD"/>
          </w:tcPr>
          <w:p>
            <w:pPr>
              <w:spacing w:after="0"/>
              <w:rPr>
                <w:sz w:val="16"/>
                <w:szCs w:val="16"/>
                <w:color w:val="auto"/>
              </w:rPr>
            </w:pPr>
          </w:p>
        </w:tc>
        <w:tc>
          <w:tcPr>
            <w:tcW w:w="116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13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shd w:val="clear" w:color="auto" w:fill="DDDDDD"/>
          </w:tcPr>
          <w:p>
            <w:pPr>
              <w:spacing w:after="0"/>
              <w:rPr>
                <w:sz w:val="17"/>
                <w:szCs w:val="17"/>
                <w:color w:val="auto"/>
              </w:rPr>
            </w:pPr>
          </w:p>
        </w:tc>
        <w:tc>
          <w:tcPr>
            <w:tcW w:w="980" w:type="dxa"/>
            <w:vAlign w:val="bottom"/>
            <w:shd w:val="clear" w:color="auto" w:fill="DDDDDD"/>
          </w:tcPr>
          <w:p>
            <w:pPr>
              <w:jc w:val="right"/>
              <w:ind w:right="116"/>
              <w:spacing w:after="0"/>
              <w:rPr>
                <w:sz w:val="20"/>
                <w:szCs w:val="20"/>
                <w:color w:val="auto"/>
              </w:rPr>
            </w:pPr>
            <w:r>
              <w:rPr>
                <w:rFonts w:ascii="Arial" w:cs="Arial" w:eastAsia="Arial" w:hAnsi="Arial"/>
                <w:sz w:val="9"/>
                <w:szCs w:val="9"/>
                <w:color w:val="666666"/>
              </w:rPr>
              <w:t>36,000</w:t>
            </w:r>
          </w:p>
        </w:tc>
        <w:tc>
          <w:tcPr>
            <w:tcW w:w="920" w:type="dxa"/>
            <w:vAlign w:val="bottom"/>
            <w:shd w:val="clear" w:color="auto" w:fill="DDDDDD"/>
          </w:tcPr>
          <w:p>
            <w:pPr>
              <w:jc w:val="right"/>
              <w:ind w:right="16"/>
              <w:spacing w:after="0"/>
              <w:rPr>
                <w:sz w:val="20"/>
                <w:szCs w:val="20"/>
                <w:color w:val="auto"/>
              </w:rPr>
            </w:pPr>
            <w:r>
              <w:rPr>
                <w:rFonts w:ascii="Arial" w:cs="Arial" w:eastAsia="Arial" w:hAnsi="Arial"/>
                <w:sz w:val="9"/>
                <w:szCs w:val="9"/>
                <w:color w:val="666666"/>
              </w:rPr>
              <w:t>—</w:t>
            </w:r>
          </w:p>
        </w:tc>
        <w:tc>
          <w:tcPr>
            <w:tcW w:w="240" w:type="dxa"/>
            <w:vAlign w:val="bottom"/>
            <w:shd w:val="clear" w:color="auto" w:fill="DDDDDD"/>
          </w:tcPr>
          <w:p>
            <w:pPr>
              <w:spacing w:after="0"/>
              <w:rPr>
                <w:sz w:val="17"/>
                <w:szCs w:val="17"/>
                <w:color w:val="auto"/>
              </w:rPr>
            </w:pPr>
          </w:p>
        </w:tc>
        <w:tc>
          <w:tcPr>
            <w:tcW w:w="1240" w:type="dxa"/>
            <w:vAlign w:val="bottom"/>
            <w:shd w:val="clear" w:color="auto" w:fill="DDDDDD"/>
          </w:tcPr>
          <w:p>
            <w:pPr>
              <w:ind w:left="880"/>
              <w:spacing w:after="0"/>
              <w:rPr>
                <w:sz w:val="20"/>
                <w:szCs w:val="20"/>
                <w:color w:val="auto"/>
              </w:rPr>
            </w:pPr>
            <w:r>
              <w:rPr>
                <w:rFonts w:ascii="Arial" w:cs="Arial" w:eastAsia="Arial" w:hAnsi="Arial"/>
                <w:sz w:val="9"/>
                <w:szCs w:val="9"/>
                <w:color w:val="666666"/>
              </w:rPr>
              <w:t>—</w:t>
            </w:r>
          </w:p>
        </w:tc>
        <w:tc>
          <w:tcPr>
            <w:tcW w:w="780" w:type="dxa"/>
            <w:vAlign w:val="bottom"/>
            <w:shd w:val="clear" w:color="auto" w:fill="DDDDDD"/>
          </w:tcPr>
          <w:p>
            <w:pPr>
              <w:jc w:val="right"/>
              <w:ind w:right="76"/>
              <w:spacing w:after="0"/>
              <w:rPr>
                <w:sz w:val="20"/>
                <w:szCs w:val="20"/>
                <w:color w:val="auto"/>
              </w:rPr>
            </w:pPr>
            <w:r>
              <w:rPr>
                <w:rFonts w:ascii="Arial" w:cs="Arial" w:eastAsia="Arial" w:hAnsi="Arial"/>
                <w:sz w:val="9"/>
                <w:szCs w:val="9"/>
                <w:color w:val="666666"/>
              </w:rPr>
              <w:t>6.45</w:t>
            </w:r>
          </w:p>
        </w:tc>
        <w:tc>
          <w:tcPr>
            <w:tcW w:w="300" w:type="dxa"/>
            <w:vAlign w:val="bottom"/>
            <w:shd w:val="clear" w:color="auto" w:fill="DDDDDD"/>
          </w:tcPr>
          <w:p>
            <w:pPr>
              <w:jc w:val="right"/>
              <w:ind w:right="77"/>
              <w:spacing w:after="0"/>
              <w:rPr>
                <w:sz w:val="20"/>
                <w:szCs w:val="20"/>
                <w:color w:val="auto"/>
              </w:rPr>
            </w:pPr>
            <w:r>
              <w:rPr>
                <w:rFonts w:ascii="Arial" w:cs="Arial" w:eastAsia="Arial" w:hAnsi="Arial"/>
                <w:sz w:val="9"/>
                <w:szCs w:val="9"/>
                <w:color w:val="666666"/>
              </w:rPr>
              <w:t>4</w:t>
            </w:r>
          </w:p>
        </w:tc>
        <w:tc>
          <w:tcPr>
            <w:tcW w:w="720" w:type="dxa"/>
            <w:vAlign w:val="bottom"/>
            <w:shd w:val="clear" w:color="auto" w:fill="DDDDDD"/>
          </w:tcPr>
          <w:p>
            <w:pPr>
              <w:jc w:val="right"/>
              <w:spacing w:after="0"/>
              <w:rPr>
                <w:sz w:val="20"/>
                <w:szCs w:val="20"/>
                <w:color w:val="auto"/>
              </w:rPr>
            </w:pPr>
            <w:r>
              <w:rPr>
                <w:rFonts w:ascii="Arial" w:cs="Arial" w:eastAsia="Arial" w:hAnsi="Arial"/>
                <w:sz w:val="9"/>
                <w:szCs w:val="9"/>
                <w:color w:val="666666"/>
              </w:rPr>
              <w:t>4/29/2020</w:t>
            </w:r>
          </w:p>
        </w:tc>
        <w:tc>
          <w:tcPr>
            <w:tcW w:w="120" w:type="dxa"/>
            <w:vAlign w:val="bottom"/>
            <w:shd w:val="clear" w:color="auto" w:fill="DDDDDD"/>
          </w:tcPr>
          <w:p>
            <w:pPr>
              <w:spacing w:after="0"/>
              <w:rPr>
                <w:sz w:val="17"/>
                <w:szCs w:val="17"/>
                <w:color w:val="auto"/>
              </w:rPr>
            </w:pPr>
          </w:p>
        </w:tc>
        <w:tc>
          <w:tcPr>
            <w:tcW w:w="1120" w:type="dxa"/>
            <w:vAlign w:val="bottom"/>
            <w:shd w:val="clear" w:color="auto" w:fill="DDDDDD"/>
          </w:tcPr>
          <w:p>
            <w:pPr>
              <w:spacing w:after="0"/>
              <w:rPr>
                <w:sz w:val="17"/>
                <w:szCs w:val="17"/>
                <w:color w:val="auto"/>
              </w:rPr>
            </w:pPr>
          </w:p>
        </w:tc>
        <w:tc>
          <w:tcPr>
            <w:tcW w:w="1160" w:type="dxa"/>
            <w:vAlign w:val="bottom"/>
            <w:shd w:val="clear" w:color="auto" w:fill="DDDDDD"/>
          </w:tcPr>
          <w:p>
            <w:pPr>
              <w:spacing w:after="0"/>
              <w:rPr>
                <w:sz w:val="17"/>
                <w:szCs w:val="17"/>
                <w:color w:val="auto"/>
              </w:rPr>
            </w:pPr>
          </w:p>
        </w:tc>
        <w:tc>
          <w:tcPr>
            <w:tcW w:w="1260" w:type="dxa"/>
            <w:vAlign w:val="bottom"/>
            <w:shd w:val="clear" w:color="auto" w:fill="DDDDDD"/>
          </w:tcPr>
          <w:p>
            <w:pPr>
              <w:spacing w:after="0"/>
              <w:rPr>
                <w:sz w:val="17"/>
                <w:szCs w:val="17"/>
                <w:color w:val="auto"/>
              </w:rPr>
            </w:pPr>
          </w:p>
        </w:tc>
        <w:tc>
          <w:tcPr>
            <w:tcW w:w="13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60" w:type="dxa"/>
            <w:vAlign w:val="bottom"/>
          </w:tcPr>
          <w:p>
            <w:pPr>
              <w:ind w:left="20"/>
              <w:spacing w:after="0"/>
              <w:rPr>
                <w:sz w:val="20"/>
                <w:szCs w:val="20"/>
                <w:color w:val="auto"/>
              </w:rPr>
            </w:pPr>
            <w:r>
              <w:rPr>
                <w:rFonts w:ascii="Arial" w:cs="Arial" w:eastAsia="Arial" w:hAnsi="Arial"/>
                <w:sz w:val="9"/>
                <w:szCs w:val="9"/>
                <w:b w:val="1"/>
                <w:bCs w:val="1"/>
                <w:color w:val="666666"/>
              </w:rPr>
              <w:t>Susan L. Penfield</w:t>
            </w: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ind w:right="156"/>
              <w:spacing w:after="0"/>
              <w:rPr>
                <w:sz w:val="20"/>
                <w:szCs w:val="20"/>
                <w:color w:val="auto"/>
              </w:rPr>
            </w:pPr>
            <w:r>
              <w:rPr>
                <w:rFonts w:ascii="Arial" w:cs="Arial" w:eastAsia="Arial" w:hAnsi="Arial"/>
                <w:sz w:val="9"/>
                <w:szCs w:val="9"/>
                <w:color w:val="666666"/>
              </w:rPr>
              <w:t>21,655</w:t>
            </w:r>
          </w:p>
        </w:tc>
        <w:tc>
          <w:tcPr>
            <w:tcW w:w="1160" w:type="dxa"/>
            <w:vAlign w:val="bottom"/>
            <w:vMerge w:val="restart"/>
          </w:tcPr>
          <w:p>
            <w:pPr>
              <w:jc w:val="right"/>
              <w:ind w:right="36"/>
              <w:spacing w:after="0"/>
              <w:rPr>
                <w:sz w:val="20"/>
                <w:szCs w:val="20"/>
                <w:color w:val="auto"/>
              </w:rPr>
            </w:pPr>
            <w:r>
              <w:rPr>
                <w:rFonts w:ascii="Arial" w:cs="Arial" w:eastAsia="Arial" w:hAnsi="Arial"/>
                <w:sz w:val="9"/>
                <w:szCs w:val="9"/>
                <w:color w:val="666666"/>
              </w:rPr>
              <w:t>838,482</w:t>
            </w:r>
          </w:p>
        </w:tc>
        <w:tc>
          <w:tcPr>
            <w:tcW w:w="1260" w:type="dxa"/>
            <w:vAlign w:val="bottom"/>
            <w:vMerge w:val="restart"/>
          </w:tcPr>
          <w:p>
            <w:pPr>
              <w:jc w:val="right"/>
              <w:ind w:right="56"/>
              <w:spacing w:after="0"/>
              <w:rPr>
                <w:sz w:val="20"/>
                <w:szCs w:val="20"/>
                <w:color w:val="auto"/>
              </w:rPr>
            </w:pPr>
            <w:r>
              <w:rPr>
                <w:rFonts w:ascii="Arial" w:cs="Arial" w:eastAsia="Arial" w:hAnsi="Arial"/>
                <w:sz w:val="9"/>
                <w:szCs w:val="9"/>
                <w:color w:val="666666"/>
              </w:rPr>
              <w:t>2,694</w:t>
            </w:r>
          </w:p>
        </w:tc>
        <w:tc>
          <w:tcPr>
            <w:tcW w:w="1360" w:type="dxa"/>
            <w:vAlign w:val="bottom"/>
            <w:vMerge w:val="restart"/>
          </w:tcPr>
          <w:p>
            <w:pPr>
              <w:jc w:val="right"/>
              <w:ind w:right="56"/>
              <w:spacing w:after="0"/>
              <w:rPr>
                <w:sz w:val="20"/>
                <w:szCs w:val="20"/>
                <w:color w:val="auto"/>
              </w:rPr>
            </w:pPr>
            <w:r>
              <w:rPr>
                <w:rFonts w:ascii="Arial" w:cs="Arial" w:eastAsia="Arial" w:hAnsi="Arial"/>
                <w:sz w:val="9"/>
                <w:szCs w:val="9"/>
                <w:color w:val="666666"/>
              </w:rPr>
              <w:t>104,312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jc w:val="right"/>
              <w:ind w:right="116"/>
              <w:spacing w:after="0"/>
              <w:rPr>
                <w:sz w:val="20"/>
                <w:szCs w:val="20"/>
                <w:color w:val="auto"/>
              </w:rPr>
            </w:pPr>
            <w:r>
              <w:rPr>
                <w:rFonts w:ascii="Arial" w:cs="Arial" w:eastAsia="Arial" w:hAnsi="Arial"/>
                <w:sz w:val="9"/>
                <w:szCs w:val="9"/>
                <w:color w:val="666666"/>
              </w:rPr>
              <w:t>10,552</w:t>
            </w:r>
          </w:p>
        </w:tc>
        <w:tc>
          <w:tcPr>
            <w:tcW w:w="920" w:type="dxa"/>
            <w:vAlign w:val="bottom"/>
          </w:tcPr>
          <w:p>
            <w:pPr>
              <w:jc w:val="right"/>
              <w:ind w:right="16"/>
              <w:spacing w:after="0"/>
              <w:rPr>
                <w:sz w:val="20"/>
                <w:szCs w:val="20"/>
                <w:color w:val="auto"/>
              </w:rPr>
            </w:pPr>
            <w:r>
              <w:rPr>
                <w:rFonts w:ascii="Arial" w:cs="Arial" w:eastAsia="Arial" w:hAnsi="Arial"/>
                <w:sz w:val="9"/>
                <w:szCs w:val="9"/>
                <w:color w:val="666666"/>
              </w:rPr>
              <w:t>42,209</w:t>
            </w:r>
          </w:p>
        </w:tc>
        <w:tc>
          <w:tcPr>
            <w:tcW w:w="240" w:type="dxa"/>
            <w:vAlign w:val="bottom"/>
          </w:tcPr>
          <w:p>
            <w:pPr>
              <w:jc w:val="right"/>
              <w:ind w:right="77"/>
              <w:spacing w:after="0"/>
              <w:rPr>
                <w:sz w:val="20"/>
                <w:szCs w:val="20"/>
                <w:color w:val="auto"/>
              </w:rPr>
            </w:pPr>
            <w:r>
              <w:rPr>
                <w:rFonts w:ascii="Arial" w:cs="Arial" w:eastAsia="Arial" w:hAnsi="Arial"/>
                <w:sz w:val="9"/>
                <w:szCs w:val="9"/>
                <w:color w:val="666666"/>
              </w:rPr>
              <w:t>1</w:t>
            </w:r>
          </w:p>
        </w:tc>
        <w:tc>
          <w:tcPr>
            <w:tcW w:w="1240" w:type="dxa"/>
            <w:vAlign w:val="bottom"/>
          </w:tcPr>
          <w:p>
            <w:pPr>
              <w:ind w:left="880"/>
              <w:spacing w:after="0"/>
              <w:rPr>
                <w:sz w:val="20"/>
                <w:szCs w:val="20"/>
                <w:color w:val="auto"/>
              </w:rPr>
            </w:pPr>
            <w:r>
              <w:rPr>
                <w:rFonts w:ascii="Arial" w:cs="Arial" w:eastAsia="Arial" w:hAnsi="Arial"/>
                <w:sz w:val="9"/>
                <w:szCs w:val="9"/>
                <w:color w:val="666666"/>
              </w:rPr>
              <w:t>—</w:t>
            </w:r>
          </w:p>
        </w:tc>
        <w:tc>
          <w:tcPr>
            <w:tcW w:w="780" w:type="dxa"/>
            <w:vAlign w:val="bottom"/>
          </w:tcPr>
          <w:p>
            <w:pPr>
              <w:jc w:val="right"/>
              <w:ind w:right="76"/>
              <w:spacing w:after="0"/>
              <w:rPr>
                <w:sz w:val="20"/>
                <w:szCs w:val="20"/>
                <w:color w:val="auto"/>
              </w:rPr>
            </w:pPr>
            <w:r>
              <w:rPr>
                <w:rFonts w:ascii="Arial" w:cs="Arial" w:eastAsia="Arial" w:hAnsi="Arial"/>
                <w:sz w:val="9"/>
                <w:szCs w:val="9"/>
                <w:color w:val="666666"/>
              </w:rPr>
              <w:t>35.95</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666666"/>
              </w:rPr>
              <w:t>5/19/2027</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jc w:val="right"/>
              <w:ind w:right="116"/>
              <w:spacing w:after="0"/>
              <w:rPr>
                <w:sz w:val="20"/>
                <w:szCs w:val="20"/>
                <w:color w:val="auto"/>
              </w:rPr>
            </w:pPr>
            <w:r>
              <w:rPr>
                <w:rFonts w:ascii="Arial" w:cs="Arial" w:eastAsia="Arial" w:hAnsi="Arial"/>
                <w:sz w:val="9"/>
                <w:szCs w:val="9"/>
                <w:color w:val="666666"/>
              </w:rPr>
              <w:t>11,619</w:t>
            </w:r>
          </w:p>
        </w:tc>
        <w:tc>
          <w:tcPr>
            <w:tcW w:w="920" w:type="dxa"/>
            <w:vAlign w:val="bottom"/>
          </w:tcPr>
          <w:p>
            <w:pPr>
              <w:jc w:val="right"/>
              <w:ind w:right="16"/>
              <w:spacing w:after="0"/>
              <w:rPr>
                <w:sz w:val="20"/>
                <w:szCs w:val="20"/>
                <w:color w:val="auto"/>
              </w:rPr>
            </w:pPr>
            <w:r>
              <w:rPr>
                <w:rFonts w:ascii="Arial" w:cs="Arial" w:eastAsia="Arial" w:hAnsi="Arial"/>
                <w:sz w:val="9"/>
                <w:szCs w:val="9"/>
                <w:color w:val="666666"/>
              </w:rPr>
              <w:t>7,746</w:t>
            </w:r>
          </w:p>
        </w:tc>
        <w:tc>
          <w:tcPr>
            <w:tcW w:w="240" w:type="dxa"/>
            <w:vAlign w:val="bottom"/>
          </w:tcPr>
          <w:p>
            <w:pPr>
              <w:jc w:val="right"/>
              <w:ind w:right="77"/>
              <w:spacing w:after="0"/>
              <w:rPr>
                <w:sz w:val="20"/>
                <w:szCs w:val="20"/>
                <w:color w:val="auto"/>
              </w:rPr>
            </w:pPr>
            <w:r>
              <w:rPr>
                <w:rFonts w:ascii="Arial" w:cs="Arial" w:eastAsia="Arial" w:hAnsi="Arial"/>
                <w:sz w:val="9"/>
                <w:szCs w:val="9"/>
                <w:color w:val="666666"/>
              </w:rPr>
              <w:t>1</w:t>
            </w:r>
          </w:p>
        </w:tc>
        <w:tc>
          <w:tcPr>
            <w:tcW w:w="1240" w:type="dxa"/>
            <w:vAlign w:val="bottom"/>
          </w:tcPr>
          <w:p>
            <w:pPr>
              <w:ind w:left="880"/>
              <w:spacing w:after="0"/>
              <w:rPr>
                <w:sz w:val="20"/>
                <w:szCs w:val="20"/>
                <w:color w:val="auto"/>
              </w:rPr>
            </w:pPr>
            <w:r>
              <w:rPr>
                <w:rFonts w:ascii="Arial" w:cs="Arial" w:eastAsia="Arial" w:hAnsi="Arial"/>
                <w:sz w:val="9"/>
                <w:szCs w:val="9"/>
                <w:color w:val="666666"/>
              </w:rPr>
              <w:t>—</w:t>
            </w:r>
          </w:p>
        </w:tc>
        <w:tc>
          <w:tcPr>
            <w:tcW w:w="780" w:type="dxa"/>
            <w:vAlign w:val="bottom"/>
          </w:tcPr>
          <w:p>
            <w:pPr>
              <w:jc w:val="right"/>
              <w:ind w:right="76"/>
              <w:spacing w:after="0"/>
              <w:rPr>
                <w:sz w:val="20"/>
                <w:szCs w:val="20"/>
                <w:color w:val="auto"/>
              </w:rPr>
            </w:pPr>
            <w:r>
              <w:rPr>
                <w:rFonts w:ascii="Arial" w:cs="Arial" w:eastAsia="Arial" w:hAnsi="Arial"/>
                <w:sz w:val="9"/>
                <w:szCs w:val="9"/>
                <w:color w:val="666666"/>
              </w:rPr>
              <w:t>29.08</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666666"/>
              </w:rPr>
              <w:t>4/1/2025</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jc w:val="right"/>
              <w:ind w:right="116"/>
              <w:spacing w:after="0"/>
              <w:rPr>
                <w:sz w:val="20"/>
                <w:szCs w:val="20"/>
                <w:color w:val="auto"/>
              </w:rPr>
            </w:pPr>
            <w:r>
              <w:rPr>
                <w:rFonts w:ascii="Arial" w:cs="Arial" w:eastAsia="Arial" w:hAnsi="Arial"/>
                <w:sz w:val="9"/>
                <w:szCs w:val="9"/>
                <w:color w:val="666666"/>
              </w:rPr>
              <w:t>45,000</w:t>
            </w:r>
          </w:p>
        </w:tc>
        <w:tc>
          <w:tcPr>
            <w:tcW w:w="920" w:type="dxa"/>
            <w:vAlign w:val="bottom"/>
          </w:tcPr>
          <w:p>
            <w:pPr>
              <w:jc w:val="right"/>
              <w:ind w:right="16"/>
              <w:spacing w:after="0"/>
              <w:rPr>
                <w:sz w:val="20"/>
                <w:szCs w:val="20"/>
                <w:color w:val="auto"/>
              </w:rPr>
            </w:pPr>
            <w:r>
              <w:rPr>
                <w:rFonts w:ascii="Arial" w:cs="Arial" w:eastAsia="Arial" w:hAnsi="Arial"/>
                <w:sz w:val="9"/>
                <w:szCs w:val="9"/>
                <w:color w:val="666666"/>
              </w:rPr>
              <w:t>—</w:t>
            </w:r>
          </w:p>
        </w:tc>
        <w:tc>
          <w:tcPr>
            <w:tcW w:w="240" w:type="dxa"/>
            <w:vAlign w:val="bottom"/>
          </w:tcPr>
          <w:p>
            <w:pPr>
              <w:spacing w:after="0"/>
              <w:rPr>
                <w:sz w:val="16"/>
                <w:szCs w:val="16"/>
                <w:color w:val="auto"/>
              </w:rPr>
            </w:pPr>
          </w:p>
        </w:tc>
        <w:tc>
          <w:tcPr>
            <w:tcW w:w="1240" w:type="dxa"/>
            <w:vAlign w:val="bottom"/>
          </w:tcPr>
          <w:p>
            <w:pPr>
              <w:ind w:left="880"/>
              <w:spacing w:after="0"/>
              <w:rPr>
                <w:sz w:val="20"/>
                <w:szCs w:val="20"/>
                <w:color w:val="auto"/>
              </w:rPr>
            </w:pPr>
            <w:r>
              <w:rPr>
                <w:rFonts w:ascii="Arial" w:cs="Arial" w:eastAsia="Arial" w:hAnsi="Arial"/>
                <w:sz w:val="9"/>
                <w:szCs w:val="9"/>
                <w:color w:val="666666"/>
              </w:rPr>
              <w:t>—</w:t>
            </w:r>
          </w:p>
        </w:tc>
        <w:tc>
          <w:tcPr>
            <w:tcW w:w="780" w:type="dxa"/>
            <w:vAlign w:val="bottom"/>
          </w:tcPr>
          <w:p>
            <w:pPr>
              <w:jc w:val="right"/>
              <w:ind w:right="76"/>
              <w:spacing w:after="0"/>
              <w:rPr>
                <w:sz w:val="20"/>
                <w:szCs w:val="20"/>
                <w:color w:val="auto"/>
              </w:rPr>
            </w:pPr>
            <w:r>
              <w:rPr>
                <w:rFonts w:ascii="Arial" w:cs="Arial" w:eastAsia="Arial" w:hAnsi="Arial"/>
                <w:sz w:val="9"/>
                <w:szCs w:val="9"/>
                <w:color w:val="666666"/>
              </w:rPr>
              <w:t>10.67</w:t>
            </w:r>
          </w:p>
        </w:tc>
        <w:tc>
          <w:tcPr>
            <w:tcW w:w="300" w:type="dxa"/>
            <w:vAlign w:val="bottom"/>
          </w:tcPr>
          <w:p>
            <w:pPr>
              <w:jc w:val="right"/>
              <w:ind w:right="77"/>
              <w:spacing w:after="0"/>
              <w:rPr>
                <w:sz w:val="20"/>
                <w:szCs w:val="20"/>
                <w:color w:val="auto"/>
              </w:rPr>
            </w:pPr>
            <w:r>
              <w:rPr>
                <w:rFonts w:ascii="Arial" w:cs="Arial" w:eastAsia="Arial" w:hAnsi="Arial"/>
                <w:sz w:val="9"/>
                <w:szCs w:val="9"/>
                <w:color w:val="666666"/>
              </w:rPr>
              <w:t>4</w:t>
            </w:r>
          </w:p>
        </w:tc>
        <w:tc>
          <w:tcPr>
            <w:tcW w:w="720" w:type="dxa"/>
            <w:vAlign w:val="bottom"/>
          </w:tcPr>
          <w:p>
            <w:pPr>
              <w:jc w:val="right"/>
              <w:spacing w:after="0"/>
              <w:rPr>
                <w:sz w:val="20"/>
                <w:szCs w:val="20"/>
                <w:color w:val="auto"/>
              </w:rPr>
            </w:pPr>
            <w:r>
              <w:rPr>
                <w:rFonts w:ascii="Arial" w:cs="Arial" w:eastAsia="Arial" w:hAnsi="Arial"/>
                <w:sz w:val="9"/>
                <w:szCs w:val="9"/>
                <w:color w:val="666666"/>
              </w:rPr>
              <w:t>4/1/2022</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jc w:val="right"/>
              <w:ind w:right="116"/>
              <w:spacing w:after="0"/>
              <w:rPr>
                <w:sz w:val="20"/>
                <w:szCs w:val="20"/>
                <w:color w:val="auto"/>
              </w:rPr>
            </w:pPr>
            <w:r>
              <w:rPr>
                <w:rFonts w:ascii="Arial" w:cs="Arial" w:eastAsia="Arial" w:hAnsi="Arial"/>
                <w:sz w:val="9"/>
                <w:szCs w:val="9"/>
                <w:color w:val="666666"/>
              </w:rPr>
              <w:t>28,040</w:t>
            </w:r>
          </w:p>
        </w:tc>
        <w:tc>
          <w:tcPr>
            <w:tcW w:w="920" w:type="dxa"/>
            <w:vAlign w:val="bottom"/>
          </w:tcPr>
          <w:p>
            <w:pPr>
              <w:jc w:val="right"/>
              <w:ind w:right="16"/>
              <w:spacing w:after="0"/>
              <w:rPr>
                <w:sz w:val="20"/>
                <w:szCs w:val="20"/>
                <w:color w:val="auto"/>
              </w:rPr>
            </w:pPr>
            <w:r>
              <w:rPr>
                <w:rFonts w:ascii="Arial" w:cs="Arial" w:eastAsia="Arial" w:hAnsi="Arial"/>
                <w:sz w:val="9"/>
                <w:szCs w:val="9"/>
                <w:color w:val="666666"/>
              </w:rPr>
              <w:t>—</w:t>
            </w:r>
          </w:p>
        </w:tc>
        <w:tc>
          <w:tcPr>
            <w:tcW w:w="240" w:type="dxa"/>
            <w:vAlign w:val="bottom"/>
          </w:tcPr>
          <w:p>
            <w:pPr>
              <w:spacing w:after="0"/>
              <w:rPr>
                <w:sz w:val="16"/>
                <w:szCs w:val="16"/>
                <w:color w:val="auto"/>
              </w:rPr>
            </w:pPr>
          </w:p>
        </w:tc>
        <w:tc>
          <w:tcPr>
            <w:tcW w:w="1240" w:type="dxa"/>
            <w:vAlign w:val="bottom"/>
          </w:tcPr>
          <w:p>
            <w:pPr>
              <w:ind w:left="880"/>
              <w:spacing w:after="0"/>
              <w:rPr>
                <w:sz w:val="20"/>
                <w:szCs w:val="20"/>
                <w:color w:val="auto"/>
              </w:rPr>
            </w:pPr>
            <w:r>
              <w:rPr>
                <w:rFonts w:ascii="Arial" w:cs="Arial" w:eastAsia="Arial" w:hAnsi="Arial"/>
                <w:sz w:val="9"/>
                <w:szCs w:val="9"/>
                <w:color w:val="666666"/>
              </w:rPr>
              <w:t>—</w:t>
            </w:r>
          </w:p>
        </w:tc>
        <w:tc>
          <w:tcPr>
            <w:tcW w:w="780" w:type="dxa"/>
            <w:vAlign w:val="bottom"/>
          </w:tcPr>
          <w:p>
            <w:pPr>
              <w:jc w:val="right"/>
              <w:ind w:right="76"/>
              <w:spacing w:after="0"/>
              <w:rPr>
                <w:sz w:val="20"/>
                <w:szCs w:val="20"/>
                <w:color w:val="auto"/>
              </w:rPr>
            </w:pPr>
            <w:r>
              <w:rPr>
                <w:rFonts w:ascii="Arial" w:cs="Arial" w:eastAsia="Arial" w:hAnsi="Arial"/>
                <w:sz w:val="9"/>
                <w:szCs w:val="9"/>
                <w:color w:val="666666"/>
              </w:rPr>
              <w:t>4.28</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666666"/>
              </w:rPr>
              <w:t>11/19/2018</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00" w:right="20" w:hanging="230"/>
        <w:spacing w:after="0" w:line="285" w:lineRule="auto"/>
        <w:tabs>
          <w:tab w:leader="none" w:pos="400" w:val="left"/>
        </w:tabs>
        <w:numPr>
          <w:ilvl w:val="0"/>
          <w:numId w:val="40"/>
        </w:numPr>
        <w:rPr>
          <w:rFonts w:ascii="Arial" w:cs="Arial" w:eastAsia="Arial" w:hAnsi="Arial"/>
          <w:sz w:val="10"/>
          <w:szCs w:val="10"/>
          <w:color w:val="666666"/>
        </w:rPr>
      </w:pPr>
      <w:r>
        <w:rPr>
          <w:rFonts w:ascii="Arial" w:cs="Arial" w:eastAsia="Arial" w:hAnsi="Arial"/>
          <w:sz w:val="10"/>
          <w:szCs w:val="10"/>
          <w:color w:val="666666"/>
        </w:rPr>
        <w:t>The options were granted pursuant to the Equity Incentive Plan and will vest and become exercisable, subject to the continued employment of the named executive officer, on the date set forth in the table below. These options fully vest and become exercisable immediately prior to the effective date of certain change in control events.</w:t>
      </w:r>
    </w:p>
    <w:p>
      <w:pPr>
        <w:spacing w:after="0" w:line="119" w:lineRule="exact"/>
        <w:rPr>
          <w:sz w:val="20"/>
          <w:szCs w:val="20"/>
          <w:color w:val="auto"/>
        </w:rPr>
      </w:pPr>
    </w:p>
    <w:tbl>
      <w:tblPr>
        <w:tblLayout w:type="fixed"/>
        <w:tblInd w:w="2770" w:type="dxa"/>
        <w:tblCellMar>
          <w:top w:w="0" w:type="dxa"/>
          <w:left w:w="0" w:type="dxa"/>
          <w:bottom w:w="0" w:type="dxa"/>
          <w:right w:w="0" w:type="dxa"/>
        </w:tblCellMar>
      </w:tblPr>
      <w:tr>
        <w:trPr>
          <w:trHeight w:val="133"/>
        </w:trPr>
        <w:tc>
          <w:tcPr>
            <w:tcW w:w="1040" w:type="dxa"/>
            <w:vAlign w:val="bottom"/>
            <w:tcBorders>
              <w:top w:val="single" w:sz="8" w:color="auto"/>
              <w:left w:val="single" w:sz="8" w:color="auto"/>
            </w:tcBorders>
            <w:vMerge w:val="restart"/>
            <w:shd w:val="clear" w:color="auto" w:fill="D8D8D8"/>
          </w:tcPr>
          <w:p>
            <w:pPr>
              <w:ind w:left="20"/>
              <w:spacing w:after="0"/>
              <w:rPr>
                <w:sz w:val="20"/>
                <w:szCs w:val="20"/>
                <w:color w:val="auto"/>
              </w:rPr>
            </w:pPr>
            <w:r>
              <w:rPr>
                <w:rFonts w:ascii="Arial" w:cs="Arial" w:eastAsia="Arial" w:hAnsi="Arial"/>
                <w:sz w:val="10"/>
                <w:szCs w:val="10"/>
                <w:b w:val="1"/>
                <w:bCs w:val="1"/>
                <w:color w:val="666666"/>
              </w:rPr>
              <w:t>Name</w:t>
            </w:r>
          </w:p>
        </w:tc>
        <w:tc>
          <w:tcPr>
            <w:tcW w:w="92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0"/>
                <w:szCs w:val="10"/>
                <w:b w:val="1"/>
                <w:bCs w:val="1"/>
                <w:color w:val="666666"/>
                <w:w w:val="99"/>
              </w:rPr>
              <w:t>Option Exercise</w:t>
            </w:r>
          </w:p>
        </w:tc>
        <w:tc>
          <w:tcPr>
            <w:tcW w:w="540" w:type="dxa"/>
            <w:vAlign w:val="bottom"/>
            <w:tcBorders>
              <w:top w:val="single" w:sz="8" w:color="auto"/>
            </w:tcBorders>
            <w:shd w:val="clear" w:color="auto" w:fill="D8D8D8"/>
          </w:tcPr>
          <w:p>
            <w:pPr>
              <w:ind w:left="60"/>
              <w:spacing w:after="0"/>
              <w:rPr>
                <w:sz w:val="20"/>
                <w:szCs w:val="20"/>
                <w:color w:val="auto"/>
              </w:rPr>
            </w:pPr>
            <w:r>
              <w:rPr>
                <w:rFonts w:ascii="Arial" w:cs="Arial" w:eastAsia="Arial" w:hAnsi="Arial"/>
                <w:sz w:val="10"/>
                <w:szCs w:val="10"/>
                <w:b w:val="1"/>
                <w:bCs w:val="1"/>
                <w:color w:val="666666"/>
              </w:rPr>
              <w:t>June 30,</w:t>
            </w:r>
          </w:p>
        </w:tc>
        <w:tc>
          <w:tcPr>
            <w:tcW w:w="620" w:type="dxa"/>
            <w:vAlign w:val="bottom"/>
            <w:tcBorders>
              <w:top w:val="single" w:sz="8" w:color="auto"/>
            </w:tcBorders>
            <w:shd w:val="clear" w:color="auto" w:fill="D8D8D8"/>
          </w:tcPr>
          <w:p>
            <w:pPr>
              <w:ind w:left="80"/>
              <w:spacing w:after="0"/>
              <w:rPr>
                <w:sz w:val="20"/>
                <w:szCs w:val="20"/>
                <w:color w:val="auto"/>
              </w:rPr>
            </w:pPr>
            <w:r>
              <w:rPr>
                <w:rFonts w:ascii="Arial" w:cs="Arial" w:eastAsia="Arial" w:hAnsi="Arial"/>
                <w:sz w:val="10"/>
                <w:szCs w:val="10"/>
                <w:b w:val="1"/>
                <w:bCs w:val="1"/>
                <w:color w:val="666666"/>
              </w:rPr>
              <w:t>March 31,</w:t>
            </w:r>
          </w:p>
        </w:tc>
        <w:tc>
          <w:tcPr>
            <w:tcW w:w="540" w:type="dxa"/>
            <w:vAlign w:val="bottom"/>
            <w:tcBorders>
              <w:top w:val="single" w:sz="8" w:color="auto"/>
            </w:tcBorders>
            <w:shd w:val="clear" w:color="auto" w:fill="D8D8D8"/>
          </w:tcPr>
          <w:p>
            <w:pPr>
              <w:ind w:left="60"/>
              <w:spacing w:after="0"/>
              <w:rPr>
                <w:sz w:val="20"/>
                <w:szCs w:val="20"/>
                <w:color w:val="auto"/>
              </w:rPr>
            </w:pPr>
            <w:r>
              <w:rPr>
                <w:rFonts w:ascii="Arial" w:cs="Arial" w:eastAsia="Arial" w:hAnsi="Arial"/>
                <w:sz w:val="10"/>
                <w:szCs w:val="10"/>
                <w:b w:val="1"/>
                <w:bCs w:val="1"/>
                <w:color w:val="666666"/>
              </w:rPr>
              <w:t>June 30,</w:t>
            </w:r>
          </w:p>
        </w:tc>
        <w:tc>
          <w:tcPr>
            <w:tcW w:w="600" w:type="dxa"/>
            <w:vAlign w:val="bottom"/>
            <w:tcBorders>
              <w:top w:val="single" w:sz="8" w:color="auto"/>
            </w:tcBorders>
            <w:shd w:val="clear" w:color="auto" w:fill="D8D8D8"/>
          </w:tcPr>
          <w:p>
            <w:pPr>
              <w:ind w:left="60"/>
              <w:spacing w:after="0"/>
              <w:rPr>
                <w:sz w:val="20"/>
                <w:szCs w:val="20"/>
                <w:color w:val="auto"/>
              </w:rPr>
            </w:pPr>
            <w:r>
              <w:rPr>
                <w:rFonts w:ascii="Arial" w:cs="Arial" w:eastAsia="Arial" w:hAnsi="Arial"/>
                <w:sz w:val="10"/>
                <w:szCs w:val="10"/>
                <w:b w:val="1"/>
                <w:bCs w:val="1"/>
                <w:color w:val="666666"/>
              </w:rPr>
              <w:t>March 31,</w:t>
            </w:r>
          </w:p>
        </w:tc>
        <w:tc>
          <w:tcPr>
            <w:tcW w:w="620" w:type="dxa"/>
            <w:vAlign w:val="bottom"/>
            <w:tcBorders>
              <w:top w:val="single" w:sz="8" w:color="auto"/>
            </w:tcBorders>
            <w:shd w:val="clear" w:color="auto" w:fill="D8D8D8"/>
          </w:tcPr>
          <w:p>
            <w:pPr>
              <w:ind w:left="80"/>
              <w:spacing w:after="0"/>
              <w:rPr>
                <w:sz w:val="20"/>
                <w:szCs w:val="20"/>
                <w:color w:val="auto"/>
              </w:rPr>
            </w:pPr>
            <w:r>
              <w:rPr>
                <w:rFonts w:ascii="Arial" w:cs="Arial" w:eastAsia="Arial" w:hAnsi="Arial"/>
                <w:sz w:val="10"/>
                <w:szCs w:val="10"/>
                <w:b w:val="1"/>
                <w:bCs w:val="1"/>
                <w:color w:val="666666"/>
              </w:rPr>
              <w:t>March 31,</w:t>
            </w:r>
          </w:p>
        </w:tc>
        <w:tc>
          <w:tcPr>
            <w:tcW w:w="620" w:type="dxa"/>
            <w:vAlign w:val="bottom"/>
            <w:tcBorders>
              <w:top w:val="single" w:sz="8" w:color="auto"/>
            </w:tcBorders>
            <w:shd w:val="clear" w:color="auto" w:fill="D8D8D8"/>
          </w:tcPr>
          <w:p>
            <w:pPr>
              <w:ind w:left="60"/>
              <w:spacing w:after="0"/>
              <w:rPr>
                <w:sz w:val="20"/>
                <w:szCs w:val="20"/>
                <w:color w:val="auto"/>
              </w:rPr>
            </w:pPr>
            <w:r>
              <w:rPr>
                <w:rFonts w:ascii="Arial" w:cs="Arial" w:eastAsia="Arial" w:hAnsi="Arial"/>
                <w:sz w:val="10"/>
                <w:szCs w:val="10"/>
                <w:b w:val="1"/>
                <w:bCs w:val="1"/>
                <w:color w:val="666666"/>
              </w:rPr>
              <w:t>March 31,</w:t>
            </w:r>
          </w:p>
        </w:tc>
        <w:tc>
          <w:tcPr>
            <w:tcW w:w="560" w:type="dxa"/>
            <w:vAlign w:val="bottom"/>
            <w:tcBorders>
              <w:top w:val="single" w:sz="8" w:color="auto"/>
              <w:right w:val="single" w:sz="8" w:color="auto"/>
            </w:tcBorders>
            <w:vMerge w:val="restart"/>
            <w:shd w:val="clear" w:color="auto" w:fill="D8D8D8"/>
          </w:tcPr>
          <w:p>
            <w:pPr>
              <w:ind w:left="140"/>
              <w:spacing w:after="0"/>
              <w:rPr>
                <w:sz w:val="20"/>
                <w:szCs w:val="20"/>
                <w:color w:val="auto"/>
              </w:rPr>
            </w:pPr>
            <w:r>
              <w:rPr>
                <w:rFonts w:ascii="Arial" w:cs="Arial" w:eastAsia="Arial" w:hAnsi="Arial"/>
                <w:sz w:val="10"/>
                <w:szCs w:val="10"/>
                <w:b w:val="1"/>
                <w:bCs w:val="1"/>
                <w:color w:val="666666"/>
              </w:rPr>
              <w:t>Total</w:t>
            </w:r>
          </w:p>
        </w:tc>
        <w:tc>
          <w:tcPr>
            <w:tcW w:w="0" w:type="dxa"/>
            <w:vAlign w:val="bottom"/>
          </w:tcPr>
          <w:p>
            <w:pPr>
              <w:spacing w:after="0"/>
              <w:rPr>
                <w:sz w:val="1"/>
                <w:szCs w:val="1"/>
                <w:color w:val="auto"/>
              </w:rPr>
            </w:pPr>
          </w:p>
        </w:tc>
      </w:tr>
      <w:tr>
        <w:trPr>
          <w:trHeight w:val="145"/>
        </w:trPr>
        <w:tc>
          <w:tcPr>
            <w:tcW w:w="1040" w:type="dxa"/>
            <w:vAlign w:val="bottom"/>
            <w:tcBorders>
              <w:left w:val="single" w:sz="8" w:color="auto"/>
            </w:tcBorders>
            <w:vMerge w:val="continue"/>
            <w:shd w:val="clear" w:color="auto" w:fill="D8D8D8"/>
          </w:tcPr>
          <w:p>
            <w:pPr>
              <w:spacing w:after="0"/>
              <w:rPr>
                <w:sz w:val="12"/>
                <w:szCs w:val="12"/>
                <w:color w:val="auto"/>
              </w:rPr>
            </w:pPr>
          </w:p>
        </w:tc>
        <w:tc>
          <w:tcPr>
            <w:tcW w:w="920" w:type="dxa"/>
            <w:vAlign w:val="bottom"/>
            <w:shd w:val="clear" w:color="auto" w:fill="D8D8D8"/>
          </w:tcPr>
          <w:p>
            <w:pPr>
              <w:jc w:val="center"/>
              <w:spacing w:after="0"/>
              <w:rPr>
                <w:sz w:val="20"/>
                <w:szCs w:val="20"/>
                <w:color w:val="auto"/>
              </w:rPr>
            </w:pPr>
            <w:r>
              <w:rPr>
                <w:rFonts w:ascii="Arial" w:cs="Arial" w:eastAsia="Arial" w:hAnsi="Arial"/>
                <w:sz w:val="10"/>
                <w:szCs w:val="10"/>
                <w:b w:val="1"/>
                <w:bCs w:val="1"/>
                <w:color w:val="666666"/>
                <w:w w:val="97"/>
              </w:rPr>
              <w:t>Price</w:t>
            </w:r>
          </w:p>
        </w:tc>
        <w:tc>
          <w:tcPr>
            <w:tcW w:w="540" w:type="dxa"/>
            <w:vAlign w:val="bottom"/>
            <w:shd w:val="clear" w:color="auto" w:fill="D8D8D8"/>
          </w:tcPr>
          <w:p>
            <w:pPr>
              <w:jc w:val="center"/>
              <w:spacing w:after="0"/>
              <w:rPr>
                <w:sz w:val="20"/>
                <w:szCs w:val="20"/>
                <w:color w:val="auto"/>
              </w:rPr>
            </w:pPr>
            <w:r>
              <w:rPr>
                <w:rFonts w:ascii="Arial" w:cs="Arial" w:eastAsia="Arial" w:hAnsi="Arial"/>
                <w:sz w:val="10"/>
                <w:szCs w:val="10"/>
                <w:b w:val="1"/>
                <w:bCs w:val="1"/>
                <w:color w:val="666666"/>
                <w:w w:val="98"/>
              </w:rPr>
              <w:t>2018</w:t>
            </w:r>
          </w:p>
        </w:tc>
        <w:tc>
          <w:tcPr>
            <w:tcW w:w="620" w:type="dxa"/>
            <w:vAlign w:val="bottom"/>
            <w:shd w:val="clear" w:color="auto" w:fill="D8D8D8"/>
          </w:tcPr>
          <w:p>
            <w:pPr>
              <w:jc w:val="center"/>
              <w:spacing w:after="0"/>
              <w:rPr>
                <w:sz w:val="20"/>
                <w:szCs w:val="20"/>
                <w:color w:val="auto"/>
              </w:rPr>
            </w:pPr>
            <w:r>
              <w:rPr>
                <w:rFonts w:ascii="Arial" w:cs="Arial" w:eastAsia="Arial" w:hAnsi="Arial"/>
                <w:sz w:val="10"/>
                <w:szCs w:val="10"/>
                <w:b w:val="1"/>
                <w:bCs w:val="1"/>
                <w:color w:val="666666"/>
                <w:w w:val="98"/>
              </w:rPr>
              <w:t>2019</w:t>
            </w:r>
          </w:p>
        </w:tc>
        <w:tc>
          <w:tcPr>
            <w:tcW w:w="540" w:type="dxa"/>
            <w:vAlign w:val="bottom"/>
            <w:shd w:val="clear" w:color="auto" w:fill="D8D8D8"/>
          </w:tcPr>
          <w:p>
            <w:pPr>
              <w:jc w:val="center"/>
              <w:spacing w:after="0"/>
              <w:rPr>
                <w:sz w:val="20"/>
                <w:szCs w:val="20"/>
                <w:color w:val="auto"/>
              </w:rPr>
            </w:pPr>
            <w:r>
              <w:rPr>
                <w:rFonts w:ascii="Arial" w:cs="Arial" w:eastAsia="Arial" w:hAnsi="Arial"/>
                <w:sz w:val="10"/>
                <w:szCs w:val="10"/>
                <w:b w:val="1"/>
                <w:bCs w:val="1"/>
                <w:color w:val="666666"/>
              </w:rPr>
              <w:t>2019</w:t>
            </w:r>
          </w:p>
        </w:tc>
        <w:tc>
          <w:tcPr>
            <w:tcW w:w="600" w:type="dxa"/>
            <w:vAlign w:val="bottom"/>
            <w:shd w:val="clear" w:color="auto" w:fill="D8D8D8"/>
          </w:tcPr>
          <w:p>
            <w:pPr>
              <w:jc w:val="center"/>
              <w:spacing w:after="0"/>
              <w:rPr>
                <w:sz w:val="20"/>
                <w:szCs w:val="20"/>
                <w:color w:val="auto"/>
              </w:rPr>
            </w:pPr>
            <w:r>
              <w:rPr>
                <w:rFonts w:ascii="Arial" w:cs="Arial" w:eastAsia="Arial" w:hAnsi="Arial"/>
                <w:sz w:val="10"/>
                <w:szCs w:val="10"/>
                <w:b w:val="1"/>
                <w:bCs w:val="1"/>
                <w:color w:val="666666"/>
                <w:w w:val="98"/>
              </w:rPr>
              <w:t>2020</w:t>
            </w:r>
          </w:p>
        </w:tc>
        <w:tc>
          <w:tcPr>
            <w:tcW w:w="620" w:type="dxa"/>
            <w:vAlign w:val="bottom"/>
            <w:shd w:val="clear" w:color="auto" w:fill="D8D8D8"/>
          </w:tcPr>
          <w:p>
            <w:pPr>
              <w:jc w:val="center"/>
              <w:spacing w:after="0"/>
              <w:rPr>
                <w:sz w:val="20"/>
                <w:szCs w:val="20"/>
                <w:color w:val="auto"/>
              </w:rPr>
            </w:pPr>
            <w:r>
              <w:rPr>
                <w:rFonts w:ascii="Arial" w:cs="Arial" w:eastAsia="Arial" w:hAnsi="Arial"/>
                <w:sz w:val="10"/>
                <w:szCs w:val="10"/>
                <w:b w:val="1"/>
                <w:bCs w:val="1"/>
                <w:color w:val="666666"/>
                <w:w w:val="98"/>
              </w:rPr>
              <w:t>2021</w:t>
            </w:r>
          </w:p>
        </w:tc>
        <w:tc>
          <w:tcPr>
            <w:tcW w:w="620" w:type="dxa"/>
            <w:vAlign w:val="bottom"/>
            <w:shd w:val="clear" w:color="auto" w:fill="D8D8D8"/>
          </w:tcPr>
          <w:p>
            <w:pPr>
              <w:jc w:val="center"/>
              <w:spacing w:after="0"/>
              <w:rPr>
                <w:sz w:val="20"/>
                <w:szCs w:val="20"/>
                <w:color w:val="auto"/>
              </w:rPr>
            </w:pPr>
            <w:r>
              <w:rPr>
                <w:rFonts w:ascii="Arial" w:cs="Arial" w:eastAsia="Arial" w:hAnsi="Arial"/>
                <w:sz w:val="10"/>
                <w:szCs w:val="10"/>
                <w:b w:val="1"/>
                <w:bCs w:val="1"/>
                <w:color w:val="666666"/>
                <w:w w:val="98"/>
              </w:rPr>
              <w:t>2022</w:t>
            </w:r>
          </w:p>
        </w:tc>
        <w:tc>
          <w:tcPr>
            <w:tcW w:w="560" w:type="dxa"/>
            <w:vAlign w:val="bottom"/>
            <w:tcBorders>
              <w:right w:val="single" w:sz="8" w:color="auto"/>
            </w:tcBorders>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Borders>
              <w:left w:val="single" w:sz="8" w:color="auto"/>
            </w:tcBorders>
          </w:tcPr>
          <w:p>
            <w:pPr>
              <w:ind w:left="20"/>
              <w:spacing w:after="0"/>
              <w:rPr>
                <w:sz w:val="20"/>
                <w:szCs w:val="20"/>
                <w:color w:val="auto"/>
              </w:rPr>
            </w:pPr>
            <w:r>
              <w:rPr>
                <w:rFonts w:ascii="Arial" w:cs="Arial" w:eastAsia="Arial" w:hAnsi="Arial"/>
                <w:sz w:val="10"/>
                <w:szCs w:val="10"/>
                <w:color w:val="666666"/>
              </w:rPr>
              <w:t>Horacio D. Rozanski</w:t>
            </w:r>
          </w:p>
        </w:tc>
        <w:tc>
          <w:tcPr>
            <w:tcW w:w="920" w:type="dxa"/>
            <w:vAlign w:val="bottom"/>
          </w:tcPr>
          <w:p>
            <w:pPr>
              <w:jc w:val="center"/>
              <w:spacing w:after="0"/>
              <w:rPr>
                <w:sz w:val="20"/>
                <w:szCs w:val="20"/>
                <w:color w:val="auto"/>
              </w:rPr>
            </w:pPr>
            <w:r>
              <w:rPr>
                <w:rFonts w:ascii="Arial" w:cs="Arial" w:eastAsia="Arial" w:hAnsi="Arial"/>
                <w:sz w:val="10"/>
                <w:szCs w:val="10"/>
                <w:color w:val="666666"/>
              </w:rPr>
              <w:t>$18.35</w:t>
            </w:r>
          </w:p>
        </w:tc>
        <w:tc>
          <w:tcPr>
            <w:tcW w:w="540" w:type="dxa"/>
            <w:vAlign w:val="bottom"/>
          </w:tcPr>
          <w:p>
            <w:pPr>
              <w:jc w:val="center"/>
              <w:spacing w:after="0"/>
              <w:rPr>
                <w:sz w:val="20"/>
                <w:szCs w:val="20"/>
                <w:color w:val="auto"/>
              </w:rPr>
            </w:pPr>
            <w:r>
              <w:rPr>
                <w:rFonts w:ascii="Arial" w:cs="Arial" w:eastAsia="Arial" w:hAnsi="Arial"/>
                <w:sz w:val="10"/>
                <w:szCs w:val="10"/>
                <w:color w:val="666666"/>
              </w:rPr>
              <w:t>9,000</w:t>
            </w:r>
          </w:p>
        </w:tc>
        <w:tc>
          <w:tcPr>
            <w:tcW w:w="62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2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2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560" w:type="dxa"/>
            <w:vAlign w:val="bottom"/>
            <w:tcBorders>
              <w:right w:val="single" w:sz="8" w:color="auto"/>
            </w:tcBorders>
          </w:tcPr>
          <w:p>
            <w:pPr>
              <w:jc w:val="center"/>
              <w:ind w:right="9"/>
              <w:spacing w:after="0"/>
              <w:rPr>
                <w:sz w:val="20"/>
                <w:szCs w:val="20"/>
                <w:color w:val="auto"/>
              </w:rPr>
            </w:pPr>
            <w:r>
              <w:rPr>
                <w:rFonts w:ascii="Arial" w:cs="Arial" w:eastAsia="Arial" w:hAnsi="Arial"/>
                <w:sz w:val="10"/>
                <w:szCs w:val="10"/>
                <w:color w:val="666666"/>
              </w:rPr>
              <w:t>9,000</w:t>
            </w:r>
          </w:p>
        </w:tc>
        <w:tc>
          <w:tcPr>
            <w:tcW w:w="0" w:type="dxa"/>
            <w:vAlign w:val="bottom"/>
          </w:tcPr>
          <w:p>
            <w:pPr>
              <w:spacing w:after="0"/>
              <w:rPr>
                <w:sz w:val="1"/>
                <w:szCs w:val="1"/>
                <w:color w:val="auto"/>
              </w:rPr>
            </w:pPr>
          </w:p>
        </w:tc>
      </w:tr>
      <w:tr>
        <w:trPr>
          <w:trHeight w:val="173"/>
        </w:trPr>
        <w:tc>
          <w:tcPr>
            <w:tcW w:w="1040" w:type="dxa"/>
            <w:vAlign w:val="bottom"/>
            <w:tcBorders>
              <w:left w:val="single" w:sz="8" w:color="auto"/>
            </w:tcBorders>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666666"/>
              </w:rPr>
              <w:t>$29.08</w:t>
            </w:r>
          </w:p>
        </w:tc>
        <w:tc>
          <w:tcPr>
            <w:tcW w:w="54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20" w:type="dxa"/>
            <w:vAlign w:val="bottom"/>
          </w:tcPr>
          <w:p>
            <w:pPr>
              <w:jc w:val="center"/>
              <w:spacing w:after="0"/>
              <w:rPr>
                <w:sz w:val="20"/>
                <w:szCs w:val="20"/>
                <w:color w:val="auto"/>
              </w:rPr>
            </w:pPr>
            <w:r>
              <w:rPr>
                <w:rFonts w:ascii="Arial" w:cs="Arial" w:eastAsia="Arial" w:hAnsi="Arial"/>
                <w:sz w:val="10"/>
                <w:szCs w:val="10"/>
                <w:color w:val="666666"/>
                <w:w w:val="97"/>
              </w:rPr>
              <w:t>17,876</w:t>
            </w:r>
          </w:p>
        </w:tc>
        <w:tc>
          <w:tcPr>
            <w:tcW w:w="54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00" w:type="dxa"/>
            <w:vAlign w:val="bottom"/>
          </w:tcPr>
          <w:p>
            <w:pPr>
              <w:jc w:val="center"/>
              <w:spacing w:after="0"/>
              <w:rPr>
                <w:sz w:val="20"/>
                <w:szCs w:val="20"/>
                <w:color w:val="auto"/>
              </w:rPr>
            </w:pPr>
            <w:r>
              <w:rPr>
                <w:rFonts w:ascii="Arial" w:cs="Arial" w:eastAsia="Arial" w:hAnsi="Arial"/>
                <w:sz w:val="10"/>
                <w:szCs w:val="10"/>
                <w:color w:val="666666"/>
              </w:rPr>
              <w:t>17,876</w:t>
            </w:r>
          </w:p>
        </w:tc>
        <w:tc>
          <w:tcPr>
            <w:tcW w:w="62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2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666666"/>
              </w:rPr>
              <w:t>35,752</w:t>
            </w:r>
          </w:p>
        </w:tc>
        <w:tc>
          <w:tcPr>
            <w:tcW w:w="0" w:type="dxa"/>
            <w:vAlign w:val="bottom"/>
          </w:tcPr>
          <w:p>
            <w:pPr>
              <w:spacing w:after="0"/>
              <w:rPr>
                <w:sz w:val="1"/>
                <w:szCs w:val="1"/>
                <w:color w:val="auto"/>
              </w:rPr>
            </w:pPr>
          </w:p>
        </w:tc>
      </w:tr>
      <w:tr>
        <w:trPr>
          <w:trHeight w:val="26"/>
        </w:trPr>
        <w:tc>
          <w:tcPr>
            <w:tcW w:w="1040" w:type="dxa"/>
            <w:vAlign w:val="bottom"/>
            <w:tcBorders>
              <w:left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040" w:type="dxa"/>
            <w:vAlign w:val="bottom"/>
            <w:tcBorders>
              <w:left w:val="single" w:sz="8" w:color="auto"/>
            </w:tcBorders>
            <w:shd w:val="clear" w:color="auto" w:fill="D8D8D8"/>
          </w:tcPr>
          <w:p>
            <w:pPr>
              <w:ind w:left="20"/>
              <w:spacing w:after="0"/>
              <w:rPr>
                <w:sz w:val="20"/>
                <w:szCs w:val="20"/>
                <w:color w:val="auto"/>
              </w:rPr>
            </w:pPr>
            <w:r>
              <w:rPr>
                <w:rFonts w:ascii="Arial" w:cs="Arial" w:eastAsia="Arial" w:hAnsi="Arial"/>
                <w:sz w:val="10"/>
                <w:szCs w:val="10"/>
                <w:color w:val="666666"/>
              </w:rPr>
              <w:t>Lloyd W. Howell, Jr.</w:t>
            </w:r>
          </w:p>
        </w:tc>
        <w:tc>
          <w:tcPr>
            <w:tcW w:w="920" w:type="dxa"/>
            <w:vAlign w:val="bottom"/>
            <w:shd w:val="clear" w:color="auto" w:fill="D8D8D8"/>
          </w:tcPr>
          <w:p>
            <w:pPr>
              <w:jc w:val="center"/>
              <w:spacing w:after="0"/>
              <w:rPr>
                <w:sz w:val="20"/>
                <w:szCs w:val="20"/>
                <w:color w:val="auto"/>
              </w:rPr>
            </w:pPr>
            <w:r>
              <w:rPr>
                <w:rFonts w:ascii="Arial" w:cs="Arial" w:eastAsia="Arial" w:hAnsi="Arial"/>
                <w:sz w:val="10"/>
                <w:szCs w:val="10"/>
                <w:color w:val="666666"/>
              </w:rPr>
              <w:t>$35.95</w:t>
            </w:r>
          </w:p>
        </w:tc>
        <w:tc>
          <w:tcPr>
            <w:tcW w:w="540" w:type="dxa"/>
            <w:vAlign w:val="bottom"/>
            <w:shd w:val="clear" w:color="auto" w:fill="D8D8D8"/>
          </w:tcPr>
          <w:p>
            <w:pPr>
              <w:jc w:val="center"/>
              <w:spacing w:after="0"/>
              <w:rPr>
                <w:sz w:val="20"/>
                <w:szCs w:val="20"/>
                <w:color w:val="auto"/>
              </w:rPr>
            </w:pPr>
            <w:r>
              <w:rPr>
                <w:rFonts w:ascii="Arial" w:cs="Arial" w:eastAsia="Arial" w:hAnsi="Arial"/>
                <w:sz w:val="10"/>
                <w:szCs w:val="10"/>
                <w:color w:val="666666"/>
                <w:w w:val="99"/>
              </w:rPr>
              <w:t>—</w:t>
            </w:r>
          </w:p>
        </w:tc>
        <w:tc>
          <w:tcPr>
            <w:tcW w:w="620" w:type="dxa"/>
            <w:vAlign w:val="bottom"/>
            <w:shd w:val="clear" w:color="auto" w:fill="D8D8D8"/>
          </w:tcPr>
          <w:p>
            <w:pPr>
              <w:jc w:val="center"/>
              <w:spacing w:after="0"/>
              <w:rPr>
                <w:sz w:val="20"/>
                <w:szCs w:val="20"/>
                <w:color w:val="auto"/>
              </w:rPr>
            </w:pPr>
            <w:r>
              <w:rPr>
                <w:rFonts w:ascii="Arial" w:cs="Arial" w:eastAsia="Arial" w:hAnsi="Arial"/>
                <w:sz w:val="10"/>
                <w:szCs w:val="10"/>
                <w:color w:val="666666"/>
                <w:w w:val="97"/>
              </w:rPr>
              <w:t>10,552</w:t>
            </w:r>
          </w:p>
        </w:tc>
        <w:tc>
          <w:tcPr>
            <w:tcW w:w="540" w:type="dxa"/>
            <w:vAlign w:val="bottom"/>
            <w:shd w:val="clear" w:color="auto" w:fill="D8D8D8"/>
          </w:tcPr>
          <w:p>
            <w:pPr>
              <w:jc w:val="center"/>
              <w:spacing w:after="0"/>
              <w:rPr>
                <w:sz w:val="20"/>
                <w:szCs w:val="20"/>
                <w:color w:val="auto"/>
              </w:rPr>
            </w:pPr>
            <w:r>
              <w:rPr>
                <w:rFonts w:ascii="Arial" w:cs="Arial" w:eastAsia="Arial" w:hAnsi="Arial"/>
                <w:sz w:val="10"/>
                <w:szCs w:val="10"/>
                <w:color w:val="666666"/>
                <w:w w:val="99"/>
              </w:rPr>
              <w:t>—</w:t>
            </w:r>
          </w:p>
        </w:tc>
        <w:tc>
          <w:tcPr>
            <w:tcW w:w="600" w:type="dxa"/>
            <w:vAlign w:val="bottom"/>
            <w:shd w:val="clear" w:color="auto" w:fill="D8D8D8"/>
          </w:tcPr>
          <w:p>
            <w:pPr>
              <w:jc w:val="center"/>
              <w:spacing w:after="0"/>
              <w:rPr>
                <w:sz w:val="20"/>
                <w:szCs w:val="20"/>
                <w:color w:val="auto"/>
              </w:rPr>
            </w:pPr>
            <w:r>
              <w:rPr>
                <w:rFonts w:ascii="Arial" w:cs="Arial" w:eastAsia="Arial" w:hAnsi="Arial"/>
                <w:sz w:val="10"/>
                <w:szCs w:val="10"/>
                <w:color w:val="666666"/>
              </w:rPr>
              <w:t>10,552</w:t>
            </w:r>
          </w:p>
        </w:tc>
        <w:tc>
          <w:tcPr>
            <w:tcW w:w="620" w:type="dxa"/>
            <w:vAlign w:val="bottom"/>
            <w:shd w:val="clear" w:color="auto" w:fill="D8D8D8"/>
          </w:tcPr>
          <w:p>
            <w:pPr>
              <w:jc w:val="center"/>
              <w:spacing w:after="0"/>
              <w:rPr>
                <w:sz w:val="20"/>
                <w:szCs w:val="20"/>
                <w:color w:val="auto"/>
              </w:rPr>
            </w:pPr>
            <w:r>
              <w:rPr>
                <w:rFonts w:ascii="Arial" w:cs="Arial" w:eastAsia="Arial" w:hAnsi="Arial"/>
                <w:sz w:val="10"/>
                <w:szCs w:val="10"/>
                <w:color w:val="666666"/>
                <w:w w:val="97"/>
              </w:rPr>
              <w:t>10,552</w:t>
            </w:r>
          </w:p>
        </w:tc>
        <w:tc>
          <w:tcPr>
            <w:tcW w:w="620" w:type="dxa"/>
            <w:vAlign w:val="bottom"/>
            <w:shd w:val="clear" w:color="auto" w:fill="D8D8D8"/>
          </w:tcPr>
          <w:p>
            <w:pPr>
              <w:jc w:val="center"/>
              <w:spacing w:after="0"/>
              <w:rPr>
                <w:sz w:val="20"/>
                <w:szCs w:val="20"/>
                <w:color w:val="auto"/>
              </w:rPr>
            </w:pPr>
            <w:r>
              <w:rPr>
                <w:rFonts w:ascii="Arial" w:cs="Arial" w:eastAsia="Arial" w:hAnsi="Arial"/>
                <w:sz w:val="10"/>
                <w:szCs w:val="10"/>
                <w:color w:val="666666"/>
              </w:rPr>
              <w:t>10,553</w:t>
            </w:r>
          </w:p>
        </w:tc>
        <w:tc>
          <w:tcPr>
            <w:tcW w:w="56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0"/>
                <w:szCs w:val="10"/>
                <w:color w:val="666666"/>
              </w:rPr>
              <w:t>42,209</w:t>
            </w:r>
          </w:p>
        </w:tc>
        <w:tc>
          <w:tcPr>
            <w:tcW w:w="0" w:type="dxa"/>
            <w:vAlign w:val="bottom"/>
          </w:tcPr>
          <w:p>
            <w:pPr>
              <w:spacing w:after="0"/>
              <w:rPr>
                <w:sz w:val="1"/>
                <w:szCs w:val="1"/>
                <w:color w:val="auto"/>
              </w:rPr>
            </w:pPr>
          </w:p>
        </w:tc>
      </w:tr>
      <w:tr>
        <w:trPr>
          <w:trHeight w:val="147"/>
        </w:trPr>
        <w:tc>
          <w:tcPr>
            <w:tcW w:w="1040" w:type="dxa"/>
            <w:vAlign w:val="bottom"/>
            <w:tcBorders>
              <w:left w:val="single" w:sz="8" w:color="auto"/>
            </w:tcBorders>
          </w:tcPr>
          <w:p>
            <w:pPr>
              <w:ind w:left="20"/>
              <w:spacing w:after="0"/>
              <w:rPr>
                <w:sz w:val="20"/>
                <w:szCs w:val="20"/>
                <w:color w:val="auto"/>
              </w:rPr>
            </w:pPr>
            <w:r>
              <w:rPr>
                <w:rFonts w:ascii="Arial" w:cs="Arial" w:eastAsia="Arial" w:hAnsi="Arial"/>
                <w:sz w:val="10"/>
                <w:szCs w:val="10"/>
                <w:color w:val="666666"/>
              </w:rPr>
              <w:t>Karen M. Dahut</w:t>
            </w:r>
          </w:p>
        </w:tc>
        <w:tc>
          <w:tcPr>
            <w:tcW w:w="920" w:type="dxa"/>
            <w:vAlign w:val="bottom"/>
          </w:tcPr>
          <w:p>
            <w:pPr>
              <w:jc w:val="center"/>
              <w:spacing w:after="0"/>
              <w:rPr>
                <w:sz w:val="20"/>
                <w:szCs w:val="20"/>
                <w:color w:val="auto"/>
              </w:rPr>
            </w:pPr>
            <w:r>
              <w:rPr>
                <w:rFonts w:ascii="Arial" w:cs="Arial" w:eastAsia="Arial" w:hAnsi="Arial"/>
                <w:sz w:val="10"/>
                <w:szCs w:val="10"/>
                <w:color w:val="666666"/>
              </w:rPr>
              <w:t>$18.35</w:t>
            </w:r>
          </w:p>
        </w:tc>
        <w:tc>
          <w:tcPr>
            <w:tcW w:w="540" w:type="dxa"/>
            <w:vAlign w:val="bottom"/>
          </w:tcPr>
          <w:p>
            <w:pPr>
              <w:jc w:val="center"/>
              <w:spacing w:after="0"/>
              <w:rPr>
                <w:sz w:val="20"/>
                <w:szCs w:val="20"/>
                <w:color w:val="auto"/>
              </w:rPr>
            </w:pPr>
            <w:r>
              <w:rPr>
                <w:rFonts w:ascii="Arial" w:cs="Arial" w:eastAsia="Arial" w:hAnsi="Arial"/>
                <w:sz w:val="10"/>
                <w:szCs w:val="10"/>
                <w:color w:val="666666"/>
              </w:rPr>
              <w:t>9,000</w:t>
            </w:r>
          </w:p>
        </w:tc>
        <w:tc>
          <w:tcPr>
            <w:tcW w:w="62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2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2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560" w:type="dxa"/>
            <w:vAlign w:val="bottom"/>
            <w:tcBorders>
              <w:right w:val="single" w:sz="8" w:color="auto"/>
            </w:tcBorders>
          </w:tcPr>
          <w:p>
            <w:pPr>
              <w:jc w:val="center"/>
              <w:ind w:right="9"/>
              <w:spacing w:after="0"/>
              <w:rPr>
                <w:sz w:val="20"/>
                <w:szCs w:val="20"/>
                <w:color w:val="auto"/>
              </w:rPr>
            </w:pPr>
            <w:r>
              <w:rPr>
                <w:rFonts w:ascii="Arial" w:cs="Arial" w:eastAsia="Arial" w:hAnsi="Arial"/>
                <w:sz w:val="10"/>
                <w:szCs w:val="10"/>
                <w:color w:val="666666"/>
              </w:rPr>
              <w:t>9,000</w:t>
            </w:r>
          </w:p>
        </w:tc>
        <w:tc>
          <w:tcPr>
            <w:tcW w:w="0" w:type="dxa"/>
            <w:vAlign w:val="bottom"/>
          </w:tcPr>
          <w:p>
            <w:pPr>
              <w:spacing w:after="0"/>
              <w:rPr>
                <w:sz w:val="1"/>
                <w:szCs w:val="1"/>
                <w:color w:val="auto"/>
              </w:rPr>
            </w:pPr>
          </w:p>
        </w:tc>
      </w:tr>
      <w:tr>
        <w:trPr>
          <w:trHeight w:val="173"/>
        </w:trPr>
        <w:tc>
          <w:tcPr>
            <w:tcW w:w="1040" w:type="dxa"/>
            <w:vAlign w:val="bottom"/>
            <w:tcBorders>
              <w:left w:val="single" w:sz="8" w:color="auto"/>
            </w:tcBorders>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666666"/>
              </w:rPr>
              <w:t>$35.95</w:t>
            </w:r>
          </w:p>
        </w:tc>
        <w:tc>
          <w:tcPr>
            <w:tcW w:w="54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20" w:type="dxa"/>
            <w:vAlign w:val="bottom"/>
          </w:tcPr>
          <w:p>
            <w:pPr>
              <w:jc w:val="center"/>
              <w:spacing w:after="0"/>
              <w:rPr>
                <w:sz w:val="20"/>
                <w:szCs w:val="20"/>
                <w:color w:val="auto"/>
              </w:rPr>
            </w:pPr>
            <w:r>
              <w:rPr>
                <w:rFonts w:ascii="Arial" w:cs="Arial" w:eastAsia="Arial" w:hAnsi="Arial"/>
                <w:sz w:val="10"/>
                <w:szCs w:val="10"/>
                <w:color w:val="666666"/>
                <w:w w:val="97"/>
              </w:rPr>
              <w:t>10,552</w:t>
            </w:r>
          </w:p>
        </w:tc>
        <w:tc>
          <w:tcPr>
            <w:tcW w:w="54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00" w:type="dxa"/>
            <w:vAlign w:val="bottom"/>
          </w:tcPr>
          <w:p>
            <w:pPr>
              <w:jc w:val="center"/>
              <w:spacing w:after="0"/>
              <w:rPr>
                <w:sz w:val="20"/>
                <w:szCs w:val="20"/>
                <w:color w:val="auto"/>
              </w:rPr>
            </w:pPr>
            <w:r>
              <w:rPr>
                <w:rFonts w:ascii="Arial" w:cs="Arial" w:eastAsia="Arial" w:hAnsi="Arial"/>
                <w:sz w:val="10"/>
                <w:szCs w:val="10"/>
                <w:color w:val="666666"/>
              </w:rPr>
              <w:t>10,552</w:t>
            </w:r>
          </w:p>
        </w:tc>
        <w:tc>
          <w:tcPr>
            <w:tcW w:w="620" w:type="dxa"/>
            <w:vAlign w:val="bottom"/>
          </w:tcPr>
          <w:p>
            <w:pPr>
              <w:jc w:val="center"/>
              <w:spacing w:after="0"/>
              <w:rPr>
                <w:sz w:val="20"/>
                <w:szCs w:val="20"/>
                <w:color w:val="auto"/>
              </w:rPr>
            </w:pPr>
            <w:r>
              <w:rPr>
                <w:rFonts w:ascii="Arial" w:cs="Arial" w:eastAsia="Arial" w:hAnsi="Arial"/>
                <w:sz w:val="10"/>
                <w:szCs w:val="10"/>
                <w:color w:val="666666"/>
                <w:w w:val="97"/>
              </w:rPr>
              <w:t>10,552</w:t>
            </w:r>
          </w:p>
        </w:tc>
        <w:tc>
          <w:tcPr>
            <w:tcW w:w="620" w:type="dxa"/>
            <w:vAlign w:val="bottom"/>
          </w:tcPr>
          <w:p>
            <w:pPr>
              <w:jc w:val="center"/>
              <w:spacing w:after="0"/>
              <w:rPr>
                <w:sz w:val="20"/>
                <w:szCs w:val="20"/>
                <w:color w:val="auto"/>
              </w:rPr>
            </w:pPr>
            <w:r>
              <w:rPr>
                <w:rFonts w:ascii="Arial" w:cs="Arial" w:eastAsia="Arial" w:hAnsi="Arial"/>
                <w:sz w:val="10"/>
                <w:szCs w:val="10"/>
                <w:color w:val="666666"/>
              </w:rPr>
              <w:t>10,553</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666666"/>
              </w:rPr>
              <w:t>42,209</w:t>
            </w:r>
          </w:p>
        </w:tc>
        <w:tc>
          <w:tcPr>
            <w:tcW w:w="0" w:type="dxa"/>
            <w:vAlign w:val="bottom"/>
          </w:tcPr>
          <w:p>
            <w:pPr>
              <w:spacing w:after="0"/>
              <w:rPr>
                <w:sz w:val="1"/>
                <w:szCs w:val="1"/>
                <w:color w:val="auto"/>
              </w:rPr>
            </w:pPr>
          </w:p>
        </w:tc>
      </w:tr>
      <w:tr>
        <w:trPr>
          <w:trHeight w:val="26"/>
        </w:trPr>
        <w:tc>
          <w:tcPr>
            <w:tcW w:w="1040" w:type="dxa"/>
            <w:vAlign w:val="bottom"/>
            <w:tcBorders>
              <w:left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040" w:type="dxa"/>
            <w:vAlign w:val="bottom"/>
            <w:tcBorders>
              <w:left w:val="single" w:sz="8" w:color="auto"/>
            </w:tcBorders>
            <w:shd w:val="clear" w:color="auto" w:fill="D8D8D8"/>
          </w:tcPr>
          <w:p>
            <w:pPr>
              <w:ind w:left="20"/>
              <w:spacing w:after="0"/>
              <w:rPr>
                <w:sz w:val="20"/>
                <w:szCs w:val="20"/>
                <w:color w:val="auto"/>
              </w:rPr>
            </w:pPr>
            <w:r>
              <w:rPr>
                <w:rFonts w:ascii="Arial" w:cs="Arial" w:eastAsia="Arial" w:hAnsi="Arial"/>
                <w:sz w:val="10"/>
                <w:szCs w:val="10"/>
                <w:color w:val="666666"/>
              </w:rPr>
              <w:t>Joseph Logue</w:t>
            </w:r>
          </w:p>
        </w:tc>
        <w:tc>
          <w:tcPr>
            <w:tcW w:w="920" w:type="dxa"/>
            <w:vAlign w:val="bottom"/>
            <w:shd w:val="clear" w:color="auto" w:fill="D8D8D8"/>
          </w:tcPr>
          <w:p>
            <w:pPr>
              <w:jc w:val="center"/>
              <w:spacing w:after="0"/>
              <w:rPr>
                <w:sz w:val="20"/>
                <w:szCs w:val="20"/>
                <w:color w:val="auto"/>
              </w:rPr>
            </w:pPr>
            <w:r>
              <w:rPr>
                <w:rFonts w:ascii="Arial" w:cs="Arial" w:eastAsia="Arial" w:hAnsi="Arial"/>
                <w:sz w:val="10"/>
                <w:szCs w:val="10"/>
                <w:color w:val="666666"/>
              </w:rPr>
              <w:t>$18.35</w:t>
            </w:r>
          </w:p>
        </w:tc>
        <w:tc>
          <w:tcPr>
            <w:tcW w:w="540" w:type="dxa"/>
            <w:vAlign w:val="bottom"/>
            <w:shd w:val="clear" w:color="auto" w:fill="D8D8D8"/>
          </w:tcPr>
          <w:p>
            <w:pPr>
              <w:jc w:val="center"/>
              <w:spacing w:after="0"/>
              <w:rPr>
                <w:sz w:val="20"/>
                <w:szCs w:val="20"/>
                <w:color w:val="auto"/>
              </w:rPr>
            </w:pPr>
            <w:r>
              <w:rPr>
                <w:rFonts w:ascii="Arial" w:cs="Arial" w:eastAsia="Arial" w:hAnsi="Arial"/>
                <w:sz w:val="10"/>
                <w:szCs w:val="10"/>
                <w:color w:val="666666"/>
              </w:rPr>
              <w:t>9,000</w:t>
            </w:r>
          </w:p>
        </w:tc>
        <w:tc>
          <w:tcPr>
            <w:tcW w:w="620" w:type="dxa"/>
            <w:vAlign w:val="bottom"/>
            <w:shd w:val="clear" w:color="auto" w:fill="D8D8D8"/>
          </w:tcPr>
          <w:p>
            <w:pPr>
              <w:jc w:val="center"/>
              <w:spacing w:after="0"/>
              <w:rPr>
                <w:sz w:val="20"/>
                <w:szCs w:val="20"/>
                <w:color w:val="auto"/>
              </w:rPr>
            </w:pPr>
            <w:r>
              <w:rPr>
                <w:rFonts w:ascii="Arial" w:cs="Arial" w:eastAsia="Arial" w:hAnsi="Arial"/>
                <w:sz w:val="10"/>
                <w:szCs w:val="10"/>
                <w:color w:val="666666"/>
                <w:w w:val="99"/>
              </w:rPr>
              <w:t>—</w:t>
            </w:r>
          </w:p>
        </w:tc>
        <w:tc>
          <w:tcPr>
            <w:tcW w:w="540" w:type="dxa"/>
            <w:vAlign w:val="bottom"/>
            <w:shd w:val="clear" w:color="auto" w:fill="D8D8D8"/>
          </w:tcPr>
          <w:p>
            <w:pPr>
              <w:jc w:val="center"/>
              <w:spacing w:after="0"/>
              <w:rPr>
                <w:sz w:val="20"/>
                <w:szCs w:val="20"/>
                <w:color w:val="auto"/>
              </w:rPr>
            </w:pPr>
            <w:r>
              <w:rPr>
                <w:rFonts w:ascii="Arial" w:cs="Arial" w:eastAsia="Arial" w:hAnsi="Arial"/>
                <w:sz w:val="10"/>
                <w:szCs w:val="10"/>
                <w:color w:val="666666"/>
                <w:w w:val="99"/>
              </w:rPr>
              <w:t>—</w:t>
            </w:r>
          </w:p>
        </w:tc>
        <w:tc>
          <w:tcPr>
            <w:tcW w:w="600" w:type="dxa"/>
            <w:vAlign w:val="bottom"/>
            <w:shd w:val="clear" w:color="auto" w:fill="D8D8D8"/>
          </w:tcPr>
          <w:p>
            <w:pPr>
              <w:jc w:val="center"/>
              <w:spacing w:after="0"/>
              <w:rPr>
                <w:sz w:val="20"/>
                <w:szCs w:val="20"/>
                <w:color w:val="auto"/>
              </w:rPr>
            </w:pPr>
            <w:r>
              <w:rPr>
                <w:rFonts w:ascii="Arial" w:cs="Arial" w:eastAsia="Arial" w:hAnsi="Arial"/>
                <w:sz w:val="10"/>
                <w:szCs w:val="10"/>
                <w:color w:val="666666"/>
                <w:w w:val="99"/>
              </w:rPr>
              <w:t>—</w:t>
            </w:r>
          </w:p>
        </w:tc>
        <w:tc>
          <w:tcPr>
            <w:tcW w:w="620" w:type="dxa"/>
            <w:vAlign w:val="bottom"/>
            <w:shd w:val="clear" w:color="auto" w:fill="D8D8D8"/>
          </w:tcPr>
          <w:p>
            <w:pPr>
              <w:jc w:val="center"/>
              <w:spacing w:after="0"/>
              <w:rPr>
                <w:sz w:val="20"/>
                <w:szCs w:val="20"/>
                <w:color w:val="auto"/>
              </w:rPr>
            </w:pPr>
            <w:r>
              <w:rPr>
                <w:rFonts w:ascii="Arial" w:cs="Arial" w:eastAsia="Arial" w:hAnsi="Arial"/>
                <w:sz w:val="10"/>
                <w:szCs w:val="10"/>
                <w:color w:val="666666"/>
                <w:w w:val="99"/>
              </w:rPr>
              <w:t>—</w:t>
            </w:r>
          </w:p>
        </w:tc>
        <w:tc>
          <w:tcPr>
            <w:tcW w:w="620" w:type="dxa"/>
            <w:vAlign w:val="bottom"/>
            <w:shd w:val="clear" w:color="auto" w:fill="D8D8D8"/>
          </w:tcPr>
          <w:p>
            <w:pPr>
              <w:jc w:val="center"/>
              <w:spacing w:after="0"/>
              <w:rPr>
                <w:sz w:val="20"/>
                <w:szCs w:val="20"/>
                <w:color w:val="auto"/>
              </w:rPr>
            </w:pPr>
            <w:r>
              <w:rPr>
                <w:rFonts w:ascii="Arial" w:cs="Arial" w:eastAsia="Arial" w:hAnsi="Arial"/>
                <w:sz w:val="10"/>
                <w:szCs w:val="10"/>
                <w:color w:val="666666"/>
                <w:w w:val="99"/>
              </w:rPr>
              <w:t>—</w:t>
            </w:r>
          </w:p>
        </w:tc>
        <w:tc>
          <w:tcPr>
            <w:tcW w:w="560" w:type="dxa"/>
            <w:vAlign w:val="bottom"/>
            <w:tcBorders>
              <w:right w:val="single" w:sz="8" w:color="auto"/>
            </w:tcBorders>
            <w:shd w:val="clear" w:color="auto" w:fill="D8D8D8"/>
          </w:tcPr>
          <w:p>
            <w:pPr>
              <w:jc w:val="center"/>
              <w:ind w:right="9"/>
              <w:spacing w:after="0"/>
              <w:rPr>
                <w:sz w:val="20"/>
                <w:szCs w:val="20"/>
                <w:color w:val="auto"/>
              </w:rPr>
            </w:pPr>
            <w:r>
              <w:rPr>
                <w:rFonts w:ascii="Arial" w:cs="Arial" w:eastAsia="Arial" w:hAnsi="Arial"/>
                <w:sz w:val="10"/>
                <w:szCs w:val="10"/>
                <w:color w:val="666666"/>
              </w:rPr>
              <w:t>9,000</w:t>
            </w:r>
          </w:p>
        </w:tc>
        <w:tc>
          <w:tcPr>
            <w:tcW w:w="0" w:type="dxa"/>
            <w:vAlign w:val="bottom"/>
          </w:tcPr>
          <w:p>
            <w:pPr>
              <w:spacing w:after="0"/>
              <w:rPr>
                <w:sz w:val="1"/>
                <w:szCs w:val="1"/>
                <w:color w:val="auto"/>
              </w:rPr>
            </w:pPr>
          </w:p>
        </w:tc>
      </w:tr>
      <w:tr>
        <w:trPr>
          <w:trHeight w:val="147"/>
        </w:trPr>
        <w:tc>
          <w:tcPr>
            <w:tcW w:w="1040" w:type="dxa"/>
            <w:vAlign w:val="bottom"/>
            <w:tcBorders>
              <w:left w:val="single" w:sz="8" w:color="auto"/>
            </w:tcBorders>
          </w:tcPr>
          <w:p>
            <w:pPr>
              <w:ind w:left="20"/>
              <w:spacing w:after="0"/>
              <w:rPr>
                <w:sz w:val="20"/>
                <w:szCs w:val="20"/>
                <w:color w:val="auto"/>
              </w:rPr>
            </w:pPr>
            <w:r>
              <w:rPr>
                <w:rFonts w:ascii="Arial" w:cs="Arial" w:eastAsia="Arial" w:hAnsi="Arial"/>
                <w:sz w:val="10"/>
                <w:szCs w:val="10"/>
                <w:color w:val="666666"/>
              </w:rPr>
              <w:t>Susan L. Penfield</w:t>
            </w:r>
          </w:p>
        </w:tc>
        <w:tc>
          <w:tcPr>
            <w:tcW w:w="920" w:type="dxa"/>
            <w:vAlign w:val="bottom"/>
          </w:tcPr>
          <w:p>
            <w:pPr>
              <w:jc w:val="center"/>
              <w:spacing w:after="0"/>
              <w:rPr>
                <w:sz w:val="20"/>
                <w:szCs w:val="20"/>
                <w:color w:val="auto"/>
              </w:rPr>
            </w:pPr>
            <w:r>
              <w:rPr>
                <w:rFonts w:ascii="Arial" w:cs="Arial" w:eastAsia="Arial" w:hAnsi="Arial"/>
                <w:sz w:val="10"/>
                <w:szCs w:val="10"/>
                <w:color w:val="666666"/>
              </w:rPr>
              <w:t>$29.08</w:t>
            </w:r>
          </w:p>
        </w:tc>
        <w:tc>
          <w:tcPr>
            <w:tcW w:w="54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20" w:type="dxa"/>
            <w:vAlign w:val="bottom"/>
          </w:tcPr>
          <w:p>
            <w:pPr>
              <w:jc w:val="center"/>
              <w:spacing w:after="0"/>
              <w:rPr>
                <w:sz w:val="20"/>
                <w:szCs w:val="20"/>
                <w:color w:val="auto"/>
              </w:rPr>
            </w:pPr>
            <w:r>
              <w:rPr>
                <w:rFonts w:ascii="Arial" w:cs="Arial" w:eastAsia="Arial" w:hAnsi="Arial"/>
                <w:sz w:val="10"/>
                <w:szCs w:val="10"/>
                <w:color w:val="666666"/>
              </w:rPr>
              <w:t>3,873</w:t>
            </w:r>
          </w:p>
        </w:tc>
        <w:tc>
          <w:tcPr>
            <w:tcW w:w="54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00" w:type="dxa"/>
            <w:vAlign w:val="bottom"/>
          </w:tcPr>
          <w:p>
            <w:pPr>
              <w:jc w:val="center"/>
              <w:spacing w:after="0"/>
              <w:rPr>
                <w:sz w:val="20"/>
                <w:szCs w:val="20"/>
                <w:color w:val="auto"/>
              </w:rPr>
            </w:pPr>
            <w:r>
              <w:rPr>
                <w:rFonts w:ascii="Arial" w:cs="Arial" w:eastAsia="Arial" w:hAnsi="Arial"/>
                <w:sz w:val="10"/>
                <w:szCs w:val="10"/>
                <w:color w:val="666666"/>
              </w:rPr>
              <w:t>3,873</w:t>
            </w:r>
          </w:p>
        </w:tc>
        <w:tc>
          <w:tcPr>
            <w:tcW w:w="62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2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560" w:type="dxa"/>
            <w:vAlign w:val="bottom"/>
            <w:tcBorders>
              <w:right w:val="single" w:sz="8" w:color="auto"/>
            </w:tcBorders>
          </w:tcPr>
          <w:p>
            <w:pPr>
              <w:jc w:val="center"/>
              <w:ind w:right="9"/>
              <w:spacing w:after="0"/>
              <w:rPr>
                <w:sz w:val="20"/>
                <w:szCs w:val="20"/>
                <w:color w:val="auto"/>
              </w:rPr>
            </w:pPr>
            <w:r>
              <w:rPr>
                <w:rFonts w:ascii="Arial" w:cs="Arial" w:eastAsia="Arial" w:hAnsi="Arial"/>
                <w:sz w:val="10"/>
                <w:szCs w:val="10"/>
                <w:color w:val="666666"/>
              </w:rPr>
              <w:t>7,746</w:t>
            </w:r>
          </w:p>
        </w:tc>
        <w:tc>
          <w:tcPr>
            <w:tcW w:w="0" w:type="dxa"/>
            <w:vAlign w:val="bottom"/>
          </w:tcPr>
          <w:p>
            <w:pPr>
              <w:spacing w:after="0"/>
              <w:rPr>
                <w:sz w:val="1"/>
                <w:szCs w:val="1"/>
                <w:color w:val="auto"/>
              </w:rPr>
            </w:pPr>
          </w:p>
        </w:tc>
      </w:tr>
      <w:tr>
        <w:trPr>
          <w:trHeight w:val="173"/>
        </w:trPr>
        <w:tc>
          <w:tcPr>
            <w:tcW w:w="1040" w:type="dxa"/>
            <w:vAlign w:val="bottom"/>
            <w:tcBorders>
              <w:left w:val="single" w:sz="8" w:color="auto"/>
            </w:tcBorders>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666666"/>
              </w:rPr>
              <w:t>$35.95</w:t>
            </w:r>
          </w:p>
        </w:tc>
        <w:tc>
          <w:tcPr>
            <w:tcW w:w="54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20" w:type="dxa"/>
            <w:vAlign w:val="bottom"/>
          </w:tcPr>
          <w:p>
            <w:pPr>
              <w:jc w:val="center"/>
              <w:spacing w:after="0"/>
              <w:rPr>
                <w:sz w:val="20"/>
                <w:szCs w:val="20"/>
                <w:color w:val="auto"/>
              </w:rPr>
            </w:pPr>
            <w:r>
              <w:rPr>
                <w:rFonts w:ascii="Arial" w:cs="Arial" w:eastAsia="Arial" w:hAnsi="Arial"/>
                <w:sz w:val="10"/>
                <w:szCs w:val="10"/>
                <w:color w:val="666666"/>
                <w:w w:val="97"/>
              </w:rPr>
              <w:t>10,552</w:t>
            </w:r>
          </w:p>
        </w:tc>
        <w:tc>
          <w:tcPr>
            <w:tcW w:w="54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600" w:type="dxa"/>
            <w:vAlign w:val="bottom"/>
          </w:tcPr>
          <w:p>
            <w:pPr>
              <w:jc w:val="center"/>
              <w:spacing w:after="0"/>
              <w:rPr>
                <w:sz w:val="20"/>
                <w:szCs w:val="20"/>
                <w:color w:val="auto"/>
              </w:rPr>
            </w:pPr>
            <w:r>
              <w:rPr>
                <w:rFonts w:ascii="Arial" w:cs="Arial" w:eastAsia="Arial" w:hAnsi="Arial"/>
                <w:sz w:val="10"/>
                <w:szCs w:val="10"/>
                <w:color w:val="666666"/>
              </w:rPr>
              <w:t>10,552</w:t>
            </w:r>
          </w:p>
        </w:tc>
        <w:tc>
          <w:tcPr>
            <w:tcW w:w="620" w:type="dxa"/>
            <w:vAlign w:val="bottom"/>
          </w:tcPr>
          <w:p>
            <w:pPr>
              <w:jc w:val="center"/>
              <w:spacing w:after="0"/>
              <w:rPr>
                <w:sz w:val="20"/>
                <w:szCs w:val="20"/>
                <w:color w:val="auto"/>
              </w:rPr>
            </w:pPr>
            <w:r>
              <w:rPr>
                <w:rFonts w:ascii="Arial" w:cs="Arial" w:eastAsia="Arial" w:hAnsi="Arial"/>
                <w:sz w:val="10"/>
                <w:szCs w:val="10"/>
                <w:color w:val="666666"/>
                <w:w w:val="97"/>
              </w:rPr>
              <w:t>10,552</w:t>
            </w:r>
          </w:p>
        </w:tc>
        <w:tc>
          <w:tcPr>
            <w:tcW w:w="620" w:type="dxa"/>
            <w:vAlign w:val="bottom"/>
          </w:tcPr>
          <w:p>
            <w:pPr>
              <w:jc w:val="center"/>
              <w:spacing w:after="0"/>
              <w:rPr>
                <w:sz w:val="20"/>
                <w:szCs w:val="20"/>
                <w:color w:val="auto"/>
              </w:rPr>
            </w:pPr>
            <w:r>
              <w:rPr>
                <w:rFonts w:ascii="Arial" w:cs="Arial" w:eastAsia="Arial" w:hAnsi="Arial"/>
                <w:sz w:val="10"/>
                <w:szCs w:val="10"/>
                <w:color w:val="666666"/>
              </w:rPr>
              <w:t>10,553</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666666"/>
              </w:rPr>
              <w:t>42,209</w:t>
            </w:r>
          </w:p>
        </w:tc>
        <w:tc>
          <w:tcPr>
            <w:tcW w:w="0" w:type="dxa"/>
            <w:vAlign w:val="bottom"/>
          </w:tcPr>
          <w:p>
            <w:pPr>
              <w:spacing w:after="0"/>
              <w:rPr>
                <w:sz w:val="1"/>
                <w:szCs w:val="1"/>
                <w:color w:val="auto"/>
              </w:rPr>
            </w:pPr>
          </w:p>
        </w:tc>
      </w:tr>
      <w:tr>
        <w:trPr>
          <w:trHeight w:val="26"/>
        </w:trPr>
        <w:tc>
          <w:tcPr>
            <w:tcW w:w="104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42</w:t>
      </w:r>
    </w:p>
    <w:p>
      <w:pPr>
        <w:sectPr>
          <w:pgSz w:w="11900" w:h="16838" w:orient="portrait"/>
          <w:cols w:equalWidth="0" w:num="1">
            <w:col w:w="11500"/>
          </w:cols>
          <w:pgMar w:left="200" w:top="457" w:right="199" w:bottom="1440" w:gutter="0" w:footer="0" w:header="0"/>
        </w:sectPr>
      </w:pPr>
    </w:p>
    <w:bookmarkStart w:id="51" w:name="page52"/>
    <w:bookmarkEnd w:id="51"/>
    <w:p>
      <w:pPr>
        <w:ind w:left="540" w:hanging="370"/>
        <w:spacing w:after="0" w:line="285" w:lineRule="auto"/>
        <w:tabs>
          <w:tab w:leader="none" w:pos="309" w:val="left"/>
        </w:tabs>
        <w:numPr>
          <w:ilvl w:val="0"/>
          <w:numId w:val="41"/>
        </w:numPr>
        <w:rPr>
          <w:rFonts w:ascii="Arial" w:cs="Arial" w:eastAsia="Arial" w:hAnsi="Arial"/>
          <w:sz w:val="10"/>
          <w:szCs w:val="10"/>
          <w:color w:val="666666"/>
        </w:rPr>
      </w:pPr>
      <w:r>
        <w:rPr>
          <w:rFonts w:ascii="Arial" w:cs="Arial" w:eastAsia="Arial" w:hAnsi="Arial"/>
          <w:sz w:val="10"/>
          <w:szCs w:val="10"/>
          <w:color w:val="666666"/>
        </w:rPr>
        <w:t>The named executive officers’ restricted stock and restricted stock units will vest on the dates set forth in the table below. The restricted stock and restricted stock units become fully vested upon certain change in control events, unless otherwise determined by our Compensation Committee. Includes restricted stock units with respect to which performance goals were satisfied as of March 31, 2018.</w:t>
      </w:r>
    </w:p>
    <w:p>
      <w:pPr>
        <w:spacing w:after="0" w:line="42" w:lineRule="exact"/>
        <w:rPr>
          <w:sz w:val="20"/>
          <w:szCs w:val="20"/>
          <w:color w:val="auto"/>
        </w:rPr>
      </w:pPr>
    </w:p>
    <w:tbl>
      <w:tblPr>
        <w:tblLayout w:type="fixed"/>
        <w:tblInd w:w="3310" w:type="dxa"/>
        <w:tblCellMar>
          <w:top w:w="0" w:type="dxa"/>
          <w:left w:w="0" w:type="dxa"/>
          <w:bottom w:w="0" w:type="dxa"/>
          <w:right w:w="0" w:type="dxa"/>
        </w:tblCellMar>
      </w:tblPr>
      <w:tr>
        <w:trPr>
          <w:trHeight w:val="163"/>
        </w:trPr>
        <w:tc>
          <w:tcPr>
            <w:tcW w:w="1040" w:type="dxa"/>
            <w:vAlign w:val="bottom"/>
            <w:tcBorders>
              <w:top w:val="single" w:sz="8" w:color="auto"/>
              <w:left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0"/>
                <w:szCs w:val="10"/>
                <w:b w:val="1"/>
                <w:bCs w:val="1"/>
                <w:color w:val="666666"/>
              </w:rPr>
              <w:t>Name</w:t>
            </w:r>
          </w:p>
        </w:tc>
        <w:tc>
          <w:tcPr>
            <w:tcW w:w="780" w:type="dxa"/>
            <w:vAlign w:val="bottom"/>
            <w:tcBorders>
              <w:top w:val="single" w:sz="8" w:color="auto"/>
              <w:bottom w:val="single" w:sz="8" w:color="auto"/>
            </w:tcBorders>
            <w:shd w:val="clear" w:color="auto" w:fill="D8D8D8"/>
          </w:tcPr>
          <w:p>
            <w:pPr>
              <w:ind w:left="80"/>
              <w:spacing w:after="0"/>
              <w:rPr>
                <w:sz w:val="20"/>
                <w:szCs w:val="20"/>
                <w:color w:val="auto"/>
              </w:rPr>
            </w:pPr>
            <w:r>
              <w:rPr>
                <w:rFonts w:ascii="Arial" w:cs="Arial" w:eastAsia="Arial" w:hAnsi="Arial"/>
                <w:sz w:val="10"/>
                <w:szCs w:val="10"/>
                <w:b w:val="1"/>
                <w:bCs w:val="1"/>
                <w:color w:val="666666"/>
              </w:rPr>
              <w:t>June 30, 2018</w:t>
            </w:r>
          </w:p>
        </w:tc>
        <w:tc>
          <w:tcPr>
            <w:tcW w:w="800" w:type="dxa"/>
            <w:vAlign w:val="bottom"/>
            <w:tcBorders>
              <w:top w:val="single" w:sz="8" w:color="auto"/>
              <w:bottom w:val="single" w:sz="8" w:color="auto"/>
            </w:tcBorders>
            <w:shd w:val="clear" w:color="auto" w:fill="D8D8D8"/>
          </w:tcPr>
          <w:p>
            <w:pPr>
              <w:ind w:left="40"/>
              <w:spacing w:after="0"/>
              <w:rPr>
                <w:sz w:val="20"/>
                <w:szCs w:val="20"/>
                <w:color w:val="auto"/>
              </w:rPr>
            </w:pPr>
            <w:r>
              <w:rPr>
                <w:rFonts w:ascii="Arial" w:cs="Arial" w:eastAsia="Arial" w:hAnsi="Arial"/>
                <w:sz w:val="10"/>
                <w:szCs w:val="10"/>
                <w:b w:val="1"/>
                <w:bCs w:val="1"/>
                <w:color w:val="666666"/>
              </w:rPr>
              <w:t>March 31, 2019</w:t>
            </w:r>
          </w:p>
        </w:tc>
        <w:tc>
          <w:tcPr>
            <w:tcW w:w="74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0"/>
                <w:szCs w:val="10"/>
                <w:b w:val="1"/>
                <w:bCs w:val="1"/>
                <w:color w:val="666666"/>
              </w:rPr>
              <w:t>June 30, 2019</w:t>
            </w:r>
          </w:p>
        </w:tc>
        <w:tc>
          <w:tcPr>
            <w:tcW w:w="880" w:type="dxa"/>
            <w:vAlign w:val="bottom"/>
            <w:tcBorders>
              <w:top w:val="single" w:sz="8" w:color="auto"/>
              <w:bottom w:val="single" w:sz="8" w:color="auto"/>
            </w:tcBorders>
            <w:shd w:val="clear" w:color="auto" w:fill="D8D8D8"/>
          </w:tcPr>
          <w:p>
            <w:pPr>
              <w:ind w:left="40"/>
              <w:spacing w:after="0"/>
              <w:rPr>
                <w:sz w:val="20"/>
                <w:szCs w:val="20"/>
                <w:color w:val="auto"/>
              </w:rPr>
            </w:pPr>
            <w:r>
              <w:rPr>
                <w:rFonts w:ascii="Arial" w:cs="Arial" w:eastAsia="Arial" w:hAnsi="Arial"/>
                <w:sz w:val="10"/>
                <w:szCs w:val="10"/>
                <w:b w:val="1"/>
                <w:bCs w:val="1"/>
                <w:color w:val="666666"/>
              </w:rPr>
              <w:t>March 31, 2020</w:t>
            </w:r>
          </w:p>
        </w:tc>
        <w:tc>
          <w:tcPr>
            <w:tcW w:w="700" w:type="dxa"/>
            <w:vAlign w:val="bottom"/>
            <w:tcBorders>
              <w:top w:val="single" w:sz="8" w:color="auto"/>
              <w:bottom w:val="single" w:sz="8" w:color="auto"/>
              <w:right w:val="single" w:sz="8" w:color="auto"/>
            </w:tcBorders>
            <w:shd w:val="clear" w:color="auto" w:fill="D8D8D8"/>
          </w:tcPr>
          <w:p>
            <w:pPr>
              <w:jc w:val="center"/>
              <w:ind w:right="89"/>
              <w:spacing w:after="0"/>
              <w:rPr>
                <w:sz w:val="20"/>
                <w:szCs w:val="20"/>
                <w:color w:val="auto"/>
              </w:rPr>
            </w:pPr>
            <w:r>
              <w:rPr>
                <w:rFonts w:ascii="Arial" w:cs="Arial" w:eastAsia="Arial" w:hAnsi="Arial"/>
                <w:sz w:val="10"/>
                <w:szCs w:val="10"/>
                <w:b w:val="1"/>
                <w:bCs w:val="1"/>
                <w:color w:val="666666"/>
              </w:rPr>
              <w:t>Total</w:t>
            </w:r>
          </w:p>
        </w:tc>
      </w:tr>
      <w:tr>
        <w:trPr>
          <w:trHeight w:val="140"/>
        </w:trPr>
        <w:tc>
          <w:tcPr>
            <w:tcW w:w="1040" w:type="dxa"/>
            <w:vAlign w:val="bottom"/>
            <w:tcBorders>
              <w:left w:val="single" w:sz="8" w:color="auto"/>
            </w:tcBorders>
          </w:tcPr>
          <w:p>
            <w:pPr>
              <w:ind w:left="20"/>
              <w:spacing w:after="0"/>
              <w:rPr>
                <w:sz w:val="20"/>
                <w:szCs w:val="20"/>
                <w:color w:val="auto"/>
              </w:rPr>
            </w:pPr>
            <w:r>
              <w:rPr>
                <w:rFonts w:ascii="Arial" w:cs="Arial" w:eastAsia="Arial" w:hAnsi="Arial"/>
                <w:sz w:val="10"/>
                <w:szCs w:val="10"/>
                <w:color w:val="666666"/>
              </w:rPr>
              <w:t>Horacio D. Rozanski</w:t>
            </w:r>
          </w:p>
        </w:tc>
        <w:tc>
          <w:tcPr>
            <w:tcW w:w="780" w:type="dxa"/>
            <w:vAlign w:val="bottom"/>
          </w:tcPr>
          <w:p>
            <w:pPr>
              <w:jc w:val="center"/>
              <w:ind w:left="9"/>
              <w:spacing w:after="0"/>
              <w:rPr>
                <w:sz w:val="20"/>
                <w:szCs w:val="20"/>
                <w:color w:val="auto"/>
              </w:rPr>
            </w:pPr>
            <w:r>
              <w:rPr>
                <w:rFonts w:ascii="Arial" w:cs="Arial" w:eastAsia="Arial" w:hAnsi="Arial"/>
                <w:sz w:val="10"/>
                <w:szCs w:val="10"/>
                <w:color w:val="666666"/>
              </w:rPr>
              <w:t>12,384</w:t>
            </w:r>
          </w:p>
        </w:tc>
        <w:tc>
          <w:tcPr>
            <w:tcW w:w="800" w:type="dxa"/>
            <w:vAlign w:val="bottom"/>
          </w:tcPr>
          <w:p>
            <w:pPr>
              <w:jc w:val="center"/>
              <w:spacing w:after="0"/>
              <w:rPr>
                <w:sz w:val="20"/>
                <w:szCs w:val="20"/>
                <w:color w:val="auto"/>
              </w:rPr>
            </w:pPr>
            <w:r>
              <w:rPr>
                <w:rFonts w:ascii="Arial" w:cs="Arial" w:eastAsia="Arial" w:hAnsi="Arial"/>
                <w:sz w:val="10"/>
                <w:szCs w:val="10"/>
                <w:color w:val="666666"/>
              </w:rPr>
              <w:t>10,921</w:t>
            </w:r>
          </w:p>
        </w:tc>
        <w:tc>
          <w:tcPr>
            <w:tcW w:w="740" w:type="dxa"/>
            <w:vAlign w:val="bottom"/>
          </w:tcPr>
          <w:p>
            <w:pPr>
              <w:jc w:val="center"/>
              <w:spacing w:after="0"/>
              <w:rPr>
                <w:sz w:val="20"/>
                <w:szCs w:val="20"/>
                <w:color w:val="auto"/>
              </w:rPr>
            </w:pPr>
            <w:r>
              <w:rPr>
                <w:rFonts w:ascii="Arial" w:cs="Arial" w:eastAsia="Arial" w:hAnsi="Arial"/>
                <w:sz w:val="10"/>
                <w:szCs w:val="10"/>
                <w:color w:val="666666"/>
              </w:rPr>
              <w:t>6,207</w:t>
            </w:r>
          </w:p>
        </w:tc>
        <w:tc>
          <w:tcPr>
            <w:tcW w:w="880" w:type="dxa"/>
            <w:vAlign w:val="bottom"/>
          </w:tcPr>
          <w:p>
            <w:pPr>
              <w:jc w:val="center"/>
              <w:ind w:right="29"/>
              <w:spacing w:after="0"/>
              <w:rPr>
                <w:sz w:val="20"/>
                <w:szCs w:val="20"/>
                <w:color w:val="auto"/>
              </w:rPr>
            </w:pPr>
            <w:r>
              <w:rPr>
                <w:rFonts w:ascii="Arial" w:cs="Arial" w:eastAsia="Arial" w:hAnsi="Arial"/>
                <w:sz w:val="10"/>
                <w:szCs w:val="10"/>
                <w:color w:val="666666"/>
              </w:rPr>
              <w:t>10,924</w:t>
            </w:r>
          </w:p>
        </w:tc>
        <w:tc>
          <w:tcPr>
            <w:tcW w:w="700" w:type="dxa"/>
            <w:vAlign w:val="bottom"/>
            <w:tcBorders>
              <w:right w:val="single" w:sz="8" w:color="auto"/>
            </w:tcBorders>
          </w:tcPr>
          <w:p>
            <w:pPr>
              <w:jc w:val="center"/>
              <w:ind w:right="69"/>
              <w:spacing w:after="0"/>
              <w:rPr>
                <w:sz w:val="20"/>
                <w:szCs w:val="20"/>
                <w:color w:val="auto"/>
              </w:rPr>
            </w:pPr>
            <w:r>
              <w:rPr>
                <w:rFonts w:ascii="Arial" w:cs="Arial" w:eastAsia="Arial" w:hAnsi="Arial"/>
                <w:sz w:val="10"/>
                <w:szCs w:val="10"/>
                <w:color w:val="666666"/>
                <w:w w:val="97"/>
              </w:rPr>
              <w:t>40,436</w:t>
            </w:r>
          </w:p>
        </w:tc>
      </w:tr>
      <w:tr>
        <w:trPr>
          <w:trHeight w:val="157"/>
        </w:trPr>
        <w:tc>
          <w:tcPr>
            <w:tcW w:w="1040" w:type="dxa"/>
            <w:vAlign w:val="bottom"/>
            <w:tcBorders>
              <w:left w:val="single" w:sz="8" w:color="auto"/>
            </w:tcBorders>
            <w:shd w:val="clear" w:color="auto" w:fill="D8D8D8"/>
          </w:tcPr>
          <w:p>
            <w:pPr>
              <w:ind w:left="20"/>
              <w:spacing w:after="0"/>
              <w:rPr>
                <w:sz w:val="20"/>
                <w:szCs w:val="20"/>
                <w:color w:val="auto"/>
              </w:rPr>
            </w:pPr>
            <w:r>
              <w:rPr>
                <w:rFonts w:ascii="Arial" w:cs="Arial" w:eastAsia="Arial" w:hAnsi="Arial"/>
                <w:sz w:val="10"/>
                <w:szCs w:val="10"/>
                <w:color w:val="666666"/>
              </w:rPr>
              <w:t>Lloyd W. Howell, Jr.</w:t>
            </w:r>
          </w:p>
        </w:tc>
        <w:tc>
          <w:tcPr>
            <w:tcW w:w="780" w:type="dxa"/>
            <w:vAlign w:val="bottom"/>
            <w:shd w:val="clear" w:color="auto" w:fill="D8D8D8"/>
          </w:tcPr>
          <w:p>
            <w:pPr>
              <w:jc w:val="center"/>
              <w:spacing w:after="0"/>
              <w:rPr>
                <w:sz w:val="20"/>
                <w:szCs w:val="20"/>
                <w:color w:val="auto"/>
              </w:rPr>
            </w:pPr>
            <w:r>
              <w:rPr>
                <w:rFonts w:ascii="Arial" w:cs="Arial" w:eastAsia="Arial" w:hAnsi="Arial"/>
                <w:sz w:val="10"/>
                <w:szCs w:val="10"/>
                <w:color w:val="666666"/>
              </w:rPr>
              <w:t>9,172</w:t>
            </w:r>
          </w:p>
        </w:tc>
        <w:tc>
          <w:tcPr>
            <w:tcW w:w="800" w:type="dxa"/>
            <w:vAlign w:val="bottom"/>
            <w:shd w:val="clear" w:color="auto" w:fill="D8D8D8"/>
          </w:tcPr>
          <w:p>
            <w:pPr>
              <w:jc w:val="center"/>
              <w:spacing w:after="0"/>
              <w:rPr>
                <w:sz w:val="20"/>
                <w:szCs w:val="20"/>
                <w:color w:val="auto"/>
              </w:rPr>
            </w:pPr>
            <w:r>
              <w:rPr>
                <w:rFonts w:ascii="Arial" w:cs="Arial" w:eastAsia="Arial" w:hAnsi="Arial"/>
                <w:sz w:val="10"/>
                <w:szCs w:val="10"/>
                <w:color w:val="666666"/>
              </w:rPr>
              <w:t>7,005</w:t>
            </w:r>
          </w:p>
        </w:tc>
        <w:tc>
          <w:tcPr>
            <w:tcW w:w="740" w:type="dxa"/>
            <w:vAlign w:val="bottom"/>
            <w:shd w:val="clear" w:color="auto" w:fill="D8D8D8"/>
          </w:tcPr>
          <w:p>
            <w:pPr>
              <w:jc w:val="center"/>
              <w:spacing w:after="0"/>
              <w:rPr>
                <w:sz w:val="20"/>
                <w:szCs w:val="20"/>
                <w:color w:val="auto"/>
              </w:rPr>
            </w:pPr>
            <w:r>
              <w:rPr>
                <w:rFonts w:ascii="Arial" w:cs="Arial" w:eastAsia="Arial" w:hAnsi="Arial"/>
                <w:sz w:val="10"/>
                <w:szCs w:val="10"/>
                <w:color w:val="666666"/>
              </w:rPr>
              <w:t>4,318</w:t>
            </w:r>
          </w:p>
        </w:tc>
        <w:tc>
          <w:tcPr>
            <w:tcW w:w="880" w:type="dxa"/>
            <w:vAlign w:val="bottom"/>
            <w:shd w:val="clear" w:color="auto" w:fill="D8D8D8"/>
          </w:tcPr>
          <w:p>
            <w:pPr>
              <w:jc w:val="center"/>
              <w:ind w:right="29"/>
              <w:spacing w:after="0"/>
              <w:rPr>
                <w:sz w:val="20"/>
                <w:szCs w:val="20"/>
                <w:color w:val="auto"/>
              </w:rPr>
            </w:pPr>
            <w:r>
              <w:rPr>
                <w:rFonts w:ascii="Arial" w:cs="Arial" w:eastAsia="Arial" w:hAnsi="Arial"/>
                <w:sz w:val="10"/>
                <w:szCs w:val="10"/>
                <w:color w:val="666666"/>
                <w:w w:val="95"/>
              </w:rPr>
              <w:t>7,006</w:t>
            </w:r>
          </w:p>
        </w:tc>
        <w:tc>
          <w:tcPr>
            <w:tcW w:w="700" w:type="dxa"/>
            <w:vAlign w:val="bottom"/>
            <w:tcBorders>
              <w:right w:val="single" w:sz="8" w:color="auto"/>
            </w:tcBorders>
            <w:shd w:val="clear" w:color="auto" w:fill="D8D8D8"/>
          </w:tcPr>
          <w:p>
            <w:pPr>
              <w:jc w:val="center"/>
              <w:ind w:right="69"/>
              <w:spacing w:after="0"/>
              <w:rPr>
                <w:sz w:val="20"/>
                <w:szCs w:val="20"/>
                <w:color w:val="auto"/>
              </w:rPr>
            </w:pPr>
            <w:r>
              <w:rPr>
                <w:rFonts w:ascii="Arial" w:cs="Arial" w:eastAsia="Arial" w:hAnsi="Arial"/>
                <w:sz w:val="10"/>
                <w:szCs w:val="10"/>
                <w:color w:val="666666"/>
                <w:w w:val="97"/>
              </w:rPr>
              <w:t>27,501</w:t>
            </w:r>
          </w:p>
        </w:tc>
      </w:tr>
      <w:tr>
        <w:trPr>
          <w:trHeight w:val="150"/>
        </w:trPr>
        <w:tc>
          <w:tcPr>
            <w:tcW w:w="1040" w:type="dxa"/>
            <w:vAlign w:val="bottom"/>
            <w:tcBorders>
              <w:left w:val="single" w:sz="8" w:color="auto"/>
            </w:tcBorders>
          </w:tcPr>
          <w:p>
            <w:pPr>
              <w:ind w:left="20"/>
              <w:spacing w:after="0"/>
              <w:rPr>
                <w:sz w:val="20"/>
                <w:szCs w:val="20"/>
                <w:color w:val="auto"/>
              </w:rPr>
            </w:pPr>
            <w:r>
              <w:rPr>
                <w:rFonts w:ascii="Arial" w:cs="Arial" w:eastAsia="Arial" w:hAnsi="Arial"/>
                <w:sz w:val="10"/>
                <w:szCs w:val="10"/>
                <w:color w:val="666666"/>
              </w:rPr>
              <w:t>Karen M. Dahut</w:t>
            </w:r>
          </w:p>
        </w:tc>
        <w:tc>
          <w:tcPr>
            <w:tcW w:w="780" w:type="dxa"/>
            <w:vAlign w:val="bottom"/>
          </w:tcPr>
          <w:p>
            <w:pPr>
              <w:jc w:val="center"/>
              <w:spacing w:after="0"/>
              <w:rPr>
                <w:sz w:val="20"/>
                <w:szCs w:val="20"/>
                <w:color w:val="auto"/>
              </w:rPr>
            </w:pPr>
            <w:r>
              <w:rPr>
                <w:rFonts w:ascii="Arial" w:cs="Arial" w:eastAsia="Arial" w:hAnsi="Arial"/>
                <w:sz w:val="10"/>
                <w:szCs w:val="10"/>
                <w:color w:val="666666"/>
              </w:rPr>
              <w:t>9,172</w:t>
            </w:r>
          </w:p>
        </w:tc>
        <w:tc>
          <w:tcPr>
            <w:tcW w:w="800" w:type="dxa"/>
            <w:vAlign w:val="bottom"/>
          </w:tcPr>
          <w:p>
            <w:pPr>
              <w:jc w:val="center"/>
              <w:spacing w:after="0"/>
              <w:rPr>
                <w:sz w:val="20"/>
                <w:szCs w:val="20"/>
                <w:color w:val="auto"/>
              </w:rPr>
            </w:pPr>
            <w:r>
              <w:rPr>
                <w:rFonts w:ascii="Arial" w:cs="Arial" w:eastAsia="Arial" w:hAnsi="Arial"/>
                <w:sz w:val="10"/>
                <w:szCs w:val="10"/>
                <w:color w:val="666666"/>
              </w:rPr>
              <w:t>7,005</w:t>
            </w:r>
          </w:p>
        </w:tc>
        <w:tc>
          <w:tcPr>
            <w:tcW w:w="740" w:type="dxa"/>
            <w:vAlign w:val="bottom"/>
          </w:tcPr>
          <w:p>
            <w:pPr>
              <w:jc w:val="center"/>
              <w:spacing w:after="0"/>
              <w:rPr>
                <w:sz w:val="20"/>
                <w:szCs w:val="20"/>
                <w:color w:val="auto"/>
              </w:rPr>
            </w:pPr>
            <w:r>
              <w:rPr>
                <w:rFonts w:ascii="Arial" w:cs="Arial" w:eastAsia="Arial" w:hAnsi="Arial"/>
                <w:sz w:val="10"/>
                <w:szCs w:val="10"/>
                <w:color w:val="666666"/>
              </w:rPr>
              <w:t>4,318</w:t>
            </w:r>
          </w:p>
        </w:tc>
        <w:tc>
          <w:tcPr>
            <w:tcW w:w="880" w:type="dxa"/>
            <w:vAlign w:val="bottom"/>
          </w:tcPr>
          <w:p>
            <w:pPr>
              <w:jc w:val="center"/>
              <w:ind w:right="29"/>
              <w:spacing w:after="0"/>
              <w:rPr>
                <w:sz w:val="20"/>
                <w:szCs w:val="20"/>
                <w:color w:val="auto"/>
              </w:rPr>
            </w:pPr>
            <w:r>
              <w:rPr>
                <w:rFonts w:ascii="Arial" w:cs="Arial" w:eastAsia="Arial" w:hAnsi="Arial"/>
                <w:sz w:val="10"/>
                <w:szCs w:val="10"/>
                <w:color w:val="666666"/>
                <w:w w:val="95"/>
              </w:rPr>
              <w:t>7,006</w:t>
            </w:r>
          </w:p>
        </w:tc>
        <w:tc>
          <w:tcPr>
            <w:tcW w:w="700" w:type="dxa"/>
            <w:vAlign w:val="bottom"/>
            <w:tcBorders>
              <w:right w:val="single" w:sz="8" w:color="auto"/>
            </w:tcBorders>
          </w:tcPr>
          <w:p>
            <w:pPr>
              <w:jc w:val="center"/>
              <w:ind w:right="69"/>
              <w:spacing w:after="0"/>
              <w:rPr>
                <w:sz w:val="20"/>
                <w:szCs w:val="20"/>
                <w:color w:val="auto"/>
              </w:rPr>
            </w:pPr>
            <w:r>
              <w:rPr>
                <w:rFonts w:ascii="Arial" w:cs="Arial" w:eastAsia="Arial" w:hAnsi="Arial"/>
                <w:sz w:val="10"/>
                <w:szCs w:val="10"/>
                <w:color w:val="666666"/>
                <w:w w:val="97"/>
              </w:rPr>
              <w:t>27,501</w:t>
            </w:r>
          </w:p>
        </w:tc>
      </w:tr>
      <w:tr>
        <w:trPr>
          <w:trHeight w:val="157"/>
        </w:trPr>
        <w:tc>
          <w:tcPr>
            <w:tcW w:w="1040" w:type="dxa"/>
            <w:vAlign w:val="bottom"/>
            <w:tcBorders>
              <w:left w:val="single" w:sz="8" w:color="auto"/>
            </w:tcBorders>
            <w:shd w:val="clear" w:color="auto" w:fill="D8D8D8"/>
          </w:tcPr>
          <w:p>
            <w:pPr>
              <w:ind w:left="20"/>
              <w:spacing w:after="0"/>
              <w:rPr>
                <w:sz w:val="20"/>
                <w:szCs w:val="20"/>
                <w:color w:val="auto"/>
              </w:rPr>
            </w:pPr>
            <w:r>
              <w:rPr>
                <w:rFonts w:ascii="Arial" w:cs="Arial" w:eastAsia="Arial" w:hAnsi="Arial"/>
                <w:sz w:val="10"/>
                <w:szCs w:val="10"/>
                <w:color w:val="666666"/>
              </w:rPr>
              <w:t>Joseph Logue</w:t>
            </w:r>
          </w:p>
        </w:tc>
        <w:tc>
          <w:tcPr>
            <w:tcW w:w="780" w:type="dxa"/>
            <w:vAlign w:val="bottom"/>
            <w:shd w:val="clear" w:color="auto" w:fill="D8D8D8"/>
          </w:tcPr>
          <w:p>
            <w:pPr>
              <w:jc w:val="center"/>
              <w:spacing w:after="0"/>
              <w:rPr>
                <w:sz w:val="20"/>
                <w:szCs w:val="20"/>
                <w:color w:val="auto"/>
              </w:rPr>
            </w:pPr>
            <w:r>
              <w:rPr>
                <w:rFonts w:ascii="Arial" w:cs="Arial" w:eastAsia="Arial" w:hAnsi="Arial"/>
                <w:sz w:val="10"/>
                <w:szCs w:val="10"/>
                <w:color w:val="666666"/>
                <w:w w:val="97"/>
              </w:rPr>
              <w:t>11,574</w:t>
            </w:r>
          </w:p>
        </w:tc>
        <w:tc>
          <w:tcPr>
            <w:tcW w:w="800" w:type="dxa"/>
            <w:vAlign w:val="bottom"/>
            <w:shd w:val="clear" w:color="auto" w:fill="D8D8D8"/>
          </w:tcPr>
          <w:p>
            <w:pPr>
              <w:jc w:val="center"/>
              <w:spacing w:after="0"/>
              <w:rPr>
                <w:sz w:val="20"/>
                <w:szCs w:val="20"/>
                <w:color w:val="auto"/>
              </w:rPr>
            </w:pPr>
            <w:r>
              <w:rPr>
                <w:rFonts w:ascii="Arial" w:cs="Arial" w:eastAsia="Arial" w:hAnsi="Arial"/>
                <w:sz w:val="10"/>
                <w:szCs w:val="10"/>
                <w:color w:val="666666"/>
              </w:rPr>
              <w:t>7,018</w:t>
            </w:r>
          </w:p>
        </w:tc>
        <w:tc>
          <w:tcPr>
            <w:tcW w:w="740" w:type="dxa"/>
            <w:vAlign w:val="bottom"/>
            <w:shd w:val="clear" w:color="auto" w:fill="D8D8D8"/>
          </w:tcPr>
          <w:p>
            <w:pPr>
              <w:jc w:val="center"/>
              <w:spacing w:after="0"/>
              <w:rPr>
                <w:sz w:val="20"/>
                <w:szCs w:val="20"/>
                <w:color w:val="auto"/>
              </w:rPr>
            </w:pPr>
            <w:r>
              <w:rPr>
                <w:rFonts w:ascii="Arial" w:cs="Arial" w:eastAsia="Arial" w:hAnsi="Arial"/>
                <w:sz w:val="10"/>
                <w:szCs w:val="10"/>
                <w:color w:val="666666"/>
              </w:rPr>
              <w:t>5,398</w:t>
            </w:r>
          </w:p>
        </w:tc>
        <w:tc>
          <w:tcPr>
            <w:tcW w:w="880" w:type="dxa"/>
            <w:vAlign w:val="bottom"/>
            <w:shd w:val="clear" w:color="auto" w:fill="D8D8D8"/>
          </w:tcPr>
          <w:p>
            <w:pPr>
              <w:jc w:val="center"/>
              <w:ind w:right="29"/>
              <w:spacing w:after="0"/>
              <w:rPr>
                <w:sz w:val="20"/>
                <w:szCs w:val="20"/>
                <w:color w:val="auto"/>
              </w:rPr>
            </w:pPr>
            <w:r>
              <w:rPr>
                <w:rFonts w:ascii="Arial" w:cs="Arial" w:eastAsia="Arial" w:hAnsi="Arial"/>
                <w:sz w:val="10"/>
                <w:szCs w:val="10"/>
                <w:color w:val="666666"/>
                <w:w w:val="95"/>
              </w:rPr>
              <w:t>7,019</w:t>
            </w:r>
          </w:p>
        </w:tc>
        <w:tc>
          <w:tcPr>
            <w:tcW w:w="700" w:type="dxa"/>
            <w:vAlign w:val="bottom"/>
            <w:tcBorders>
              <w:right w:val="single" w:sz="8" w:color="auto"/>
            </w:tcBorders>
            <w:shd w:val="clear" w:color="auto" w:fill="D8D8D8"/>
          </w:tcPr>
          <w:p>
            <w:pPr>
              <w:jc w:val="center"/>
              <w:ind w:right="69"/>
              <w:spacing w:after="0"/>
              <w:rPr>
                <w:sz w:val="20"/>
                <w:szCs w:val="20"/>
                <w:color w:val="auto"/>
              </w:rPr>
            </w:pPr>
            <w:r>
              <w:rPr>
                <w:rFonts w:ascii="Arial" w:cs="Arial" w:eastAsia="Arial" w:hAnsi="Arial"/>
                <w:sz w:val="10"/>
                <w:szCs w:val="10"/>
                <w:color w:val="666666"/>
                <w:w w:val="97"/>
              </w:rPr>
              <w:t>31,009</w:t>
            </w:r>
          </w:p>
        </w:tc>
      </w:tr>
      <w:tr>
        <w:trPr>
          <w:trHeight w:val="150"/>
        </w:trPr>
        <w:tc>
          <w:tcPr>
            <w:tcW w:w="10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0"/>
                <w:szCs w:val="10"/>
                <w:color w:val="666666"/>
              </w:rPr>
              <w:t>Susan L. Penfield</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666666"/>
              </w:rPr>
              <w:t>5,591</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666666"/>
              </w:rPr>
              <w:t>6,412</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666666"/>
              </w:rPr>
              <w:t>3,238</w:t>
            </w:r>
          </w:p>
        </w:tc>
        <w:tc>
          <w:tcPr>
            <w:tcW w:w="880" w:type="dxa"/>
            <w:vAlign w:val="bottom"/>
            <w:tcBorders>
              <w:bottom w:val="single" w:sz="8" w:color="auto"/>
            </w:tcBorders>
          </w:tcPr>
          <w:p>
            <w:pPr>
              <w:jc w:val="center"/>
              <w:ind w:right="29"/>
              <w:spacing w:after="0"/>
              <w:rPr>
                <w:sz w:val="20"/>
                <w:szCs w:val="20"/>
                <w:color w:val="auto"/>
              </w:rPr>
            </w:pPr>
            <w:r>
              <w:rPr>
                <w:rFonts w:ascii="Arial" w:cs="Arial" w:eastAsia="Arial" w:hAnsi="Arial"/>
                <w:sz w:val="10"/>
                <w:szCs w:val="10"/>
                <w:color w:val="666666"/>
                <w:w w:val="95"/>
              </w:rPr>
              <w:t>6,414</w:t>
            </w:r>
          </w:p>
        </w:tc>
        <w:tc>
          <w:tcPr>
            <w:tcW w:w="700" w:type="dxa"/>
            <w:vAlign w:val="bottom"/>
            <w:tcBorders>
              <w:bottom w:val="single" w:sz="8" w:color="auto"/>
              <w:right w:val="single" w:sz="8" w:color="auto"/>
            </w:tcBorders>
          </w:tcPr>
          <w:p>
            <w:pPr>
              <w:jc w:val="center"/>
              <w:ind w:right="69"/>
              <w:spacing w:after="0"/>
              <w:rPr>
                <w:sz w:val="20"/>
                <w:szCs w:val="20"/>
                <w:color w:val="auto"/>
              </w:rPr>
            </w:pPr>
            <w:r>
              <w:rPr>
                <w:rFonts w:ascii="Arial" w:cs="Arial" w:eastAsia="Arial" w:hAnsi="Arial"/>
                <w:sz w:val="10"/>
                <w:szCs w:val="10"/>
                <w:color w:val="666666"/>
                <w:w w:val="97"/>
              </w:rPr>
              <w:t>21,655</w:t>
            </w:r>
          </w:p>
        </w:tc>
      </w:tr>
    </w:tbl>
    <w:p>
      <w:pPr>
        <w:spacing w:after="0" w:line="145" w:lineRule="exact"/>
        <w:rPr>
          <w:sz w:val="20"/>
          <w:szCs w:val="20"/>
          <w:color w:val="auto"/>
        </w:rPr>
      </w:pPr>
    </w:p>
    <w:p>
      <w:pPr>
        <w:ind w:left="380" w:hanging="230"/>
        <w:spacing w:after="0"/>
        <w:tabs>
          <w:tab w:leader="none" w:pos="380" w:val="left"/>
        </w:tabs>
        <w:numPr>
          <w:ilvl w:val="0"/>
          <w:numId w:val="42"/>
        </w:numPr>
        <w:rPr>
          <w:rFonts w:ascii="Arial" w:cs="Arial" w:eastAsia="Arial" w:hAnsi="Arial"/>
          <w:sz w:val="10"/>
          <w:szCs w:val="10"/>
          <w:color w:val="666666"/>
        </w:rPr>
      </w:pPr>
      <w:r>
        <w:rPr>
          <w:rFonts w:ascii="Arial" w:cs="Arial" w:eastAsia="Arial" w:hAnsi="Arial"/>
          <w:sz w:val="10"/>
          <w:szCs w:val="10"/>
          <w:color w:val="666666"/>
        </w:rPr>
        <w:t>Market value has been determined based on the fair market value of our common stock on March 29, 2018 of $38.72.</w:t>
      </w:r>
    </w:p>
    <w:p>
      <w:pPr>
        <w:spacing w:after="0" w:line="12" w:lineRule="exact"/>
        <w:rPr>
          <w:rFonts w:ascii="Arial" w:cs="Arial" w:eastAsia="Arial" w:hAnsi="Arial"/>
          <w:sz w:val="10"/>
          <w:szCs w:val="10"/>
          <w:color w:val="666666"/>
        </w:rPr>
      </w:pPr>
    </w:p>
    <w:p>
      <w:pPr>
        <w:ind w:left="380" w:hanging="230"/>
        <w:spacing w:after="0"/>
        <w:tabs>
          <w:tab w:leader="none" w:pos="380" w:val="left"/>
        </w:tabs>
        <w:numPr>
          <w:ilvl w:val="0"/>
          <w:numId w:val="42"/>
        </w:numPr>
        <w:rPr>
          <w:rFonts w:ascii="Arial" w:cs="Arial" w:eastAsia="Arial" w:hAnsi="Arial"/>
          <w:sz w:val="10"/>
          <w:szCs w:val="10"/>
          <w:color w:val="666666"/>
        </w:rPr>
      </w:pPr>
      <w:r>
        <w:rPr>
          <w:rFonts w:ascii="Arial" w:cs="Arial" w:eastAsia="Arial" w:hAnsi="Arial"/>
          <w:sz w:val="10"/>
          <w:szCs w:val="10"/>
          <w:color w:val="666666"/>
        </w:rPr>
        <w:t>Exercise price reflects adjustment in connection with $6.50 special dividend paid in August 2012.</w:t>
      </w:r>
    </w:p>
    <w:p>
      <w:pPr>
        <w:jc w:val="both"/>
        <w:ind w:left="380" w:hanging="230"/>
        <w:spacing w:after="0" w:line="245" w:lineRule="auto"/>
        <w:tabs>
          <w:tab w:leader="none" w:pos="380" w:val="left"/>
        </w:tabs>
        <w:numPr>
          <w:ilvl w:val="0"/>
          <w:numId w:val="42"/>
        </w:numPr>
        <w:rPr>
          <w:rFonts w:ascii="Arial" w:cs="Arial" w:eastAsia="Arial" w:hAnsi="Arial"/>
          <w:sz w:val="10"/>
          <w:szCs w:val="10"/>
          <w:color w:val="666666"/>
        </w:rPr>
      </w:pPr>
      <w:r>
        <w:rPr>
          <w:rFonts w:ascii="Arial" w:cs="Arial" w:eastAsia="Arial" w:hAnsi="Arial"/>
          <w:sz w:val="10"/>
          <w:szCs w:val="10"/>
          <w:color w:val="666666"/>
        </w:rPr>
        <w:t>The table below reflects the vesting opportunity for the fiscal year 2018 performance restricted stock unit grants assuming achievement of target performance for the named executive officers. Vesting opportunity ranges from 0-200% based on actual performance during the three-year performance period compared to the three year cumulative ADEPS and VAR performance goals. Upon a change in control, the performance restricted stock units will remain outstanding and will vest on the vesting date at target performance levels, subject to the continued employment or service of the Participant by the Company or any Subsidiary thereof through such date, but without regard to achievement of any Performance Goals; provided, that, if the Participant’s employment or service is terminated by the Company without cause or for good reason within two years following the effective date of the Change in Control, such outstanding restricted stock units will vest as of the date of termination.</w:t>
      </w:r>
    </w:p>
    <w:p>
      <w:pPr>
        <w:spacing w:after="0" w:line="294" w:lineRule="exact"/>
        <w:rPr>
          <w:sz w:val="20"/>
          <w:szCs w:val="20"/>
          <w:color w:val="auto"/>
        </w:rPr>
      </w:pPr>
    </w:p>
    <w:tbl>
      <w:tblPr>
        <w:tblLayout w:type="fixed"/>
        <w:tblInd w:w="4630" w:type="dxa"/>
        <w:tblCellMar>
          <w:top w:w="0" w:type="dxa"/>
          <w:left w:w="0" w:type="dxa"/>
          <w:bottom w:w="0" w:type="dxa"/>
          <w:right w:w="0" w:type="dxa"/>
        </w:tblCellMar>
      </w:tblPr>
      <w:tr>
        <w:trPr>
          <w:trHeight w:val="163"/>
        </w:trPr>
        <w:tc>
          <w:tcPr>
            <w:tcW w:w="1020" w:type="dxa"/>
            <w:vAlign w:val="bottom"/>
            <w:tcBorders>
              <w:top w:val="single" w:sz="8" w:color="auto"/>
              <w:left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0"/>
                <w:szCs w:val="10"/>
                <w:b w:val="1"/>
                <w:bCs w:val="1"/>
                <w:color w:val="666666"/>
              </w:rPr>
              <w:t>Name</w:t>
            </w:r>
          </w:p>
        </w:tc>
        <w:tc>
          <w:tcPr>
            <w:tcW w:w="92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0"/>
                <w:szCs w:val="10"/>
                <w:b w:val="1"/>
                <w:bCs w:val="1"/>
                <w:color w:val="666666"/>
              </w:rPr>
              <w:t>March 31, 2020</w:t>
            </w:r>
          </w:p>
        </w:tc>
        <w:tc>
          <w:tcPr>
            <w:tcW w:w="700" w:type="dxa"/>
            <w:vAlign w:val="bottom"/>
            <w:tcBorders>
              <w:top w:val="single" w:sz="8" w:color="auto"/>
              <w:bottom w:val="single" w:sz="8" w:color="auto"/>
              <w:right w:val="single" w:sz="8" w:color="auto"/>
            </w:tcBorders>
            <w:shd w:val="clear" w:color="auto" w:fill="D8D8D8"/>
          </w:tcPr>
          <w:p>
            <w:pPr>
              <w:jc w:val="center"/>
              <w:ind w:right="89"/>
              <w:spacing w:after="0"/>
              <w:rPr>
                <w:sz w:val="20"/>
                <w:szCs w:val="20"/>
                <w:color w:val="auto"/>
              </w:rPr>
            </w:pPr>
            <w:r>
              <w:rPr>
                <w:rFonts w:ascii="Arial" w:cs="Arial" w:eastAsia="Arial" w:hAnsi="Arial"/>
                <w:sz w:val="10"/>
                <w:szCs w:val="10"/>
                <w:b w:val="1"/>
                <w:bCs w:val="1"/>
                <w:color w:val="666666"/>
              </w:rPr>
              <w:t>Total</w:t>
            </w:r>
          </w:p>
        </w:tc>
      </w:tr>
      <w:tr>
        <w:trPr>
          <w:trHeight w:val="140"/>
        </w:trPr>
        <w:tc>
          <w:tcPr>
            <w:tcW w:w="1020" w:type="dxa"/>
            <w:vAlign w:val="bottom"/>
            <w:tcBorders>
              <w:left w:val="single" w:sz="8" w:color="auto"/>
            </w:tcBorders>
          </w:tcPr>
          <w:p>
            <w:pPr>
              <w:ind w:left="20"/>
              <w:spacing w:after="0"/>
              <w:rPr>
                <w:sz w:val="20"/>
                <w:szCs w:val="20"/>
                <w:color w:val="auto"/>
              </w:rPr>
            </w:pPr>
            <w:r>
              <w:rPr>
                <w:rFonts w:ascii="Arial" w:cs="Arial" w:eastAsia="Arial" w:hAnsi="Arial"/>
                <w:sz w:val="10"/>
                <w:szCs w:val="10"/>
                <w:color w:val="666666"/>
              </w:rPr>
              <w:t>Horacio D. Rozanski</w:t>
            </w:r>
          </w:p>
        </w:tc>
        <w:tc>
          <w:tcPr>
            <w:tcW w:w="920" w:type="dxa"/>
            <w:vAlign w:val="bottom"/>
          </w:tcPr>
          <w:p>
            <w:pPr>
              <w:jc w:val="center"/>
              <w:spacing w:after="0"/>
              <w:rPr>
                <w:sz w:val="20"/>
                <w:szCs w:val="20"/>
                <w:color w:val="auto"/>
              </w:rPr>
            </w:pPr>
            <w:r>
              <w:rPr>
                <w:rFonts w:ascii="Arial" w:cs="Arial" w:eastAsia="Arial" w:hAnsi="Arial"/>
                <w:sz w:val="10"/>
                <w:szCs w:val="10"/>
                <w:color w:val="666666"/>
              </w:rPr>
              <w:t>30,737</w:t>
            </w:r>
          </w:p>
        </w:tc>
        <w:tc>
          <w:tcPr>
            <w:tcW w:w="700" w:type="dxa"/>
            <w:vAlign w:val="bottom"/>
            <w:tcBorders>
              <w:right w:val="single" w:sz="8" w:color="auto"/>
            </w:tcBorders>
          </w:tcPr>
          <w:p>
            <w:pPr>
              <w:jc w:val="center"/>
              <w:ind w:right="69"/>
              <w:spacing w:after="0"/>
              <w:rPr>
                <w:sz w:val="20"/>
                <w:szCs w:val="20"/>
                <w:color w:val="auto"/>
              </w:rPr>
            </w:pPr>
            <w:r>
              <w:rPr>
                <w:rFonts w:ascii="Arial" w:cs="Arial" w:eastAsia="Arial" w:hAnsi="Arial"/>
                <w:sz w:val="10"/>
                <w:szCs w:val="10"/>
                <w:color w:val="666666"/>
                <w:w w:val="97"/>
              </w:rPr>
              <w:t>30,737</w:t>
            </w:r>
          </w:p>
        </w:tc>
      </w:tr>
      <w:tr>
        <w:trPr>
          <w:trHeight w:val="157"/>
        </w:trPr>
        <w:tc>
          <w:tcPr>
            <w:tcW w:w="1020" w:type="dxa"/>
            <w:vAlign w:val="bottom"/>
            <w:tcBorders>
              <w:left w:val="single" w:sz="8" w:color="auto"/>
            </w:tcBorders>
            <w:shd w:val="clear" w:color="auto" w:fill="D8D8D8"/>
          </w:tcPr>
          <w:p>
            <w:pPr>
              <w:ind w:left="20"/>
              <w:spacing w:after="0"/>
              <w:rPr>
                <w:sz w:val="20"/>
                <w:szCs w:val="20"/>
                <w:color w:val="auto"/>
              </w:rPr>
            </w:pPr>
            <w:r>
              <w:rPr>
                <w:rFonts w:ascii="Arial" w:cs="Arial" w:eastAsia="Arial" w:hAnsi="Arial"/>
                <w:sz w:val="10"/>
                <w:szCs w:val="10"/>
                <w:color w:val="666666"/>
              </w:rPr>
              <w:t>Lloyd W. Howell, Jr.</w:t>
            </w:r>
          </w:p>
        </w:tc>
        <w:tc>
          <w:tcPr>
            <w:tcW w:w="920" w:type="dxa"/>
            <w:vAlign w:val="bottom"/>
            <w:shd w:val="clear" w:color="auto" w:fill="D8D8D8"/>
          </w:tcPr>
          <w:p>
            <w:pPr>
              <w:jc w:val="center"/>
              <w:spacing w:after="0"/>
              <w:rPr>
                <w:sz w:val="20"/>
                <w:szCs w:val="20"/>
                <w:color w:val="auto"/>
              </w:rPr>
            </w:pPr>
            <w:r>
              <w:rPr>
                <w:rFonts w:ascii="Arial" w:cs="Arial" w:eastAsia="Arial" w:hAnsi="Arial"/>
                <w:sz w:val="10"/>
                <w:szCs w:val="10"/>
                <w:color w:val="666666"/>
              </w:rPr>
              <w:t>14,603</w:t>
            </w:r>
          </w:p>
        </w:tc>
        <w:tc>
          <w:tcPr>
            <w:tcW w:w="700" w:type="dxa"/>
            <w:vAlign w:val="bottom"/>
            <w:tcBorders>
              <w:right w:val="single" w:sz="8" w:color="auto"/>
            </w:tcBorders>
            <w:shd w:val="clear" w:color="auto" w:fill="D8D8D8"/>
          </w:tcPr>
          <w:p>
            <w:pPr>
              <w:jc w:val="center"/>
              <w:ind w:right="69"/>
              <w:spacing w:after="0"/>
              <w:rPr>
                <w:sz w:val="20"/>
                <w:szCs w:val="20"/>
                <w:color w:val="auto"/>
              </w:rPr>
            </w:pPr>
            <w:r>
              <w:rPr>
                <w:rFonts w:ascii="Arial" w:cs="Arial" w:eastAsia="Arial" w:hAnsi="Arial"/>
                <w:sz w:val="10"/>
                <w:szCs w:val="10"/>
                <w:color w:val="666666"/>
                <w:w w:val="97"/>
              </w:rPr>
              <w:t>14,603</w:t>
            </w:r>
          </w:p>
        </w:tc>
      </w:tr>
      <w:tr>
        <w:trPr>
          <w:trHeight w:val="150"/>
        </w:trPr>
        <w:tc>
          <w:tcPr>
            <w:tcW w:w="1020" w:type="dxa"/>
            <w:vAlign w:val="bottom"/>
            <w:tcBorders>
              <w:left w:val="single" w:sz="8" w:color="auto"/>
            </w:tcBorders>
          </w:tcPr>
          <w:p>
            <w:pPr>
              <w:ind w:left="20"/>
              <w:spacing w:after="0"/>
              <w:rPr>
                <w:sz w:val="20"/>
                <w:szCs w:val="20"/>
                <w:color w:val="auto"/>
              </w:rPr>
            </w:pPr>
            <w:r>
              <w:rPr>
                <w:rFonts w:ascii="Arial" w:cs="Arial" w:eastAsia="Arial" w:hAnsi="Arial"/>
                <w:sz w:val="10"/>
                <w:szCs w:val="10"/>
                <w:color w:val="666666"/>
              </w:rPr>
              <w:t>Karen M. Dahut</w:t>
            </w:r>
          </w:p>
        </w:tc>
        <w:tc>
          <w:tcPr>
            <w:tcW w:w="920" w:type="dxa"/>
            <w:vAlign w:val="bottom"/>
          </w:tcPr>
          <w:p>
            <w:pPr>
              <w:jc w:val="center"/>
              <w:spacing w:after="0"/>
              <w:rPr>
                <w:sz w:val="20"/>
                <w:szCs w:val="20"/>
                <w:color w:val="auto"/>
              </w:rPr>
            </w:pPr>
            <w:r>
              <w:rPr>
                <w:rFonts w:ascii="Arial" w:cs="Arial" w:eastAsia="Arial" w:hAnsi="Arial"/>
                <w:sz w:val="10"/>
                <w:szCs w:val="10"/>
                <w:color w:val="666666"/>
              </w:rPr>
              <w:t>14,603</w:t>
            </w:r>
          </w:p>
        </w:tc>
        <w:tc>
          <w:tcPr>
            <w:tcW w:w="700" w:type="dxa"/>
            <w:vAlign w:val="bottom"/>
            <w:tcBorders>
              <w:right w:val="single" w:sz="8" w:color="auto"/>
            </w:tcBorders>
          </w:tcPr>
          <w:p>
            <w:pPr>
              <w:jc w:val="center"/>
              <w:ind w:right="69"/>
              <w:spacing w:after="0"/>
              <w:rPr>
                <w:sz w:val="20"/>
                <w:szCs w:val="20"/>
                <w:color w:val="auto"/>
              </w:rPr>
            </w:pPr>
            <w:r>
              <w:rPr>
                <w:rFonts w:ascii="Arial" w:cs="Arial" w:eastAsia="Arial" w:hAnsi="Arial"/>
                <w:sz w:val="10"/>
                <w:szCs w:val="10"/>
                <w:color w:val="666666"/>
                <w:w w:val="97"/>
              </w:rPr>
              <w:t>14,603</w:t>
            </w:r>
          </w:p>
        </w:tc>
      </w:tr>
      <w:tr>
        <w:trPr>
          <w:trHeight w:val="157"/>
        </w:trPr>
        <w:tc>
          <w:tcPr>
            <w:tcW w:w="1020" w:type="dxa"/>
            <w:vAlign w:val="bottom"/>
            <w:tcBorders>
              <w:left w:val="single" w:sz="8" w:color="auto"/>
            </w:tcBorders>
            <w:shd w:val="clear" w:color="auto" w:fill="D8D8D8"/>
          </w:tcPr>
          <w:p>
            <w:pPr>
              <w:ind w:left="20"/>
              <w:spacing w:after="0"/>
              <w:rPr>
                <w:sz w:val="20"/>
                <w:szCs w:val="20"/>
                <w:color w:val="auto"/>
              </w:rPr>
            </w:pPr>
            <w:r>
              <w:rPr>
                <w:rFonts w:ascii="Arial" w:cs="Arial" w:eastAsia="Arial" w:hAnsi="Arial"/>
                <w:sz w:val="10"/>
                <w:szCs w:val="10"/>
                <w:color w:val="666666"/>
              </w:rPr>
              <w:t>Joseph Logue</w:t>
            </w:r>
          </w:p>
        </w:tc>
        <w:tc>
          <w:tcPr>
            <w:tcW w:w="920" w:type="dxa"/>
            <w:vAlign w:val="bottom"/>
            <w:shd w:val="clear" w:color="auto" w:fill="D8D8D8"/>
          </w:tcPr>
          <w:p>
            <w:pPr>
              <w:jc w:val="center"/>
              <w:spacing w:after="0"/>
              <w:rPr>
                <w:sz w:val="20"/>
                <w:szCs w:val="20"/>
                <w:color w:val="auto"/>
              </w:rPr>
            </w:pPr>
            <w:r>
              <w:rPr>
                <w:rFonts w:ascii="Arial" w:cs="Arial" w:eastAsia="Arial" w:hAnsi="Arial"/>
                <w:sz w:val="10"/>
                <w:szCs w:val="10"/>
                <w:color w:val="666666"/>
              </w:rPr>
              <w:t>10,431</w:t>
            </w:r>
          </w:p>
        </w:tc>
        <w:tc>
          <w:tcPr>
            <w:tcW w:w="700" w:type="dxa"/>
            <w:vAlign w:val="bottom"/>
            <w:tcBorders>
              <w:right w:val="single" w:sz="8" w:color="auto"/>
            </w:tcBorders>
            <w:shd w:val="clear" w:color="auto" w:fill="D8D8D8"/>
          </w:tcPr>
          <w:p>
            <w:pPr>
              <w:jc w:val="center"/>
              <w:ind w:right="69"/>
              <w:spacing w:after="0"/>
              <w:rPr>
                <w:sz w:val="20"/>
                <w:szCs w:val="20"/>
                <w:color w:val="auto"/>
              </w:rPr>
            </w:pPr>
            <w:r>
              <w:rPr>
                <w:rFonts w:ascii="Arial" w:cs="Arial" w:eastAsia="Arial" w:hAnsi="Arial"/>
                <w:sz w:val="10"/>
                <w:szCs w:val="10"/>
                <w:color w:val="666666"/>
                <w:w w:val="97"/>
              </w:rPr>
              <w:t>10,431</w:t>
            </w:r>
          </w:p>
        </w:tc>
      </w:tr>
      <w:tr>
        <w:trPr>
          <w:trHeight w:val="150"/>
        </w:trPr>
        <w:tc>
          <w:tcPr>
            <w:tcW w:w="1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0"/>
                <w:szCs w:val="10"/>
                <w:color w:val="666666"/>
              </w:rPr>
              <w:t>Susan L. Penfield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666666"/>
              </w:rPr>
              <w:t>10,778</w:t>
            </w:r>
          </w:p>
        </w:tc>
        <w:tc>
          <w:tcPr>
            <w:tcW w:w="700" w:type="dxa"/>
            <w:vAlign w:val="bottom"/>
            <w:tcBorders>
              <w:bottom w:val="single" w:sz="8" w:color="auto"/>
              <w:right w:val="single" w:sz="8" w:color="auto"/>
            </w:tcBorders>
          </w:tcPr>
          <w:p>
            <w:pPr>
              <w:jc w:val="center"/>
              <w:ind w:right="69"/>
              <w:spacing w:after="0"/>
              <w:rPr>
                <w:sz w:val="20"/>
                <w:szCs w:val="20"/>
                <w:color w:val="auto"/>
              </w:rPr>
            </w:pPr>
            <w:r>
              <w:rPr>
                <w:rFonts w:ascii="Arial" w:cs="Arial" w:eastAsia="Arial" w:hAnsi="Arial"/>
                <w:sz w:val="10"/>
                <w:szCs w:val="10"/>
                <w:color w:val="666666"/>
                <w:w w:val="97"/>
              </w:rPr>
              <w:t>10,778</w:t>
            </w:r>
          </w:p>
        </w:tc>
      </w:tr>
    </w:tbl>
    <w:p>
      <w:pPr>
        <w:spacing w:after="0" w:line="107" w:lineRule="exact"/>
        <w:rPr>
          <w:sz w:val="20"/>
          <w:szCs w:val="20"/>
          <w:color w:val="auto"/>
        </w:rPr>
      </w:pPr>
    </w:p>
    <w:p>
      <w:pPr>
        <w:ind w:left="380" w:hanging="230"/>
        <w:spacing w:after="0"/>
        <w:tabs>
          <w:tab w:leader="none" w:pos="380" w:val="left"/>
        </w:tabs>
        <w:numPr>
          <w:ilvl w:val="0"/>
          <w:numId w:val="43"/>
        </w:numPr>
        <w:rPr>
          <w:rFonts w:ascii="Arial" w:cs="Arial" w:eastAsia="Arial" w:hAnsi="Arial"/>
          <w:sz w:val="10"/>
          <w:szCs w:val="10"/>
          <w:color w:val="666666"/>
        </w:rPr>
      </w:pPr>
      <w:r>
        <w:rPr>
          <w:rFonts w:ascii="Arial" w:cs="Arial" w:eastAsia="Arial" w:hAnsi="Arial"/>
          <w:sz w:val="10"/>
          <w:szCs w:val="10"/>
          <w:color w:val="666666"/>
        </w:rPr>
        <w:t>Market value has been determined based on threshold performance which is 25% of the target grant amount, rounded down to the nearest whole share, using the fair market value of our common stock on March 29, 2018 of $38.72.</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547BCC"/>
        </w:rPr>
        <w:t>Option Exercises and Stock Vested Table</w:t>
      </w:r>
    </w:p>
    <w:p>
      <w:pPr>
        <w:spacing w:after="0" w:line="115" w:lineRule="exact"/>
        <w:rPr>
          <w:sz w:val="20"/>
          <w:szCs w:val="20"/>
          <w:color w:val="auto"/>
        </w:rPr>
      </w:pPr>
    </w:p>
    <w:p>
      <w:pPr>
        <w:ind w:firstLine="230"/>
        <w:spacing w:after="0" w:line="285" w:lineRule="auto"/>
        <w:rPr>
          <w:sz w:val="20"/>
          <w:szCs w:val="20"/>
          <w:color w:val="auto"/>
        </w:rPr>
      </w:pPr>
      <w:r>
        <w:rPr>
          <w:rFonts w:ascii="Arial" w:cs="Arial" w:eastAsia="Arial" w:hAnsi="Arial"/>
          <w:sz w:val="14"/>
          <w:szCs w:val="14"/>
          <w:color w:val="666666"/>
        </w:rPr>
        <w:t>The table below provides information on the named executive officers’ restricted stock unit and restricted stock awards that vested and the stock options that they exercised in 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135890</wp:posOffset>
            </wp:positionV>
            <wp:extent cx="6029960" cy="12192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29960" cy="121920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OPTION EXERCISES AND STOCK VESTED TABLE</w:t>
      </w:r>
    </w:p>
    <w:p>
      <w:pPr>
        <w:spacing w:after="0" w:line="58" w:lineRule="exact"/>
        <w:rPr>
          <w:sz w:val="20"/>
          <w:szCs w:val="20"/>
          <w:color w:val="auto"/>
        </w:rPr>
      </w:pPr>
    </w:p>
    <w:tbl>
      <w:tblPr>
        <w:tblLayout w:type="fixed"/>
        <w:tblInd w:w="98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180" w:type="dxa"/>
            <w:vAlign w:val="bottom"/>
            <w:shd w:val="clear" w:color="auto" w:fill="DDDDDD"/>
          </w:tcPr>
          <w:p>
            <w:pPr>
              <w:spacing w:after="0"/>
              <w:rPr>
                <w:sz w:val="16"/>
                <w:szCs w:val="16"/>
                <w:color w:val="auto"/>
              </w:rPr>
            </w:pPr>
          </w:p>
        </w:tc>
        <w:tc>
          <w:tcPr>
            <w:tcW w:w="2180" w:type="dxa"/>
            <w:vAlign w:val="bottom"/>
            <w:shd w:val="clear" w:color="auto" w:fill="DDDDDD"/>
          </w:tcPr>
          <w:p>
            <w:pPr>
              <w:jc w:val="right"/>
              <w:spacing w:after="0"/>
              <w:rPr>
                <w:sz w:val="20"/>
                <w:szCs w:val="20"/>
                <w:color w:val="auto"/>
              </w:rPr>
            </w:pPr>
            <w:r>
              <w:rPr>
                <w:rFonts w:ascii="Arial" w:cs="Arial" w:eastAsia="Arial" w:hAnsi="Arial"/>
                <w:sz w:val="10"/>
                <w:szCs w:val="10"/>
                <w:b w:val="1"/>
                <w:bCs w:val="1"/>
                <w:color w:val="666666"/>
              </w:rPr>
              <w:t>Option Awards</w:t>
            </w:r>
          </w:p>
        </w:tc>
        <w:tc>
          <w:tcPr>
            <w:tcW w:w="1340" w:type="dxa"/>
            <w:vAlign w:val="bottom"/>
            <w:shd w:val="clear" w:color="auto" w:fill="DDDDDD"/>
          </w:tcPr>
          <w:p>
            <w:pPr>
              <w:spacing w:after="0"/>
              <w:rPr>
                <w:sz w:val="16"/>
                <w:szCs w:val="16"/>
                <w:color w:val="auto"/>
              </w:rPr>
            </w:pPr>
          </w:p>
        </w:tc>
        <w:tc>
          <w:tcPr>
            <w:tcW w:w="1580" w:type="dxa"/>
            <w:vAlign w:val="bottom"/>
            <w:shd w:val="clear" w:color="auto" w:fill="DDDDDD"/>
          </w:tcPr>
          <w:p>
            <w:pPr>
              <w:spacing w:after="0"/>
              <w:rPr>
                <w:sz w:val="16"/>
                <w:szCs w:val="16"/>
                <w:color w:val="auto"/>
              </w:rPr>
            </w:pPr>
          </w:p>
        </w:tc>
        <w:tc>
          <w:tcPr>
            <w:tcW w:w="2200" w:type="dxa"/>
            <w:vAlign w:val="bottom"/>
            <w:shd w:val="clear" w:color="auto" w:fill="DDDDDD"/>
          </w:tcPr>
          <w:p>
            <w:pPr>
              <w:jc w:val="right"/>
              <w:ind w:right="1430"/>
              <w:spacing w:after="0"/>
              <w:rPr>
                <w:sz w:val="20"/>
                <w:szCs w:val="20"/>
                <w:color w:val="auto"/>
              </w:rPr>
            </w:pPr>
            <w:r>
              <w:rPr>
                <w:rFonts w:ascii="Arial" w:cs="Arial" w:eastAsia="Arial" w:hAnsi="Arial"/>
                <w:sz w:val="10"/>
                <w:szCs w:val="10"/>
                <w:b w:val="1"/>
                <w:bCs w:val="1"/>
                <w:color w:val="666666"/>
              </w:rPr>
              <w:t>Stock Awards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180" w:type="dxa"/>
            <w:vAlign w:val="bottom"/>
            <w:shd w:val="clear" w:color="auto" w:fill="DDDDDD"/>
          </w:tcPr>
          <w:p>
            <w:pPr>
              <w:spacing w:after="0"/>
              <w:rPr>
                <w:sz w:val="10"/>
                <w:szCs w:val="10"/>
                <w:color w:val="auto"/>
              </w:rPr>
            </w:pPr>
          </w:p>
        </w:tc>
        <w:tc>
          <w:tcPr>
            <w:tcW w:w="2180" w:type="dxa"/>
            <w:vAlign w:val="bottom"/>
            <w:shd w:val="clear" w:color="auto" w:fill="DDDDDD"/>
          </w:tcPr>
          <w:p>
            <w:pPr>
              <w:jc w:val="center"/>
              <w:ind w:right="330"/>
              <w:spacing w:after="0"/>
              <w:rPr>
                <w:sz w:val="20"/>
                <w:szCs w:val="20"/>
                <w:color w:val="auto"/>
              </w:rPr>
            </w:pPr>
            <w:r>
              <w:rPr>
                <w:rFonts w:ascii="Arial" w:cs="Arial" w:eastAsia="Arial" w:hAnsi="Arial"/>
                <w:sz w:val="10"/>
                <w:szCs w:val="10"/>
                <w:b w:val="1"/>
                <w:bCs w:val="1"/>
                <w:color w:val="666666"/>
              </w:rPr>
              <w:t>Number of Shares</w:t>
            </w:r>
          </w:p>
        </w:tc>
        <w:tc>
          <w:tcPr>
            <w:tcW w:w="1340" w:type="dxa"/>
            <w:vAlign w:val="bottom"/>
            <w:vMerge w:val="restart"/>
            <w:shd w:val="clear" w:color="auto" w:fill="DDDDDD"/>
          </w:tcPr>
          <w:p>
            <w:pPr>
              <w:jc w:val="right"/>
              <w:ind w:right="371"/>
              <w:spacing w:after="0"/>
              <w:rPr>
                <w:sz w:val="20"/>
                <w:szCs w:val="20"/>
                <w:color w:val="auto"/>
              </w:rPr>
            </w:pPr>
            <w:r>
              <w:rPr>
                <w:rFonts w:ascii="Arial" w:cs="Arial" w:eastAsia="Arial" w:hAnsi="Arial"/>
                <w:sz w:val="10"/>
                <w:szCs w:val="10"/>
                <w:b w:val="1"/>
                <w:bCs w:val="1"/>
                <w:color w:val="666666"/>
              </w:rPr>
              <w:t>Value Realized on</w:t>
            </w:r>
          </w:p>
        </w:tc>
        <w:tc>
          <w:tcPr>
            <w:tcW w:w="1580" w:type="dxa"/>
            <w:vAlign w:val="bottom"/>
            <w:shd w:val="clear" w:color="auto" w:fill="DDDDDD"/>
          </w:tcPr>
          <w:p>
            <w:pPr>
              <w:jc w:val="center"/>
              <w:ind w:left="529"/>
              <w:spacing w:after="0"/>
              <w:rPr>
                <w:sz w:val="20"/>
                <w:szCs w:val="20"/>
                <w:color w:val="auto"/>
              </w:rPr>
            </w:pPr>
            <w:r>
              <w:rPr>
                <w:rFonts w:ascii="Arial" w:cs="Arial" w:eastAsia="Arial" w:hAnsi="Arial"/>
                <w:sz w:val="10"/>
                <w:szCs w:val="10"/>
                <w:b w:val="1"/>
                <w:bCs w:val="1"/>
                <w:color w:val="666666"/>
              </w:rPr>
              <w:t>Number of Shares</w:t>
            </w:r>
          </w:p>
        </w:tc>
        <w:tc>
          <w:tcPr>
            <w:tcW w:w="2200" w:type="dxa"/>
            <w:vAlign w:val="bottom"/>
            <w:vMerge w:val="restart"/>
            <w:shd w:val="clear" w:color="auto" w:fill="DDDDDD"/>
          </w:tcPr>
          <w:p>
            <w:pPr>
              <w:jc w:val="center"/>
              <w:ind w:left="330"/>
              <w:spacing w:after="0"/>
              <w:rPr>
                <w:sz w:val="20"/>
                <w:szCs w:val="20"/>
                <w:color w:val="auto"/>
              </w:rPr>
            </w:pPr>
            <w:r>
              <w:rPr>
                <w:rFonts w:ascii="Arial" w:cs="Arial" w:eastAsia="Arial" w:hAnsi="Arial"/>
                <w:sz w:val="10"/>
                <w:szCs w:val="10"/>
                <w:b w:val="1"/>
                <w:bCs w:val="1"/>
                <w:color w:val="666666"/>
              </w:rPr>
              <w:t>Value Realized 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180" w:type="dxa"/>
            <w:vAlign w:val="bottom"/>
            <w:shd w:val="clear" w:color="auto" w:fill="DDDDDD"/>
          </w:tcPr>
          <w:p>
            <w:pPr>
              <w:spacing w:after="0"/>
              <w:rPr>
                <w:sz w:val="9"/>
                <w:szCs w:val="9"/>
                <w:color w:val="auto"/>
              </w:rPr>
            </w:pPr>
          </w:p>
        </w:tc>
        <w:tc>
          <w:tcPr>
            <w:tcW w:w="2180" w:type="dxa"/>
            <w:vAlign w:val="bottom"/>
            <w:shd w:val="clear" w:color="auto" w:fill="DDDDDD"/>
          </w:tcPr>
          <w:p>
            <w:pPr>
              <w:jc w:val="center"/>
              <w:ind w:right="330"/>
              <w:spacing w:after="0" w:line="114" w:lineRule="exact"/>
              <w:rPr>
                <w:sz w:val="20"/>
                <w:szCs w:val="20"/>
                <w:color w:val="auto"/>
              </w:rPr>
            </w:pPr>
            <w:r>
              <w:rPr>
                <w:rFonts w:ascii="Arial" w:cs="Arial" w:eastAsia="Arial" w:hAnsi="Arial"/>
                <w:sz w:val="10"/>
                <w:szCs w:val="10"/>
                <w:b w:val="1"/>
                <w:bCs w:val="1"/>
                <w:color w:val="666666"/>
              </w:rPr>
              <w:t>Acquired on</w:t>
            </w:r>
          </w:p>
        </w:tc>
        <w:tc>
          <w:tcPr>
            <w:tcW w:w="1340" w:type="dxa"/>
            <w:vAlign w:val="bottom"/>
            <w:vMerge w:val="continue"/>
            <w:shd w:val="clear" w:color="auto" w:fill="DDDDDD"/>
          </w:tcPr>
          <w:p>
            <w:pPr>
              <w:spacing w:after="0"/>
              <w:rPr>
                <w:sz w:val="9"/>
                <w:szCs w:val="9"/>
                <w:color w:val="auto"/>
              </w:rPr>
            </w:pPr>
          </w:p>
        </w:tc>
        <w:tc>
          <w:tcPr>
            <w:tcW w:w="1580" w:type="dxa"/>
            <w:vAlign w:val="bottom"/>
            <w:shd w:val="clear" w:color="auto" w:fill="DDDDDD"/>
          </w:tcPr>
          <w:p>
            <w:pPr>
              <w:jc w:val="center"/>
              <w:ind w:left="529"/>
              <w:spacing w:after="0" w:line="114" w:lineRule="exact"/>
              <w:rPr>
                <w:sz w:val="20"/>
                <w:szCs w:val="20"/>
                <w:color w:val="auto"/>
              </w:rPr>
            </w:pPr>
            <w:r>
              <w:rPr>
                <w:rFonts w:ascii="Arial" w:cs="Arial" w:eastAsia="Arial" w:hAnsi="Arial"/>
                <w:sz w:val="10"/>
                <w:szCs w:val="10"/>
                <w:b w:val="1"/>
                <w:bCs w:val="1"/>
                <w:color w:val="666666"/>
              </w:rPr>
              <w:t>Acquired on</w:t>
            </w:r>
          </w:p>
        </w:tc>
        <w:tc>
          <w:tcPr>
            <w:tcW w:w="2200" w:type="dxa"/>
            <w:vAlign w:val="bottom"/>
            <w:vMerge w:val="continue"/>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80" w:type="dxa"/>
            <w:vAlign w:val="bottom"/>
            <w:vMerge w:val="restart"/>
            <w:shd w:val="clear" w:color="auto" w:fill="DDDDDD"/>
          </w:tcPr>
          <w:p>
            <w:pPr>
              <w:ind w:left="20"/>
              <w:spacing w:after="0"/>
              <w:rPr>
                <w:sz w:val="20"/>
                <w:szCs w:val="20"/>
                <w:color w:val="auto"/>
              </w:rPr>
            </w:pPr>
            <w:r>
              <w:rPr>
                <w:rFonts w:ascii="Arial" w:cs="Arial" w:eastAsia="Arial" w:hAnsi="Arial"/>
                <w:sz w:val="10"/>
                <w:szCs w:val="10"/>
                <w:b w:val="1"/>
                <w:bCs w:val="1"/>
                <w:color w:val="666666"/>
              </w:rPr>
              <w:t>Name</w:t>
            </w:r>
          </w:p>
        </w:tc>
        <w:tc>
          <w:tcPr>
            <w:tcW w:w="2180" w:type="dxa"/>
            <w:vAlign w:val="bottom"/>
            <w:shd w:val="clear" w:color="auto" w:fill="DDDDDD"/>
          </w:tcPr>
          <w:p>
            <w:pPr>
              <w:jc w:val="center"/>
              <w:ind w:right="310"/>
              <w:spacing w:after="0"/>
              <w:rPr>
                <w:sz w:val="20"/>
                <w:szCs w:val="20"/>
                <w:color w:val="auto"/>
              </w:rPr>
            </w:pPr>
            <w:r>
              <w:rPr>
                <w:rFonts w:ascii="Arial" w:cs="Arial" w:eastAsia="Arial" w:hAnsi="Arial"/>
                <w:sz w:val="10"/>
                <w:szCs w:val="10"/>
                <w:b w:val="1"/>
                <w:bCs w:val="1"/>
                <w:color w:val="666666"/>
              </w:rPr>
              <w:t>Exercise</w:t>
            </w:r>
          </w:p>
        </w:tc>
        <w:tc>
          <w:tcPr>
            <w:tcW w:w="1340" w:type="dxa"/>
            <w:vAlign w:val="bottom"/>
            <w:shd w:val="clear" w:color="auto" w:fill="DDDDDD"/>
          </w:tcPr>
          <w:p>
            <w:pPr>
              <w:jc w:val="right"/>
              <w:ind w:right="551"/>
              <w:spacing w:after="0" w:line="117" w:lineRule="exact"/>
              <w:rPr>
                <w:sz w:val="20"/>
                <w:szCs w:val="20"/>
                <w:color w:val="auto"/>
              </w:rPr>
            </w:pPr>
            <w:r>
              <w:rPr>
                <w:rFonts w:ascii="Arial" w:cs="Arial" w:eastAsia="Arial" w:hAnsi="Arial"/>
                <w:sz w:val="8"/>
                <w:szCs w:val="8"/>
                <w:b w:val="1"/>
                <w:bCs w:val="1"/>
                <w:color w:val="666666"/>
              </w:rPr>
              <w:t xml:space="preserve">Exercise </w:t>
            </w:r>
            <w:r>
              <w:rPr>
                <w:rFonts w:ascii="Arial" w:cs="Arial" w:eastAsia="Arial" w:hAnsi="Arial"/>
                <w:sz w:val="13"/>
                <w:szCs w:val="13"/>
                <w:b w:val="1"/>
                <w:bCs w:val="1"/>
                <w:color w:val="666666"/>
                <w:vertAlign w:val="superscript"/>
              </w:rPr>
              <w:t>1</w:t>
            </w:r>
          </w:p>
        </w:tc>
        <w:tc>
          <w:tcPr>
            <w:tcW w:w="1580" w:type="dxa"/>
            <w:vAlign w:val="bottom"/>
            <w:shd w:val="clear" w:color="auto" w:fill="DDDDDD"/>
          </w:tcPr>
          <w:p>
            <w:pPr>
              <w:jc w:val="center"/>
              <w:ind w:left="529"/>
              <w:spacing w:after="0"/>
              <w:rPr>
                <w:sz w:val="20"/>
                <w:szCs w:val="20"/>
                <w:color w:val="auto"/>
              </w:rPr>
            </w:pPr>
            <w:r>
              <w:rPr>
                <w:rFonts w:ascii="Arial" w:cs="Arial" w:eastAsia="Arial" w:hAnsi="Arial"/>
                <w:sz w:val="10"/>
                <w:szCs w:val="10"/>
                <w:b w:val="1"/>
                <w:bCs w:val="1"/>
                <w:color w:val="666666"/>
                <w:w w:val="99"/>
              </w:rPr>
              <w:t>Vesting</w:t>
            </w:r>
          </w:p>
        </w:tc>
        <w:tc>
          <w:tcPr>
            <w:tcW w:w="2200" w:type="dxa"/>
            <w:vAlign w:val="bottom"/>
            <w:shd w:val="clear" w:color="auto" w:fill="DDDDDD"/>
          </w:tcPr>
          <w:p>
            <w:pPr>
              <w:jc w:val="center"/>
              <w:ind w:left="350"/>
              <w:spacing w:after="0" w:line="117" w:lineRule="exact"/>
              <w:rPr>
                <w:sz w:val="20"/>
                <w:szCs w:val="20"/>
                <w:color w:val="auto"/>
              </w:rPr>
            </w:pPr>
            <w:r>
              <w:rPr>
                <w:rFonts w:ascii="Arial" w:cs="Arial" w:eastAsia="Arial" w:hAnsi="Arial"/>
                <w:sz w:val="8"/>
                <w:szCs w:val="8"/>
                <w:b w:val="1"/>
                <w:bCs w:val="1"/>
                <w:color w:val="666666"/>
              </w:rPr>
              <w:t xml:space="preserve">Vesting </w:t>
            </w:r>
            <w:r>
              <w:rPr>
                <w:rFonts w:ascii="Arial" w:cs="Arial" w:eastAsia="Arial" w:hAnsi="Arial"/>
                <w:sz w:val="13"/>
                <w:szCs w:val="13"/>
                <w:b w:val="1"/>
                <w:bCs w:val="1"/>
                <w:color w:val="666666"/>
                <w:vertAlign w:val="superscript"/>
              </w:rPr>
              <w:t>2</w:t>
            </w:r>
          </w:p>
        </w:tc>
        <w:tc>
          <w:tcPr>
            <w:tcW w:w="0" w:type="dxa"/>
            <w:vAlign w:val="bottom"/>
          </w:tcPr>
          <w:p>
            <w:pPr>
              <w:spacing w:after="0"/>
              <w:rPr>
                <w:sz w:val="1"/>
                <w:szCs w:val="1"/>
                <w:color w:val="auto"/>
              </w:rPr>
            </w:pPr>
          </w:p>
        </w:tc>
      </w:tr>
      <w:tr>
        <w:trPr>
          <w:trHeight w:val="145"/>
        </w:trPr>
        <w:tc>
          <w:tcPr>
            <w:tcW w:w="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vMerge w:val="continue"/>
            <w:shd w:val="clear" w:color="auto" w:fill="DDDDDD"/>
          </w:tcPr>
          <w:p>
            <w:pPr>
              <w:spacing w:after="0"/>
              <w:rPr>
                <w:sz w:val="12"/>
                <w:szCs w:val="12"/>
                <w:color w:val="auto"/>
              </w:rPr>
            </w:pPr>
          </w:p>
        </w:tc>
        <w:tc>
          <w:tcPr>
            <w:tcW w:w="2180" w:type="dxa"/>
            <w:vAlign w:val="bottom"/>
            <w:tcBorders>
              <w:bottom w:val="single" w:sz="8" w:color="auto"/>
            </w:tcBorders>
            <w:shd w:val="clear" w:color="auto" w:fill="DDDDDD"/>
          </w:tcPr>
          <w:p>
            <w:pPr>
              <w:jc w:val="center"/>
              <w:ind w:right="330"/>
              <w:spacing w:after="0"/>
              <w:rPr>
                <w:sz w:val="20"/>
                <w:szCs w:val="20"/>
                <w:color w:val="auto"/>
              </w:rPr>
            </w:pPr>
            <w:r>
              <w:rPr>
                <w:rFonts w:ascii="Arial" w:cs="Arial" w:eastAsia="Arial" w:hAnsi="Arial"/>
                <w:sz w:val="10"/>
                <w:szCs w:val="10"/>
                <w:b w:val="1"/>
                <w:bCs w:val="1"/>
                <w:color w:val="666666"/>
                <w:w w:val="97"/>
              </w:rPr>
              <w:t>(#)</w:t>
            </w:r>
          </w:p>
        </w:tc>
        <w:tc>
          <w:tcPr>
            <w:tcW w:w="1340" w:type="dxa"/>
            <w:vAlign w:val="bottom"/>
            <w:tcBorders>
              <w:bottom w:val="single" w:sz="8" w:color="auto"/>
            </w:tcBorders>
            <w:shd w:val="clear" w:color="auto" w:fill="DDDDDD"/>
          </w:tcPr>
          <w:p>
            <w:pPr>
              <w:jc w:val="center"/>
              <w:ind w:right="331"/>
              <w:spacing w:after="0"/>
              <w:rPr>
                <w:sz w:val="20"/>
                <w:szCs w:val="20"/>
                <w:color w:val="auto"/>
              </w:rPr>
            </w:pPr>
            <w:r>
              <w:rPr>
                <w:rFonts w:ascii="Arial" w:cs="Arial" w:eastAsia="Arial" w:hAnsi="Arial"/>
                <w:sz w:val="10"/>
                <w:szCs w:val="10"/>
                <w:b w:val="1"/>
                <w:bCs w:val="1"/>
                <w:color w:val="666666"/>
                <w:w w:val="97"/>
              </w:rPr>
              <w:t>($)</w:t>
            </w:r>
          </w:p>
        </w:tc>
        <w:tc>
          <w:tcPr>
            <w:tcW w:w="1580" w:type="dxa"/>
            <w:vAlign w:val="bottom"/>
            <w:tcBorders>
              <w:bottom w:val="single" w:sz="8" w:color="auto"/>
            </w:tcBorders>
            <w:shd w:val="clear" w:color="auto" w:fill="DDDDDD"/>
          </w:tcPr>
          <w:p>
            <w:pPr>
              <w:jc w:val="center"/>
              <w:ind w:left="529"/>
              <w:spacing w:after="0"/>
              <w:rPr>
                <w:sz w:val="20"/>
                <w:szCs w:val="20"/>
                <w:color w:val="auto"/>
              </w:rPr>
            </w:pPr>
            <w:r>
              <w:rPr>
                <w:rFonts w:ascii="Arial" w:cs="Arial" w:eastAsia="Arial" w:hAnsi="Arial"/>
                <w:sz w:val="10"/>
                <w:szCs w:val="10"/>
                <w:b w:val="1"/>
                <w:bCs w:val="1"/>
                <w:color w:val="666666"/>
                <w:w w:val="97"/>
              </w:rPr>
              <w:t>(#)</w:t>
            </w:r>
          </w:p>
        </w:tc>
        <w:tc>
          <w:tcPr>
            <w:tcW w:w="2200" w:type="dxa"/>
            <w:vAlign w:val="bottom"/>
            <w:tcBorders>
              <w:bottom w:val="single" w:sz="8" w:color="auto"/>
            </w:tcBorders>
            <w:shd w:val="clear" w:color="auto" w:fill="DDDDDD"/>
          </w:tcPr>
          <w:p>
            <w:pPr>
              <w:jc w:val="center"/>
              <w:ind w:left="330"/>
              <w:spacing w:after="0"/>
              <w:rPr>
                <w:sz w:val="20"/>
                <w:szCs w:val="20"/>
                <w:color w:val="auto"/>
              </w:rPr>
            </w:pPr>
            <w:r>
              <w:rPr>
                <w:rFonts w:ascii="Arial" w:cs="Arial" w:eastAsia="Arial" w:hAnsi="Arial"/>
                <w:sz w:val="10"/>
                <w:szCs w:val="10"/>
                <w:b w:val="1"/>
                <w:bCs w:val="1"/>
                <w:color w:val="666666"/>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tcPr>
          <w:p>
            <w:pPr>
              <w:ind w:left="20"/>
              <w:spacing w:after="0"/>
              <w:rPr>
                <w:sz w:val="20"/>
                <w:szCs w:val="20"/>
                <w:color w:val="auto"/>
              </w:rPr>
            </w:pPr>
            <w:r>
              <w:rPr>
                <w:rFonts w:ascii="Arial" w:cs="Arial" w:eastAsia="Arial" w:hAnsi="Arial"/>
                <w:sz w:val="10"/>
                <w:szCs w:val="10"/>
                <w:b w:val="1"/>
                <w:bCs w:val="1"/>
                <w:color w:val="666666"/>
              </w:rPr>
              <w:t>Horacio D. Rozanski</w:t>
            </w:r>
          </w:p>
        </w:tc>
        <w:tc>
          <w:tcPr>
            <w:tcW w:w="2180" w:type="dxa"/>
            <w:vAlign w:val="bottom"/>
          </w:tcPr>
          <w:p>
            <w:pPr>
              <w:jc w:val="center"/>
              <w:ind w:right="310"/>
              <w:spacing w:after="0"/>
              <w:rPr>
                <w:sz w:val="20"/>
                <w:szCs w:val="20"/>
                <w:color w:val="auto"/>
              </w:rPr>
            </w:pPr>
            <w:r>
              <w:rPr>
                <w:rFonts w:ascii="Arial" w:cs="Arial" w:eastAsia="Arial" w:hAnsi="Arial"/>
                <w:sz w:val="9"/>
                <w:szCs w:val="9"/>
                <w:color w:val="666666"/>
              </w:rPr>
              <w:t>—</w:t>
            </w:r>
          </w:p>
        </w:tc>
        <w:tc>
          <w:tcPr>
            <w:tcW w:w="1340" w:type="dxa"/>
            <w:vAlign w:val="bottom"/>
          </w:tcPr>
          <w:p>
            <w:pPr>
              <w:jc w:val="center"/>
              <w:ind w:right="331"/>
              <w:spacing w:after="0"/>
              <w:rPr>
                <w:sz w:val="20"/>
                <w:szCs w:val="20"/>
                <w:color w:val="auto"/>
              </w:rPr>
            </w:pPr>
            <w:r>
              <w:rPr>
                <w:rFonts w:ascii="Arial" w:cs="Arial" w:eastAsia="Arial" w:hAnsi="Arial"/>
                <w:sz w:val="9"/>
                <w:szCs w:val="9"/>
                <w:color w:val="666666"/>
                <w:w w:val="88"/>
              </w:rPr>
              <w:t>—</w:t>
            </w:r>
          </w:p>
        </w:tc>
        <w:tc>
          <w:tcPr>
            <w:tcW w:w="1580" w:type="dxa"/>
            <w:vAlign w:val="bottom"/>
          </w:tcPr>
          <w:p>
            <w:pPr>
              <w:jc w:val="right"/>
              <w:ind w:right="189"/>
              <w:spacing w:after="0"/>
              <w:rPr>
                <w:sz w:val="20"/>
                <w:szCs w:val="20"/>
                <w:color w:val="auto"/>
              </w:rPr>
            </w:pPr>
            <w:r>
              <w:rPr>
                <w:rFonts w:ascii="Arial" w:cs="Arial" w:eastAsia="Arial" w:hAnsi="Arial"/>
                <w:sz w:val="10"/>
                <w:szCs w:val="10"/>
                <w:color w:val="666666"/>
              </w:rPr>
              <w:t>119,026.00</w:t>
            </w:r>
          </w:p>
        </w:tc>
        <w:tc>
          <w:tcPr>
            <w:tcW w:w="2200" w:type="dxa"/>
            <w:vAlign w:val="bottom"/>
          </w:tcPr>
          <w:p>
            <w:pPr>
              <w:jc w:val="right"/>
              <w:ind w:right="710"/>
              <w:spacing w:after="0"/>
              <w:rPr>
                <w:sz w:val="20"/>
                <w:szCs w:val="20"/>
                <w:color w:val="auto"/>
              </w:rPr>
            </w:pPr>
            <w:r>
              <w:rPr>
                <w:rFonts w:ascii="Arial" w:cs="Arial" w:eastAsia="Arial" w:hAnsi="Arial"/>
                <w:sz w:val="10"/>
                <w:szCs w:val="10"/>
                <w:color w:val="666666"/>
              </w:rPr>
              <w:t>4,488,832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DDDDDD"/>
          </w:tcPr>
          <w:p>
            <w:pPr>
              <w:ind w:left="20"/>
              <w:spacing w:after="0"/>
              <w:rPr>
                <w:sz w:val="20"/>
                <w:szCs w:val="20"/>
                <w:color w:val="auto"/>
              </w:rPr>
            </w:pPr>
            <w:r>
              <w:rPr>
                <w:rFonts w:ascii="Arial" w:cs="Arial" w:eastAsia="Arial" w:hAnsi="Arial"/>
                <w:sz w:val="10"/>
                <w:szCs w:val="10"/>
                <w:b w:val="1"/>
                <w:bCs w:val="1"/>
                <w:color w:val="666666"/>
              </w:rPr>
              <w:t>Lloyd W. Howell, Jr.</w:t>
            </w:r>
          </w:p>
        </w:tc>
        <w:tc>
          <w:tcPr>
            <w:tcW w:w="2180" w:type="dxa"/>
            <w:vAlign w:val="bottom"/>
            <w:shd w:val="clear" w:color="auto" w:fill="DDDDDD"/>
          </w:tcPr>
          <w:p>
            <w:pPr>
              <w:jc w:val="right"/>
              <w:ind w:right="410"/>
              <w:spacing w:after="0"/>
              <w:rPr>
                <w:sz w:val="20"/>
                <w:szCs w:val="20"/>
                <w:color w:val="auto"/>
              </w:rPr>
            </w:pPr>
            <w:r>
              <w:rPr>
                <w:rFonts w:ascii="Arial" w:cs="Arial" w:eastAsia="Arial" w:hAnsi="Arial"/>
                <w:sz w:val="10"/>
                <w:szCs w:val="10"/>
                <w:color w:val="666666"/>
              </w:rPr>
              <w:t>69,140.00</w:t>
            </w:r>
          </w:p>
        </w:tc>
        <w:tc>
          <w:tcPr>
            <w:tcW w:w="1340" w:type="dxa"/>
            <w:vAlign w:val="bottom"/>
            <w:shd w:val="clear" w:color="auto" w:fill="DDDDDD"/>
          </w:tcPr>
          <w:p>
            <w:pPr>
              <w:jc w:val="right"/>
              <w:ind w:right="51"/>
              <w:spacing w:after="0"/>
              <w:rPr>
                <w:sz w:val="20"/>
                <w:szCs w:val="20"/>
                <w:color w:val="auto"/>
              </w:rPr>
            </w:pPr>
            <w:r>
              <w:rPr>
                <w:rFonts w:ascii="Arial" w:cs="Arial" w:eastAsia="Arial" w:hAnsi="Arial"/>
                <w:sz w:val="10"/>
                <w:szCs w:val="10"/>
                <w:color w:val="666666"/>
              </w:rPr>
              <w:t>2,308,243</w:t>
            </w:r>
          </w:p>
        </w:tc>
        <w:tc>
          <w:tcPr>
            <w:tcW w:w="1580" w:type="dxa"/>
            <w:vAlign w:val="bottom"/>
            <w:shd w:val="clear" w:color="auto" w:fill="DDDDDD"/>
          </w:tcPr>
          <w:p>
            <w:pPr>
              <w:jc w:val="right"/>
              <w:ind w:right="189"/>
              <w:spacing w:after="0"/>
              <w:rPr>
                <w:sz w:val="20"/>
                <w:szCs w:val="20"/>
                <w:color w:val="auto"/>
              </w:rPr>
            </w:pPr>
            <w:r>
              <w:rPr>
                <w:rFonts w:ascii="Arial" w:cs="Arial" w:eastAsia="Arial" w:hAnsi="Arial"/>
                <w:sz w:val="10"/>
                <w:szCs w:val="10"/>
                <w:color w:val="666666"/>
              </w:rPr>
              <w:t>80,824.00</w:t>
            </w:r>
          </w:p>
        </w:tc>
        <w:tc>
          <w:tcPr>
            <w:tcW w:w="2200" w:type="dxa"/>
            <w:vAlign w:val="bottom"/>
            <w:shd w:val="clear" w:color="auto" w:fill="DDDDDD"/>
          </w:tcPr>
          <w:p>
            <w:pPr>
              <w:jc w:val="right"/>
              <w:ind w:right="710"/>
              <w:spacing w:after="0"/>
              <w:rPr>
                <w:sz w:val="20"/>
                <w:szCs w:val="20"/>
                <w:color w:val="auto"/>
              </w:rPr>
            </w:pPr>
            <w:r>
              <w:rPr>
                <w:rFonts w:ascii="Arial" w:cs="Arial" w:eastAsia="Arial" w:hAnsi="Arial"/>
                <w:sz w:val="10"/>
                <w:szCs w:val="10"/>
                <w:color w:val="666666"/>
              </w:rPr>
              <w:t>3,038,795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tcPr>
          <w:p>
            <w:pPr>
              <w:ind w:left="20"/>
              <w:spacing w:after="0"/>
              <w:rPr>
                <w:sz w:val="20"/>
                <w:szCs w:val="20"/>
                <w:color w:val="auto"/>
              </w:rPr>
            </w:pPr>
            <w:r>
              <w:rPr>
                <w:rFonts w:ascii="Arial" w:cs="Arial" w:eastAsia="Arial" w:hAnsi="Arial"/>
                <w:sz w:val="10"/>
                <w:szCs w:val="10"/>
                <w:b w:val="1"/>
                <w:bCs w:val="1"/>
                <w:color w:val="666666"/>
              </w:rPr>
              <w:t>Karen M. Dahut</w:t>
            </w:r>
          </w:p>
        </w:tc>
        <w:tc>
          <w:tcPr>
            <w:tcW w:w="2180" w:type="dxa"/>
            <w:vAlign w:val="bottom"/>
          </w:tcPr>
          <w:p>
            <w:pPr>
              <w:jc w:val="right"/>
              <w:ind w:right="410"/>
              <w:spacing w:after="0"/>
              <w:rPr>
                <w:sz w:val="20"/>
                <w:szCs w:val="20"/>
                <w:color w:val="auto"/>
              </w:rPr>
            </w:pPr>
            <w:r>
              <w:rPr>
                <w:rFonts w:ascii="Arial" w:cs="Arial" w:eastAsia="Arial" w:hAnsi="Arial"/>
                <w:sz w:val="10"/>
                <w:szCs w:val="10"/>
                <w:color w:val="666666"/>
              </w:rPr>
              <w:t>36,000.00</w:t>
            </w:r>
          </w:p>
        </w:tc>
        <w:tc>
          <w:tcPr>
            <w:tcW w:w="1340" w:type="dxa"/>
            <w:vAlign w:val="bottom"/>
          </w:tcPr>
          <w:p>
            <w:pPr>
              <w:jc w:val="right"/>
              <w:ind w:right="51"/>
              <w:spacing w:after="0"/>
              <w:rPr>
                <w:sz w:val="20"/>
                <w:szCs w:val="20"/>
                <w:color w:val="auto"/>
              </w:rPr>
            </w:pPr>
            <w:r>
              <w:rPr>
                <w:rFonts w:ascii="Arial" w:cs="Arial" w:eastAsia="Arial" w:hAnsi="Arial"/>
                <w:sz w:val="10"/>
                <w:szCs w:val="10"/>
                <w:color w:val="666666"/>
              </w:rPr>
              <w:t>1,005,693</w:t>
            </w:r>
          </w:p>
        </w:tc>
        <w:tc>
          <w:tcPr>
            <w:tcW w:w="1580" w:type="dxa"/>
            <w:vAlign w:val="bottom"/>
          </w:tcPr>
          <w:p>
            <w:pPr>
              <w:jc w:val="right"/>
              <w:ind w:right="189"/>
              <w:spacing w:after="0"/>
              <w:rPr>
                <w:sz w:val="20"/>
                <w:szCs w:val="20"/>
                <w:color w:val="auto"/>
              </w:rPr>
            </w:pPr>
            <w:r>
              <w:rPr>
                <w:rFonts w:ascii="Arial" w:cs="Arial" w:eastAsia="Arial" w:hAnsi="Arial"/>
                <w:sz w:val="10"/>
                <w:szCs w:val="10"/>
                <w:color w:val="666666"/>
              </w:rPr>
              <w:t>80,824.00</w:t>
            </w:r>
          </w:p>
        </w:tc>
        <w:tc>
          <w:tcPr>
            <w:tcW w:w="2200" w:type="dxa"/>
            <w:vAlign w:val="bottom"/>
          </w:tcPr>
          <w:p>
            <w:pPr>
              <w:jc w:val="right"/>
              <w:ind w:right="710"/>
              <w:spacing w:after="0"/>
              <w:rPr>
                <w:sz w:val="20"/>
                <w:szCs w:val="20"/>
                <w:color w:val="auto"/>
              </w:rPr>
            </w:pPr>
            <w:r>
              <w:rPr>
                <w:rFonts w:ascii="Arial" w:cs="Arial" w:eastAsia="Arial" w:hAnsi="Arial"/>
                <w:sz w:val="10"/>
                <w:szCs w:val="10"/>
                <w:color w:val="666666"/>
              </w:rPr>
              <w:t>3,038,795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DDDDDD"/>
          </w:tcPr>
          <w:p>
            <w:pPr>
              <w:ind w:left="20"/>
              <w:spacing w:after="0"/>
              <w:rPr>
                <w:sz w:val="20"/>
                <w:szCs w:val="20"/>
                <w:color w:val="auto"/>
              </w:rPr>
            </w:pPr>
            <w:r>
              <w:rPr>
                <w:rFonts w:ascii="Arial" w:cs="Arial" w:eastAsia="Arial" w:hAnsi="Arial"/>
                <w:sz w:val="10"/>
                <w:szCs w:val="10"/>
                <w:b w:val="1"/>
                <w:bCs w:val="1"/>
                <w:color w:val="666666"/>
              </w:rPr>
              <w:t>Joseph Logue</w:t>
            </w:r>
          </w:p>
        </w:tc>
        <w:tc>
          <w:tcPr>
            <w:tcW w:w="2180" w:type="dxa"/>
            <w:vAlign w:val="bottom"/>
            <w:shd w:val="clear" w:color="auto" w:fill="D8D8D8"/>
          </w:tcPr>
          <w:p>
            <w:pPr>
              <w:jc w:val="center"/>
              <w:ind w:right="310"/>
              <w:spacing w:after="0"/>
              <w:rPr>
                <w:sz w:val="20"/>
                <w:szCs w:val="20"/>
                <w:color w:val="auto"/>
              </w:rPr>
            </w:pPr>
            <w:r>
              <w:rPr>
                <w:rFonts w:ascii="Arial" w:cs="Arial" w:eastAsia="Arial" w:hAnsi="Arial"/>
                <w:sz w:val="10"/>
                <w:szCs w:val="10"/>
                <w:color w:val="666666"/>
                <w:w w:val="99"/>
              </w:rPr>
              <w:t>—</w:t>
            </w:r>
          </w:p>
        </w:tc>
        <w:tc>
          <w:tcPr>
            <w:tcW w:w="1340" w:type="dxa"/>
            <w:vAlign w:val="bottom"/>
            <w:shd w:val="clear" w:color="auto" w:fill="D8D8D8"/>
          </w:tcPr>
          <w:p>
            <w:pPr>
              <w:jc w:val="center"/>
              <w:ind w:right="311"/>
              <w:spacing w:after="0"/>
              <w:rPr>
                <w:sz w:val="20"/>
                <w:szCs w:val="20"/>
                <w:color w:val="auto"/>
              </w:rPr>
            </w:pPr>
            <w:r>
              <w:rPr>
                <w:rFonts w:ascii="Arial" w:cs="Arial" w:eastAsia="Arial" w:hAnsi="Arial"/>
                <w:sz w:val="10"/>
                <w:szCs w:val="10"/>
                <w:color w:val="666666"/>
                <w:w w:val="99"/>
              </w:rPr>
              <w:t>—</w:t>
            </w:r>
          </w:p>
        </w:tc>
        <w:tc>
          <w:tcPr>
            <w:tcW w:w="1580" w:type="dxa"/>
            <w:vAlign w:val="bottom"/>
            <w:shd w:val="clear" w:color="auto" w:fill="DDDDDD"/>
          </w:tcPr>
          <w:p>
            <w:pPr>
              <w:jc w:val="right"/>
              <w:ind w:right="189"/>
              <w:spacing w:after="0"/>
              <w:rPr>
                <w:sz w:val="20"/>
                <w:szCs w:val="20"/>
                <w:color w:val="auto"/>
              </w:rPr>
            </w:pPr>
            <w:r>
              <w:rPr>
                <w:rFonts w:ascii="Arial" w:cs="Arial" w:eastAsia="Arial" w:hAnsi="Arial"/>
                <w:sz w:val="10"/>
                <w:szCs w:val="10"/>
                <w:color w:val="666666"/>
              </w:rPr>
              <w:t>114,313.00</w:t>
            </w:r>
          </w:p>
        </w:tc>
        <w:tc>
          <w:tcPr>
            <w:tcW w:w="2200" w:type="dxa"/>
            <w:vAlign w:val="bottom"/>
            <w:shd w:val="clear" w:color="auto" w:fill="DDDDDD"/>
          </w:tcPr>
          <w:p>
            <w:pPr>
              <w:jc w:val="right"/>
              <w:ind w:right="710"/>
              <w:spacing w:after="0"/>
              <w:rPr>
                <w:sz w:val="20"/>
                <w:szCs w:val="20"/>
                <w:color w:val="auto"/>
              </w:rPr>
            </w:pPr>
            <w:r>
              <w:rPr>
                <w:rFonts w:ascii="Arial" w:cs="Arial" w:eastAsia="Arial" w:hAnsi="Arial"/>
                <w:sz w:val="10"/>
                <w:szCs w:val="10"/>
                <w:color w:val="666666"/>
              </w:rPr>
              <w:t>4,311,350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0"/>
                <w:szCs w:val="10"/>
                <w:b w:val="1"/>
                <w:bCs w:val="1"/>
                <w:color w:val="666666"/>
              </w:rPr>
              <w:t>Susan L. Penfield</w:t>
            </w:r>
          </w:p>
        </w:tc>
        <w:tc>
          <w:tcPr>
            <w:tcW w:w="2180" w:type="dxa"/>
            <w:vAlign w:val="bottom"/>
          </w:tcPr>
          <w:p>
            <w:pPr>
              <w:jc w:val="center"/>
              <w:ind w:right="310"/>
              <w:spacing w:after="0"/>
              <w:rPr>
                <w:sz w:val="20"/>
                <w:szCs w:val="20"/>
                <w:color w:val="auto"/>
              </w:rPr>
            </w:pPr>
            <w:r>
              <w:rPr>
                <w:rFonts w:ascii="Arial" w:cs="Arial" w:eastAsia="Arial" w:hAnsi="Arial"/>
                <w:sz w:val="10"/>
                <w:szCs w:val="10"/>
                <w:color w:val="666666"/>
                <w:w w:val="99"/>
              </w:rPr>
              <w:t>—</w:t>
            </w:r>
          </w:p>
        </w:tc>
        <w:tc>
          <w:tcPr>
            <w:tcW w:w="1340" w:type="dxa"/>
            <w:vAlign w:val="bottom"/>
          </w:tcPr>
          <w:p>
            <w:pPr>
              <w:jc w:val="center"/>
              <w:ind w:right="311"/>
              <w:spacing w:after="0"/>
              <w:rPr>
                <w:sz w:val="20"/>
                <w:szCs w:val="20"/>
                <w:color w:val="auto"/>
              </w:rPr>
            </w:pPr>
            <w:r>
              <w:rPr>
                <w:rFonts w:ascii="Arial" w:cs="Arial" w:eastAsia="Arial" w:hAnsi="Arial"/>
                <w:sz w:val="10"/>
                <w:szCs w:val="10"/>
                <w:color w:val="666666"/>
                <w:w w:val="99"/>
              </w:rPr>
              <w:t>—</w:t>
            </w:r>
          </w:p>
        </w:tc>
        <w:tc>
          <w:tcPr>
            <w:tcW w:w="1580" w:type="dxa"/>
            <w:vAlign w:val="bottom"/>
          </w:tcPr>
          <w:p>
            <w:pPr>
              <w:jc w:val="right"/>
              <w:ind w:right="189"/>
              <w:spacing w:after="0"/>
              <w:rPr>
                <w:sz w:val="20"/>
                <w:szCs w:val="20"/>
                <w:color w:val="auto"/>
              </w:rPr>
            </w:pPr>
            <w:r>
              <w:rPr>
                <w:rFonts w:ascii="Arial" w:cs="Arial" w:eastAsia="Arial" w:hAnsi="Arial"/>
                <w:sz w:val="10"/>
                <w:szCs w:val="10"/>
                <w:color w:val="666666"/>
              </w:rPr>
              <w:t>14,674.00</w:t>
            </w:r>
          </w:p>
        </w:tc>
        <w:tc>
          <w:tcPr>
            <w:tcW w:w="2200" w:type="dxa"/>
            <w:vAlign w:val="bottom"/>
          </w:tcPr>
          <w:p>
            <w:pPr>
              <w:jc w:val="right"/>
              <w:ind w:right="730"/>
              <w:spacing w:after="0"/>
              <w:rPr>
                <w:sz w:val="20"/>
                <w:szCs w:val="20"/>
                <w:color w:val="auto"/>
              </w:rPr>
            </w:pPr>
            <w:r>
              <w:rPr>
                <w:rFonts w:ascii="Arial" w:cs="Arial" w:eastAsia="Arial" w:hAnsi="Arial"/>
                <w:sz w:val="10"/>
                <w:szCs w:val="10"/>
                <w:color w:val="666666"/>
              </w:rPr>
              <w:t>517,118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80" w:hanging="230"/>
        <w:spacing w:after="0"/>
        <w:tabs>
          <w:tab w:leader="none" w:pos="380" w:val="left"/>
        </w:tabs>
        <w:numPr>
          <w:ilvl w:val="0"/>
          <w:numId w:val="44"/>
        </w:numPr>
        <w:rPr>
          <w:rFonts w:ascii="Arial" w:cs="Arial" w:eastAsia="Arial" w:hAnsi="Arial"/>
          <w:sz w:val="10"/>
          <w:szCs w:val="10"/>
          <w:color w:val="666666"/>
        </w:rPr>
      </w:pPr>
      <w:r>
        <w:rPr>
          <w:rFonts w:ascii="Arial" w:cs="Arial" w:eastAsia="Arial" w:hAnsi="Arial"/>
          <w:sz w:val="10"/>
          <w:szCs w:val="10"/>
          <w:color w:val="666666"/>
        </w:rPr>
        <w:t>Option Award ($) value realized is calculated based on the fair market value of our common stock less exercise cost at time of exercise.</w:t>
      </w:r>
    </w:p>
    <w:p>
      <w:pPr>
        <w:spacing w:after="0" w:line="12" w:lineRule="exact"/>
        <w:rPr>
          <w:rFonts w:ascii="Arial" w:cs="Arial" w:eastAsia="Arial" w:hAnsi="Arial"/>
          <w:sz w:val="10"/>
          <w:szCs w:val="10"/>
          <w:color w:val="666666"/>
        </w:rPr>
      </w:pPr>
    </w:p>
    <w:p>
      <w:pPr>
        <w:ind w:left="380" w:hanging="230"/>
        <w:spacing w:after="0" w:line="260" w:lineRule="auto"/>
        <w:tabs>
          <w:tab w:leader="none" w:pos="380" w:val="left"/>
        </w:tabs>
        <w:numPr>
          <w:ilvl w:val="0"/>
          <w:numId w:val="44"/>
        </w:numPr>
        <w:rPr>
          <w:rFonts w:ascii="Arial" w:cs="Arial" w:eastAsia="Arial" w:hAnsi="Arial"/>
          <w:sz w:val="10"/>
          <w:szCs w:val="10"/>
          <w:color w:val="666666"/>
        </w:rPr>
      </w:pPr>
      <w:r>
        <w:rPr>
          <w:rFonts w:ascii="Arial" w:cs="Arial" w:eastAsia="Arial" w:hAnsi="Arial"/>
          <w:sz w:val="10"/>
          <w:szCs w:val="10"/>
          <w:color w:val="666666"/>
        </w:rPr>
        <w:t>Stock Award ($) value realized is calculated based on fair market value on the applicable vesting date of June 30, 2017 and March 31, 2018, respectively. This column includes the value of the portion of the May 19, 2017 time-based restricted stock unit grants that vested on March 31, 2018 and settled on May 23, 2018 (fiscal year 2019).</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43</w:t>
      </w:r>
    </w:p>
    <w:p>
      <w:pPr>
        <w:sectPr>
          <w:pgSz w:w="11900" w:h="16838" w:orient="portrait"/>
          <w:cols w:equalWidth="0" w:num="1">
            <w:col w:w="11460"/>
          </w:cols>
          <w:pgMar w:left="220" w:top="457" w:right="219" w:bottom="1440" w:gutter="0" w:footer="0" w:header="0"/>
        </w:sectPr>
      </w:pPr>
    </w:p>
    <w:bookmarkStart w:id="52" w:name="page53"/>
    <w:bookmarkEnd w:id="52"/>
    <w:p>
      <w:pPr>
        <w:ind w:left="220"/>
        <w:spacing w:after="0"/>
        <w:rPr>
          <w:sz w:val="20"/>
          <w:szCs w:val="20"/>
          <w:color w:val="auto"/>
        </w:rPr>
      </w:pPr>
      <w:r>
        <w:rPr>
          <w:rFonts w:ascii="Arial" w:cs="Arial" w:eastAsia="Arial" w:hAnsi="Arial"/>
          <w:sz w:val="14"/>
          <w:szCs w:val="14"/>
          <w:b w:val="1"/>
          <w:bCs w:val="1"/>
          <w:i w:val="1"/>
          <w:iCs w:val="1"/>
          <w:color w:val="547BCC"/>
        </w:rPr>
        <w:t>Pension Benefits Table</w:t>
      </w:r>
    </w:p>
    <w:p>
      <w:pPr>
        <w:spacing w:after="0" w:line="11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4"/>
          <w:szCs w:val="14"/>
          <w:color w:val="666666"/>
        </w:rPr>
        <w:t>The Officers’ Retirement Plan is an unfunded defined benefit retirement plan that we maintain for our executives. Under the Officers’ Retirement Plan, if an executive retires of his or her own volition (and is not entitled to severance) after a minimum of either (a) age 60 with five years of service as an executive or (b) age 50 with 10 years of service as an executive, he or she will be entitled to receive a single lump sum retirement payment equal to $10,000 for each year of service as an executive, pro-rated as appropriate. As of fiscal year 2018 end, Messrs. Howell and Logue and Mses. Dahut and Penfield are eligible to receive benefits under the Officers’ Retirement Plan upon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135890</wp:posOffset>
            </wp:positionV>
            <wp:extent cx="6073140" cy="9753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3140" cy="975360"/>
                    </a:xfrm>
                    <a:prstGeom prst="rect">
                      <a:avLst/>
                    </a:prstGeom>
                    <a:noFill/>
                  </pic:spPr>
                </pic:pic>
              </a:graphicData>
            </a:graphic>
          </wp:anchor>
        </w:drawing>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PENSION BENEFITS TABLE</w:t>
      </w:r>
    </w:p>
    <w:p>
      <w:pPr>
        <w:spacing w:after="0" w:line="58" w:lineRule="exact"/>
        <w:rPr>
          <w:sz w:val="20"/>
          <w:szCs w:val="20"/>
          <w:color w:val="auto"/>
        </w:rPr>
      </w:pPr>
    </w:p>
    <w:tbl>
      <w:tblPr>
        <w:tblLayout w:type="fixed"/>
        <w:tblInd w:w="960" w:type="dxa"/>
        <w:tblCellMar>
          <w:top w:w="0" w:type="dxa"/>
          <w:left w:w="0" w:type="dxa"/>
          <w:bottom w:w="0" w:type="dxa"/>
          <w:right w:w="0" w:type="dxa"/>
        </w:tblCellMar>
      </w:tblPr>
      <w:tr>
        <w:trPr>
          <w:trHeight w:val="119"/>
        </w:trPr>
        <w:tc>
          <w:tcPr>
            <w:tcW w:w="1880" w:type="dxa"/>
            <w:vAlign w:val="bottom"/>
            <w:shd w:val="clear" w:color="auto" w:fill="DDDDDD"/>
          </w:tcPr>
          <w:p>
            <w:pPr>
              <w:spacing w:after="0"/>
              <w:rPr>
                <w:sz w:val="10"/>
                <w:szCs w:val="10"/>
                <w:color w:val="auto"/>
              </w:rPr>
            </w:pPr>
          </w:p>
        </w:tc>
        <w:tc>
          <w:tcPr>
            <w:tcW w:w="2480" w:type="dxa"/>
            <w:vAlign w:val="bottom"/>
            <w:shd w:val="clear" w:color="auto" w:fill="DDDDDD"/>
          </w:tcPr>
          <w:p>
            <w:pPr>
              <w:spacing w:after="0"/>
              <w:rPr>
                <w:sz w:val="10"/>
                <w:szCs w:val="10"/>
                <w:color w:val="auto"/>
              </w:rPr>
            </w:pPr>
          </w:p>
        </w:tc>
        <w:tc>
          <w:tcPr>
            <w:tcW w:w="1760" w:type="dxa"/>
            <w:vAlign w:val="bottom"/>
            <w:vMerge w:val="restart"/>
            <w:shd w:val="clear" w:color="auto" w:fill="DDDDDD"/>
          </w:tcPr>
          <w:p>
            <w:pPr>
              <w:ind w:left="500"/>
              <w:spacing w:after="0"/>
              <w:rPr>
                <w:sz w:val="20"/>
                <w:szCs w:val="20"/>
                <w:color w:val="auto"/>
              </w:rPr>
            </w:pPr>
            <w:r>
              <w:rPr>
                <w:rFonts w:ascii="Arial" w:cs="Arial" w:eastAsia="Arial" w:hAnsi="Arial"/>
                <w:sz w:val="10"/>
                <w:szCs w:val="10"/>
                <w:b w:val="1"/>
                <w:bCs w:val="1"/>
                <w:color w:val="666666"/>
              </w:rPr>
              <w:t>Number of Years</w:t>
            </w:r>
          </w:p>
        </w:tc>
        <w:tc>
          <w:tcPr>
            <w:tcW w:w="1880" w:type="dxa"/>
            <w:vAlign w:val="bottom"/>
            <w:shd w:val="clear" w:color="auto" w:fill="DDDDDD"/>
          </w:tcPr>
          <w:p>
            <w:pPr>
              <w:jc w:val="center"/>
              <w:ind w:right="110"/>
              <w:spacing w:after="0"/>
              <w:rPr>
                <w:sz w:val="20"/>
                <w:szCs w:val="20"/>
                <w:color w:val="auto"/>
              </w:rPr>
            </w:pPr>
            <w:r>
              <w:rPr>
                <w:rFonts w:ascii="Arial" w:cs="Arial" w:eastAsia="Arial" w:hAnsi="Arial"/>
                <w:sz w:val="10"/>
                <w:szCs w:val="10"/>
                <w:b w:val="1"/>
                <w:bCs w:val="1"/>
                <w:color w:val="666666"/>
              </w:rPr>
              <w:t>Present Value of</w:t>
            </w:r>
          </w:p>
        </w:tc>
        <w:tc>
          <w:tcPr>
            <w:tcW w:w="1560" w:type="dxa"/>
            <w:vAlign w:val="bottom"/>
            <w:vMerge w:val="restart"/>
            <w:shd w:val="clear" w:color="auto" w:fill="DDDDDD"/>
          </w:tcPr>
          <w:p>
            <w:pPr>
              <w:jc w:val="center"/>
              <w:ind w:right="149"/>
              <w:spacing w:after="0"/>
              <w:rPr>
                <w:sz w:val="20"/>
                <w:szCs w:val="20"/>
                <w:color w:val="auto"/>
              </w:rPr>
            </w:pPr>
            <w:r>
              <w:rPr>
                <w:rFonts w:ascii="Arial" w:cs="Arial" w:eastAsia="Arial" w:hAnsi="Arial"/>
                <w:sz w:val="10"/>
                <w:szCs w:val="10"/>
                <w:b w:val="1"/>
                <w:bCs w:val="1"/>
                <w:color w:val="666666"/>
              </w:rPr>
              <w:t>Payments During</w:t>
            </w:r>
          </w:p>
        </w:tc>
        <w:tc>
          <w:tcPr>
            <w:tcW w:w="0" w:type="dxa"/>
            <w:vAlign w:val="bottom"/>
          </w:tcPr>
          <w:p>
            <w:pPr>
              <w:spacing w:after="0"/>
              <w:rPr>
                <w:sz w:val="1"/>
                <w:szCs w:val="1"/>
                <w:color w:val="auto"/>
              </w:rPr>
            </w:pPr>
          </w:p>
        </w:tc>
      </w:tr>
      <w:tr>
        <w:trPr>
          <w:trHeight w:val="113"/>
        </w:trPr>
        <w:tc>
          <w:tcPr>
            <w:tcW w:w="1880" w:type="dxa"/>
            <w:vAlign w:val="bottom"/>
            <w:shd w:val="clear" w:color="auto" w:fill="DDDDDD"/>
          </w:tcPr>
          <w:p>
            <w:pPr>
              <w:spacing w:after="0"/>
              <w:rPr>
                <w:sz w:val="9"/>
                <w:szCs w:val="9"/>
                <w:color w:val="auto"/>
              </w:rPr>
            </w:pPr>
          </w:p>
        </w:tc>
        <w:tc>
          <w:tcPr>
            <w:tcW w:w="2480" w:type="dxa"/>
            <w:vAlign w:val="bottom"/>
            <w:shd w:val="clear" w:color="auto" w:fill="DDDDDD"/>
          </w:tcPr>
          <w:p>
            <w:pPr>
              <w:spacing w:after="0"/>
              <w:rPr>
                <w:sz w:val="9"/>
                <w:szCs w:val="9"/>
                <w:color w:val="auto"/>
              </w:rPr>
            </w:pPr>
          </w:p>
        </w:tc>
        <w:tc>
          <w:tcPr>
            <w:tcW w:w="1760" w:type="dxa"/>
            <w:vAlign w:val="bottom"/>
            <w:vMerge w:val="continue"/>
            <w:shd w:val="clear" w:color="auto" w:fill="DDDDDD"/>
          </w:tcPr>
          <w:p>
            <w:pPr>
              <w:spacing w:after="0"/>
              <w:rPr>
                <w:sz w:val="9"/>
                <w:szCs w:val="9"/>
                <w:color w:val="auto"/>
              </w:rPr>
            </w:pPr>
          </w:p>
        </w:tc>
        <w:tc>
          <w:tcPr>
            <w:tcW w:w="1880" w:type="dxa"/>
            <w:vAlign w:val="bottom"/>
            <w:shd w:val="clear" w:color="auto" w:fill="DDDDDD"/>
          </w:tcPr>
          <w:p>
            <w:pPr>
              <w:jc w:val="center"/>
              <w:ind w:right="110"/>
              <w:spacing w:after="0" w:line="114" w:lineRule="exact"/>
              <w:rPr>
                <w:sz w:val="20"/>
                <w:szCs w:val="20"/>
                <w:color w:val="auto"/>
              </w:rPr>
            </w:pPr>
            <w:r>
              <w:rPr>
                <w:rFonts w:ascii="Arial" w:cs="Arial" w:eastAsia="Arial" w:hAnsi="Arial"/>
                <w:sz w:val="10"/>
                <w:szCs w:val="10"/>
                <w:b w:val="1"/>
                <w:bCs w:val="1"/>
                <w:color w:val="666666"/>
              </w:rPr>
              <w:t>Accumulated</w:t>
            </w:r>
          </w:p>
        </w:tc>
        <w:tc>
          <w:tcPr>
            <w:tcW w:w="1560" w:type="dxa"/>
            <w:vAlign w:val="bottom"/>
            <w:vMerge w:val="continue"/>
            <w:shd w:val="clear" w:color="auto" w:fill="DDDDDD"/>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880" w:type="dxa"/>
            <w:vAlign w:val="bottom"/>
            <w:vMerge w:val="restart"/>
            <w:shd w:val="clear" w:color="auto" w:fill="DDDDDD"/>
          </w:tcPr>
          <w:p>
            <w:pPr>
              <w:ind w:left="40"/>
              <w:spacing w:after="0"/>
              <w:rPr>
                <w:sz w:val="20"/>
                <w:szCs w:val="20"/>
                <w:color w:val="auto"/>
              </w:rPr>
            </w:pPr>
            <w:r>
              <w:rPr>
                <w:rFonts w:ascii="Arial" w:cs="Arial" w:eastAsia="Arial" w:hAnsi="Arial"/>
                <w:sz w:val="10"/>
                <w:szCs w:val="10"/>
                <w:b w:val="1"/>
                <w:bCs w:val="1"/>
                <w:color w:val="666666"/>
              </w:rPr>
              <w:t>Name</w:t>
            </w:r>
          </w:p>
        </w:tc>
        <w:tc>
          <w:tcPr>
            <w:tcW w:w="2480" w:type="dxa"/>
            <w:vAlign w:val="bottom"/>
            <w:vMerge w:val="restart"/>
            <w:shd w:val="clear" w:color="auto" w:fill="DDDDDD"/>
          </w:tcPr>
          <w:p>
            <w:pPr>
              <w:jc w:val="center"/>
              <w:ind w:left="309"/>
              <w:spacing w:after="0"/>
              <w:rPr>
                <w:sz w:val="20"/>
                <w:szCs w:val="20"/>
                <w:color w:val="auto"/>
              </w:rPr>
            </w:pPr>
            <w:r>
              <w:rPr>
                <w:rFonts w:ascii="Arial" w:cs="Arial" w:eastAsia="Arial" w:hAnsi="Arial"/>
                <w:sz w:val="10"/>
                <w:szCs w:val="10"/>
                <w:b w:val="1"/>
                <w:bCs w:val="1"/>
                <w:color w:val="666666"/>
              </w:rPr>
              <w:t>Plan Name</w:t>
            </w:r>
          </w:p>
        </w:tc>
        <w:tc>
          <w:tcPr>
            <w:tcW w:w="1760" w:type="dxa"/>
            <w:vAlign w:val="bottom"/>
            <w:shd w:val="clear" w:color="auto" w:fill="DDDDDD"/>
          </w:tcPr>
          <w:p>
            <w:pPr>
              <w:ind w:left="480"/>
              <w:spacing w:after="0"/>
              <w:rPr>
                <w:sz w:val="20"/>
                <w:szCs w:val="20"/>
                <w:color w:val="auto"/>
              </w:rPr>
            </w:pPr>
            <w:r>
              <w:rPr>
                <w:rFonts w:ascii="Arial" w:cs="Arial" w:eastAsia="Arial" w:hAnsi="Arial"/>
                <w:sz w:val="10"/>
                <w:szCs w:val="10"/>
                <w:b w:val="1"/>
                <w:bCs w:val="1"/>
                <w:color w:val="666666"/>
              </w:rPr>
              <w:t>Credited Service</w:t>
            </w:r>
          </w:p>
        </w:tc>
        <w:tc>
          <w:tcPr>
            <w:tcW w:w="1880" w:type="dxa"/>
            <w:vAlign w:val="bottom"/>
            <w:shd w:val="clear" w:color="auto" w:fill="DDDDDD"/>
          </w:tcPr>
          <w:p>
            <w:pPr>
              <w:jc w:val="center"/>
              <w:ind w:right="110"/>
              <w:spacing w:after="0" w:line="117" w:lineRule="exact"/>
              <w:rPr>
                <w:sz w:val="20"/>
                <w:szCs w:val="20"/>
                <w:color w:val="auto"/>
              </w:rPr>
            </w:pPr>
            <w:r>
              <w:rPr>
                <w:rFonts w:ascii="Arial" w:cs="Arial" w:eastAsia="Arial" w:hAnsi="Arial"/>
                <w:sz w:val="8"/>
                <w:szCs w:val="8"/>
                <w:b w:val="1"/>
                <w:bCs w:val="1"/>
                <w:color w:val="666666"/>
              </w:rPr>
              <w:t xml:space="preserve">Benefits </w:t>
            </w:r>
            <w:r>
              <w:rPr>
                <w:rFonts w:ascii="Arial" w:cs="Arial" w:eastAsia="Arial" w:hAnsi="Arial"/>
                <w:sz w:val="13"/>
                <w:szCs w:val="13"/>
                <w:b w:val="1"/>
                <w:bCs w:val="1"/>
                <w:color w:val="666666"/>
                <w:vertAlign w:val="superscript"/>
              </w:rPr>
              <w:t>1</w:t>
            </w:r>
          </w:p>
        </w:tc>
        <w:tc>
          <w:tcPr>
            <w:tcW w:w="1560" w:type="dxa"/>
            <w:vAlign w:val="bottom"/>
            <w:shd w:val="clear" w:color="auto" w:fill="DDDDDD"/>
          </w:tcPr>
          <w:p>
            <w:pPr>
              <w:jc w:val="center"/>
              <w:ind w:right="129"/>
              <w:spacing w:after="0"/>
              <w:rPr>
                <w:sz w:val="20"/>
                <w:szCs w:val="20"/>
                <w:color w:val="auto"/>
              </w:rPr>
            </w:pPr>
            <w:r>
              <w:rPr>
                <w:rFonts w:ascii="Arial" w:cs="Arial" w:eastAsia="Arial" w:hAnsi="Arial"/>
                <w:sz w:val="10"/>
                <w:szCs w:val="10"/>
                <w:b w:val="1"/>
                <w:bCs w:val="1"/>
                <w:color w:val="666666"/>
              </w:rPr>
              <w:t>Last Fiscal Year</w:t>
            </w:r>
          </w:p>
        </w:tc>
        <w:tc>
          <w:tcPr>
            <w:tcW w:w="0" w:type="dxa"/>
            <w:vAlign w:val="bottom"/>
          </w:tcPr>
          <w:p>
            <w:pPr>
              <w:spacing w:after="0"/>
              <w:rPr>
                <w:sz w:val="1"/>
                <w:szCs w:val="1"/>
                <w:color w:val="auto"/>
              </w:rPr>
            </w:pPr>
          </w:p>
        </w:tc>
      </w:tr>
      <w:tr>
        <w:trPr>
          <w:trHeight w:val="145"/>
        </w:trPr>
        <w:tc>
          <w:tcPr>
            <w:tcW w:w="1880" w:type="dxa"/>
            <w:vAlign w:val="bottom"/>
            <w:tcBorders>
              <w:bottom w:val="single" w:sz="8" w:color="auto"/>
            </w:tcBorders>
            <w:vMerge w:val="continue"/>
            <w:shd w:val="clear" w:color="auto" w:fill="DDDDDD"/>
          </w:tcPr>
          <w:p>
            <w:pPr>
              <w:spacing w:after="0"/>
              <w:rPr>
                <w:sz w:val="12"/>
                <w:szCs w:val="12"/>
                <w:color w:val="auto"/>
              </w:rPr>
            </w:pPr>
          </w:p>
        </w:tc>
        <w:tc>
          <w:tcPr>
            <w:tcW w:w="2480" w:type="dxa"/>
            <w:vAlign w:val="bottom"/>
            <w:tcBorders>
              <w:bottom w:val="single" w:sz="8" w:color="auto"/>
            </w:tcBorders>
            <w:vMerge w:val="continue"/>
            <w:shd w:val="clear" w:color="auto" w:fill="DDDDDD"/>
          </w:tcPr>
          <w:p>
            <w:pPr>
              <w:spacing w:after="0"/>
              <w:rPr>
                <w:sz w:val="12"/>
                <w:szCs w:val="12"/>
                <w:color w:val="auto"/>
              </w:rPr>
            </w:pPr>
          </w:p>
        </w:tc>
        <w:tc>
          <w:tcPr>
            <w:tcW w:w="17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0"/>
                <w:szCs w:val="10"/>
                <w:b w:val="1"/>
                <w:bCs w:val="1"/>
                <w:color w:val="666666"/>
                <w:w w:val="97"/>
              </w:rPr>
              <w:t>(#)</w:t>
            </w:r>
          </w:p>
        </w:tc>
        <w:tc>
          <w:tcPr>
            <w:tcW w:w="1880" w:type="dxa"/>
            <w:vAlign w:val="bottom"/>
            <w:tcBorders>
              <w:bottom w:val="single" w:sz="8" w:color="auto"/>
            </w:tcBorders>
            <w:shd w:val="clear" w:color="auto" w:fill="DDDDDD"/>
          </w:tcPr>
          <w:p>
            <w:pPr>
              <w:jc w:val="center"/>
              <w:ind w:right="110"/>
              <w:spacing w:after="0"/>
              <w:rPr>
                <w:sz w:val="20"/>
                <w:szCs w:val="20"/>
                <w:color w:val="auto"/>
              </w:rPr>
            </w:pPr>
            <w:r>
              <w:rPr>
                <w:rFonts w:ascii="Arial" w:cs="Arial" w:eastAsia="Arial" w:hAnsi="Arial"/>
                <w:sz w:val="10"/>
                <w:szCs w:val="10"/>
                <w:b w:val="1"/>
                <w:bCs w:val="1"/>
                <w:color w:val="666666"/>
                <w:w w:val="97"/>
              </w:rPr>
              <w:t>($)</w:t>
            </w:r>
          </w:p>
        </w:tc>
        <w:tc>
          <w:tcPr>
            <w:tcW w:w="1560" w:type="dxa"/>
            <w:vAlign w:val="bottom"/>
            <w:tcBorders>
              <w:bottom w:val="single" w:sz="8" w:color="auto"/>
            </w:tcBorders>
            <w:shd w:val="clear" w:color="auto" w:fill="DDDDDD"/>
          </w:tcPr>
          <w:p>
            <w:pPr>
              <w:jc w:val="center"/>
              <w:ind w:right="149"/>
              <w:spacing w:after="0"/>
              <w:rPr>
                <w:sz w:val="20"/>
                <w:szCs w:val="20"/>
                <w:color w:val="auto"/>
              </w:rPr>
            </w:pPr>
            <w:r>
              <w:rPr>
                <w:rFonts w:ascii="Arial" w:cs="Arial" w:eastAsia="Arial" w:hAnsi="Arial"/>
                <w:sz w:val="10"/>
                <w:szCs w:val="10"/>
                <w:b w:val="1"/>
                <w:bCs w:val="1"/>
                <w:color w:val="666666"/>
                <w:w w:val="97"/>
              </w:rPr>
              <w:t>($)</w:t>
            </w:r>
          </w:p>
        </w:tc>
        <w:tc>
          <w:tcPr>
            <w:tcW w:w="0" w:type="dxa"/>
            <w:vAlign w:val="bottom"/>
          </w:tcPr>
          <w:p>
            <w:pPr>
              <w:spacing w:after="0"/>
              <w:rPr>
                <w:sz w:val="1"/>
                <w:szCs w:val="1"/>
                <w:color w:val="auto"/>
              </w:rPr>
            </w:pPr>
          </w:p>
        </w:tc>
      </w:tr>
      <w:tr>
        <w:trPr>
          <w:trHeight w:val="153"/>
        </w:trPr>
        <w:tc>
          <w:tcPr>
            <w:tcW w:w="1880" w:type="dxa"/>
            <w:vAlign w:val="bottom"/>
          </w:tcPr>
          <w:p>
            <w:pPr>
              <w:ind w:left="40"/>
              <w:spacing w:after="0"/>
              <w:rPr>
                <w:sz w:val="20"/>
                <w:szCs w:val="20"/>
                <w:color w:val="auto"/>
              </w:rPr>
            </w:pPr>
            <w:r>
              <w:rPr>
                <w:rFonts w:ascii="Arial" w:cs="Arial" w:eastAsia="Arial" w:hAnsi="Arial"/>
                <w:sz w:val="10"/>
                <w:szCs w:val="10"/>
                <w:b w:val="1"/>
                <w:bCs w:val="1"/>
                <w:color w:val="666666"/>
              </w:rPr>
              <w:t>Horacio D. Rozanski</w:t>
            </w:r>
          </w:p>
        </w:tc>
        <w:tc>
          <w:tcPr>
            <w:tcW w:w="2480" w:type="dxa"/>
            <w:vAlign w:val="bottom"/>
          </w:tcPr>
          <w:p>
            <w:pPr>
              <w:jc w:val="center"/>
              <w:ind w:left="309"/>
              <w:spacing w:after="0"/>
              <w:rPr>
                <w:sz w:val="20"/>
                <w:szCs w:val="20"/>
                <w:color w:val="auto"/>
              </w:rPr>
            </w:pPr>
            <w:r>
              <w:rPr>
                <w:rFonts w:ascii="Arial" w:cs="Arial" w:eastAsia="Arial" w:hAnsi="Arial"/>
                <w:sz w:val="10"/>
                <w:szCs w:val="10"/>
                <w:color w:val="666666"/>
              </w:rPr>
              <w:t>Officers’ Retirement Plan</w:t>
            </w:r>
          </w:p>
        </w:tc>
        <w:tc>
          <w:tcPr>
            <w:tcW w:w="1760" w:type="dxa"/>
            <w:vAlign w:val="bottom"/>
          </w:tcPr>
          <w:p>
            <w:pPr>
              <w:jc w:val="center"/>
              <w:spacing w:after="0"/>
              <w:rPr>
                <w:sz w:val="20"/>
                <w:szCs w:val="20"/>
                <w:color w:val="auto"/>
              </w:rPr>
            </w:pPr>
            <w:r>
              <w:rPr>
                <w:rFonts w:ascii="Arial" w:cs="Arial" w:eastAsia="Arial" w:hAnsi="Arial"/>
                <w:sz w:val="10"/>
                <w:szCs w:val="10"/>
                <w:color w:val="666666"/>
              </w:rPr>
              <w:t>18.5</w:t>
            </w:r>
          </w:p>
        </w:tc>
        <w:tc>
          <w:tcPr>
            <w:tcW w:w="1880" w:type="dxa"/>
            <w:vAlign w:val="bottom"/>
          </w:tcPr>
          <w:p>
            <w:pPr>
              <w:jc w:val="right"/>
              <w:ind w:right="210"/>
              <w:spacing w:after="0"/>
              <w:rPr>
                <w:sz w:val="20"/>
                <w:szCs w:val="20"/>
                <w:color w:val="auto"/>
              </w:rPr>
            </w:pPr>
            <w:r>
              <w:rPr>
                <w:rFonts w:ascii="Arial" w:cs="Arial" w:eastAsia="Arial" w:hAnsi="Arial"/>
                <w:sz w:val="10"/>
                <w:szCs w:val="10"/>
                <w:color w:val="666666"/>
              </w:rPr>
              <w:t>185,000</w:t>
            </w:r>
          </w:p>
        </w:tc>
        <w:tc>
          <w:tcPr>
            <w:tcW w:w="1560" w:type="dxa"/>
            <w:vAlign w:val="bottom"/>
          </w:tcPr>
          <w:p>
            <w:pPr>
              <w:jc w:val="center"/>
              <w:ind w:right="12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r>
        <w:trPr>
          <w:trHeight w:val="154"/>
        </w:trPr>
        <w:tc>
          <w:tcPr>
            <w:tcW w:w="1880" w:type="dxa"/>
            <w:vAlign w:val="bottom"/>
            <w:shd w:val="clear" w:color="auto" w:fill="DDDDDD"/>
          </w:tcPr>
          <w:p>
            <w:pPr>
              <w:ind w:left="40"/>
              <w:spacing w:after="0"/>
              <w:rPr>
                <w:sz w:val="20"/>
                <w:szCs w:val="20"/>
                <w:color w:val="auto"/>
              </w:rPr>
            </w:pPr>
            <w:r>
              <w:rPr>
                <w:rFonts w:ascii="Arial" w:cs="Arial" w:eastAsia="Arial" w:hAnsi="Arial"/>
                <w:sz w:val="10"/>
                <w:szCs w:val="10"/>
                <w:b w:val="1"/>
                <w:bCs w:val="1"/>
                <w:color w:val="666666"/>
              </w:rPr>
              <w:t>Lloyd W. Howell, Jr.</w:t>
            </w:r>
          </w:p>
        </w:tc>
        <w:tc>
          <w:tcPr>
            <w:tcW w:w="2480" w:type="dxa"/>
            <w:vAlign w:val="bottom"/>
            <w:shd w:val="clear" w:color="auto" w:fill="DDDDDD"/>
          </w:tcPr>
          <w:p>
            <w:pPr>
              <w:jc w:val="center"/>
              <w:ind w:left="309"/>
              <w:spacing w:after="0"/>
              <w:rPr>
                <w:sz w:val="20"/>
                <w:szCs w:val="20"/>
                <w:color w:val="auto"/>
              </w:rPr>
            </w:pPr>
            <w:r>
              <w:rPr>
                <w:rFonts w:ascii="Arial" w:cs="Arial" w:eastAsia="Arial" w:hAnsi="Arial"/>
                <w:sz w:val="10"/>
                <w:szCs w:val="10"/>
                <w:color w:val="666666"/>
              </w:rPr>
              <w:t>Officers’ Retirement Plan</w:t>
            </w:r>
          </w:p>
        </w:tc>
        <w:tc>
          <w:tcPr>
            <w:tcW w:w="176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17.5</w:t>
            </w:r>
          </w:p>
        </w:tc>
        <w:tc>
          <w:tcPr>
            <w:tcW w:w="1880" w:type="dxa"/>
            <w:vAlign w:val="bottom"/>
            <w:shd w:val="clear" w:color="auto" w:fill="DDDDDD"/>
          </w:tcPr>
          <w:p>
            <w:pPr>
              <w:jc w:val="right"/>
              <w:ind w:right="210"/>
              <w:spacing w:after="0"/>
              <w:rPr>
                <w:sz w:val="20"/>
                <w:szCs w:val="20"/>
                <w:color w:val="auto"/>
              </w:rPr>
            </w:pPr>
            <w:r>
              <w:rPr>
                <w:rFonts w:ascii="Arial" w:cs="Arial" w:eastAsia="Arial" w:hAnsi="Arial"/>
                <w:sz w:val="10"/>
                <w:szCs w:val="10"/>
                <w:color w:val="666666"/>
              </w:rPr>
              <w:t>175,000</w:t>
            </w:r>
          </w:p>
        </w:tc>
        <w:tc>
          <w:tcPr>
            <w:tcW w:w="1560" w:type="dxa"/>
            <w:vAlign w:val="bottom"/>
            <w:shd w:val="clear" w:color="auto" w:fill="DDDDDD"/>
          </w:tcPr>
          <w:p>
            <w:pPr>
              <w:jc w:val="center"/>
              <w:ind w:right="12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r>
        <w:trPr>
          <w:trHeight w:val="153"/>
        </w:trPr>
        <w:tc>
          <w:tcPr>
            <w:tcW w:w="1880" w:type="dxa"/>
            <w:vAlign w:val="bottom"/>
          </w:tcPr>
          <w:p>
            <w:pPr>
              <w:ind w:left="40"/>
              <w:spacing w:after="0"/>
              <w:rPr>
                <w:sz w:val="20"/>
                <w:szCs w:val="20"/>
                <w:color w:val="auto"/>
              </w:rPr>
            </w:pPr>
            <w:r>
              <w:rPr>
                <w:rFonts w:ascii="Arial" w:cs="Arial" w:eastAsia="Arial" w:hAnsi="Arial"/>
                <w:sz w:val="10"/>
                <w:szCs w:val="10"/>
                <w:b w:val="1"/>
                <w:bCs w:val="1"/>
                <w:color w:val="666666"/>
              </w:rPr>
              <w:t>Karen M. Dahut</w:t>
            </w:r>
          </w:p>
        </w:tc>
        <w:tc>
          <w:tcPr>
            <w:tcW w:w="2480" w:type="dxa"/>
            <w:vAlign w:val="bottom"/>
          </w:tcPr>
          <w:p>
            <w:pPr>
              <w:jc w:val="center"/>
              <w:ind w:left="309"/>
              <w:spacing w:after="0"/>
              <w:rPr>
                <w:sz w:val="20"/>
                <w:szCs w:val="20"/>
                <w:color w:val="auto"/>
              </w:rPr>
            </w:pPr>
            <w:r>
              <w:rPr>
                <w:rFonts w:ascii="Arial" w:cs="Arial" w:eastAsia="Arial" w:hAnsi="Arial"/>
                <w:sz w:val="10"/>
                <w:szCs w:val="10"/>
                <w:color w:val="666666"/>
              </w:rPr>
              <w:t>Officers’ Retirement Plan</w:t>
            </w:r>
          </w:p>
        </w:tc>
        <w:tc>
          <w:tcPr>
            <w:tcW w:w="1760" w:type="dxa"/>
            <w:vAlign w:val="bottom"/>
          </w:tcPr>
          <w:p>
            <w:pPr>
              <w:jc w:val="center"/>
              <w:spacing w:after="0"/>
              <w:rPr>
                <w:sz w:val="20"/>
                <w:szCs w:val="20"/>
                <w:color w:val="auto"/>
              </w:rPr>
            </w:pPr>
            <w:r>
              <w:rPr>
                <w:rFonts w:ascii="Arial" w:cs="Arial" w:eastAsia="Arial" w:hAnsi="Arial"/>
                <w:sz w:val="10"/>
                <w:szCs w:val="10"/>
                <w:color w:val="666666"/>
              </w:rPr>
              <w:t>13.5</w:t>
            </w:r>
          </w:p>
        </w:tc>
        <w:tc>
          <w:tcPr>
            <w:tcW w:w="1880" w:type="dxa"/>
            <w:vAlign w:val="bottom"/>
          </w:tcPr>
          <w:p>
            <w:pPr>
              <w:jc w:val="right"/>
              <w:ind w:right="210"/>
              <w:spacing w:after="0"/>
              <w:rPr>
                <w:sz w:val="20"/>
                <w:szCs w:val="20"/>
                <w:color w:val="auto"/>
              </w:rPr>
            </w:pPr>
            <w:r>
              <w:rPr>
                <w:rFonts w:ascii="Arial" w:cs="Arial" w:eastAsia="Arial" w:hAnsi="Arial"/>
                <w:sz w:val="10"/>
                <w:szCs w:val="10"/>
                <w:color w:val="666666"/>
              </w:rPr>
              <w:t>135,000</w:t>
            </w:r>
          </w:p>
        </w:tc>
        <w:tc>
          <w:tcPr>
            <w:tcW w:w="1560" w:type="dxa"/>
            <w:vAlign w:val="bottom"/>
          </w:tcPr>
          <w:p>
            <w:pPr>
              <w:jc w:val="center"/>
              <w:ind w:right="12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r>
        <w:trPr>
          <w:trHeight w:val="154"/>
        </w:trPr>
        <w:tc>
          <w:tcPr>
            <w:tcW w:w="1880" w:type="dxa"/>
            <w:vAlign w:val="bottom"/>
            <w:shd w:val="clear" w:color="auto" w:fill="DDDDDD"/>
          </w:tcPr>
          <w:p>
            <w:pPr>
              <w:ind w:left="40"/>
              <w:spacing w:after="0"/>
              <w:rPr>
                <w:sz w:val="20"/>
                <w:szCs w:val="20"/>
                <w:color w:val="auto"/>
              </w:rPr>
            </w:pPr>
            <w:r>
              <w:rPr>
                <w:rFonts w:ascii="Arial" w:cs="Arial" w:eastAsia="Arial" w:hAnsi="Arial"/>
                <w:sz w:val="10"/>
                <w:szCs w:val="10"/>
                <w:b w:val="1"/>
                <w:bCs w:val="1"/>
                <w:color w:val="666666"/>
              </w:rPr>
              <w:t>Joseph Logue</w:t>
            </w:r>
          </w:p>
        </w:tc>
        <w:tc>
          <w:tcPr>
            <w:tcW w:w="2480" w:type="dxa"/>
            <w:vAlign w:val="bottom"/>
            <w:shd w:val="clear" w:color="auto" w:fill="DDDDDD"/>
          </w:tcPr>
          <w:p>
            <w:pPr>
              <w:jc w:val="center"/>
              <w:ind w:left="309"/>
              <w:spacing w:after="0"/>
              <w:rPr>
                <w:sz w:val="20"/>
                <w:szCs w:val="20"/>
                <w:color w:val="auto"/>
              </w:rPr>
            </w:pPr>
            <w:r>
              <w:rPr>
                <w:rFonts w:ascii="Arial" w:cs="Arial" w:eastAsia="Arial" w:hAnsi="Arial"/>
                <w:sz w:val="10"/>
                <w:szCs w:val="10"/>
                <w:color w:val="666666"/>
              </w:rPr>
              <w:t>Officers’ Retirement Plan</w:t>
            </w:r>
          </w:p>
        </w:tc>
        <w:tc>
          <w:tcPr>
            <w:tcW w:w="176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16.5</w:t>
            </w:r>
          </w:p>
        </w:tc>
        <w:tc>
          <w:tcPr>
            <w:tcW w:w="1880" w:type="dxa"/>
            <w:vAlign w:val="bottom"/>
            <w:shd w:val="clear" w:color="auto" w:fill="DDDDDD"/>
          </w:tcPr>
          <w:p>
            <w:pPr>
              <w:jc w:val="right"/>
              <w:ind w:right="210"/>
              <w:spacing w:after="0"/>
              <w:rPr>
                <w:sz w:val="20"/>
                <w:szCs w:val="20"/>
                <w:color w:val="auto"/>
              </w:rPr>
            </w:pPr>
            <w:r>
              <w:rPr>
                <w:rFonts w:ascii="Arial" w:cs="Arial" w:eastAsia="Arial" w:hAnsi="Arial"/>
                <w:sz w:val="10"/>
                <w:szCs w:val="10"/>
                <w:color w:val="666666"/>
              </w:rPr>
              <w:t>165,000</w:t>
            </w:r>
          </w:p>
        </w:tc>
        <w:tc>
          <w:tcPr>
            <w:tcW w:w="1560" w:type="dxa"/>
            <w:vAlign w:val="bottom"/>
            <w:shd w:val="clear" w:color="auto" w:fill="DDDDDD"/>
          </w:tcPr>
          <w:p>
            <w:pPr>
              <w:jc w:val="center"/>
              <w:ind w:right="12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r>
        <w:trPr>
          <w:trHeight w:val="153"/>
        </w:trPr>
        <w:tc>
          <w:tcPr>
            <w:tcW w:w="1880" w:type="dxa"/>
            <w:vAlign w:val="bottom"/>
          </w:tcPr>
          <w:p>
            <w:pPr>
              <w:ind w:left="40"/>
              <w:spacing w:after="0"/>
              <w:rPr>
                <w:sz w:val="20"/>
                <w:szCs w:val="20"/>
                <w:color w:val="auto"/>
              </w:rPr>
            </w:pPr>
            <w:r>
              <w:rPr>
                <w:rFonts w:ascii="Arial" w:cs="Arial" w:eastAsia="Arial" w:hAnsi="Arial"/>
                <w:sz w:val="10"/>
                <w:szCs w:val="10"/>
                <w:b w:val="1"/>
                <w:bCs w:val="1"/>
                <w:color w:val="666666"/>
              </w:rPr>
              <w:t>Susan L. Penfield</w:t>
            </w:r>
          </w:p>
        </w:tc>
        <w:tc>
          <w:tcPr>
            <w:tcW w:w="2480" w:type="dxa"/>
            <w:vAlign w:val="bottom"/>
          </w:tcPr>
          <w:p>
            <w:pPr>
              <w:jc w:val="center"/>
              <w:ind w:left="309"/>
              <w:spacing w:after="0"/>
              <w:rPr>
                <w:sz w:val="20"/>
                <w:szCs w:val="20"/>
                <w:color w:val="auto"/>
              </w:rPr>
            </w:pPr>
            <w:r>
              <w:rPr>
                <w:rFonts w:ascii="Arial" w:cs="Arial" w:eastAsia="Arial" w:hAnsi="Arial"/>
                <w:sz w:val="10"/>
                <w:szCs w:val="10"/>
                <w:color w:val="666666"/>
              </w:rPr>
              <w:t>Officers’ Retirement Plan</w:t>
            </w:r>
          </w:p>
        </w:tc>
        <w:tc>
          <w:tcPr>
            <w:tcW w:w="1760" w:type="dxa"/>
            <w:vAlign w:val="bottom"/>
          </w:tcPr>
          <w:p>
            <w:pPr>
              <w:jc w:val="center"/>
              <w:spacing w:after="0"/>
              <w:rPr>
                <w:sz w:val="20"/>
                <w:szCs w:val="20"/>
                <w:color w:val="auto"/>
              </w:rPr>
            </w:pPr>
            <w:r>
              <w:rPr>
                <w:rFonts w:ascii="Arial" w:cs="Arial" w:eastAsia="Arial" w:hAnsi="Arial"/>
                <w:sz w:val="10"/>
                <w:szCs w:val="10"/>
                <w:color w:val="666666"/>
              </w:rPr>
              <w:t>15.5</w:t>
            </w:r>
          </w:p>
        </w:tc>
        <w:tc>
          <w:tcPr>
            <w:tcW w:w="1880" w:type="dxa"/>
            <w:vAlign w:val="bottom"/>
          </w:tcPr>
          <w:p>
            <w:pPr>
              <w:jc w:val="right"/>
              <w:ind w:right="210"/>
              <w:spacing w:after="0"/>
              <w:rPr>
                <w:sz w:val="20"/>
                <w:szCs w:val="20"/>
                <w:color w:val="auto"/>
              </w:rPr>
            </w:pPr>
            <w:r>
              <w:rPr>
                <w:rFonts w:ascii="Arial" w:cs="Arial" w:eastAsia="Arial" w:hAnsi="Arial"/>
                <w:sz w:val="10"/>
                <w:szCs w:val="10"/>
                <w:color w:val="666666"/>
              </w:rPr>
              <w:t>155,000</w:t>
            </w:r>
          </w:p>
        </w:tc>
        <w:tc>
          <w:tcPr>
            <w:tcW w:w="1560" w:type="dxa"/>
            <w:vAlign w:val="bottom"/>
          </w:tcPr>
          <w:p>
            <w:pPr>
              <w:jc w:val="center"/>
              <w:ind w:right="12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320" w:hanging="237"/>
        <w:spacing w:after="0" w:line="285" w:lineRule="auto"/>
        <w:tabs>
          <w:tab w:leader="none" w:pos="320" w:val="left"/>
        </w:tabs>
        <w:numPr>
          <w:ilvl w:val="0"/>
          <w:numId w:val="45"/>
        </w:numPr>
        <w:rPr>
          <w:rFonts w:ascii="Arial" w:cs="Arial" w:eastAsia="Arial" w:hAnsi="Arial"/>
          <w:sz w:val="10"/>
          <w:szCs w:val="10"/>
          <w:color w:val="666666"/>
        </w:rPr>
      </w:pPr>
      <w:r>
        <w:rPr>
          <w:rFonts w:ascii="Arial" w:cs="Arial" w:eastAsia="Arial" w:hAnsi="Arial"/>
          <w:sz w:val="10"/>
          <w:szCs w:val="10"/>
          <w:color w:val="666666"/>
        </w:rPr>
        <w:t>The present value of accumulated benefits has been calculated in a manner consistent with our reporting of the Retired Officers’ Bonus Plan under FASB ASC 715-30, using the Accumulated Benefit Obligation with the exception of the retirement rate assumptions. The amounts shown above reflect an assumption that each participant collects his or her benefit at the earliest age at which an unreduced benefit is available.</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547BCC"/>
        </w:rPr>
        <w:t>Employment Arrangements and Potential Payments upon Termination or a Change in Control</w:t>
      </w:r>
    </w:p>
    <w:p>
      <w:pPr>
        <w:spacing w:after="0" w:line="163" w:lineRule="exact"/>
        <w:rPr>
          <w:sz w:val="20"/>
          <w:szCs w:val="20"/>
          <w:color w:val="auto"/>
        </w:rPr>
      </w:pPr>
    </w:p>
    <w:p>
      <w:pPr>
        <w:ind w:right="40" w:firstLine="288"/>
        <w:spacing w:after="0" w:line="250" w:lineRule="auto"/>
        <w:rPr>
          <w:sz w:val="20"/>
          <w:szCs w:val="20"/>
          <w:color w:val="auto"/>
        </w:rPr>
      </w:pPr>
      <w:r>
        <w:rPr>
          <w:rFonts w:ascii="Arial" w:cs="Arial" w:eastAsia="Arial" w:hAnsi="Arial"/>
          <w:sz w:val="14"/>
          <w:szCs w:val="14"/>
          <w:color w:val="666666"/>
        </w:rPr>
        <w:t>Historically, we have not entered into employment letters with our executive officers. However, in January 2014, we entered into employment letters, effective April 1, 2014, with certain senior level executives, including Messrs. Rozanski, Logue and Howell and Ms. Dahut, due to the leadership changes and the need to align their compensation to the market as described above under "Employment Letters." Pursuant to the employment letters, payments upon termination of employment will be governed by the Company's severance, transition, retirement, disability or other policies, as applicable, as in effect from time to time, and subject to the terms and conditions of such policies. Consistent with our Transition Policy, which deals with departures other than retirement, resignation, death, disability and terminations for cause, each named executive officer is eligible for transition pay equal to four months of base pay, plus one additional month for each year of service as an executive, up to a maximum of 12 months’ base pay. Under the terms of our Transition Policy and Retirement Policy, all departure payments and benefits are contingent upon the executives’ signing of a general release.</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547BCC"/>
        </w:rPr>
        <w:t>Termination Payments</w:t>
      </w:r>
    </w:p>
    <w:p>
      <w:pPr>
        <w:spacing w:after="0" w:line="115"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4"/>
          <w:szCs w:val="14"/>
          <w:color w:val="666666"/>
        </w:rPr>
        <w:t>Under our Officers' Retirement Plan, if our named executive officers retire, they will each be entitled to receive a single lump sum retirement payment equal to $10,000 for each year of service as an executive, pro-rated as appropriate, and an annual allowance of $4,000 for financial counseling and tax preparation assistance. They are also eligible for a one-time payment of $5,000 upon entering retirement for financial counseling expenses associated with developing a retirement financial strategy. In addition, each of our named executive officers and their eligible dependents will be entitled to receive the benefit of Company-paid retiree medical and dental coverage for life.</w:t>
      </w:r>
    </w:p>
    <w:p>
      <w:pPr>
        <w:spacing w:after="0" w:line="79" w:lineRule="exact"/>
        <w:rPr>
          <w:sz w:val="20"/>
          <w:szCs w:val="20"/>
          <w:color w:val="auto"/>
        </w:rPr>
      </w:pPr>
    </w:p>
    <w:p>
      <w:pPr>
        <w:jc w:val="both"/>
        <w:ind w:firstLine="288"/>
        <w:spacing w:after="0" w:line="285" w:lineRule="auto"/>
        <w:rPr>
          <w:sz w:val="20"/>
          <w:szCs w:val="20"/>
          <w:color w:val="auto"/>
        </w:rPr>
      </w:pPr>
      <w:r>
        <w:rPr>
          <w:rFonts w:ascii="Arial" w:cs="Arial" w:eastAsia="Arial" w:hAnsi="Arial"/>
          <w:sz w:val="14"/>
          <w:szCs w:val="14"/>
          <w:color w:val="666666"/>
        </w:rPr>
        <w:t>In addition, our award agreements governing the equity awards held by our named executive officers include provisions related to the treatment of the awards upon a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44</w:t>
      </w:r>
    </w:p>
    <w:p>
      <w:pPr>
        <w:sectPr>
          <w:pgSz w:w="11900" w:h="16838" w:orient="portrait"/>
          <w:cols w:equalWidth="0" w:num="1">
            <w:col w:w="11460"/>
          </w:cols>
          <w:pgMar w:left="220" w:top="563" w:right="219" w:bottom="1440" w:gutter="0" w:footer="0" w:header="0"/>
        </w:sectPr>
      </w:pPr>
    </w:p>
    <w:bookmarkStart w:id="53" w:name="page54"/>
    <w:bookmarkEnd w:id="53"/>
    <w:p>
      <w:pPr>
        <w:ind w:left="280"/>
        <w:spacing w:after="0"/>
        <w:rPr>
          <w:sz w:val="20"/>
          <w:szCs w:val="20"/>
          <w:color w:val="auto"/>
        </w:rPr>
      </w:pPr>
      <w:r>
        <w:rPr>
          <w:rFonts w:ascii="Arial" w:cs="Arial" w:eastAsia="Arial" w:hAnsi="Arial"/>
          <w:sz w:val="14"/>
          <w:szCs w:val="14"/>
          <w:i w:val="1"/>
          <w:iCs w:val="1"/>
          <w:color w:val="4F81BD"/>
        </w:rPr>
        <w:t>Death</w:t>
      </w:r>
    </w:p>
    <w:p>
      <w:pPr>
        <w:spacing w:after="0" w:line="115" w:lineRule="exact"/>
        <w:rPr>
          <w:sz w:val="20"/>
          <w:szCs w:val="20"/>
          <w:color w:val="auto"/>
        </w:rPr>
      </w:pPr>
    </w:p>
    <w:p>
      <w:pPr>
        <w:jc w:val="both"/>
        <w:ind w:right="20" w:firstLine="288"/>
        <w:spacing w:after="0" w:line="264" w:lineRule="auto"/>
        <w:rPr>
          <w:sz w:val="20"/>
          <w:szCs w:val="20"/>
          <w:color w:val="auto"/>
        </w:rPr>
      </w:pPr>
      <w:r>
        <w:rPr>
          <w:rFonts w:ascii="Arial" w:cs="Arial" w:eastAsia="Arial" w:hAnsi="Arial"/>
          <w:sz w:val="14"/>
          <w:szCs w:val="14"/>
          <w:color w:val="666666"/>
        </w:rPr>
        <w:t>In the event of a named executive officer’s termination of employment due to death, (i) unvested options immediately vest and remain outstanding until the first anniversary of the termination date, or if earlier, the option’s expiration date, (ii) unvested time-based restricted stock units and restricted stock immediately vest and (iii) unvested performance restricted stock units immediately vest at target award levels.</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4F81BD"/>
        </w:rPr>
        <w:t>Disability</w:t>
      </w:r>
    </w:p>
    <w:p>
      <w:pPr>
        <w:spacing w:after="0" w:line="115" w:lineRule="exact"/>
        <w:rPr>
          <w:sz w:val="20"/>
          <w:szCs w:val="20"/>
          <w:color w:val="auto"/>
        </w:rPr>
      </w:pPr>
    </w:p>
    <w:p>
      <w:pPr>
        <w:jc w:val="both"/>
        <w:ind w:right="20" w:firstLine="288"/>
        <w:spacing w:after="0" w:line="253" w:lineRule="auto"/>
        <w:rPr>
          <w:sz w:val="20"/>
          <w:szCs w:val="20"/>
          <w:color w:val="auto"/>
        </w:rPr>
      </w:pPr>
      <w:r>
        <w:rPr>
          <w:rFonts w:ascii="Arial" w:cs="Arial" w:eastAsia="Arial" w:hAnsi="Arial"/>
          <w:sz w:val="14"/>
          <w:szCs w:val="14"/>
          <w:color w:val="666666"/>
        </w:rPr>
        <w:t>In the event of a named executive officer’s termination of employment due to disability, (i) unvested options continue to vest on the normal schedule, and vested options will remain outstanding until the first anniversary of the termination date (or for options vesting after the termination date, the first anniversary of the vesting date), or if earlier, the option’s expiration date, (ii) unvested time-based restricted stock units and restricted stock continue to vest on the normal schedule and (iii) unvested performance restricted stock units vest on the normal vesting date in a pro rata amount of the units that would have been earned and vested based on the actual achievement of the performance goals as if employment had not terminated (with the amount prorated based on the portion of the performance period that lapsed prior to the termination date).</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4F81BD"/>
        </w:rPr>
        <w:t>Company Approved Departure</w:t>
      </w:r>
    </w:p>
    <w:p>
      <w:pPr>
        <w:spacing w:after="0" w:line="115" w:lineRule="exact"/>
        <w:rPr>
          <w:sz w:val="20"/>
          <w:szCs w:val="20"/>
          <w:color w:val="auto"/>
        </w:rPr>
      </w:pPr>
    </w:p>
    <w:p>
      <w:pPr>
        <w:jc w:val="both"/>
        <w:ind w:right="20" w:firstLine="288"/>
        <w:spacing w:after="0" w:line="251" w:lineRule="auto"/>
        <w:rPr>
          <w:sz w:val="20"/>
          <w:szCs w:val="20"/>
          <w:color w:val="auto"/>
        </w:rPr>
      </w:pPr>
      <w:r>
        <w:rPr>
          <w:rFonts w:ascii="Arial" w:cs="Arial" w:eastAsia="Arial" w:hAnsi="Arial"/>
          <w:sz w:val="14"/>
          <w:szCs w:val="14"/>
          <w:color w:val="666666"/>
        </w:rPr>
        <w:t>In the event of a named executive officer’s termination of employment by reason of a “Company approved departure” (as defined in the Equity Incentive Plan or applicable award agreement), (i) unvested options continue to vest on the normal schedule, and vested options remain outstanding until the 60th day following the termination date (or for options vesting after the termination date, the 60th day following the vesting date), or if earlier, the option’s expiration date, (ii) unvested time-based restricted stock units continue to vest on the normal schedule and (iii) unvested performance restricted stock units vest on the normal vesting date in a pro rata amount of the units that would have been earned and vested based on the actual achievement of the performance goals as if employment had not terminated (with the amount prorated based on the portion of the performance period that lapsed prior to the termination date). Other awards are treated as set forth below under the heading “Any Other Termination.”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4F81BD"/>
        </w:rPr>
        <w:t>For Cause</w:t>
      </w:r>
    </w:p>
    <w:p>
      <w:pPr>
        <w:spacing w:after="0" w:line="115" w:lineRule="exact"/>
        <w:rPr>
          <w:sz w:val="20"/>
          <w:szCs w:val="20"/>
          <w:color w:val="auto"/>
        </w:rPr>
      </w:pPr>
    </w:p>
    <w:p>
      <w:pPr>
        <w:jc w:val="both"/>
        <w:ind w:firstLine="288"/>
        <w:spacing w:after="0" w:line="285" w:lineRule="auto"/>
        <w:rPr>
          <w:sz w:val="20"/>
          <w:szCs w:val="20"/>
          <w:color w:val="auto"/>
        </w:rPr>
      </w:pPr>
      <w:r>
        <w:rPr>
          <w:rFonts w:ascii="Arial" w:cs="Arial" w:eastAsia="Arial" w:hAnsi="Arial"/>
          <w:sz w:val="14"/>
          <w:szCs w:val="14"/>
          <w:color w:val="666666"/>
        </w:rPr>
        <w:t>In the event of a named executive officer’s termination of employment for cause, all vested and unvested options, and all unvested time-based restricted stock units, restricted stock and performance restricted stock units are immediately forfeited and canceled, effective as of the termination date.</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4F81BD"/>
        </w:rPr>
        <w:t>Qualified Permanent Retirement</w:t>
      </w:r>
    </w:p>
    <w:p>
      <w:pPr>
        <w:spacing w:after="0" w:line="115" w:lineRule="exact"/>
        <w:rPr>
          <w:sz w:val="20"/>
          <w:szCs w:val="20"/>
          <w:color w:val="auto"/>
        </w:rPr>
      </w:pPr>
    </w:p>
    <w:p>
      <w:pPr>
        <w:jc w:val="both"/>
        <w:ind w:right="20" w:firstLine="288"/>
        <w:spacing w:after="0" w:line="257" w:lineRule="auto"/>
        <w:rPr>
          <w:sz w:val="20"/>
          <w:szCs w:val="20"/>
          <w:color w:val="auto"/>
        </w:rPr>
      </w:pPr>
      <w:r>
        <w:rPr>
          <w:rFonts w:ascii="Arial" w:cs="Arial" w:eastAsia="Arial" w:hAnsi="Arial"/>
          <w:sz w:val="14"/>
          <w:szCs w:val="14"/>
          <w:color w:val="666666"/>
        </w:rPr>
        <w:t>If a named executive officer’s employment is terminated by reason of a qualifying permanent retirement on or after March 31 of the first fiscal year of a performance period, unvested performance restricted stock units will continue to vest on the vesting date based on actual achievement of the performance goals as if employment had not terminated. In the event of a retirement occurring prior to March 31 of the first fiscal year of the performance period, or if at any time if the retirement is not a qualifying permanent retirement, all unvested performance restricted stock units will be immediately forfeited.</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4F81BD"/>
        </w:rPr>
        <w:t>Any Other Termination</w:t>
      </w:r>
    </w:p>
    <w:p>
      <w:pPr>
        <w:spacing w:after="0" w:line="115" w:lineRule="exact"/>
        <w:rPr>
          <w:sz w:val="20"/>
          <w:szCs w:val="20"/>
          <w:color w:val="auto"/>
        </w:rPr>
      </w:pPr>
    </w:p>
    <w:p>
      <w:pPr>
        <w:jc w:val="both"/>
        <w:ind w:right="20" w:firstLine="288"/>
        <w:spacing w:after="0" w:line="257" w:lineRule="auto"/>
        <w:rPr>
          <w:sz w:val="20"/>
          <w:szCs w:val="20"/>
          <w:color w:val="auto"/>
        </w:rPr>
      </w:pPr>
      <w:r>
        <w:rPr>
          <w:rFonts w:ascii="Arial" w:cs="Arial" w:eastAsia="Arial" w:hAnsi="Arial"/>
          <w:sz w:val="14"/>
          <w:szCs w:val="14"/>
          <w:color w:val="666666"/>
        </w:rPr>
        <w:t>In the event of a named executive officer’s termination of employment for any reason other than death, disability, a Company approved departure, a qualified permanent retirement after the first fiscal year of a performance period (in the case of the performance restricted stock units) or cause, unvested options are immediately forfeited and canceled, and vested options remain outstanding until the 60th day following the termination date, or if earlier, the option’s expiration date, and unvested time-based restricted stock units, restricted stock and performance restricted stock units are immediately forfeited, in each case unless otherwise determined by our Compensation Committee.</w:t>
      </w:r>
    </w:p>
    <w:p>
      <w:pPr>
        <w:spacing w:after="0" w:line="79" w:lineRule="exact"/>
        <w:rPr>
          <w:sz w:val="20"/>
          <w:szCs w:val="20"/>
          <w:color w:val="auto"/>
        </w:rPr>
      </w:pPr>
    </w:p>
    <w:p>
      <w:pPr>
        <w:jc w:val="both"/>
        <w:ind w:right="20" w:firstLine="278"/>
        <w:spacing w:after="0" w:line="285" w:lineRule="auto"/>
        <w:rPr>
          <w:sz w:val="20"/>
          <w:szCs w:val="20"/>
          <w:color w:val="auto"/>
        </w:rPr>
      </w:pPr>
      <w:r>
        <w:rPr>
          <w:rFonts w:ascii="Arial" w:cs="Arial" w:eastAsia="Arial" w:hAnsi="Arial"/>
          <w:sz w:val="14"/>
          <w:szCs w:val="14"/>
          <w:color w:val="666666"/>
        </w:rPr>
        <w:t>Mr. Logue intends to retire from the Company, effective as of June 30, 2018. Upon his retirement, Mr. Logue will be eligible to receive the benefits under the Officers’ Retirement Plan described above. In addition, the Compensation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45</w:t>
      </w:r>
    </w:p>
    <w:p>
      <w:pPr>
        <w:sectPr>
          <w:pgSz w:w="11900" w:h="16838" w:orient="portrait"/>
          <w:cols w:equalWidth="0" w:num="1">
            <w:col w:w="11480"/>
          </w:cols>
          <w:pgMar w:left="220" w:top="563" w:right="199" w:bottom="1440" w:gutter="0" w:footer="0" w:header="0"/>
        </w:sectPr>
      </w:pPr>
    </w:p>
    <w:bookmarkStart w:id="54" w:name="page55"/>
    <w:bookmarkEnd w:id="54"/>
    <w:p>
      <w:pPr>
        <w:jc w:val="both"/>
        <w:spacing w:after="0" w:line="285" w:lineRule="auto"/>
        <w:rPr>
          <w:sz w:val="20"/>
          <w:szCs w:val="20"/>
          <w:color w:val="auto"/>
        </w:rPr>
      </w:pPr>
      <w:r>
        <w:rPr>
          <w:rFonts w:ascii="Arial" w:cs="Arial" w:eastAsia="Arial" w:hAnsi="Arial"/>
          <w:sz w:val="14"/>
          <w:szCs w:val="14"/>
          <w:color w:val="666666"/>
        </w:rPr>
        <w:t>Committee has approved that any outstanding time-vesting restricted stock units held by Mr. Logue on his retirement date will continue to vest following his retirement. Any other outstanding equity awards will be treated as set forth above.</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4"/>
          <w:szCs w:val="14"/>
          <w:b w:val="1"/>
          <w:bCs w:val="1"/>
          <w:i w:val="1"/>
          <w:iCs w:val="1"/>
          <w:color w:val="547BCC"/>
        </w:rPr>
        <w:t>Change in Control Protections</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4"/>
          <w:szCs w:val="14"/>
          <w:color w:val="666666"/>
        </w:rPr>
        <w:t>We do not have change in control agreements with any of our employees.</w:t>
      </w:r>
    </w:p>
    <w:p>
      <w:pPr>
        <w:spacing w:after="0" w:line="117" w:lineRule="exact"/>
        <w:rPr>
          <w:sz w:val="20"/>
          <w:szCs w:val="20"/>
          <w:color w:val="auto"/>
        </w:rPr>
      </w:pPr>
    </w:p>
    <w:p>
      <w:pPr>
        <w:jc w:val="both"/>
        <w:ind w:firstLine="288"/>
        <w:spacing w:after="0" w:line="251" w:lineRule="auto"/>
        <w:rPr>
          <w:sz w:val="20"/>
          <w:szCs w:val="20"/>
          <w:color w:val="auto"/>
        </w:rPr>
      </w:pPr>
      <w:r>
        <w:rPr>
          <w:rFonts w:ascii="Arial" w:cs="Arial" w:eastAsia="Arial" w:hAnsi="Arial"/>
          <w:sz w:val="14"/>
          <w:szCs w:val="14"/>
          <w:color w:val="666666"/>
        </w:rPr>
        <w:t>Under the Equity Incentive Plan, and unless provided otherwise in an award agreement or determined by our Compensation Committee, if a change in control occurs, outstanding service-vesting options will vest immediately prior to the change in control and time-based restricted stock and restricted stock units will vest upon the change in control. With respect to performance restricted stock units, in the event of a change in control, an amount of restricted stock units equal to the target award will remain outstanding and will vest on the vesting date, subject to the continued employment or service of the participant but without regard to the achievement of any performance goals. If the participant's employment or service is terminated by the Company without cause or for good reason (as defined in the applicable award agreement) within two years following the change in control, the outstanding performance restricted stock units will vest (at target) as of the termination date.</w:t>
      </w:r>
    </w:p>
    <w:p>
      <w:pPr>
        <w:spacing w:after="0" w:line="84" w:lineRule="exact"/>
        <w:rPr>
          <w:sz w:val="20"/>
          <w:szCs w:val="20"/>
          <w:color w:val="auto"/>
        </w:rPr>
      </w:pPr>
    </w:p>
    <w:p>
      <w:pPr>
        <w:jc w:val="both"/>
        <w:ind w:right="20" w:firstLine="288"/>
        <w:spacing w:after="0" w:line="253" w:lineRule="auto"/>
        <w:rPr>
          <w:sz w:val="20"/>
          <w:szCs w:val="20"/>
          <w:color w:val="auto"/>
        </w:rPr>
      </w:pPr>
      <w:r>
        <w:rPr>
          <w:rFonts w:ascii="Arial" w:cs="Arial" w:eastAsia="Arial" w:hAnsi="Arial"/>
          <w:sz w:val="14"/>
          <w:szCs w:val="14"/>
          <w:color w:val="666666"/>
        </w:rPr>
        <w:t>In addition, if during the five year period after a change in control our executives’ retiree medical plan is terminated or modified in a manner that is materially adverse to our executives, our executives, including our named executive officers, will be guaranteed their existing benefits under the plan during such five-year period and will receive a cash payment equal to the excess of the actuarial cost of the executive’s benefits under the plan that would be accrued on the Company’s financial statements on the fifth anniversary of the change in control in the absence of the termination or modification over the amount that is accrued on our financial statements on the fifth anniversary of the change in control after giving effect to the termination or modification (but excluding the accrual on the payment itself).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46</w:t>
      </w:r>
    </w:p>
    <w:p>
      <w:pPr>
        <w:sectPr>
          <w:pgSz w:w="11900" w:h="16838" w:orient="portrait"/>
          <w:cols w:equalWidth="0" w:num="1">
            <w:col w:w="11480"/>
          </w:cols>
          <w:pgMar w:left="220" w:top="561" w:right="199" w:bottom="1440" w:gutter="0" w:footer="0" w:header="0"/>
        </w:sectPr>
      </w:pPr>
    </w:p>
    <w:bookmarkStart w:id="55" w:name="page56"/>
    <w:bookmarkEnd w:id="55"/>
    <w:p>
      <w:pPr>
        <w:jc w:val="both"/>
        <w:ind w:right="20" w:firstLine="288"/>
        <w:spacing w:after="0" w:line="257" w:lineRule="auto"/>
        <w:rPr>
          <w:sz w:val="20"/>
          <w:szCs w:val="20"/>
          <w:color w:val="auto"/>
        </w:rPr>
      </w:pPr>
      <w:r>
        <w:rPr>
          <w:rFonts w:ascii="Arial" w:cs="Arial" w:eastAsia="Arial" w:hAnsi="Arial"/>
          <w:sz w:val="14"/>
          <w:szCs w:val="14"/>
          <w:color w:val="666666"/>
        </w:rPr>
        <w:t>The following table presents potential payments to each named executive officer as if the named executive officer’s employment had been terminated or a change in control had occurred as the last day of fiscal year 2018. If applicable, amounts in the table were calculated using $ 38.72, the closing fair market value of our common stock on March 29, 2018. The actual amounts that would be paid to any named executive officer can only be determined at the time of an actual termination of employment or change in control and would vary from those listed below. The estimated amounts listed below are in addition to any retirement, welfare and other benefits that are available to our salaried employees generally.</w:t>
      </w:r>
    </w:p>
    <w:p>
      <w:pPr>
        <w:spacing w:after="0" w:line="60" w:lineRule="exact"/>
        <w:rPr>
          <w:sz w:val="20"/>
          <w:szCs w:val="20"/>
          <w:color w:val="auto"/>
        </w:rPr>
      </w:pPr>
    </w:p>
    <w:tbl>
      <w:tblPr>
        <w:tblLayout w:type="fixed"/>
        <w:tblInd w:w="2530" w:type="dxa"/>
        <w:tblCellMar>
          <w:top w:w="0" w:type="dxa"/>
          <w:left w:w="0" w:type="dxa"/>
          <w:bottom w:w="0" w:type="dxa"/>
          <w:right w:w="0" w:type="dxa"/>
        </w:tblCellMar>
      </w:tblPr>
      <w:tr>
        <w:trPr>
          <w:trHeight w:val="143"/>
        </w:trPr>
        <w:tc>
          <w:tcPr>
            <w:tcW w:w="1260" w:type="dxa"/>
            <w:vAlign w:val="bottom"/>
            <w:tcBorders>
              <w:top w:val="single" w:sz="8" w:color="auto"/>
              <w:left w:val="single" w:sz="8" w:color="auto"/>
            </w:tcBorders>
            <w:shd w:val="clear" w:color="auto" w:fill="DDDDDD"/>
          </w:tcPr>
          <w:p>
            <w:pPr>
              <w:spacing w:after="0"/>
              <w:rPr>
                <w:sz w:val="12"/>
                <w:szCs w:val="12"/>
                <w:color w:val="auto"/>
              </w:rPr>
            </w:pPr>
          </w:p>
        </w:tc>
        <w:tc>
          <w:tcPr>
            <w:tcW w:w="800" w:type="dxa"/>
            <w:vAlign w:val="bottom"/>
            <w:tcBorders>
              <w:top w:val="single" w:sz="8" w:color="auto"/>
            </w:tcBorders>
            <w:vMerge w:val="restart"/>
            <w:shd w:val="clear" w:color="auto" w:fill="DDDDDD"/>
          </w:tcPr>
          <w:p>
            <w:pPr>
              <w:jc w:val="right"/>
              <w:ind w:right="89"/>
              <w:spacing w:after="0"/>
              <w:rPr>
                <w:sz w:val="20"/>
                <w:szCs w:val="20"/>
                <w:color w:val="auto"/>
              </w:rPr>
            </w:pPr>
            <w:r>
              <w:rPr>
                <w:rFonts w:ascii="Arial" w:cs="Arial" w:eastAsia="Arial" w:hAnsi="Arial"/>
                <w:sz w:val="10"/>
                <w:szCs w:val="10"/>
                <w:b w:val="1"/>
                <w:bCs w:val="1"/>
                <w:color w:val="666666"/>
              </w:rPr>
              <w:t>Severance</w:t>
            </w:r>
          </w:p>
        </w:tc>
        <w:tc>
          <w:tcPr>
            <w:tcW w:w="100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0"/>
                <w:szCs w:val="10"/>
                <w:b w:val="1"/>
                <w:bCs w:val="1"/>
                <w:color w:val="666666"/>
              </w:rPr>
              <w:t>Equity With</w:t>
            </w:r>
          </w:p>
        </w:tc>
        <w:tc>
          <w:tcPr>
            <w:tcW w:w="380" w:type="dxa"/>
            <w:vAlign w:val="bottom"/>
            <w:tcBorders>
              <w:top w:val="single" w:sz="8" w:color="auto"/>
            </w:tcBorders>
            <w:shd w:val="clear" w:color="auto" w:fill="DDDDDD"/>
          </w:tcPr>
          <w:p>
            <w:pPr>
              <w:spacing w:after="0"/>
              <w:rPr>
                <w:sz w:val="12"/>
                <w:szCs w:val="12"/>
                <w:color w:val="auto"/>
              </w:rPr>
            </w:pPr>
          </w:p>
        </w:tc>
        <w:tc>
          <w:tcPr>
            <w:tcW w:w="86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0"/>
                <w:szCs w:val="10"/>
                <w:b w:val="1"/>
                <w:bCs w:val="1"/>
                <w:color w:val="666666"/>
              </w:rPr>
              <w:t>Retirement</w:t>
            </w:r>
          </w:p>
        </w:tc>
        <w:tc>
          <w:tcPr>
            <w:tcW w:w="740" w:type="dxa"/>
            <w:vAlign w:val="bottom"/>
            <w:tcBorders>
              <w:top w:val="single" w:sz="8" w:color="auto"/>
            </w:tcBorders>
            <w:shd w:val="clear" w:color="auto" w:fill="DDDDDD"/>
          </w:tcPr>
          <w:p>
            <w:pPr>
              <w:jc w:val="center"/>
              <w:ind w:right="69"/>
              <w:spacing w:after="0"/>
              <w:rPr>
                <w:sz w:val="20"/>
                <w:szCs w:val="20"/>
                <w:color w:val="auto"/>
              </w:rPr>
            </w:pPr>
            <w:r>
              <w:rPr>
                <w:rFonts w:ascii="Arial" w:cs="Arial" w:eastAsia="Arial" w:hAnsi="Arial"/>
                <w:sz w:val="10"/>
                <w:szCs w:val="10"/>
                <w:b w:val="1"/>
                <w:bCs w:val="1"/>
                <w:color w:val="666666"/>
              </w:rPr>
              <w:t>Death and</w:t>
            </w:r>
          </w:p>
        </w:tc>
        <w:tc>
          <w:tcPr>
            <w:tcW w:w="840" w:type="dxa"/>
            <w:vAlign w:val="bottom"/>
            <w:tcBorders>
              <w:top w:val="single" w:sz="8" w:color="auto"/>
            </w:tcBorders>
            <w:gridSpan w:val="2"/>
            <w:shd w:val="clear" w:color="auto" w:fill="DDDDDD"/>
          </w:tcPr>
          <w:p>
            <w:pPr>
              <w:jc w:val="right"/>
              <w:ind w:right="197"/>
              <w:spacing w:after="0"/>
              <w:rPr>
                <w:sz w:val="20"/>
                <w:szCs w:val="20"/>
                <w:color w:val="auto"/>
              </w:rPr>
            </w:pPr>
            <w:r>
              <w:rPr>
                <w:rFonts w:ascii="Arial" w:cs="Arial" w:eastAsia="Arial" w:hAnsi="Arial"/>
                <w:sz w:val="10"/>
                <w:szCs w:val="10"/>
                <w:b w:val="1"/>
                <w:bCs w:val="1"/>
                <w:color w:val="666666"/>
              </w:rPr>
              <w:t>Continued</w:t>
            </w:r>
          </w:p>
        </w:tc>
        <w:tc>
          <w:tcPr>
            <w:tcW w:w="600" w:type="dxa"/>
            <w:vAlign w:val="bottom"/>
            <w:tcBorders>
              <w:top w:val="single" w:sz="8" w:color="auto"/>
              <w:right w:val="single" w:sz="8" w:color="auto"/>
            </w:tcBorders>
            <w:shd w:val="clear" w:color="auto" w:fill="DDDDDD"/>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260" w:type="dxa"/>
            <w:vAlign w:val="bottom"/>
            <w:tcBorders>
              <w:left w:val="single" w:sz="8" w:color="auto"/>
            </w:tcBorders>
            <w:shd w:val="clear" w:color="auto" w:fill="DDDDDD"/>
          </w:tcPr>
          <w:p>
            <w:pPr>
              <w:spacing w:after="0"/>
              <w:rPr>
                <w:sz w:val="9"/>
                <w:szCs w:val="9"/>
                <w:color w:val="auto"/>
              </w:rPr>
            </w:pPr>
          </w:p>
        </w:tc>
        <w:tc>
          <w:tcPr>
            <w:tcW w:w="800" w:type="dxa"/>
            <w:vAlign w:val="bottom"/>
            <w:vMerge w:val="continue"/>
            <w:shd w:val="clear" w:color="auto" w:fill="DDDDDD"/>
          </w:tcPr>
          <w:p>
            <w:pPr>
              <w:spacing w:after="0"/>
              <w:rPr>
                <w:sz w:val="9"/>
                <w:szCs w:val="9"/>
                <w:color w:val="auto"/>
              </w:rPr>
            </w:pPr>
          </w:p>
        </w:tc>
        <w:tc>
          <w:tcPr>
            <w:tcW w:w="1000" w:type="dxa"/>
            <w:vAlign w:val="bottom"/>
            <w:shd w:val="clear" w:color="auto" w:fill="DDDDDD"/>
          </w:tcPr>
          <w:p>
            <w:pPr>
              <w:jc w:val="center"/>
              <w:spacing w:after="0" w:line="114" w:lineRule="exact"/>
              <w:rPr>
                <w:sz w:val="20"/>
                <w:szCs w:val="20"/>
                <w:color w:val="auto"/>
              </w:rPr>
            </w:pPr>
            <w:r>
              <w:rPr>
                <w:rFonts w:ascii="Arial" w:cs="Arial" w:eastAsia="Arial" w:hAnsi="Arial"/>
                <w:sz w:val="10"/>
                <w:szCs w:val="10"/>
                <w:b w:val="1"/>
                <w:bCs w:val="1"/>
                <w:color w:val="666666"/>
              </w:rPr>
              <w:t>Accelerated</w:t>
            </w:r>
          </w:p>
        </w:tc>
        <w:tc>
          <w:tcPr>
            <w:tcW w:w="380" w:type="dxa"/>
            <w:vAlign w:val="bottom"/>
            <w:shd w:val="clear" w:color="auto" w:fill="DDDDDD"/>
          </w:tcPr>
          <w:p>
            <w:pPr>
              <w:spacing w:after="0"/>
              <w:rPr>
                <w:sz w:val="9"/>
                <w:szCs w:val="9"/>
                <w:color w:val="auto"/>
              </w:rPr>
            </w:pPr>
          </w:p>
        </w:tc>
        <w:tc>
          <w:tcPr>
            <w:tcW w:w="860" w:type="dxa"/>
            <w:vAlign w:val="bottom"/>
            <w:shd w:val="clear" w:color="auto" w:fill="DDDDDD"/>
          </w:tcPr>
          <w:p>
            <w:pPr>
              <w:jc w:val="center"/>
              <w:spacing w:after="0" w:line="114" w:lineRule="exact"/>
              <w:rPr>
                <w:sz w:val="20"/>
                <w:szCs w:val="20"/>
                <w:color w:val="auto"/>
              </w:rPr>
            </w:pPr>
            <w:r>
              <w:rPr>
                <w:rFonts w:ascii="Arial" w:cs="Arial" w:eastAsia="Arial" w:hAnsi="Arial"/>
                <w:sz w:val="10"/>
                <w:szCs w:val="10"/>
                <w:b w:val="1"/>
                <w:bCs w:val="1"/>
                <w:color w:val="666666"/>
              </w:rPr>
              <w:t>Plan</w:t>
            </w:r>
          </w:p>
        </w:tc>
        <w:tc>
          <w:tcPr>
            <w:tcW w:w="740" w:type="dxa"/>
            <w:vAlign w:val="bottom"/>
            <w:shd w:val="clear" w:color="auto" w:fill="DDDDDD"/>
          </w:tcPr>
          <w:p>
            <w:pPr>
              <w:jc w:val="center"/>
              <w:ind w:right="109"/>
              <w:spacing w:after="0" w:line="114" w:lineRule="exact"/>
              <w:rPr>
                <w:sz w:val="20"/>
                <w:szCs w:val="20"/>
                <w:color w:val="auto"/>
              </w:rPr>
            </w:pPr>
            <w:r>
              <w:rPr>
                <w:rFonts w:ascii="Arial" w:cs="Arial" w:eastAsia="Arial" w:hAnsi="Arial"/>
                <w:sz w:val="10"/>
                <w:szCs w:val="10"/>
                <w:b w:val="1"/>
                <w:bCs w:val="1"/>
                <w:color w:val="666666"/>
              </w:rPr>
              <w:t>Disability</w:t>
            </w:r>
          </w:p>
        </w:tc>
        <w:tc>
          <w:tcPr>
            <w:tcW w:w="840" w:type="dxa"/>
            <w:vAlign w:val="bottom"/>
            <w:gridSpan w:val="2"/>
            <w:shd w:val="clear" w:color="auto" w:fill="DDDDDD"/>
          </w:tcPr>
          <w:p>
            <w:pPr>
              <w:jc w:val="right"/>
              <w:ind w:right="197"/>
              <w:spacing w:after="0" w:line="114" w:lineRule="exact"/>
              <w:rPr>
                <w:sz w:val="20"/>
                <w:szCs w:val="20"/>
                <w:color w:val="auto"/>
              </w:rPr>
            </w:pPr>
            <w:r>
              <w:rPr>
                <w:rFonts w:ascii="Arial" w:cs="Arial" w:eastAsia="Arial" w:hAnsi="Arial"/>
                <w:sz w:val="10"/>
                <w:szCs w:val="10"/>
                <w:b w:val="1"/>
                <w:bCs w:val="1"/>
                <w:color w:val="666666"/>
              </w:rPr>
              <w:t>Perquisites</w:t>
            </w:r>
          </w:p>
        </w:tc>
        <w:tc>
          <w:tcPr>
            <w:tcW w:w="600" w:type="dxa"/>
            <w:vAlign w:val="bottom"/>
            <w:tcBorders>
              <w:right w:val="single" w:sz="8" w:color="auto"/>
            </w:tcBorders>
            <w:vMerge w:val="restart"/>
            <w:shd w:val="clear" w:color="auto" w:fill="DDDDDD"/>
          </w:tcPr>
          <w:p>
            <w:pPr>
              <w:jc w:val="right"/>
              <w:ind w:right="169"/>
              <w:spacing w:after="0"/>
              <w:rPr>
                <w:sz w:val="20"/>
                <w:szCs w:val="20"/>
                <w:color w:val="auto"/>
              </w:rPr>
            </w:pPr>
            <w:r>
              <w:rPr>
                <w:rFonts w:ascii="Arial" w:cs="Arial" w:eastAsia="Arial" w:hAnsi="Arial"/>
                <w:sz w:val="10"/>
                <w:szCs w:val="10"/>
                <w:b w:val="1"/>
                <w:bCs w:val="1"/>
                <w:color w:val="666666"/>
              </w:rPr>
              <w:t>Total</w:t>
            </w:r>
          </w:p>
        </w:tc>
        <w:tc>
          <w:tcPr>
            <w:tcW w:w="0" w:type="dxa"/>
            <w:vAlign w:val="bottom"/>
          </w:tcPr>
          <w:p>
            <w:pPr>
              <w:spacing w:after="0"/>
              <w:rPr>
                <w:sz w:val="1"/>
                <w:szCs w:val="1"/>
                <w:color w:val="auto"/>
              </w:rPr>
            </w:pPr>
          </w:p>
        </w:tc>
      </w:tr>
      <w:tr>
        <w:trPr>
          <w:trHeight w:val="147"/>
        </w:trPr>
        <w:tc>
          <w:tcPr>
            <w:tcW w:w="1260" w:type="dxa"/>
            <w:vAlign w:val="bottom"/>
            <w:tcBorders>
              <w:left w:val="single" w:sz="8" w:color="auto"/>
            </w:tcBorders>
            <w:shd w:val="clear" w:color="auto" w:fill="DDDDDD"/>
          </w:tcPr>
          <w:p>
            <w:pPr>
              <w:spacing w:after="0"/>
              <w:rPr>
                <w:sz w:val="12"/>
                <w:szCs w:val="12"/>
                <w:color w:val="auto"/>
              </w:rPr>
            </w:pPr>
          </w:p>
        </w:tc>
        <w:tc>
          <w:tcPr>
            <w:tcW w:w="800" w:type="dxa"/>
            <w:vAlign w:val="bottom"/>
            <w:shd w:val="clear" w:color="auto" w:fill="DDDDDD"/>
          </w:tcPr>
          <w:p>
            <w:pPr>
              <w:jc w:val="right"/>
              <w:ind w:right="229"/>
              <w:spacing w:after="0" w:line="147" w:lineRule="exact"/>
              <w:rPr>
                <w:sz w:val="20"/>
                <w:szCs w:val="20"/>
                <w:color w:val="auto"/>
              </w:rPr>
            </w:pPr>
            <w:r>
              <w:rPr>
                <w:rFonts w:ascii="Arial" w:cs="Arial" w:eastAsia="Arial" w:hAnsi="Arial"/>
                <w:sz w:val="10"/>
                <w:szCs w:val="10"/>
                <w:b w:val="1"/>
                <w:bCs w:val="1"/>
                <w:color w:val="666666"/>
              </w:rPr>
              <w:t xml:space="preserve">Pay </w:t>
            </w:r>
            <w:r>
              <w:rPr>
                <w:rFonts w:ascii="Arial" w:cs="Arial" w:eastAsia="Arial" w:hAnsi="Arial"/>
                <w:sz w:val="17"/>
                <w:szCs w:val="17"/>
                <w:b w:val="1"/>
                <w:bCs w:val="1"/>
                <w:color w:val="666666"/>
                <w:vertAlign w:val="superscript"/>
              </w:rPr>
              <w:t>1</w:t>
            </w:r>
          </w:p>
        </w:tc>
        <w:tc>
          <w:tcPr>
            <w:tcW w:w="1000" w:type="dxa"/>
            <w:vAlign w:val="bottom"/>
            <w:shd w:val="clear" w:color="auto" w:fill="DDDDDD"/>
          </w:tcPr>
          <w:p>
            <w:pPr>
              <w:jc w:val="center"/>
              <w:spacing w:after="0" w:line="147" w:lineRule="exact"/>
              <w:rPr>
                <w:sz w:val="20"/>
                <w:szCs w:val="20"/>
                <w:color w:val="auto"/>
              </w:rPr>
            </w:pPr>
            <w:r>
              <w:rPr>
                <w:rFonts w:ascii="Arial" w:cs="Arial" w:eastAsia="Arial" w:hAnsi="Arial"/>
                <w:sz w:val="10"/>
                <w:szCs w:val="10"/>
                <w:b w:val="1"/>
                <w:bCs w:val="1"/>
                <w:color w:val="666666"/>
                <w:w w:val="97"/>
              </w:rPr>
              <w:t xml:space="preserve">Vesting </w:t>
            </w:r>
            <w:r>
              <w:rPr>
                <w:rFonts w:ascii="Arial" w:cs="Arial" w:eastAsia="Arial" w:hAnsi="Arial"/>
                <w:sz w:val="17"/>
                <w:szCs w:val="17"/>
                <w:b w:val="1"/>
                <w:bCs w:val="1"/>
                <w:color w:val="666666"/>
                <w:w w:val="97"/>
                <w:vertAlign w:val="superscript"/>
              </w:rPr>
              <w:t>2</w:t>
            </w:r>
          </w:p>
        </w:tc>
        <w:tc>
          <w:tcPr>
            <w:tcW w:w="380" w:type="dxa"/>
            <w:vAlign w:val="bottom"/>
            <w:shd w:val="clear" w:color="auto" w:fill="DDDDDD"/>
          </w:tcPr>
          <w:p>
            <w:pPr>
              <w:spacing w:after="0"/>
              <w:rPr>
                <w:sz w:val="12"/>
                <w:szCs w:val="12"/>
                <w:color w:val="auto"/>
              </w:rPr>
            </w:pPr>
          </w:p>
        </w:tc>
        <w:tc>
          <w:tcPr>
            <w:tcW w:w="860" w:type="dxa"/>
            <w:vAlign w:val="bottom"/>
            <w:shd w:val="clear" w:color="auto" w:fill="DDDDDD"/>
          </w:tcPr>
          <w:p>
            <w:pPr>
              <w:jc w:val="center"/>
              <w:spacing w:after="0" w:line="147" w:lineRule="exact"/>
              <w:rPr>
                <w:sz w:val="20"/>
                <w:szCs w:val="20"/>
                <w:color w:val="auto"/>
              </w:rPr>
            </w:pPr>
            <w:r>
              <w:rPr>
                <w:rFonts w:ascii="Arial" w:cs="Arial" w:eastAsia="Arial" w:hAnsi="Arial"/>
                <w:sz w:val="10"/>
                <w:szCs w:val="10"/>
                <w:b w:val="1"/>
                <w:bCs w:val="1"/>
                <w:color w:val="666666"/>
                <w:w w:val="98"/>
              </w:rPr>
              <w:t xml:space="preserve">Benefits </w:t>
            </w:r>
            <w:r>
              <w:rPr>
                <w:rFonts w:ascii="Arial" w:cs="Arial" w:eastAsia="Arial" w:hAnsi="Arial"/>
                <w:sz w:val="17"/>
                <w:szCs w:val="17"/>
                <w:b w:val="1"/>
                <w:bCs w:val="1"/>
                <w:color w:val="666666"/>
                <w:w w:val="98"/>
                <w:vertAlign w:val="superscript"/>
              </w:rPr>
              <w:t>8</w:t>
            </w:r>
          </w:p>
        </w:tc>
        <w:tc>
          <w:tcPr>
            <w:tcW w:w="740" w:type="dxa"/>
            <w:vAlign w:val="bottom"/>
            <w:shd w:val="clear" w:color="auto" w:fill="DDDDDD"/>
          </w:tcPr>
          <w:p>
            <w:pPr>
              <w:jc w:val="center"/>
              <w:ind w:right="89"/>
              <w:spacing w:after="0"/>
              <w:rPr>
                <w:sz w:val="20"/>
                <w:szCs w:val="20"/>
                <w:color w:val="auto"/>
              </w:rPr>
            </w:pPr>
            <w:r>
              <w:rPr>
                <w:rFonts w:ascii="Arial" w:cs="Arial" w:eastAsia="Arial" w:hAnsi="Arial"/>
                <w:sz w:val="10"/>
                <w:szCs w:val="10"/>
                <w:b w:val="1"/>
                <w:bCs w:val="1"/>
                <w:color w:val="666666"/>
              </w:rPr>
              <w:t>Benefits</w:t>
            </w:r>
          </w:p>
        </w:tc>
        <w:tc>
          <w:tcPr>
            <w:tcW w:w="840" w:type="dxa"/>
            <w:vAlign w:val="bottom"/>
            <w:gridSpan w:val="2"/>
            <w:shd w:val="clear" w:color="auto" w:fill="DDDDDD"/>
          </w:tcPr>
          <w:p>
            <w:pPr>
              <w:jc w:val="right"/>
              <w:ind w:right="157"/>
              <w:spacing w:after="0"/>
              <w:rPr>
                <w:sz w:val="20"/>
                <w:szCs w:val="20"/>
                <w:color w:val="auto"/>
              </w:rPr>
            </w:pPr>
            <w:r>
              <w:rPr>
                <w:rFonts w:ascii="Arial" w:cs="Arial" w:eastAsia="Arial" w:hAnsi="Arial"/>
                <w:sz w:val="10"/>
                <w:szCs w:val="10"/>
                <w:b w:val="1"/>
                <w:bCs w:val="1"/>
                <w:color w:val="666666"/>
              </w:rPr>
              <w:t>and Benefits</w:t>
            </w:r>
          </w:p>
        </w:tc>
        <w:tc>
          <w:tcPr>
            <w:tcW w:w="600" w:type="dxa"/>
            <w:vAlign w:val="bottom"/>
            <w:tcBorders>
              <w:right w:val="single" w:sz="8" w:color="auto"/>
            </w:tcBorders>
            <w:vMerge w:val="continue"/>
            <w:shd w:val="clear" w:color="auto" w:fill="DDDDDD"/>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60" w:type="dxa"/>
            <w:vAlign w:val="bottom"/>
            <w:tcBorders>
              <w:left w:val="single" w:sz="8" w:color="auto"/>
              <w:bottom w:val="single" w:sz="8" w:color="auto"/>
            </w:tcBorders>
            <w:shd w:val="clear" w:color="auto" w:fill="DDDDDD"/>
          </w:tcPr>
          <w:p>
            <w:pPr>
              <w:ind w:left="40"/>
              <w:spacing w:after="0"/>
              <w:rPr>
                <w:sz w:val="20"/>
                <w:szCs w:val="20"/>
                <w:color w:val="auto"/>
              </w:rPr>
            </w:pPr>
            <w:r>
              <w:rPr>
                <w:rFonts w:ascii="Arial" w:cs="Arial" w:eastAsia="Arial" w:hAnsi="Arial"/>
                <w:sz w:val="10"/>
                <w:szCs w:val="10"/>
                <w:b w:val="1"/>
                <w:bCs w:val="1"/>
                <w:color w:val="666666"/>
              </w:rPr>
              <w:t>Name</w:t>
            </w:r>
          </w:p>
        </w:tc>
        <w:tc>
          <w:tcPr>
            <w:tcW w:w="80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0"/>
                <w:szCs w:val="10"/>
                <w:b w:val="1"/>
                <w:bCs w:val="1"/>
                <w:color w:val="666666"/>
                <w:w w:val="97"/>
              </w:rPr>
              <w:t>($)</w:t>
            </w:r>
          </w:p>
        </w:tc>
        <w:tc>
          <w:tcPr>
            <w:tcW w:w="100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0"/>
                <w:szCs w:val="10"/>
                <w:b w:val="1"/>
                <w:bCs w:val="1"/>
                <w:color w:val="666666"/>
                <w:w w:val="97"/>
              </w:rPr>
              <w:t>($)</w:t>
            </w:r>
          </w:p>
        </w:tc>
        <w:tc>
          <w:tcPr>
            <w:tcW w:w="380" w:type="dxa"/>
            <w:vAlign w:val="bottom"/>
            <w:tcBorders>
              <w:bottom w:val="single" w:sz="8" w:color="auto"/>
            </w:tcBorders>
            <w:shd w:val="clear" w:color="auto" w:fill="DDDDDD"/>
          </w:tcPr>
          <w:p>
            <w:pPr>
              <w:spacing w:after="0"/>
              <w:rPr>
                <w:sz w:val="16"/>
                <w:szCs w:val="16"/>
                <w:color w:val="auto"/>
              </w:rPr>
            </w:pPr>
          </w:p>
        </w:tc>
        <w:tc>
          <w:tcPr>
            <w:tcW w:w="86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0"/>
                <w:szCs w:val="10"/>
                <w:b w:val="1"/>
                <w:bCs w:val="1"/>
                <w:color w:val="666666"/>
                <w:w w:val="97"/>
              </w:rPr>
              <w:t>($)</w:t>
            </w:r>
          </w:p>
        </w:tc>
        <w:tc>
          <w:tcPr>
            <w:tcW w:w="740" w:type="dxa"/>
            <w:vAlign w:val="bottom"/>
            <w:tcBorders>
              <w:bottom w:val="single" w:sz="8" w:color="auto"/>
            </w:tcBorders>
            <w:shd w:val="clear" w:color="auto" w:fill="DDDDDD"/>
          </w:tcPr>
          <w:p>
            <w:pPr>
              <w:jc w:val="center"/>
              <w:ind w:right="89"/>
              <w:spacing w:after="0"/>
              <w:rPr>
                <w:sz w:val="20"/>
                <w:szCs w:val="20"/>
                <w:color w:val="auto"/>
              </w:rPr>
            </w:pPr>
            <w:r>
              <w:rPr>
                <w:rFonts w:ascii="Arial" w:cs="Arial" w:eastAsia="Arial" w:hAnsi="Arial"/>
                <w:sz w:val="10"/>
                <w:szCs w:val="10"/>
                <w:b w:val="1"/>
                <w:bCs w:val="1"/>
                <w:color w:val="666666"/>
                <w:w w:val="97"/>
              </w:rPr>
              <w:t>($)</w:t>
            </w:r>
          </w:p>
        </w:tc>
        <w:tc>
          <w:tcPr>
            <w:tcW w:w="68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0"/>
                <w:szCs w:val="10"/>
                <w:b w:val="1"/>
                <w:bCs w:val="1"/>
                <w:color w:val="666666"/>
                <w:w w:val="97"/>
              </w:rPr>
              <w:t>($)</w:t>
            </w:r>
          </w:p>
        </w:tc>
        <w:tc>
          <w:tcPr>
            <w:tcW w:w="160" w:type="dxa"/>
            <w:vAlign w:val="bottom"/>
            <w:tcBorders>
              <w:bottom w:val="single" w:sz="8" w:color="auto"/>
            </w:tcBorders>
            <w:shd w:val="clear" w:color="auto" w:fill="DDDDDD"/>
          </w:tcPr>
          <w:p>
            <w:pPr>
              <w:spacing w:after="0"/>
              <w:rPr>
                <w:sz w:val="16"/>
                <w:szCs w:val="16"/>
                <w:color w:val="auto"/>
              </w:rPr>
            </w:pPr>
          </w:p>
        </w:tc>
        <w:tc>
          <w:tcPr>
            <w:tcW w:w="600" w:type="dxa"/>
            <w:vAlign w:val="bottom"/>
            <w:tcBorders>
              <w:bottom w:val="single" w:sz="8" w:color="auto"/>
              <w:right w:val="single" w:sz="8" w:color="auto"/>
            </w:tcBorders>
            <w:shd w:val="clear" w:color="auto" w:fill="DDDDDD"/>
          </w:tcPr>
          <w:p>
            <w:pPr>
              <w:jc w:val="center"/>
              <w:ind w:right="9"/>
              <w:spacing w:after="0"/>
              <w:rPr>
                <w:sz w:val="20"/>
                <w:szCs w:val="20"/>
                <w:color w:val="auto"/>
              </w:rPr>
            </w:pPr>
            <w:r>
              <w:rPr>
                <w:rFonts w:ascii="Arial" w:cs="Arial" w:eastAsia="Arial" w:hAnsi="Arial"/>
                <w:sz w:val="10"/>
                <w:szCs w:val="10"/>
                <w:b w:val="1"/>
                <w:bCs w:val="1"/>
                <w:color w:val="666666"/>
              </w:rPr>
              <w:t>($)</w:t>
            </w: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b w:val="1"/>
                <w:bCs w:val="1"/>
                <w:color w:val="666666"/>
              </w:rPr>
              <w:t>Horacio D. Rozanski</w:t>
            </w: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Death</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right"/>
              <w:ind w:right="109"/>
              <w:spacing w:after="0"/>
              <w:rPr>
                <w:sz w:val="20"/>
                <w:szCs w:val="20"/>
                <w:color w:val="auto"/>
              </w:rPr>
            </w:pPr>
            <w:r>
              <w:rPr>
                <w:rFonts w:ascii="Arial" w:cs="Arial" w:eastAsia="Arial" w:hAnsi="Arial"/>
                <w:sz w:val="10"/>
                <w:szCs w:val="10"/>
                <w:color w:val="666666"/>
              </w:rPr>
              <w:t>3,310,798</w:t>
            </w:r>
          </w:p>
        </w:tc>
        <w:tc>
          <w:tcPr>
            <w:tcW w:w="3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right"/>
              <w:ind w:right="9"/>
              <w:spacing w:after="0"/>
              <w:rPr>
                <w:sz w:val="20"/>
                <w:szCs w:val="20"/>
                <w:color w:val="auto"/>
              </w:rPr>
            </w:pPr>
            <w:r>
              <w:rPr>
                <w:rFonts w:ascii="Arial" w:cs="Arial" w:eastAsia="Arial" w:hAnsi="Arial"/>
                <w:sz w:val="10"/>
                <w:szCs w:val="10"/>
                <w:color w:val="666666"/>
              </w:rPr>
              <w:t xml:space="preserve">2,125,000 </w:t>
            </w:r>
            <w:r>
              <w:rPr>
                <w:rFonts w:ascii="Arial" w:cs="Arial" w:eastAsia="Arial" w:hAnsi="Arial"/>
                <w:sz w:val="17"/>
                <w:szCs w:val="17"/>
                <w:color w:val="666666"/>
                <w:vertAlign w:val="superscript"/>
              </w:rPr>
              <w:t>3</w:t>
            </w:r>
          </w:p>
        </w:tc>
        <w:tc>
          <w:tcPr>
            <w:tcW w:w="840" w:type="dxa"/>
            <w:vAlign w:val="bottom"/>
            <w:gridSpan w:val="2"/>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5,435,798</w:t>
            </w: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Disability</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right"/>
              <w:ind w:right="9"/>
              <w:spacing w:after="0" w:line="155" w:lineRule="exact"/>
              <w:rPr>
                <w:sz w:val="20"/>
                <w:szCs w:val="20"/>
                <w:color w:val="auto"/>
              </w:rPr>
            </w:pPr>
            <w:r>
              <w:rPr>
                <w:rFonts w:ascii="Arial" w:cs="Arial" w:eastAsia="Arial" w:hAnsi="Arial"/>
                <w:sz w:val="10"/>
                <w:szCs w:val="10"/>
                <w:color w:val="666666"/>
              </w:rPr>
              <w:t xml:space="preserve">3,137,842 </w:t>
            </w:r>
            <w:r>
              <w:rPr>
                <w:rFonts w:ascii="Arial" w:cs="Arial" w:eastAsia="Arial" w:hAnsi="Arial"/>
                <w:sz w:val="17"/>
                <w:szCs w:val="17"/>
                <w:color w:val="666666"/>
                <w:vertAlign w:val="superscript"/>
              </w:rPr>
              <w:t>4</w:t>
            </w:r>
          </w:p>
        </w:tc>
        <w:tc>
          <w:tcPr>
            <w:tcW w:w="840" w:type="dxa"/>
            <w:vAlign w:val="bottom"/>
            <w:gridSpan w:val="2"/>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3,137,842</w:t>
            </w: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Involuntary</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vMerge w:val="restart"/>
          </w:tcPr>
          <w:p>
            <w:pPr>
              <w:jc w:val="right"/>
              <w:ind w:right="57"/>
              <w:spacing w:after="0"/>
              <w:rPr>
                <w:sz w:val="20"/>
                <w:szCs w:val="20"/>
                <w:color w:val="auto"/>
              </w:rPr>
            </w:pPr>
            <w:r>
              <w:rPr>
                <w:rFonts w:ascii="Arial" w:cs="Arial" w:eastAsia="Arial" w:hAnsi="Arial"/>
                <w:sz w:val="10"/>
                <w:szCs w:val="10"/>
                <w:color w:val="666666"/>
              </w:rPr>
              <w:t xml:space="preserve">30,000 </w:t>
            </w:r>
            <w:r>
              <w:rPr>
                <w:rFonts w:ascii="Arial" w:cs="Arial" w:eastAsia="Arial" w:hAnsi="Arial"/>
                <w:sz w:val="17"/>
                <w:szCs w:val="17"/>
                <w:color w:val="666666"/>
                <w:vertAlign w:val="superscript"/>
              </w:rPr>
              <w:t>6</w:t>
            </w:r>
          </w:p>
        </w:tc>
        <w:tc>
          <w:tcPr>
            <w:tcW w:w="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666666"/>
              </w:rPr>
              <w:t>Termination</w:t>
            </w:r>
          </w:p>
        </w:tc>
        <w:tc>
          <w:tcPr>
            <w:tcW w:w="800" w:type="dxa"/>
            <w:vAlign w:val="bottom"/>
          </w:tcPr>
          <w:p>
            <w:pPr>
              <w:jc w:val="right"/>
              <w:spacing w:after="0"/>
              <w:rPr>
                <w:sz w:val="20"/>
                <w:szCs w:val="20"/>
                <w:color w:val="auto"/>
              </w:rPr>
            </w:pPr>
            <w:r>
              <w:rPr>
                <w:rFonts w:ascii="Arial" w:cs="Arial" w:eastAsia="Arial" w:hAnsi="Arial"/>
                <w:sz w:val="10"/>
                <w:szCs w:val="10"/>
                <w:color w:val="666666"/>
              </w:rPr>
              <w:t>1,500,000</w:t>
            </w:r>
          </w:p>
        </w:tc>
        <w:tc>
          <w:tcPr>
            <w:tcW w:w="10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vMerge w:val="continue"/>
          </w:tcPr>
          <w:p>
            <w:pPr>
              <w:spacing w:after="0"/>
              <w:rPr>
                <w:sz w:val="16"/>
                <w:szCs w:val="16"/>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1,530,000</w:t>
            </w: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tcBorders>
          </w:tcPr>
          <w:p>
            <w:pPr>
              <w:ind w:left="260"/>
              <w:spacing w:after="0" w:line="155" w:lineRule="exact"/>
              <w:rPr>
                <w:sz w:val="20"/>
                <w:szCs w:val="20"/>
                <w:color w:val="auto"/>
              </w:rPr>
            </w:pPr>
            <w:r>
              <w:rPr>
                <w:rFonts w:ascii="Arial" w:cs="Arial" w:eastAsia="Arial" w:hAnsi="Arial"/>
                <w:sz w:val="10"/>
                <w:szCs w:val="10"/>
                <w:color w:val="666666"/>
              </w:rPr>
              <w:t xml:space="preserve">Retirement </w:t>
            </w:r>
            <w:r>
              <w:rPr>
                <w:rFonts w:ascii="Arial" w:cs="Arial" w:eastAsia="Arial" w:hAnsi="Arial"/>
                <w:sz w:val="17"/>
                <w:szCs w:val="17"/>
                <w:color w:val="666666"/>
                <w:vertAlign w:val="superscript"/>
              </w:rPr>
              <w:t>10</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tcPr>
          <w:p>
            <w:pPr>
              <w:jc w:val="center"/>
              <w:ind w:right="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Voluntary</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666666"/>
              </w:rPr>
              <w:t>Resignation</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tcPr>
          <w:p>
            <w:pPr>
              <w:jc w:val="center"/>
              <w:ind w:right="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r>
        <w:trPr>
          <w:trHeight w:val="132"/>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Termination for</w:t>
            </w: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666666"/>
              </w:rPr>
              <w:t>Cause</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tcPr>
          <w:p>
            <w:pPr>
              <w:jc w:val="center"/>
              <w:ind w:right="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r>
        <w:trPr>
          <w:trHeight w:val="192"/>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Change-In-Control</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right"/>
              <w:spacing w:after="0"/>
              <w:rPr>
                <w:sz w:val="20"/>
                <w:szCs w:val="20"/>
                <w:color w:val="auto"/>
              </w:rPr>
            </w:pPr>
            <w:r>
              <w:rPr>
                <w:rFonts w:ascii="Arial" w:cs="Arial" w:eastAsia="Arial" w:hAnsi="Arial"/>
                <w:sz w:val="10"/>
                <w:szCs w:val="10"/>
                <w:color w:val="666666"/>
              </w:rPr>
              <w:t>2,120,661</w:t>
            </w:r>
          </w:p>
        </w:tc>
        <w:tc>
          <w:tcPr>
            <w:tcW w:w="3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2,120,661</w:t>
            </w:r>
          </w:p>
        </w:tc>
        <w:tc>
          <w:tcPr>
            <w:tcW w:w="0" w:type="dxa"/>
            <w:vAlign w:val="bottom"/>
          </w:tcPr>
          <w:p>
            <w:pPr>
              <w:spacing w:after="0"/>
              <w:rPr>
                <w:sz w:val="1"/>
                <w:szCs w:val="1"/>
                <w:color w:val="auto"/>
              </w:rPr>
            </w:pPr>
          </w:p>
        </w:tc>
      </w:tr>
      <w:tr>
        <w:trPr>
          <w:trHeight w:val="132"/>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Involuntary</w:t>
            </w: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666666"/>
              </w:rPr>
              <w:t>Termination After Change-</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666666"/>
              </w:rPr>
              <w:t>In-Control</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right"/>
              <w:spacing w:after="0"/>
              <w:rPr>
                <w:sz w:val="20"/>
                <w:szCs w:val="20"/>
                <w:color w:val="auto"/>
              </w:rPr>
            </w:pPr>
            <w:r>
              <w:rPr>
                <w:rFonts w:ascii="Arial" w:cs="Arial" w:eastAsia="Arial" w:hAnsi="Arial"/>
                <w:sz w:val="10"/>
                <w:szCs w:val="10"/>
                <w:color w:val="666666"/>
              </w:rPr>
              <w:t>1,190,137</w:t>
            </w:r>
          </w:p>
        </w:tc>
        <w:tc>
          <w:tcPr>
            <w:tcW w:w="3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1,190,137</w:t>
            </w:r>
          </w:p>
        </w:tc>
        <w:tc>
          <w:tcPr>
            <w:tcW w:w="0" w:type="dxa"/>
            <w:vAlign w:val="bottom"/>
          </w:tcPr>
          <w:p>
            <w:pPr>
              <w:spacing w:after="0"/>
              <w:rPr>
                <w:sz w:val="1"/>
                <w:szCs w:val="1"/>
                <w:color w:val="auto"/>
              </w:rPr>
            </w:pPr>
          </w:p>
        </w:tc>
      </w:tr>
      <w:tr>
        <w:trPr>
          <w:trHeight w:val="195"/>
        </w:trPr>
        <w:tc>
          <w:tcPr>
            <w:tcW w:w="1260" w:type="dxa"/>
            <w:vAlign w:val="bottom"/>
            <w:tcBorders>
              <w:left w:val="single" w:sz="8" w:color="auto"/>
            </w:tcBorders>
            <w:shd w:val="clear" w:color="auto" w:fill="DDDDDD"/>
          </w:tcPr>
          <w:p>
            <w:pPr>
              <w:ind w:left="40"/>
              <w:spacing w:after="0"/>
              <w:rPr>
                <w:sz w:val="20"/>
                <w:szCs w:val="20"/>
                <w:color w:val="auto"/>
              </w:rPr>
            </w:pPr>
            <w:r>
              <w:rPr>
                <w:rFonts w:ascii="Arial" w:cs="Arial" w:eastAsia="Arial" w:hAnsi="Arial"/>
                <w:sz w:val="10"/>
                <w:szCs w:val="10"/>
                <w:b w:val="1"/>
                <w:bCs w:val="1"/>
                <w:color w:val="666666"/>
              </w:rPr>
              <w:t>Lloyd W. Howell, Jr.</w:t>
            </w:r>
          </w:p>
        </w:tc>
        <w:tc>
          <w:tcPr>
            <w:tcW w:w="800" w:type="dxa"/>
            <w:vAlign w:val="bottom"/>
            <w:shd w:val="clear" w:color="auto" w:fill="DDDDDD"/>
          </w:tcPr>
          <w:p>
            <w:pPr>
              <w:spacing w:after="0"/>
              <w:rPr>
                <w:sz w:val="16"/>
                <w:szCs w:val="16"/>
                <w:color w:val="auto"/>
              </w:rPr>
            </w:pPr>
          </w:p>
        </w:tc>
        <w:tc>
          <w:tcPr>
            <w:tcW w:w="10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00" w:type="dxa"/>
            <w:vAlign w:val="bottom"/>
            <w:tcBorders>
              <w:right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Death</w:t>
            </w:r>
          </w:p>
        </w:tc>
        <w:tc>
          <w:tcPr>
            <w:tcW w:w="8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shd w:val="clear" w:color="auto" w:fill="DDDDDD"/>
          </w:tcPr>
          <w:p>
            <w:pPr>
              <w:jc w:val="right"/>
              <w:ind w:right="189"/>
              <w:spacing w:after="0"/>
              <w:rPr>
                <w:sz w:val="20"/>
                <w:szCs w:val="20"/>
                <w:color w:val="auto"/>
              </w:rPr>
            </w:pPr>
            <w:r>
              <w:rPr>
                <w:rFonts w:ascii="Arial" w:cs="Arial" w:eastAsia="Arial" w:hAnsi="Arial"/>
                <w:sz w:val="10"/>
                <w:szCs w:val="10"/>
                <w:color w:val="666666"/>
              </w:rPr>
              <w:t>1,747,186</w:t>
            </w:r>
          </w:p>
        </w:tc>
        <w:tc>
          <w:tcPr>
            <w:tcW w:w="380" w:type="dxa"/>
            <w:vAlign w:val="bottom"/>
            <w:shd w:val="clear" w:color="auto" w:fill="DDDDDD"/>
          </w:tcPr>
          <w:p>
            <w:pPr>
              <w:spacing w:after="0"/>
              <w:rPr>
                <w:sz w:val="16"/>
                <w:szCs w:val="16"/>
                <w:color w:val="auto"/>
              </w:rPr>
            </w:pPr>
          </w:p>
        </w:tc>
        <w:tc>
          <w:tcPr>
            <w:tcW w:w="86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shd w:val="clear" w:color="auto" w:fill="DDDDDD"/>
          </w:tcPr>
          <w:p>
            <w:pPr>
              <w:jc w:val="right"/>
              <w:ind w:right="9"/>
              <w:spacing w:after="0" w:line="193" w:lineRule="exact"/>
              <w:rPr>
                <w:sz w:val="20"/>
                <w:szCs w:val="20"/>
                <w:color w:val="auto"/>
              </w:rPr>
            </w:pPr>
            <w:r>
              <w:rPr>
                <w:rFonts w:ascii="Arial" w:cs="Arial" w:eastAsia="Arial" w:hAnsi="Arial"/>
                <w:sz w:val="10"/>
                <w:szCs w:val="10"/>
                <w:color w:val="666666"/>
              </w:rPr>
              <w:t xml:space="preserve">2,085,417 </w:t>
            </w:r>
            <w:r>
              <w:rPr>
                <w:rFonts w:ascii="Arial" w:cs="Arial" w:eastAsia="Arial" w:hAnsi="Arial"/>
                <w:sz w:val="17"/>
                <w:szCs w:val="17"/>
                <w:color w:val="666666"/>
                <w:vertAlign w:val="superscript"/>
              </w:rPr>
              <w:t>3</w:t>
            </w:r>
          </w:p>
        </w:tc>
        <w:tc>
          <w:tcPr>
            <w:tcW w:w="840" w:type="dxa"/>
            <w:vAlign w:val="bottom"/>
            <w:gridSpan w:val="2"/>
            <w:shd w:val="clear" w:color="auto" w:fill="DDDDDD"/>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0"/>
                <w:szCs w:val="10"/>
                <w:color w:val="666666"/>
              </w:rPr>
              <w:t>3,832,603</w:t>
            </w:r>
          </w:p>
        </w:tc>
        <w:tc>
          <w:tcPr>
            <w:tcW w:w="0" w:type="dxa"/>
            <w:vAlign w:val="bottom"/>
          </w:tcPr>
          <w:p>
            <w:pPr>
              <w:spacing w:after="0"/>
              <w:rPr>
                <w:sz w:val="1"/>
                <w:szCs w:val="1"/>
                <w:color w:val="auto"/>
              </w:rPr>
            </w:pPr>
          </w:p>
        </w:tc>
      </w:tr>
      <w:tr>
        <w:trPr>
          <w:trHeight w:val="192"/>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Disability</w:t>
            </w:r>
          </w:p>
        </w:tc>
        <w:tc>
          <w:tcPr>
            <w:tcW w:w="8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shd w:val="clear" w:color="auto" w:fill="DDDDDD"/>
          </w:tcPr>
          <w:p>
            <w:pPr>
              <w:spacing w:after="0"/>
              <w:rPr>
                <w:sz w:val="16"/>
                <w:szCs w:val="16"/>
                <w:color w:val="auto"/>
              </w:rPr>
            </w:pPr>
          </w:p>
        </w:tc>
        <w:tc>
          <w:tcPr>
            <w:tcW w:w="86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shd w:val="clear" w:color="auto" w:fill="DDDDDD"/>
          </w:tcPr>
          <w:p>
            <w:pPr>
              <w:jc w:val="right"/>
              <w:ind w:right="9"/>
              <w:spacing w:after="0" w:line="192" w:lineRule="exact"/>
              <w:rPr>
                <w:sz w:val="20"/>
                <w:szCs w:val="20"/>
                <w:color w:val="auto"/>
              </w:rPr>
            </w:pPr>
            <w:r>
              <w:rPr>
                <w:rFonts w:ascii="Arial" w:cs="Arial" w:eastAsia="Arial" w:hAnsi="Arial"/>
                <w:sz w:val="10"/>
                <w:szCs w:val="10"/>
                <w:color w:val="666666"/>
              </w:rPr>
              <w:t xml:space="preserve">3,005,719 </w:t>
            </w:r>
            <w:r>
              <w:rPr>
                <w:rFonts w:ascii="Arial" w:cs="Arial" w:eastAsia="Arial" w:hAnsi="Arial"/>
                <w:sz w:val="17"/>
                <w:szCs w:val="17"/>
                <w:color w:val="666666"/>
                <w:vertAlign w:val="superscript"/>
              </w:rPr>
              <w:t>4</w:t>
            </w:r>
          </w:p>
        </w:tc>
        <w:tc>
          <w:tcPr>
            <w:tcW w:w="840" w:type="dxa"/>
            <w:vAlign w:val="bottom"/>
            <w:gridSpan w:val="2"/>
            <w:shd w:val="clear" w:color="auto" w:fill="DDDDDD"/>
          </w:tcPr>
          <w:p>
            <w:pPr>
              <w:jc w:val="right"/>
              <w:ind w:right="57"/>
              <w:spacing w:after="0" w:line="192" w:lineRule="exact"/>
              <w:rPr>
                <w:sz w:val="20"/>
                <w:szCs w:val="20"/>
                <w:color w:val="auto"/>
              </w:rPr>
            </w:pPr>
            <w:r>
              <w:rPr>
                <w:rFonts w:ascii="Arial" w:cs="Arial" w:eastAsia="Arial" w:hAnsi="Arial"/>
                <w:sz w:val="10"/>
                <w:szCs w:val="10"/>
                <w:color w:val="666666"/>
              </w:rPr>
              <w:t xml:space="preserve">1,554,975 </w:t>
            </w:r>
            <w:r>
              <w:rPr>
                <w:rFonts w:ascii="Arial" w:cs="Arial" w:eastAsia="Arial" w:hAnsi="Arial"/>
                <w:sz w:val="17"/>
                <w:szCs w:val="17"/>
                <w:color w:val="666666"/>
                <w:vertAlign w:val="superscript"/>
              </w:rPr>
              <w:t>5</w:t>
            </w:r>
          </w:p>
        </w:tc>
        <w:tc>
          <w:tcPr>
            <w:tcW w:w="60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0"/>
                <w:szCs w:val="10"/>
                <w:color w:val="666666"/>
              </w:rPr>
              <w:t>4,560,694</w:t>
            </w: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Involuntary</w:t>
            </w:r>
          </w:p>
        </w:tc>
        <w:tc>
          <w:tcPr>
            <w:tcW w:w="800" w:type="dxa"/>
            <w:vAlign w:val="bottom"/>
            <w:shd w:val="clear" w:color="auto" w:fill="DDDDDD"/>
          </w:tcPr>
          <w:p>
            <w:pPr>
              <w:spacing w:after="0"/>
              <w:rPr>
                <w:sz w:val="10"/>
                <w:szCs w:val="10"/>
                <w:color w:val="auto"/>
              </w:rPr>
            </w:pPr>
          </w:p>
        </w:tc>
        <w:tc>
          <w:tcPr>
            <w:tcW w:w="1000" w:type="dxa"/>
            <w:vAlign w:val="bottom"/>
            <w:shd w:val="clear" w:color="auto" w:fill="DDDDDD"/>
          </w:tcPr>
          <w:p>
            <w:pPr>
              <w:spacing w:after="0"/>
              <w:rPr>
                <w:sz w:val="10"/>
                <w:szCs w:val="10"/>
                <w:color w:val="auto"/>
              </w:rPr>
            </w:pPr>
          </w:p>
        </w:tc>
        <w:tc>
          <w:tcPr>
            <w:tcW w:w="380" w:type="dxa"/>
            <w:vAlign w:val="bottom"/>
            <w:shd w:val="clear" w:color="auto" w:fill="DDDDDD"/>
          </w:tcPr>
          <w:p>
            <w:pPr>
              <w:spacing w:after="0"/>
              <w:rPr>
                <w:sz w:val="10"/>
                <w:szCs w:val="10"/>
                <w:color w:val="auto"/>
              </w:rPr>
            </w:pPr>
          </w:p>
        </w:tc>
        <w:tc>
          <w:tcPr>
            <w:tcW w:w="860" w:type="dxa"/>
            <w:vAlign w:val="bottom"/>
            <w:shd w:val="clear" w:color="auto" w:fill="DDDDDD"/>
          </w:tcPr>
          <w:p>
            <w:pPr>
              <w:spacing w:after="0"/>
              <w:rPr>
                <w:sz w:val="10"/>
                <w:szCs w:val="10"/>
                <w:color w:val="auto"/>
              </w:rPr>
            </w:pPr>
          </w:p>
        </w:tc>
        <w:tc>
          <w:tcPr>
            <w:tcW w:w="740" w:type="dxa"/>
            <w:vAlign w:val="bottom"/>
            <w:shd w:val="clear" w:color="auto" w:fill="DDDDDD"/>
          </w:tcPr>
          <w:p>
            <w:pPr>
              <w:spacing w:after="0"/>
              <w:rPr>
                <w:sz w:val="10"/>
                <w:szCs w:val="10"/>
                <w:color w:val="auto"/>
              </w:rPr>
            </w:pPr>
          </w:p>
        </w:tc>
        <w:tc>
          <w:tcPr>
            <w:tcW w:w="840" w:type="dxa"/>
            <w:vAlign w:val="bottom"/>
            <w:gridSpan w:val="2"/>
            <w:vMerge w:val="restart"/>
            <w:shd w:val="clear" w:color="auto" w:fill="DDDDDD"/>
          </w:tcPr>
          <w:p>
            <w:pPr>
              <w:jc w:val="right"/>
              <w:ind w:right="57"/>
              <w:spacing w:after="0"/>
              <w:rPr>
                <w:sz w:val="20"/>
                <w:szCs w:val="20"/>
                <w:color w:val="auto"/>
              </w:rPr>
            </w:pPr>
            <w:r>
              <w:rPr>
                <w:rFonts w:ascii="Arial" w:cs="Arial" w:eastAsia="Arial" w:hAnsi="Arial"/>
                <w:sz w:val="10"/>
                <w:szCs w:val="10"/>
                <w:color w:val="666666"/>
              </w:rPr>
              <w:t xml:space="preserve">30,000 </w:t>
            </w:r>
            <w:r>
              <w:rPr>
                <w:rFonts w:ascii="Arial" w:cs="Arial" w:eastAsia="Arial" w:hAnsi="Arial"/>
                <w:sz w:val="17"/>
                <w:szCs w:val="17"/>
                <w:color w:val="666666"/>
                <w:vertAlign w:val="superscript"/>
              </w:rPr>
              <w:t>6</w:t>
            </w:r>
          </w:p>
        </w:tc>
        <w:tc>
          <w:tcPr>
            <w:tcW w:w="600" w:type="dxa"/>
            <w:vAlign w:val="bottom"/>
            <w:tcBorders>
              <w:right w:val="single" w:sz="8" w:color="auto"/>
            </w:tcBorders>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60" w:type="dxa"/>
            <w:vAlign w:val="bottom"/>
            <w:tcBorders>
              <w:left w:val="single" w:sz="8" w:color="auto"/>
            </w:tcBorders>
            <w:shd w:val="clear" w:color="auto" w:fill="DDDDDD"/>
          </w:tcPr>
          <w:p>
            <w:pPr>
              <w:ind w:left="40"/>
              <w:spacing w:after="0"/>
              <w:rPr>
                <w:sz w:val="20"/>
                <w:szCs w:val="20"/>
                <w:color w:val="auto"/>
              </w:rPr>
            </w:pPr>
            <w:r>
              <w:rPr>
                <w:rFonts w:ascii="Arial" w:cs="Arial" w:eastAsia="Arial" w:hAnsi="Arial"/>
                <w:sz w:val="10"/>
                <w:szCs w:val="10"/>
                <w:color w:val="666666"/>
              </w:rPr>
              <w:t>Termination</w:t>
            </w:r>
          </w:p>
        </w:tc>
        <w:tc>
          <w:tcPr>
            <w:tcW w:w="800" w:type="dxa"/>
            <w:vAlign w:val="bottom"/>
            <w:shd w:val="clear" w:color="auto" w:fill="DDDDDD"/>
          </w:tcPr>
          <w:p>
            <w:pPr>
              <w:jc w:val="right"/>
              <w:ind w:right="9"/>
              <w:spacing w:after="0"/>
              <w:rPr>
                <w:sz w:val="20"/>
                <w:szCs w:val="20"/>
                <w:color w:val="auto"/>
              </w:rPr>
            </w:pPr>
            <w:r>
              <w:rPr>
                <w:rFonts w:ascii="Arial" w:cs="Arial" w:eastAsia="Arial" w:hAnsi="Arial"/>
                <w:sz w:val="10"/>
                <w:szCs w:val="10"/>
                <w:color w:val="666666"/>
              </w:rPr>
              <w:t>1,025,000</w:t>
            </w:r>
          </w:p>
        </w:tc>
        <w:tc>
          <w:tcPr>
            <w:tcW w:w="10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shd w:val="clear" w:color="auto" w:fill="DDDDDD"/>
          </w:tcPr>
          <w:p>
            <w:pPr>
              <w:spacing w:after="0"/>
              <w:rPr>
                <w:sz w:val="12"/>
                <w:szCs w:val="12"/>
                <w:color w:val="auto"/>
              </w:rPr>
            </w:pPr>
          </w:p>
        </w:tc>
        <w:tc>
          <w:tcPr>
            <w:tcW w:w="86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shd w:val="clear" w:color="auto" w:fill="DDDDDD"/>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vMerge w:val="continue"/>
            <w:shd w:val="clear" w:color="auto" w:fill="DDDDDD"/>
          </w:tcPr>
          <w:p>
            <w:pPr>
              <w:spacing w:after="0"/>
              <w:rPr>
                <w:sz w:val="12"/>
                <w:szCs w:val="12"/>
                <w:color w:val="auto"/>
              </w:rPr>
            </w:pPr>
          </w:p>
        </w:tc>
        <w:tc>
          <w:tcPr>
            <w:tcW w:w="60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0"/>
                <w:szCs w:val="10"/>
                <w:color w:val="666666"/>
              </w:rPr>
              <w:t>1,055,000</w:t>
            </w:r>
          </w:p>
        </w:tc>
        <w:tc>
          <w:tcPr>
            <w:tcW w:w="0" w:type="dxa"/>
            <w:vAlign w:val="bottom"/>
          </w:tcPr>
          <w:p>
            <w:pPr>
              <w:spacing w:after="0"/>
              <w:rPr>
                <w:sz w:val="1"/>
                <w:szCs w:val="1"/>
                <w:color w:val="auto"/>
              </w:rPr>
            </w:pPr>
          </w:p>
        </w:tc>
      </w:tr>
      <w:tr>
        <w:trPr>
          <w:trHeight w:val="192"/>
        </w:trPr>
        <w:tc>
          <w:tcPr>
            <w:tcW w:w="1260" w:type="dxa"/>
            <w:vAlign w:val="bottom"/>
            <w:tcBorders>
              <w:left w:val="single" w:sz="8" w:color="auto"/>
            </w:tcBorders>
            <w:shd w:val="clear" w:color="auto" w:fill="DDDDDD"/>
          </w:tcPr>
          <w:p>
            <w:pPr>
              <w:ind w:left="260"/>
              <w:spacing w:after="0" w:line="192" w:lineRule="exact"/>
              <w:rPr>
                <w:sz w:val="20"/>
                <w:szCs w:val="20"/>
                <w:color w:val="auto"/>
              </w:rPr>
            </w:pPr>
            <w:r>
              <w:rPr>
                <w:rFonts w:ascii="Arial" w:cs="Arial" w:eastAsia="Arial" w:hAnsi="Arial"/>
                <w:sz w:val="10"/>
                <w:szCs w:val="10"/>
                <w:color w:val="666666"/>
              </w:rPr>
              <w:t xml:space="preserve">Retirement </w:t>
            </w:r>
            <w:r>
              <w:rPr>
                <w:rFonts w:ascii="Arial" w:cs="Arial" w:eastAsia="Arial" w:hAnsi="Arial"/>
                <w:sz w:val="17"/>
                <w:szCs w:val="17"/>
                <w:color w:val="666666"/>
                <w:vertAlign w:val="superscript"/>
              </w:rPr>
              <w:t>11</w:t>
            </w:r>
          </w:p>
        </w:tc>
        <w:tc>
          <w:tcPr>
            <w:tcW w:w="8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shd w:val="clear" w:color="auto" w:fill="DDDDDD"/>
          </w:tcPr>
          <w:p>
            <w:pPr>
              <w:spacing w:after="0"/>
              <w:rPr>
                <w:sz w:val="16"/>
                <w:szCs w:val="16"/>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0"/>
                <w:szCs w:val="10"/>
                <w:color w:val="666666"/>
              </w:rPr>
              <w:t>175,000</w:t>
            </w:r>
          </w:p>
        </w:tc>
        <w:tc>
          <w:tcPr>
            <w:tcW w:w="740" w:type="dxa"/>
            <w:vAlign w:val="bottom"/>
            <w:shd w:val="clear" w:color="auto" w:fill="DDDDDD"/>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shd w:val="clear" w:color="auto" w:fill="DDDDDD"/>
          </w:tcPr>
          <w:p>
            <w:pPr>
              <w:jc w:val="right"/>
              <w:ind w:right="57"/>
              <w:spacing w:after="0" w:line="192" w:lineRule="exact"/>
              <w:rPr>
                <w:sz w:val="20"/>
                <w:szCs w:val="20"/>
                <w:color w:val="auto"/>
              </w:rPr>
            </w:pPr>
            <w:r>
              <w:rPr>
                <w:rFonts w:ascii="Arial" w:cs="Arial" w:eastAsia="Arial" w:hAnsi="Arial"/>
                <w:sz w:val="10"/>
                <w:szCs w:val="10"/>
                <w:color w:val="666666"/>
              </w:rPr>
              <w:t xml:space="preserve">1,643,073 </w:t>
            </w:r>
            <w:r>
              <w:rPr>
                <w:rFonts w:ascii="Arial" w:cs="Arial" w:eastAsia="Arial" w:hAnsi="Arial"/>
                <w:sz w:val="17"/>
                <w:szCs w:val="17"/>
                <w:color w:val="666666"/>
                <w:vertAlign w:val="superscript"/>
              </w:rPr>
              <w:t>7</w:t>
            </w:r>
          </w:p>
        </w:tc>
        <w:tc>
          <w:tcPr>
            <w:tcW w:w="60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0"/>
                <w:szCs w:val="10"/>
                <w:color w:val="666666"/>
              </w:rPr>
              <w:t>1,818,073</w:t>
            </w: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Voluntary</w:t>
            </w:r>
          </w:p>
        </w:tc>
        <w:tc>
          <w:tcPr>
            <w:tcW w:w="800" w:type="dxa"/>
            <w:vAlign w:val="bottom"/>
            <w:shd w:val="clear" w:color="auto" w:fill="DDDDDD"/>
          </w:tcPr>
          <w:p>
            <w:pPr>
              <w:spacing w:after="0"/>
              <w:rPr>
                <w:sz w:val="10"/>
                <w:szCs w:val="10"/>
                <w:color w:val="auto"/>
              </w:rPr>
            </w:pPr>
          </w:p>
        </w:tc>
        <w:tc>
          <w:tcPr>
            <w:tcW w:w="1000" w:type="dxa"/>
            <w:vAlign w:val="bottom"/>
            <w:shd w:val="clear" w:color="auto" w:fill="DDDDDD"/>
          </w:tcPr>
          <w:p>
            <w:pPr>
              <w:spacing w:after="0"/>
              <w:rPr>
                <w:sz w:val="10"/>
                <w:szCs w:val="10"/>
                <w:color w:val="auto"/>
              </w:rPr>
            </w:pPr>
          </w:p>
        </w:tc>
        <w:tc>
          <w:tcPr>
            <w:tcW w:w="380" w:type="dxa"/>
            <w:vAlign w:val="bottom"/>
            <w:shd w:val="clear" w:color="auto" w:fill="DDDDDD"/>
          </w:tcPr>
          <w:p>
            <w:pPr>
              <w:spacing w:after="0"/>
              <w:rPr>
                <w:sz w:val="10"/>
                <w:szCs w:val="10"/>
                <w:color w:val="auto"/>
              </w:rPr>
            </w:pPr>
          </w:p>
        </w:tc>
        <w:tc>
          <w:tcPr>
            <w:tcW w:w="860" w:type="dxa"/>
            <w:vAlign w:val="bottom"/>
            <w:shd w:val="clear" w:color="auto" w:fill="DDDDDD"/>
          </w:tcPr>
          <w:p>
            <w:pPr>
              <w:spacing w:after="0"/>
              <w:rPr>
                <w:sz w:val="10"/>
                <w:szCs w:val="10"/>
                <w:color w:val="auto"/>
              </w:rPr>
            </w:pPr>
          </w:p>
        </w:tc>
        <w:tc>
          <w:tcPr>
            <w:tcW w:w="740" w:type="dxa"/>
            <w:vAlign w:val="bottom"/>
            <w:shd w:val="clear" w:color="auto" w:fill="DDDDDD"/>
          </w:tcPr>
          <w:p>
            <w:pPr>
              <w:spacing w:after="0"/>
              <w:rPr>
                <w:sz w:val="10"/>
                <w:szCs w:val="10"/>
                <w:color w:val="auto"/>
              </w:rPr>
            </w:pPr>
          </w:p>
        </w:tc>
        <w:tc>
          <w:tcPr>
            <w:tcW w:w="680" w:type="dxa"/>
            <w:vAlign w:val="bottom"/>
            <w:shd w:val="clear" w:color="auto" w:fill="DDDDDD"/>
          </w:tcPr>
          <w:p>
            <w:pPr>
              <w:spacing w:after="0"/>
              <w:rPr>
                <w:sz w:val="10"/>
                <w:szCs w:val="10"/>
                <w:color w:val="auto"/>
              </w:rPr>
            </w:pPr>
          </w:p>
        </w:tc>
        <w:tc>
          <w:tcPr>
            <w:tcW w:w="160" w:type="dxa"/>
            <w:vAlign w:val="bottom"/>
            <w:shd w:val="clear" w:color="auto" w:fill="DDDDDD"/>
          </w:tcPr>
          <w:p>
            <w:pPr>
              <w:spacing w:after="0"/>
              <w:rPr>
                <w:sz w:val="10"/>
                <w:szCs w:val="10"/>
                <w:color w:val="auto"/>
              </w:rPr>
            </w:pPr>
          </w:p>
        </w:tc>
        <w:tc>
          <w:tcPr>
            <w:tcW w:w="600" w:type="dxa"/>
            <w:vAlign w:val="bottom"/>
            <w:tcBorders>
              <w:right w:val="single" w:sz="8" w:color="auto"/>
            </w:tcBorders>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60" w:type="dxa"/>
            <w:vAlign w:val="bottom"/>
            <w:tcBorders>
              <w:left w:val="single" w:sz="8" w:color="auto"/>
            </w:tcBorders>
            <w:shd w:val="clear" w:color="auto" w:fill="DDDDDD"/>
          </w:tcPr>
          <w:p>
            <w:pPr>
              <w:ind w:left="40"/>
              <w:spacing w:after="0"/>
              <w:rPr>
                <w:sz w:val="20"/>
                <w:szCs w:val="20"/>
                <w:color w:val="auto"/>
              </w:rPr>
            </w:pPr>
            <w:r>
              <w:rPr>
                <w:rFonts w:ascii="Arial" w:cs="Arial" w:eastAsia="Arial" w:hAnsi="Arial"/>
                <w:sz w:val="10"/>
                <w:szCs w:val="10"/>
                <w:color w:val="666666"/>
              </w:rPr>
              <w:t>Resignation</w:t>
            </w:r>
          </w:p>
        </w:tc>
        <w:tc>
          <w:tcPr>
            <w:tcW w:w="8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shd w:val="clear" w:color="auto" w:fill="DDDDDD"/>
          </w:tcPr>
          <w:p>
            <w:pPr>
              <w:spacing w:after="0"/>
              <w:rPr>
                <w:sz w:val="11"/>
                <w:szCs w:val="11"/>
                <w:color w:val="auto"/>
              </w:rPr>
            </w:pPr>
          </w:p>
        </w:tc>
        <w:tc>
          <w:tcPr>
            <w:tcW w:w="86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shd w:val="clear" w:color="auto" w:fill="DDDDDD"/>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shd w:val="clear" w:color="auto" w:fill="DDDDDD"/>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shd w:val="clear" w:color="auto" w:fill="DDDDDD"/>
          </w:tcPr>
          <w:p>
            <w:pPr>
              <w:jc w:val="center"/>
              <w:ind w:right="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r>
        <w:trPr>
          <w:trHeight w:val="132"/>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Termination for</w:t>
            </w:r>
          </w:p>
        </w:tc>
        <w:tc>
          <w:tcPr>
            <w:tcW w:w="800" w:type="dxa"/>
            <w:vAlign w:val="bottom"/>
            <w:shd w:val="clear" w:color="auto" w:fill="DDDDDD"/>
          </w:tcPr>
          <w:p>
            <w:pPr>
              <w:spacing w:after="0"/>
              <w:rPr>
                <w:sz w:val="11"/>
                <w:szCs w:val="11"/>
                <w:color w:val="auto"/>
              </w:rPr>
            </w:pPr>
          </w:p>
        </w:tc>
        <w:tc>
          <w:tcPr>
            <w:tcW w:w="1000" w:type="dxa"/>
            <w:vAlign w:val="bottom"/>
            <w:shd w:val="clear" w:color="auto" w:fill="DDDDDD"/>
          </w:tcPr>
          <w:p>
            <w:pPr>
              <w:spacing w:after="0"/>
              <w:rPr>
                <w:sz w:val="11"/>
                <w:szCs w:val="11"/>
                <w:color w:val="auto"/>
              </w:rPr>
            </w:pPr>
          </w:p>
        </w:tc>
        <w:tc>
          <w:tcPr>
            <w:tcW w:w="380" w:type="dxa"/>
            <w:vAlign w:val="bottom"/>
            <w:shd w:val="clear" w:color="auto" w:fill="DDDDDD"/>
          </w:tcPr>
          <w:p>
            <w:pPr>
              <w:spacing w:after="0"/>
              <w:rPr>
                <w:sz w:val="11"/>
                <w:szCs w:val="11"/>
                <w:color w:val="auto"/>
              </w:rPr>
            </w:pPr>
          </w:p>
        </w:tc>
        <w:tc>
          <w:tcPr>
            <w:tcW w:w="86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6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600" w:type="dxa"/>
            <w:vAlign w:val="bottom"/>
            <w:tcBorders>
              <w:right w:val="single" w:sz="8" w:color="auto"/>
            </w:tcBorders>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60" w:type="dxa"/>
            <w:vAlign w:val="bottom"/>
            <w:tcBorders>
              <w:left w:val="single" w:sz="8" w:color="auto"/>
            </w:tcBorders>
            <w:shd w:val="clear" w:color="auto" w:fill="DDDDDD"/>
          </w:tcPr>
          <w:p>
            <w:pPr>
              <w:ind w:left="40"/>
              <w:spacing w:after="0"/>
              <w:rPr>
                <w:sz w:val="20"/>
                <w:szCs w:val="20"/>
                <w:color w:val="auto"/>
              </w:rPr>
            </w:pPr>
            <w:r>
              <w:rPr>
                <w:rFonts w:ascii="Arial" w:cs="Arial" w:eastAsia="Arial" w:hAnsi="Arial"/>
                <w:sz w:val="10"/>
                <w:szCs w:val="10"/>
                <w:color w:val="666666"/>
              </w:rPr>
              <w:t>Cause</w:t>
            </w:r>
          </w:p>
        </w:tc>
        <w:tc>
          <w:tcPr>
            <w:tcW w:w="8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shd w:val="clear" w:color="auto" w:fill="DDDDDD"/>
          </w:tcPr>
          <w:p>
            <w:pPr>
              <w:spacing w:after="0"/>
              <w:rPr>
                <w:sz w:val="11"/>
                <w:szCs w:val="11"/>
                <w:color w:val="auto"/>
              </w:rPr>
            </w:pPr>
          </w:p>
        </w:tc>
        <w:tc>
          <w:tcPr>
            <w:tcW w:w="86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shd w:val="clear" w:color="auto" w:fill="DDDDDD"/>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shd w:val="clear" w:color="auto" w:fill="DDDDDD"/>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shd w:val="clear" w:color="auto" w:fill="DDDDDD"/>
          </w:tcPr>
          <w:p>
            <w:pPr>
              <w:jc w:val="center"/>
              <w:ind w:right="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r>
        <w:trPr>
          <w:trHeight w:val="192"/>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Change-In-Control</w:t>
            </w:r>
          </w:p>
        </w:tc>
        <w:tc>
          <w:tcPr>
            <w:tcW w:w="8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shd w:val="clear" w:color="auto" w:fill="DDDDDD"/>
          </w:tcPr>
          <w:p>
            <w:pPr>
              <w:jc w:val="right"/>
              <w:ind w:right="109"/>
              <w:spacing w:after="0"/>
              <w:rPr>
                <w:sz w:val="20"/>
                <w:szCs w:val="20"/>
                <w:color w:val="auto"/>
              </w:rPr>
            </w:pPr>
            <w:r>
              <w:rPr>
                <w:rFonts w:ascii="Arial" w:cs="Arial" w:eastAsia="Arial" w:hAnsi="Arial"/>
                <w:sz w:val="10"/>
                <w:szCs w:val="10"/>
                <w:color w:val="666666"/>
              </w:rPr>
              <w:t>1,181,758</w:t>
            </w:r>
          </w:p>
        </w:tc>
        <w:tc>
          <w:tcPr>
            <w:tcW w:w="380" w:type="dxa"/>
            <w:vAlign w:val="bottom"/>
            <w:shd w:val="clear" w:color="auto" w:fill="DDDDDD"/>
          </w:tcPr>
          <w:p>
            <w:pPr>
              <w:spacing w:after="0"/>
              <w:rPr>
                <w:sz w:val="16"/>
                <w:szCs w:val="16"/>
                <w:color w:val="auto"/>
              </w:rPr>
            </w:pPr>
          </w:p>
        </w:tc>
        <w:tc>
          <w:tcPr>
            <w:tcW w:w="86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shd w:val="clear" w:color="auto" w:fill="DDDDDD"/>
          </w:tcPr>
          <w:p>
            <w:pPr>
              <w:jc w:val="center"/>
              <w:ind w:right="69"/>
              <w:spacing w:after="0"/>
              <w:rPr>
                <w:sz w:val="20"/>
                <w:szCs w:val="20"/>
                <w:color w:val="auto"/>
              </w:rPr>
            </w:pPr>
            <w:r>
              <w:rPr>
                <w:rFonts w:ascii="Arial" w:cs="Arial" w:eastAsia="Arial" w:hAnsi="Arial"/>
                <w:sz w:val="10"/>
                <w:szCs w:val="10"/>
                <w:color w:val="666666"/>
                <w:w w:val="99"/>
              </w:rPr>
              <w:t>—</w:t>
            </w:r>
          </w:p>
        </w:tc>
        <w:tc>
          <w:tcPr>
            <w:tcW w:w="680" w:type="dxa"/>
            <w:vAlign w:val="bottom"/>
            <w:shd w:val="clear" w:color="auto" w:fill="DDDDDD"/>
          </w:tcPr>
          <w:p>
            <w:pPr>
              <w:jc w:val="right"/>
              <w:spacing w:after="0"/>
              <w:rPr>
                <w:sz w:val="20"/>
                <w:szCs w:val="20"/>
                <w:color w:val="auto"/>
              </w:rPr>
            </w:pPr>
            <w:r>
              <w:rPr>
                <w:rFonts w:ascii="Arial" w:cs="Arial" w:eastAsia="Arial" w:hAnsi="Arial"/>
                <w:sz w:val="10"/>
                <w:szCs w:val="10"/>
                <w:color w:val="666666"/>
              </w:rPr>
              <w:t>1,554,975</w:t>
            </w:r>
          </w:p>
        </w:tc>
        <w:tc>
          <w:tcPr>
            <w:tcW w:w="160" w:type="dxa"/>
            <w:vAlign w:val="bottom"/>
            <w:shd w:val="clear" w:color="auto" w:fill="DDDDDD"/>
          </w:tcPr>
          <w:p>
            <w:pPr>
              <w:jc w:val="right"/>
              <w:ind w:right="57"/>
              <w:spacing w:after="0"/>
              <w:rPr>
                <w:sz w:val="20"/>
                <w:szCs w:val="20"/>
                <w:color w:val="auto"/>
              </w:rPr>
            </w:pPr>
            <w:r>
              <w:rPr>
                <w:rFonts w:ascii="Arial" w:cs="Arial" w:eastAsia="Arial" w:hAnsi="Arial"/>
                <w:sz w:val="9"/>
                <w:szCs w:val="9"/>
                <w:color w:val="666666"/>
                <w:w w:val="78"/>
              </w:rPr>
              <w:t>9</w:t>
            </w:r>
          </w:p>
        </w:tc>
        <w:tc>
          <w:tcPr>
            <w:tcW w:w="60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0"/>
                <w:szCs w:val="10"/>
                <w:color w:val="666666"/>
              </w:rPr>
              <w:t>2,736,733</w:t>
            </w:r>
          </w:p>
        </w:tc>
        <w:tc>
          <w:tcPr>
            <w:tcW w:w="0" w:type="dxa"/>
            <w:vAlign w:val="bottom"/>
          </w:tcPr>
          <w:p>
            <w:pPr>
              <w:spacing w:after="0"/>
              <w:rPr>
                <w:sz w:val="1"/>
                <w:szCs w:val="1"/>
                <w:color w:val="auto"/>
              </w:rPr>
            </w:pPr>
          </w:p>
        </w:tc>
      </w:tr>
      <w:tr>
        <w:trPr>
          <w:trHeight w:val="132"/>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Involuntary</w:t>
            </w:r>
          </w:p>
        </w:tc>
        <w:tc>
          <w:tcPr>
            <w:tcW w:w="800" w:type="dxa"/>
            <w:vAlign w:val="bottom"/>
            <w:shd w:val="clear" w:color="auto" w:fill="DDDDDD"/>
          </w:tcPr>
          <w:p>
            <w:pPr>
              <w:spacing w:after="0"/>
              <w:rPr>
                <w:sz w:val="11"/>
                <w:szCs w:val="11"/>
                <w:color w:val="auto"/>
              </w:rPr>
            </w:pPr>
          </w:p>
        </w:tc>
        <w:tc>
          <w:tcPr>
            <w:tcW w:w="1000" w:type="dxa"/>
            <w:vAlign w:val="bottom"/>
            <w:shd w:val="clear" w:color="auto" w:fill="DDDDDD"/>
          </w:tcPr>
          <w:p>
            <w:pPr>
              <w:spacing w:after="0"/>
              <w:rPr>
                <w:sz w:val="11"/>
                <w:szCs w:val="11"/>
                <w:color w:val="auto"/>
              </w:rPr>
            </w:pPr>
          </w:p>
        </w:tc>
        <w:tc>
          <w:tcPr>
            <w:tcW w:w="380" w:type="dxa"/>
            <w:vAlign w:val="bottom"/>
            <w:shd w:val="clear" w:color="auto" w:fill="DDDDDD"/>
          </w:tcPr>
          <w:p>
            <w:pPr>
              <w:spacing w:after="0"/>
              <w:rPr>
                <w:sz w:val="11"/>
                <w:szCs w:val="11"/>
                <w:color w:val="auto"/>
              </w:rPr>
            </w:pPr>
          </w:p>
        </w:tc>
        <w:tc>
          <w:tcPr>
            <w:tcW w:w="86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6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600" w:type="dxa"/>
            <w:vAlign w:val="bottom"/>
            <w:tcBorders>
              <w:right w:val="single" w:sz="8" w:color="auto"/>
            </w:tcBorders>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tcBorders>
            <w:shd w:val="clear" w:color="auto" w:fill="DDDDDD"/>
          </w:tcPr>
          <w:p>
            <w:pPr>
              <w:ind w:left="40"/>
              <w:spacing w:after="0"/>
              <w:rPr>
                <w:sz w:val="20"/>
                <w:szCs w:val="20"/>
                <w:color w:val="auto"/>
              </w:rPr>
            </w:pPr>
            <w:r>
              <w:rPr>
                <w:rFonts w:ascii="Arial" w:cs="Arial" w:eastAsia="Arial" w:hAnsi="Arial"/>
                <w:sz w:val="10"/>
                <w:szCs w:val="10"/>
                <w:color w:val="666666"/>
              </w:rPr>
              <w:t>Termination After Change-</w:t>
            </w:r>
          </w:p>
        </w:tc>
        <w:tc>
          <w:tcPr>
            <w:tcW w:w="800" w:type="dxa"/>
            <w:vAlign w:val="bottom"/>
            <w:shd w:val="clear" w:color="auto" w:fill="DDDDDD"/>
          </w:tcPr>
          <w:p>
            <w:pPr>
              <w:spacing w:after="0"/>
              <w:rPr>
                <w:sz w:val="10"/>
                <w:szCs w:val="10"/>
                <w:color w:val="auto"/>
              </w:rPr>
            </w:pPr>
          </w:p>
        </w:tc>
        <w:tc>
          <w:tcPr>
            <w:tcW w:w="1000" w:type="dxa"/>
            <w:vAlign w:val="bottom"/>
            <w:shd w:val="clear" w:color="auto" w:fill="DDDDDD"/>
          </w:tcPr>
          <w:p>
            <w:pPr>
              <w:spacing w:after="0"/>
              <w:rPr>
                <w:sz w:val="10"/>
                <w:szCs w:val="10"/>
                <w:color w:val="auto"/>
              </w:rPr>
            </w:pPr>
          </w:p>
        </w:tc>
        <w:tc>
          <w:tcPr>
            <w:tcW w:w="380" w:type="dxa"/>
            <w:vAlign w:val="bottom"/>
            <w:shd w:val="clear" w:color="auto" w:fill="DDDDDD"/>
          </w:tcPr>
          <w:p>
            <w:pPr>
              <w:spacing w:after="0"/>
              <w:rPr>
                <w:sz w:val="10"/>
                <w:szCs w:val="10"/>
                <w:color w:val="auto"/>
              </w:rPr>
            </w:pPr>
          </w:p>
        </w:tc>
        <w:tc>
          <w:tcPr>
            <w:tcW w:w="860" w:type="dxa"/>
            <w:vAlign w:val="bottom"/>
            <w:shd w:val="clear" w:color="auto" w:fill="DDDDDD"/>
          </w:tcPr>
          <w:p>
            <w:pPr>
              <w:spacing w:after="0"/>
              <w:rPr>
                <w:sz w:val="10"/>
                <w:szCs w:val="10"/>
                <w:color w:val="auto"/>
              </w:rPr>
            </w:pPr>
          </w:p>
        </w:tc>
        <w:tc>
          <w:tcPr>
            <w:tcW w:w="740" w:type="dxa"/>
            <w:vAlign w:val="bottom"/>
            <w:shd w:val="clear" w:color="auto" w:fill="DDDDDD"/>
          </w:tcPr>
          <w:p>
            <w:pPr>
              <w:spacing w:after="0"/>
              <w:rPr>
                <w:sz w:val="10"/>
                <w:szCs w:val="10"/>
                <w:color w:val="auto"/>
              </w:rPr>
            </w:pPr>
          </w:p>
        </w:tc>
        <w:tc>
          <w:tcPr>
            <w:tcW w:w="680" w:type="dxa"/>
            <w:vAlign w:val="bottom"/>
            <w:shd w:val="clear" w:color="auto" w:fill="DDDDDD"/>
          </w:tcPr>
          <w:p>
            <w:pPr>
              <w:spacing w:after="0"/>
              <w:rPr>
                <w:sz w:val="10"/>
                <w:szCs w:val="10"/>
                <w:color w:val="auto"/>
              </w:rPr>
            </w:pPr>
          </w:p>
        </w:tc>
        <w:tc>
          <w:tcPr>
            <w:tcW w:w="160" w:type="dxa"/>
            <w:vAlign w:val="bottom"/>
            <w:shd w:val="clear" w:color="auto" w:fill="DDDDDD"/>
          </w:tcPr>
          <w:p>
            <w:pPr>
              <w:spacing w:after="0"/>
              <w:rPr>
                <w:sz w:val="10"/>
                <w:szCs w:val="10"/>
                <w:color w:val="auto"/>
              </w:rPr>
            </w:pPr>
          </w:p>
        </w:tc>
        <w:tc>
          <w:tcPr>
            <w:tcW w:w="600" w:type="dxa"/>
            <w:vAlign w:val="bottom"/>
            <w:tcBorders>
              <w:right w:val="single" w:sz="8" w:color="auto"/>
            </w:tcBorders>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60" w:type="dxa"/>
            <w:vAlign w:val="bottom"/>
            <w:tcBorders>
              <w:left w:val="single" w:sz="8" w:color="auto"/>
            </w:tcBorders>
            <w:shd w:val="clear" w:color="auto" w:fill="DDDDDD"/>
          </w:tcPr>
          <w:p>
            <w:pPr>
              <w:ind w:left="40"/>
              <w:spacing w:after="0"/>
              <w:rPr>
                <w:sz w:val="20"/>
                <w:szCs w:val="20"/>
                <w:color w:val="auto"/>
              </w:rPr>
            </w:pPr>
            <w:r>
              <w:rPr>
                <w:rFonts w:ascii="Arial" w:cs="Arial" w:eastAsia="Arial" w:hAnsi="Arial"/>
                <w:sz w:val="10"/>
                <w:szCs w:val="10"/>
                <w:color w:val="666666"/>
              </w:rPr>
              <w:t>In-Control</w:t>
            </w:r>
          </w:p>
        </w:tc>
        <w:tc>
          <w:tcPr>
            <w:tcW w:w="8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565,428</w:t>
            </w:r>
          </w:p>
        </w:tc>
        <w:tc>
          <w:tcPr>
            <w:tcW w:w="380" w:type="dxa"/>
            <w:vAlign w:val="bottom"/>
            <w:shd w:val="clear" w:color="auto" w:fill="DDDDDD"/>
          </w:tcPr>
          <w:p>
            <w:pPr>
              <w:spacing w:after="0"/>
              <w:rPr>
                <w:sz w:val="12"/>
                <w:szCs w:val="12"/>
                <w:color w:val="auto"/>
              </w:rPr>
            </w:pPr>
          </w:p>
        </w:tc>
        <w:tc>
          <w:tcPr>
            <w:tcW w:w="86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shd w:val="clear" w:color="auto" w:fill="DDDDDD"/>
          </w:tcPr>
          <w:p>
            <w:pPr>
              <w:jc w:val="center"/>
              <w:ind w:right="69"/>
              <w:spacing w:after="0"/>
              <w:rPr>
                <w:sz w:val="20"/>
                <w:szCs w:val="20"/>
                <w:color w:val="auto"/>
              </w:rPr>
            </w:pPr>
            <w:r>
              <w:rPr>
                <w:rFonts w:ascii="Arial" w:cs="Arial" w:eastAsia="Arial" w:hAnsi="Arial"/>
                <w:sz w:val="10"/>
                <w:szCs w:val="10"/>
                <w:color w:val="666666"/>
                <w:w w:val="99"/>
              </w:rPr>
              <w:t>—</w:t>
            </w:r>
          </w:p>
        </w:tc>
        <w:tc>
          <w:tcPr>
            <w:tcW w:w="68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w:t>
            </w:r>
          </w:p>
        </w:tc>
        <w:tc>
          <w:tcPr>
            <w:tcW w:w="160" w:type="dxa"/>
            <w:vAlign w:val="bottom"/>
            <w:shd w:val="clear" w:color="auto" w:fill="DDDDDD"/>
          </w:tcPr>
          <w:p>
            <w:pPr>
              <w:spacing w:after="0"/>
              <w:rPr>
                <w:sz w:val="12"/>
                <w:szCs w:val="12"/>
                <w:color w:val="auto"/>
              </w:rPr>
            </w:pPr>
          </w:p>
        </w:tc>
        <w:tc>
          <w:tcPr>
            <w:tcW w:w="60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0"/>
                <w:szCs w:val="10"/>
                <w:color w:val="666666"/>
              </w:rPr>
              <w:t>565,428</w:t>
            </w:r>
          </w:p>
        </w:tc>
        <w:tc>
          <w:tcPr>
            <w:tcW w:w="0" w:type="dxa"/>
            <w:vAlign w:val="bottom"/>
          </w:tcPr>
          <w:p>
            <w:pPr>
              <w:spacing w:after="0"/>
              <w:rPr>
                <w:sz w:val="1"/>
                <w:szCs w:val="1"/>
                <w:color w:val="auto"/>
              </w:rPr>
            </w:pPr>
          </w:p>
        </w:tc>
      </w:tr>
      <w:tr>
        <w:trPr>
          <w:trHeight w:val="192"/>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b w:val="1"/>
                <w:bCs w:val="1"/>
                <w:color w:val="666666"/>
              </w:rPr>
              <w:t>Karen M. Dahut</w:t>
            </w: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Death</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right"/>
              <w:ind w:right="189"/>
              <w:spacing w:after="0"/>
              <w:rPr>
                <w:sz w:val="20"/>
                <w:szCs w:val="20"/>
                <w:color w:val="auto"/>
              </w:rPr>
            </w:pPr>
            <w:r>
              <w:rPr>
                <w:rFonts w:ascii="Arial" w:cs="Arial" w:eastAsia="Arial" w:hAnsi="Arial"/>
                <w:sz w:val="10"/>
                <w:szCs w:val="10"/>
                <w:color w:val="666666"/>
              </w:rPr>
              <w:t>1,957,516</w:t>
            </w:r>
          </w:p>
        </w:tc>
        <w:tc>
          <w:tcPr>
            <w:tcW w:w="3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right"/>
              <w:ind w:right="9"/>
              <w:spacing w:after="0"/>
              <w:rPr>
                <w:sz w:val="20"/>
                <w:szCs w:val="20"/>
                <w:color w:val="auto"/>
              </w:rPr>
            </w:pPr>
            <w:r>
              <w:rPr>
                <w:rFonts w:ascii="Arial" w:cs="Arial" w:eastAsia="Arial" w:hAnsi="Arial"/>
                <w:sz w:val="10"/>
                <w:szCs w:val="10"/>
                <w:color w:val="666666"/>
              </w:rPr>
              <w:t xml:space="preserve">2,085,417 </w:t>
            </w:r>
            <w:r>
              <w:rPr>
                <w:rFonts w:ascii="Arial" w:cs="Arial" w:eastAsia="Arial" w:hAnsi="Arial"/>
                <w:sz w:val="17"/>
                <w:szCs w:val="17"/>
                <w:color w:val="666666"/>
                <w:vertAlign w:val="superscript"/>
              </w:rPr>
              <w:t>3</w:t>
            </w:r>
          </w:p>
        </w:tc>
        <w:tc>
          <w:tcPr>
            <w:tcW w:w="840" w:type="dxa"/>
            <w:vAlign w:val="bottom"/>
            <w:gridSpan w:val="2"/>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4,042,933</w:t>
            </w: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Disability</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right"/>
              <w:ind w:right="9"/>
              <w:spacing w:after="0" w:line="155" w:lineRule="exact"/>
              <w:rPr>
                <w:sz w:val="20"/>
                <w:szCs w:val="20"/>
                <w:color w:val="auto"/>
              </w:rPr>
            </w:pPr>
            <w:r>
              <w:rPr>
                <w:rFonts w:ascii="Arial" w:cs="Arial" w:eastAsia="Arial" w:hAnsi="Arial"/>
                <w:sz w:val="10"/>
                <w:szCs w:val="10"/>
                <w:color w:val="666666"/>
              </w:rPr>
              <w:t xml:space="preserve">2,757,369 </w:t>
            </w:r>
            <w:r>
              <w:rPr>
                <w:rFonts w:ascii="Arial" w:cs="Arial" w:eastAsia="Arial" w:hAnsi="Arial"/>
                <w:sz w:val="17"/>
                <w:szCs w:val="17"/>
                <w:color w:val="666666"/>
                <w:vertAlign w:val="superscript"/>
              </w:rPr>
              <w:t>4</w:t>
            </w:r>
          </w:p>
        </w:tc>
        <w:tc>
          <w:tcPr>
            <w:tcW w:w="840" w:type="dxa"/>
            <w:vAlign w:val="bottom"/>
            <w:gridSpan w:val="2"/>
          </w:tcPr>
          <w:p>
            <w:pPr>
              <w:jc w:val="right"/>
              <w:ind w:right="57"/>
              <w:spacing w:after="0" w:line="155" w:lineRule="exact"/>
              <w:rPr>
                <w:sz w:val="20"/>
                <w:szCs w:val="20"/>
                <w:color w:val="auto"/>
              </w:rPr>
            </w:pPr>
            <w:r>
              <w:rPr>
                <w:rFonts w:ascii="Arial" w:cs="Arial" w:eastAsia="Arial" w:hAnsi="Arial"/>
                <w:sz w:val="10"/>
                <w:szCs w:val="10"/>
                <w:color w:val="666666"/>
              </w:rPr>
              <w:t xml:space="preserve">1,289,990 </w:t>
            </w:r>
            <w:r>
              <w:rPr>
                <w:rFonts w:ascii="Arial" w:cs="Arial" w:eastAsia="Arial" w:hAnsi="Arial"/>
                <w:sz w:val="17"/>
                <w:szCs w:val="17"/>
                <w:color w:val="666666"/>
                <w:vertAlign w:val="superscript"/>
              </w:rPr>
              <w:t>5</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4,047,359</w:t>
            </w: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Involuntary</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vMerge w:val="restart"/>
          </w:tcPr>
          <w:p>
            <w:pPr>
              <w:jc w:val="right"/>
              <w:ind w:right="57"/>
              <w:spacing w:after="0"/>
              <w:rPr>
                <w:sz w:val="20"/>
                <w:szCs w:val="20"/>
                <w:color w:val="auto"/>
              </w:rPr>
            </w:pPr>
            <w:r>
              <w:rPr>
                <w:rFonts w:ascii="Arial" w:cs="Arial" w:eastAsia="Arial" w:hAnsi="Arial"/>
                <w:sz w:val="10"/>
                <w:szCs w:val="10"/>
                <w:color w:val="666666"/>
              </w:rPr>
              <w:t xml:space="preserve">30,000 </w:t>
            </w:r>
            <w:r>
              <w:rPr>
                <w:rFonts w:ascii="Arial" w:cs="Arial" w:eastAsia="Arial" w:hAnsi="Arial"/>
                <w:sz w:val="17"/>
                <w:szCs w:val="17"/>
                <w:color w:val="666666"/>
                <w:vertAlign w:val="superscript"/>
              </w:rPr>
              <w:t>6</w:t>
            </w:r>
          </w:p>
        </w:tc>
        <w:tc>
          <w:tcPr>
            <w:tcW w:w="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666666"/>
              </w:rPr>
              <w:t>Termination</w:t>
            </w:r>
          </w:p>
        </w:tc>
        <w:tc>
          <w:tcPr>
            <w:tcW w:w="800" w:type="dxa"/>
            <w:vAlign w:val="bottom"/>
          </w:tcPr>
          <w:p>
            <w:pPr>
              <w:jc w:val="right"/>
              <w:spacing w:after="0"/>
              <w:rPr>
                <w:sz w:val="20"/>
                <w:szCs w:val="20"/>
                <w:color w:val="auto"/>
              </w:rPr>
            </w:pPr>
            <w:r>
              <w:rPr>
                <w:rFonts w:ascii="Arial" w:cs="Arial" w:eastAsia="Arial" w:hAnsi="Arial"/>
                <w:sz w:val="10"/>
                <w:szCs w:val="10"/>
                <w:color w:val="666666"/>
              </w:rPr>
              <w:t>1,025,000</w:t>
            </w:r>
          </w:p>
        </w:tc>
        <w:tc>
          <w:tcPr>
            <w:tcW w:w="10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vMerge w:val="continue"/>
          </w:tcPr>
          <w:p>
            <w:pPr>
              <w:spacing w:after="0"/>
              <w:rPr>
                <w:sz w:val="16"/>
                <w:szCs w:val="16"/>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1,055,000</w:t>
            </w: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tcBorders>
          </w:tcPr>
          <w:p>
            <w:pPr>
              <w:ind w:left="260"/>
              <w:spacing w:after="0" w:line="155" w:lineRule="exact"/>
              <w:rPr>
                <w:sz w:val="20"/>
                <w:szCs w:val="20"/>
                <w:color w:val="auto"/>
              </w:rPr>
            </w:pPr>
            <w:r>
              <w:rPr>
                <w:rFonts w:ascii="Arial" w:cs="Arial" w:eastAsia="Arial" w:hAnsi="Arial"/>
                <w:sz w:val="10"/>
                <w:szCs w:val="10"/>
                <w:color w:val="666666"/>
              </w:rPr>
              <w:t xml:space="preserve">Retirement </w:t>
            </w:r>
            <w:r>
              <w:rPr>
                <w:rFonts w:ascii="Arial" w:cs="Arial" w:eastAsia="Arial" w:hAnsi="Arial"/>
                <w:sz w:val="17"/>
                <w:szCs w:val="17"/>
                <w:color w:val="666666"/>
                <w:vertAlign w:val="superscript"/>
              </w:rPr>
              <w:t>11</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666666"/>
              </w:rPr>
              <w:t>135,000</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tcPr>
          <w:p>
            <w:pPr>
              <w:jc w:val="right"/>
              <w:ind w:right="57"/>
              <w:spacing w:after="0" w:line="155" w:lineRule="exact"/>
              <w:rPr>
                <w:sz w:val="20"/>
                <w:szCs w:val="20"/>
                <w:color w:val="auto"/>
              </w:rPr>
            </w:pPr>
            <w:r>
              <w:rPr>
                <w:rFonts w:ascii="Arial" w:cs="Arial" w:eastAsia="Arial" w:hAnsi="Arial"/>
                <w:sz w:val="10"/>
                <w:szCs w:val="10"/>
                <w:color w:val="666666"/>
              </w:rPr>
              <w:t xml:space="preserve">1,374,642 </w:t>
            </w:r>
            <w:r>
              <w:rPr>
                <w:rFonts w:ascii="Arial" w:cs="Arial" w:eastAsia="Arial" w:hAnsi="Arial"/>
                <w:sz w:val="17"/>
                <w:szCs w:val="17"/>
                <w:color w:val="666666"/>
                <w:vertAlign w:val="superscript"/>
              </w:rPr>
              <w:t>7</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1,509,642</w:t>
            </w: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Voluntary</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666666"/>
              </w:rPr>
              <w:t>Resignation</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tcPr>
          <w:p>
            <w:pPr>
              <w:jc w:val="center"/>
              <w:ind w:right="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r>
        <w:trPr>
          <w:trHeight w:val="132"/>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Termination for</w:t>
            </w: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666666"/>
              </w:rPr>
              <w:t>Cause</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tcPr>
          <w:p>
            <w:pPr>
              <w:jc w:val="center"/>
              <w:ind w:right="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r>
        <w:trPr>
          <w:trHeight w:val="209"/>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Change-In-Control</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right"/>
              <w:spacing w:after="0"/>
              <w:rPr>
                <w:sz w:val="20"/>
                <w:szCs w:val="20"/>
                <w:color w:val="auto"/>
              </w:rPr>
            </w:pPr>
            <w:r>
              <w:rPr>
                <w:rFonts w:ascii="Arial" w:cs="Arial" w:eastAsia="Arial" w:hAnsi="Arial"/>
                <w:sz w:val="10"/>
                <w:szCs w:val="10"/>
                <w:color w:val="666666"/>
              </w:rPr>
              <w:t>1,392,088</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tcPr>
          <w:p>
            <w:pPr>
              <w:jc w:val="right"/>
              <w:ind w:right="57"/>
              <w:spacing w:after="0"/>
              <w:rPr>
                <w:sz w:val="20"/>
                <w:szCs w:val="20"/>
                <w:color w:val="auto"/>
              </w:rPr>
            </w:pPr>
            <w:r>
              <w:rPr>
                <w:rFonts w:ascii="Arial" w:cs="Arial" w:eastAsia="Arial" w:hAnsi="Arial"/>
                <w:sz w:val="10"/>
                <w:szCs w:val="10"/>
                <w:color w:val="666666"/>
              </w:rPr>
              <w:t xml:space="preserve">1,289,990 </w:t>
            </w:r>
            <w:r>
              <w:rPr>
                <w:rFonts w:ascii="Arial" w:cs="Arial" w:eastAsia="Arial" w:hAnsi="Arial"/>
                <w:sz w:val="17"/>
                <w:szCs w:val="17"/>
                <w:color w:val="666666"/>
                <w:vertAlign w:val="superscript"/>
              </w:rPr>
              <w:t>9</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2,682,078</w:t>
            </w: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Involuntary</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666666"/>
              </w:rPr>
              <w:t>Termination After Change-</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666666"/>
              </w:rPr>
              <w:t>In-Control</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right"/>
              <w:ind w:right="129"/>
              <w:spacing w:after="0"/>
              <w:rPr>
                <w:sz w:val="20"/>
                <w:szCs w:val="20"/>
                <w:color w:val="auto"/>
              </w:rPr>
            </w:pPr>
            <w:r>
              <w:rPr>
                <w:rFonts w:ascii="Arial" w:cs="Arial" w:eastAsia="Arial" w:hAnsi="Arial"/>
                <w:sz w:val="10"/>
                <w:szCs w:val="10"/>
                <w:color w:val="666666"/>
              </w:rPr>
              <w:t>565,428</w:t>
            </w:r>
          </w:p>
        </w:tc>
        <w:tc>
          <w:tcPr>
            <w:tcW w:w="3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565,428</w:t>
            </w:r>
          </w:p>
        </w:tc>
        <w:tc>
          <w:tcPr>
            <w:tcW w:w="0" w:type="dxa"/>
            <w:vAlign w:val="bottom"/>
          </w:tcPr>
          <w:p>
            <w:pPr>
              <w:spacing w:after="0"/>
              <w:rPr>
                <w:sz w:val="1"/>
                <w:szCs w:val="1"/>
                <w:color w:val="auto"/>
              </w:rPr>
            </w:pPr>
          </w:p>
        </w:tc>
      </w:tr>
      <w:tr>
        <w:trPr>
          <w:trHeight w:val="195"/>
        </w:trPr>
        <w:tc>
          <w:tcPr>
            <w:tcW w:w="1260" w:type="dxa"/>
            <w:vAlign w:val="bottom"/>
            <w:tcBorders>
              <w:left w:val="single" w:sz="8" w:color="auto"/>
            </w:tcBorders>
            <w:shd w:val="clear" w:color="auto" w:fill="DDDDDD"/>
          </w:tcPr>
          <w:p>
            <w:pPr>
              <w:ind w:left="40"/>
              <w:spacing w:after="0"/>
              <w:rPr>
                <w:sz w:val="20"/>
                <w:szCs w:val="20"/>
                <w:color w:val="auto"/>
              </w:rPr>
            </w:pPr>
            <w:r>
              <w:rPr>
                <w:rFonts w:ascii="Arial" w:cs="Arial" w:eastAsia="Arial" w:hAnsi="Arial"/>
                <w:sz w:val="10"/>
                <w:szCs w:val="10"/>
                <w:b w:val="1"/>
                <w:bCs w:val="1"/>
                <w:color w:val="666666"/>
              </w:rPr>
              <w:t>Joseph Logue</w:t>
            </w:r>
          </w:p>
        </w:tc>
        <w:tc>
          <w:tcPr>
            <w:tcW w:w="800" w:type="dxa"/>
            <w:vAlign w:val="bottom"/>
            <w:shd w:val="clear" w:color="auto" w:fill="DDDDDD"/>
          </w:tcPr>
          <w:p>
            <w:pPr>
              <w:spacing w:after="0"/>
              <w:rPr>
                <w:sz w:val="16"/>
                <w:szCs w:val="16"/>
                <w:color w:val="auto"/>
              </w:rPr>
            </w:pPr>
          </w:p>
        </w:tc>
        <w:tc>
          <w:tcPr>
            <w:tcW w:w="10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740" w:type="dxa"/>
            <w:vAlign w:val="bottom"/>
            <w:shd w:val="clear" w:color="auto" w:fill="DDDDDD"/>
          </w:tcPr>
          <w:p>
            <w:pPr>
              <w:spacing w:after="0"/>
              <w:rPr>
                <w:sz w:val="16"/>
                <w:szCs w:val="16"/>
                <w:color w:val="auto"/>
              </w:rPr>
            </w:pPr>
          </w:p>
        </w:tc>
        <w:tc>
          <w:tcPr>
            <w:tcW w:w="68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600" w:type="dxa"/>
            <w:vAlign w:val="bottom"/>
            <w:tcBorders>
              <w:right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Death</w:t>
            </w:r>
          </w:p>
        </w:tc>
        <w:tc>
          <w:tcPr>
            <w:tcW w:w="8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shd w:val="clear" w:color="auto" w:fill="DDDDDD"/>
          </w:tcPr>
          <w:p>
            <w:pPr>
              <w:jc w:val="right"/>
              <w:ind w:right="9"/>
              <w:spacing w:after="0"/>
              <w:rPr>
                <w:sz w:val="20"/>
                <w:szCs w:val="20"/>
                <w:color w:val="auto"/>
              </w:rPr>
            </w:pPr>
            <w:r>
              <w:rPr>
                <w:rFonts w:ascii="Arial" w:cs="Arial" w:eastAsia="Arial" w:hAnsi="Arial"/>
                <w:sz w:val="10"/>
                <w:szCs w:val="10"/>
                <w:color w:val="666666"/>
              </w:rPr>
              <w:t>1,814,887</w:t>
            </w:r>
          </w:p>
        </w:tc>
        <w:tc>
          <w:tcPr>
            <w:tcW w:w="380" w:type="dxa"/>
            <w:vAlign w:val="bottom"/>
            <w:shd w:val="clear" w:color="auto" w:fill="DDDDDD"/>
          </w:tcPr>
          <w:p>
            <w:pPr>
              <w:spacing w:after="0"/>
              <w:rPr>
                <w:sz w:val="16"/>
                <w:szCs w:val="16"/>
                <w:color w:val="auto"/>
              </w:rPr>
            </w:pPr>
          </w:p>
        </w:tc>
        <w:tc>
          <w:tcPr>
            <w:tcW w:w="86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shd w:val="clear" w:color="auto" w:fill="DDDDDD"/>
          </w:tcPr>
          <w:p>
            <w:pPr>
              <w:jc w:val="right"/>
              <w:ind w:right="9"/>
              <w:spacing w:after="0" w:line="193" w:lineRule="exact"/>
              <w:rPr>
                <w:sz w:val="20"/>
                <w:szCs w:val="20"/>
                <w:color w:val="auto"/>
              </w:rPr>
            </w:pPr>
            <w:r>
              <w:rPr>
                <w:rFonts w:ascii="Arial" w:cs="Arial" w:eastAsia="Arial" w:hAnsi="Arial"/>
                <w:sz w:val="10"/>
                <w:szCs w:val="10"/>
                <w:color w:val="666666"/>
              </w:rPr>
              <w:t xml:space="preserve">2,106,250 </w:t>
            </w:r>
            <w:r>
              <w:rPr>
                <w:rFonts w:ascii="Arial" w:cs="Arial" w:eastAsia="Arial" w:hAnsi="Arial"/>
                <w:sz w:val="17"/>
                <w:szCs w:val="17"/>
                <w:color w:val="666666"/>
                <w:vertAlign w:val="superscript"/>
              </w:rPr>
              <w:t>3</w:t>
            </w:r>
          </w:p>
        </w:tc>
        <w:tc>
          <w:tcPr>
            <w:tcW w:w="840" w:type="dxa"/>
            <w:vAlign w:val="bottom"/>
            <w:gridSpan w:val="2"/>
            <w:shd w:val="clear" w:color="auto" w:fill="DDDDDD"/>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0"/>
                <w:szCs w:val="10"/>
                <w:color w:val="666666"/>
              </w:rPr>
              <w:t>3,921,137</w:t>
            </w:r>
          </w:p>
        </w:tc>
        <w:tc>
          <w:tcPr>
            <w:tcW w:w="0" w:type="dxa"/>
            <w:vAlign w:val="bottom"/>
          </w:tcPr>
          <w:p>
            <w:pPr>
              <w:spacing w:after="0"/>
              <w:rPr>
                <w:sz w:val="1"/>
                <w:szCs w:val="1"/>
                <w:color w:val="auto"/>
              </w:rPr>
            </w:pPr>
          </w:p>
        </w:tc>
      </w:tr>
      <w:tr>
        <w:trPr>
          <w:trHeight w:val="192"/>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Disability</w:t>
            </w:r>
          </w:p>
        </w:tc>
        <w:tc>
          <w:tcPr>
            <w:tcW w:w="8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shd w:val="clear" w:color="auto" w:fill="DDDDDD"/>
          </w:tcPr>
          <w:p>
            <w:pPr>
              <w:spacing w:after="0"/>
              <w:rPr>
                <w:sz w:val="16"/>
                <w:szCs w:val="16"/>
                <w:color w:val="auto"/>
              </w:rPr>
            </w:pPr>
          </w:p>
        </w:tc>
        <w:tc>
          <w:tcPr>
            <w:tcW w:w="86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shd w:val="clear" w:color="auto" w:fill="DDDDDD"/>
          </w:tcPr>
          <w:p>
            <w:pPr>
              <w:jc w:val="right"/>
              <w:ind w:right="9"/>
              <w:spacing w:after="0" w:line="192" w:lineRule="exact"/>
              <w:rPr>
                <w:sz w:val="20"/>
                <w:szCs w:val="20"/>
                <w:color w:val="auto"/>
              </w:rPr>
            </w:pPr>
            <w:r>
              <w:rPr>
                <w:rFonts w:ascii="Arial" w:cs="Arial" w:eastAsia="Arial" w:hAnsi="Arial"/>
                <w:sz w:val="10"/>
                <w:szCs w:val="10"/>
                <w:color w:val="666666"/>
              </w:rPr>
              <w:t xml:space="preserve">2,763,252 </w:t>
            </w:r>
            <w:r>
              <w:rPr>
                <w:rFonts w:ascii="Arial" w:cs="Arial" w:eastAsia="Arial" w:hAnsi="Arial"/>
                <w:sz w:val="17"/>
                <w:szCs w:val="17"/>
                <w:color w:val="666666"/>
                <w:vertAlign w:val="superscript"/>
              </w:rPr>
              <w:t>4</w:t>
            </w:r>
          </w:p>
        </w:tc>
        <w:tc>
          <w:tcPr>
            <w:tcW w:w="840" w:type="dxa"/>
            <w:vAlign w:val="bottom"/>
            <w:gridSpan w:val="2"/>
            <w:shd w:val="clear" w:color="auto" w:fill="DDDDDD"/>
          </w:tcPr>
          <w:p>
            <w:pPr>
              <w:jc w:val="right"/>
              <w:ind w:right="57"/>
              <w:spacing w:after="0" w:line="192" w:lineRule="exact"/>
              <w:rPr>
                <w:sz w:val="20"/>
                <w:szCs w:val="20"/>
                <w:color w:val="auto"/>
              </w:rPr>
            </w:pPr>
            <w:r>
              <w:rPr>
                <w:rFonts w:ascii="Arial" w:cs="Arial" w:eastAsia="Arial" w:hAnsi="Arial"/>
                <w:sz w:val="10"/>
                <w:szCs w:val="10"/>
                <w:color w:val="666666"/>
              </w:rPr>
              <w:t xml:space="preserve">1,501,509 </w:t>
            </w:r>
            <w:r>
              <w:rPr>
                <w:rFonts w:ascii="Arial" w:cs="Arial" w:eastAsia="Arial" w:hAnsi="Arial"/>
                <w:sz w:val="17"/>
                <w:szCs w:val="17"/>
                <w:color w:val="666666"/>
                <w:vertAlign w:val="superscript"/>
              </w:rPr>
              <w:t>5</w:t>
            </w:r>
          </w:p>
        </w:tc>
        <w:tc>
          <w:tcPr>
            <w:tcW w:w="60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0"/>
                <w:szCs w:val="10"/>
                <w:color w:val="666666"/>
              </w:rPr>
              <w:t>4,264,761</w:t>
            </w: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Involuntary</w:t>
            </w:r>
          </w:p>
        </w:tc>
        <w:tc>
          <w:tcPr>
            <w:tcW w:w="800" w:type="dxa"/>
            <w:vAlign w:val="bottom"/>
            <w:shd w:val="clear" w:color="auto" w:fill="DDDDDD"/>
          </w:tcPr>
          <w:p>
            <w:pPr>
              <w:spacing w:after="0"/>
              <w:rPr>
                <w:sz w:val="10"/>
                <w:szCs w:val="10"/>
                <w:color w:val="auto"/>
              </w:rPr>
            </w:pPr>
          </w:p>
        </w:tc>
        <w:tc>
          <w:tcPr>
            <w:tcW w:w="1000" w:type="dxa"/>
            <w:vAlign w:val="bottom"/>
            <w:shd w:val="clear" w:color="auto" w:fill="DDDDDD"/>
          </w:tcPr>
          <w:p>
            <w:pPr>
              <w:spacing w:after="0"/>
              <w:rPr>
                <w:sz w:val="10"/>
                <w:szCs w:val="10"/>
                <w:color w:val="auto"/>
              </w:rPr>
            </w:pPr>
          </w:p>
        </w:tc>
        <w:tc>
          <w:tcPr>
            <w:tcW w:w="380" w:type="dxa"/>
            <w:vAlign w:val="bottom"/>
            <w:shd w:val="clear" w:color="auto" w:fill="DDDDDD"/>
          </w:tcPr>
          <w:p>
            <w:pPr>
              <w:spacing w:after="0"/>
              <w:rPr>
                <w:sz w:val="10"/>
                <w:szCs w:val="10"/>
                <w:color w:val="auto"/>
              </w:rPr>
            </w:pPr>
          </w:p>
        </w:tc>
        <w:tc>
          <w:tcPr>
            <w:tcW w:w="860" w:type="dxa"/>
            <w:vAlign w:val="bottom"/>
            <w:shd w:val="clear" w:color="auto" w:fill="DDDDDD"/>
          </w:tcPr>
          <w:p>
            <w:pPr>
              <w:spacing w:after="0"/>
              <w:rPr>
                <w:sz w:val="10"/>
                <w:szCs w:val="10"/>
                <w:color w:val="auto"/>
              </w:rPr>
            </w:pPr>
          </w:p>
        </w:tc>
        <w:tc>
          <w:tcPr>
            <w:tcW w:w="740" w:type="dxa"/>
            <w:vAlign w:val="bottom"/>
            <w:shd w:val="clear" w:color="auto" w:fill="DDDDDD"/>
          </w:tcPr>
          <w:p>
            <w:pPr>
              <w:spacing w:after="0"/>
              <w:rPr>
                <w:sz w:val="10"/>
                <w:szCs w:val="10"/>
                <w:color w:val="auto"/>
              </w:rPr>
            </w:pPr>
          </w:p>
        </w:tc>
        <w:tc>
          <w:tcPr>
            <w:tcW w:w="840" w:type="dxa"/>
            <w:vAlign w:val="bottom"/>
            <w:gridSpan w:val="2"/>
            <w:vMerge w:val="restart"/>
            <w:shd w:val="clear" w:color="auto" w:fill="DDDDDD"/>
          </w:tcPr>
          <w:p>
            <w:pPr>
              <w:jc w:val="right"/>
              <w:ind w:right="57"/>
              <w:spacing w:after="0"/>
              <w:rPr>
                <w:sz w:val="20"/>
                <w:szCs w:val="20"/>
                <w:color w:val="auto"/>
              </w:rPr>
            </w:pPr>
            <w:r>
              <w:rPr>
                <w:rFonts w:ascii="Arial" w:cs="Arial" w:eastAsia="Arial" w:hAnsi="Arial"/>
                <w:sz w:val="10"/>
                <w:szCs w:val="10"/>
                <w:color w:val="666666"/>
              </w:rPr>
              <w:t xml:space="preserve">30,000 </w:t>
            </w:r>
            <w:r>
              <w:rPr>
                <w:rFonts w:ascii="Arial" w:cs="Arial" w:eastAsia="Arial" w:hAnsi="Arial"/>
                <w:sz w:val="17"/>
                <w:szCs w:val="17"/>
                <w:color w:val="666666"/>
                <w:vertAlign w:val="superscript"/>
              </w:rPr>
              <w:t>6</w:t>
            </w:r>
          </w:p>
        </w:tc>
        <w:tc>
          <w:tcPr>
            <w:tcW w:w="600" w:type="dxa"/>
            <w:vAlign w:val="bottom"/>
            <w:tcBorders>
              <w:right w:val="single" w:sz="8" w:color="auto"/>
            </w:tcBorders>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Termination</w:t>
            </w:r>
          </w:p>
        </w:tc>
        <w:tc>
          <w:tcPr>
            <w:tcW w:w="800" w:type="dxa"/>
            <w:vAlign w:val="bottom"/>
            <w:shd w:val="clear" w:color="auto" w:fill="DDDDDD"/>
          </w:tcPr>
          <w:p>
            <w:pPr>
              <w:jc w:val="right"/>
              <w:spacing w:after="0"/>
              <w:rPr>
                <w:sz w:val="20"/>
                <w:szCs w:val="20"/>
                <w:color w:val="auto"/>
              </w:rPr>
            </w:pPr>
            <w:r>
              <w:rPr>
                <w:rFonts w:ascii="Arial" w:cs="Arial" w:eastAsia="Arial" w:hAnsi="Arial"/>
                <w:sz w:val="10"/>
                <w:szCs w:val="10"/>
                <w:color w:val="666666"/>
              </w:rPr>
              <w:t>1,275,000</w:t>
            </w:r>
          </w:p>
        </w:tc>
        <w:tc>
          <w:tcPr>
            <w:tcW w:w="10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shd w:val="clear" w:color="auto" w:fill="DDDDDD"/>
          </w:tcPr>
          <w:p>
            <w:pPr>
              <w:spacing w:after="0"/>
              <w:rPr>
                <w:sz w:val="12"/>
                <w:szCs w:val="12"/>
                <w:color w:val="auto"/>
              </w:rPr>
            </w:pPr>
          </w:p>
        </w:tc>
        <w:tc>
          <w:tcPr>
            <w:tcW w:w="86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shd w:val="clear" w:color="auto" w:fill="DDDDDD"/>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vMerge w:val="continue"/>
            <w:shd w:val="clear" w:color="auto" w:fill="DDDDDD"/>
          </w:tcPr>
          <w:p>
            <w:pPr>
              <w:spacing w:after="0"/>
              <w:rPr>
                <w:sz w:val="12"/>
                <w:szCs w:val="12"/>
                <w:color w:val="auto"/>
              </w:rPr>
            </w:pPr>
          </w:p>
        </w:tc>
        <w:tc>
          <w:tcPr>
            <w:tcW w:w="60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0"/>
                <w:szCs w:val="10"/>
                <w:color w:val="666666"/>
              </w:rPr>
              <w:t>1,305,000</w:t>
            </w:r>
          </w:p>
        </w:tc>
        <w:tc>
          <w:tcPr>
            <w:tcW w:w="0" w:type="dxa"/>
            <w:vAlign w:val="bottom"/>
          </w:tcPr>
          <w:p>
            <w:pPr>
              <w:spacing w:after="0"/>
              <w:rPr>
                <w:sz w:val="1"/>
                <w:szCs w:val="1"/>
                <w:color w:val="auto"/>
              </w:rPr>
            </w:pPr>
          </w:p>
        </w:tc>
      </w:tr>
      <w:tr>
        <w:trPr>
          <w:trHeight w:val="192"/>
        </w:trPr>
        <w:tc>
          <w:tcPr>
            <w:tcW w:w="1260" w:type="dxa"/>
            <w:vAlign w:val="bottom"/>
            <w:tcBorders>
              <w:left w:val="single" w:sz="8" w:color="auto"/>
            </w:tcBorders>
            <w:shd w:val="clear" w:color="auto" w:fill="DDDDDD"/>
          </w:tcPr>
          <w:p>
            <w:pPr>
              <w:ind w:left="260"/>
              <w:spacing w:after="0" w:line="192" w:lineRule="exact"/>
              <w:rPr>
                <w:sz w:val="20"/>
                <w:szCs w:val="20"/>
                <w:color w:val="auto"/>
              </w:rPr>
            </w:pPr>
            <w:r>
              <w:rPr>
                <w:rFonts w:ascii="Arial" w:cs="Arial" w:eastAsia="Arial" w:hAnsi="Arial"/>
                <w:sz w:val="10"/>
                <w:szCs w:val="10"/>
                <w:color w:val="666666"/>
              </w:rPr>
              <w:t xml:space="preserve">Retirement </w:t>
            </w:r>
            <w:r>
              <w:rPr>
                <w:rFonts w:ascii="Arial" w:cs="Arial" w:eastAsia="Arial" w:hAnsi="Arial"/>
                <w:sz w:val="17"/>
                <w:szCs w:val="17"/>
                <w:color w:val="666666"/>
                <w:vertAlign w:val="superscript"/>
              </w:rPr>
              <w:t>11</w:t>
            </w:r>
          </w:p>
        </w:tc>
        <w:tc>
          <w:tcPr>
            <w:tcW w:w="8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shd w:val="clear" w:color="auto" w:fill="DDDDDD"/>
          </w:tcPr>
          <w:p>
            <w:pPr>
              <w:spacing w:after="0"/>
              <w:rPr>
                <w:sz w:val="16"/>
                <w:szCs w:val="16"/>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0"/>
                <w:szCs w:val="10"/>
                <w:color w:val="666666"/>
              </w:rPr>
              <w:t>165,000</w:t>
            </w:r>
          </w:p>
        </w:tc>
        <w:tc>
          <w:tcPr>
            <w:tcW w:w="740" w:type="dxa"/>
            <w:vAlign w:val="bottom"/>
            <w:shd w:val="clear" w:color="auto" w:fill="DDDDDD"/>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shd w:val="clear" w:color="auto" w:fill="DDDDDD"/>
          </w:tcPr>
          <w:p>
            <w:pPr>
              <w:jc w:val="right"/>
              <w:ind w:right="57"/>
              <w:spacing w:after="0" w:line="192" w:lineRule="exact"/>
              <w:rPr>
                <w:sz w:val="20"/>
                <w:szCs w:val="20"/>
                <w:color w:val="auto"/>
              </w:rPr>
            </w:pPr>
            <w:r>
              <w:rPr>
                <w:rFonts w:ascii="Arial" w:cs="Arial" w:eastAsia="Arial" w:hAnsi="Arial"/>
                <w:sz w:val="10"/>
                <w:szCs w:val="10"/>
                <w:color w:val="666666"/>
              </w:rPr>
              <w:t xml:space="preserve">1,585,435 </w:t>
            </w:r>
            <w:r>
              <w:rPr>
                <w:rFonts w:ascii="Arial" w:cs="Arial" w:eastAsia="Arial" w:hAnsi="Arial"/>
                <w:sz w:val="17"/>
                <w:szCs w:val="17"/>
                <w:color w:val="666666"/>
                <w:vertAlign w:val="superscript"/>
              </w:rPr>
              <w:t>7</w:t>
            </w:r>
          </w:p>
        </w:tc>
        <w:tc>
          <w:tcPr>
            <w:tcW w:w="60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0"/>
                <w:szCs w:val="10"/>
                <w:color w:val="666666"/>
              </w:rPr>
              <w:t>1,750,435</w:t>
            </w: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Voluntary</w:t>
            </w:r>
          </w:p>
        </w:tc>
        <w:tc>
          <w:tcPr>
            <w:tcW w:w="800" w:type="dxa"/>
            <w:vAlign w:val="bottom"/>
            <w:shd w:val="clear" w:color="auto" w:fill="DDDDDD"/>
          </w:tcPr>
          <w:p>
            <w:pPr>
              <w:spacing w:after="0"/>
              <w:rPr>
                <w:sz w:val="10"/>
                <w:szCs w:val="10"/>
                <w:color w:val="auto"/>
              </w:rPr>
            </w:pPr>
          </w:p>
        </w:tc>
        <w:tc>
          <w:tcPr>
            <w:tcW w:w="1000" w:type="dxa"/>
            <w:vAlign w:val="bottom"/>
            <w:shd w:val="clear" w:color="auto" w:fill="DDDDDD"/>
          </w:tcPr>
          <w:p>
            <w:pPr>
              <w:spacing w:after="0"/>
              <w:rPr>
                <w:sz w:val="10"/>
                <w:szCs w:val="10"/>
                <w:color w:val="auto"/>
              </w:rPr>
            </w:pPr>
          </w:p>
        </w:tc>
        <w:tc>
          <w:tcPr>
            <w:tcW w:w="380" w:type="dxa"/>
            <w:vAlign w:val="bottom"/>
            <w:shd w:val="clear" w:color="auto" w:fill="DDDDDD"/>
          </w:tcPr>
          <w:p>
            <w:pPr>
              <w:spacing w:after="0"/>
              <w:rPr>
                <w:sz w:val="10"/>
                <w:szCs w:val="10"/>
                <w:color w:val="auto"/>
              </w:rPr>
            </w:pPr>
          </w:p>
        </w:tc>
        <w:tc>
          <w:tcPr>
            <w:tcW w:w="860" w:type="dxa"/>
            <w:vAlign w:val="bottom"/>
            <w:shd w:val="clear" w:color="auto" w:fill="DDDDDD"/>
          </w:tcPr>
          <w:p>
            <w:pPr>
              <w:spacing w:after="0"/>
              <w:rPr>
                <w:sz w:val="10"/>
                <w:szCs w:val="10"/>
                <w:color w:val="auto"/>
              </w:rPr>
            </w:pPr>
          </w:p>
        </w:tc>
        <w:tc>
          <w:tcPr>
            <w:tcW w:w="740" w:type="dxa"/>
            <w:vAlign w:val="bottom"/>
            <w:shd w:val="clear" w:color="auto" w:fill="DDDDDD"/>
          </w:tcPr>
          <w:p>
            <w:pPr>
              <w:spacing w:after="0"/>
              <w:rPr>
                <w:sz w:val="10"/>
                <w:szCs w:val="10"/>
                <w:color w:val="auto"/>
              </w:rPr>
            </w:pPr>
          </w:p>
        </w:tc>
        <w:tc>
          <w:tcPr>
            <w:tcW w:w="680" w:type="dxa"/>
            <w:vAlign w:val="bottom"/>
            <w:shd w:val="clear" w:color="auto" w:fill="DDDDDD"/>
          </w:tcPr>
          <w:p>
            <w:pPr>
              <w:spacing w:after="0"/>
              <w:rPr>
                <w:sz w:val="10"/>
                <w:szCs w:val="10"/>
                <w:color w:val="auto"/>
              </w:rPr>
            </w:pPr>
          </w:p>
        </w:tc>
        <w:tc>
          <w:tcPr>
            <w:tcW w:w="160" w:type="dxa"/>
            <w:vAlign w:val="bottom"/>
            <w:shd w:val="clear" w:color="auto" w:fill="DDDDDD"/>
          </w:tcPr>
          <w:p>
            <w:pPr>
              <w:spacing w:after="0"/>
              <w:rPr>
                <w:sz w:val="10"/>
                <w:szCs w:val="10"/>
                <w:color w:val="auto"/>
              </w:rPr>
            </w:pPr>
          </w:p>
        </w:tc>
        <w:tc>
          <w:tcPr>
            <w:tcW w:w="600" w:type="dxa"/>
            <w:vAlign w:val="bottom"/>
            <w:tcBorders>
              <w:right w:val="single" w:sz="8" w:color="auto"/>
            </w:tcBorders>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Resignation</w:t>
            </w:r>
          </w:p>
        </w:tc>
        <w:tc>
          <w:tcPr>
            <w:tcW w:w="8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shd w:val="clear" w:color="auto" w:fill="DDDDDD"/>
          </w:tcPr>
          <w:p>
            <w:pPr>
              <w:spacing w:after="0"/>
              <w:rPr>
                <w:sz w:val="11"/>
                <w:szCs w:val="11"/>
                <w:color w:val="auto"/>
              </w:rPr>
            </w:pPr>
          </w:p>
        </w:tc>
        <w:tc>
          <w:tcPr>
            <w:tcW w:w="86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shd w:val="clear" w:color="auto" w:fill="DDDDDD"/>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shd w:val="clear" w:color="auto" w:fill="DDDDDD"/>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shd w:val="clear" w:color="auto" w:fill="DDDDDD"/>
          </w:tcPr>
          <w:p>
            <w:pPr>
              <w:jc w:val="center"/>
              <w:ind w:right="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r>
        <w:trPr>
          <w:trHeight w:val="132"/>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Termination for</w:t>
            </w:r>
          </w:p>
        </w:tc>
        <w:tc>
          <w:tcPr>
            <w:tcW w:w="800" w:type="dxa"/>
            <w:vAlign w:val="bottom"/>
            <w:shd w:val="clear" w:color="auto" w:fill="DDDDDD"/>
          </w:tcPr>
          <w:p>
            <w:pPr>
              <w:spacing w:after="0"/>
              <w:rPr>
                <w:sz w:val="11"/>
                <w:szCs w:val="11"/>
                <w:color w:val="auto"/>
              </w:rPr>
            </w:pPr>
          </w:p>
        </w:tc>
        <w:tc>
          <w:tcPr>
            <w:tcW w:w="1000" w:type="dxa"/>
            <w:vAlign w:val="bottom"/>
            <w:shd w:val="clear" w:color="auto" w:fill="DDDDDD"/>
          </w:tcPr>
          <w:p>
            <w:pPr>
              <w:spacing w:after="0"/>
              <w:rPr>
                <w:sz w:val="11"/>
                <w:szCs w:val="11"/>
                <w:color w:val="auto"/>
              </w:rPr>
            </w:pPr>
          </w:p>
        </w:tc>
        <w:tc>
          <w:tcPr>
            <w:tcW w:w="380" w:type="dxa"/>
            <w:vAlign w:val="bottom"/>
            <w:shd w:val="clear" w:color="auto" w:fill="DDDDDD"/>
          </w:tcPr>
          <w:p>
            <w:pPr>
              <w:spacing w:after="0"/>
              <w:rPr>
                <w:sz w:val="11"/>
                <w:szCs w:val="11"/>
                <w:color w:val="auto"/>
              </w:rPr>
            </w:pPr>
          </w:p>
        </w:tc>
        <w:tc>
          <w:tcPr>
            <w:tcW w:w="86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6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600" w:type="dxa"/>
            <w:vAlign w:val="bottom"/>
            <w:tcBorders>
              <w:right w:val="single" w:sz="8" w:color="auto"/>
            </w:tcBorders>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Cause</w:t>
            </w:r>
          </w:p>
        </w:tc>
        <w:tc>
          <w:tcPr>
            <w:tcW w:w="8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shd w:val="clear" w:color="auto" w:fill="DDDDDD"/>
          </w:tcPr>
          <w:p>
            <w:pPr>
              <w:spacing w:after="0"/>
              <w:rPr>
                <w:sz w:val="11"/>
                <w:szCs w:val="11"/>
                <w:color w:val="auto"/>
              </w:rPr>
            </w:pPr>
          </w:p>
        </w:tc>
        <w:tc>
          <w:tcPr>
            <w:tcW w:w="86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shd w:val="clear" w:color="auto" w:fill="DDDDDD"/>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shd w:val="clear" w:color="auto" w:fill="DDDDDD"/>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shd w:val="clear" w:color="auto" w:fill="DDDDDD"/>
          </w:tcPr>
          <w:p>
            <w:pPr>
              <w:jc w:val="center"/>
              <w:ind w:right="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r>
        <w:trPr>
          <w:trHeight w:val="192"/>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Change-In-Control</w:t>
            </w:r>
          </w:p>
        </w:tc>
        <w:tc>
          <w:tcPr>
            <w:tcW w:w="8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shd w:val="clear" w:color="auto" w:fill="DDDDDD"/>
          </w:tcPr>
          <w:p>
            <w:pPr>
              <w:jc w:val="right"/>
              <w:ind w:right="109"/>
              <w:spacing w:after="0"/>
              <w:rPr>
                <w:sz w:val="20"/>
                <w:szCs w:val="20"/>
                <w:color w:val="auto"/>
              </w:rPr>
            </w:pPr>
            <w:r>
              <w:rPr>
                <w:rFonts w:ascii="Arial" w:cs="Arial" w:eastAsia="Arial" w:hAnsi="Arial"/>
                <w:sz w:val="10"/>
                <w:szCs w:val="10"/>
                <w:color w:val="666666"/>
              </w:rPr>
              <w:t>1,410,998</w:t>
            </w:r>
          </w:p>
        </w:tc>
        <w:tc>
          <w:tcPr>
            <w:tcW w:w="380" w:type="dxa"/>
            <w:vAlign w:val="bottom"/>
            <w:shd w:val="clear" w:color="auto" w:fill="DDDDDD"/>
          </w:tcPr>
          <w:p>
            <w:pPr>
              <w:ind w:left="260"/>
              <w:spacing w:after="0"/>
              <w:rPr>
                <w:sz w:val="20"/>
                <w:szCs w:val="20"/>
                <w:color w:val="auto"/>
              </w:rPr>
            </w:pPr>
            <w:r>
              <w:rPr>
                <w:rFonts w:ascii="Arial" w:cs="Arial" w:eastAsia="Arial" w:hAnsi="Arial"/>
                <w:sz w:val="10"/>
                <w:szCs w:val="10"/>
                <w:color w:val="666666"/>
                <w:w w:val="99"/>
              </w:rPr>
              <w:t>—</w:t>
            </w:r>
          </w:p>
        </w:tc>
        <w:tc>
          <w:tcPr>
            <w:tcW w:w="86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shd w:val="clear" w:color="auto" w:fill="DDDDDD"/>
          </w:tcPr>
          <w:p>
            <w:pPr>
              <w:jc w:val="center"/>
              <w:ind w:right="69"/>
              <w:spacing w:after="0"/>
              <w:rPr>
                <w:sz w:val="20"/>
                <w:szCs w:val="20"/>
                <w:color w:val="auto"/>
              </w:rPr>
            </w:pPr>
            <w:r>
              <w:rPr>
                <w:rFonts w:ascii="Arial" w:cs="Arial" w:eastAsia="Arial" w:hAnsi="Arial"/>
                <w:sz w:val="10"/>
                <w:szCs w:val="10"/>
                <w:color w:val="666666"/>
                <w:w w:val="99"/>
              </w:rPr>
              <w:t>—</w:t>
            </w:r>
          </w:p>
        </w:tc>
        <w:tc>
          <w:tcPr>
            <w:tcW w:w="680" w:type="dxa"/>
            <w:vAlign w:val="bottom"/>
            <w:shd w:val="clear" w:color="auto" w:fill="DDDDDD"/>
          </w:tcPr>
          <w:p>
            <w:pPr>
              <w:jc w:val="right"/>
              <w:spacing w:after="0"/>
              <w:rPr>
                <w:sz w:val="20"/>
                <w:szCs w:val="20"/>
                <w:color w:val="auto"/>
              </w:rPr>
            </w:pPr>
            <w:r>
              <w:rPr>
                <w:rFonts w:ascii="Arial" w:cs="Arial" w:eastAsia="Arial" w:hAnsi="Arial"/>
                <w:sz w:val="10"/>
                <w:szCs w:val="10"/>
                <w:color w:val="666666"/>
              </w:rPr>
              <w:t>1,501,509</w:t>
            </w:r>
          </w:p>
        </w:tc>
        <w:tc>
          <w:tcPr>
            <w:tcW w:w="160" w:type="dxa"/>
            <w:vAlign w:val="bottom"/>
            <w:shd w:val="clear" w:color="auto" w:fill="DDDDDD"/>
          </w:tcPr>
          <w:p>
            <w:pPr>
              <w:jc w:val="right"/>
              <w:ind w:right="57"/>
              <w:spacing w:after="0"/>
              <w:rPr>
                <w:sz w:val="20"/>
                <w:szCs w:val="20"/>
                <w:color w:val="auto"/>
              </w:rPr>
            </w:pPr>
            <w:r>
              <w:rPr>
                <w:rFonts w:ascii="Arial" w:cs="Arial" w:eastAsia="Arial" w:hAnsi="Arial"/>
                <w:sz w:val="9"/>
                <w:szCs w:val="9"/>
                <w:color w:val="666666"/>
                <w:w w:val="78"/>
              </w:rPr>
              <w:t>9</w:t>
            </w:r>
          </w:p>
        </w:tc>
        <w:tc>
          <w:tcPr>
            <w:tcW w:w="60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0"/>
                <w:szCs w:val="10"/>
                <w:color w:val="666666"/>
              </w:rPr>
              <w:t>2,912,507</w:t>
            </w:r>
          </w:p>
        </w:tc>
        <w:tc>
          <w:tcPr>
            <w:tcW w:w="0" w:type="dxa"/>
            <w:vAlign w:val="bottom"/>
          </w:tcPr>
          <w:p>
            <w:pPr>
              <w:spacing w:after="0"/>
              <w:rPr>
                <w:sz w:val="1"/>
                <w:szCs w:val="1"/>
                <w:color w:val="auto"/>
              </w:rPr>
            </w:pPr>
          </w:p>
        </w:tc>
      </w:tr>
      <w:tr>
        <w:trPr>
          <w:trHeight w:val="132"/>
        </w:trPr>
        <w:tc>
          <w:tcPr>
            <w:tcW w:w="1260" w:type="dxa"/>
            <w:vAlign w:val="bottom"/>
            <w:tcBorders>
              <w:left w:val="single" w:sz="8" w:color="auto"/>
            </w:tcBorders>
            <w:shd w:val="clear" w:color="auto" w:fill="DDDDDD"/>
          </w:tcPr>
          <w:p>
            <w:pPr>
              <w:ind w:left="260"/>
              <w:spacing w:after="0"/>
              <w:rPr>
                <w:sz w:val="20"/>
                <w:szCs w:val="20"/>
                <w:color w:val="auto"/>
              </w:rPr>
            </w:pPr>
            <w:r>
              <w:rPr>
                <w:rFonts w:ascii="Arial" w:cs="Arial" w:eastAsia="Arial" w:hAnsi="Arial"/>
                <w:sz w:val="10"/>
                <w:szCs w:val="10"/>
                <w:color w:val="666666"/>
              </w:rPr>
              <w:t>Involuntary</w:t>
            </w:r>
          </w:p>
        </w:tc>
        <w:tc>
          <w:tcPr>
            <w:tcW w:w="800" w:type="dxa"/>
            <w:vAlign w:val="bottom"/>
            <w:shd w:val="clear" w:color="auto" w:fill="DDDDDD"/>
          </w:tcPr>
          <w:p>
            <w:pPr>
              <w:spacing w:after="0"/>
              <w:rPr>
                <w:sz w:val="11"/>
                <w:szCs w:val="11"/>
                <w:color w:val="auto"/>
              </w:rPr>
            </w:pPr>
          </w:p>
        </w:tc>
        <w:tc>
          <w:tcPr>
            <w:tcW w:w="1000" w:type="dxa"/>
            <w:vAlign w:val="bottom"/>
            <w:shd w:val="clear" w:color="auto" w:fill="DDDDDD"/>
          </w:tcPr>
          <w:p>
            <w:pPr>
              <w:spacing w:after="0"/>
              <w:rPr>
                <w:sz w:val="11"/>
                <w:szCs w:val="11"/>
                <w:color w:val="auto"/>
              </w:rPr>
            </w:pPr>
          </w:p>
        </w:tc>
        <w:tc>
          <w:tcPr>
            <w:tcW w:w="380" w:type="dxa"/>
            <w:vAlign w:val="bottom"/>
            <w:shd w:val="clear" w:color="auto" w:fill="DDDDDD"/>
          </w:tcPr>
          <w:p>
            <w:pPr>
              <w:spacing w:after="0"/>
              <w:rPr>
                <w:sz w:val="11"/>
                <w:szCs w:val="11"/>
                <w:color w:val="auto"/>
              </w:rPr>
            </w:pPr>
          </w:p>
        </w:tc>
        <w:tc>
          <w:tcPr>
            <w:tcW w:w="86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6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600" w:type="dxa"/>
            <w:vAlign w:val="bottom"/>
            <w:tcBorders>
              <w:right w:val="single" w:sz="8" w:color="auto"/>
            </w:tcBorders>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tcBorders>
            <w:shd w:val="clear" w:color="auto" w:fill="DDDDDD"/>
          </w:tcPr>
          <w:p>
            <w:pPr>
              <w:ind w:left="40"/>
              <w:spacing w:after="0"/>
              <w:rPr>
                <w:sz w:val="20"/>
                <w:szCs w:val="20"/>
                <w:color w:val="auto"/>
              </w:rPr>
            </w:pPr>
            <w:r>
              <w:rPr>
                <w:rFonts w:ascii="Arial" w:cs="Arial" w:eastAsia="Arial" w:hAnsi="Arial"/>
                <w:sz w:val="10"/>
                <w:szCs w:val="10"/>
                <w:color w:val="666666"/>
              </w:rPr>
              <w:t>Termination After Change-</w:t>
            </w:r>
          </w:p>
        </w:tc>
        <w:tc>
          <w:tcPr>
            <w:tcW w:w="800" w:type="dxa"/>
            <w:vAlign w:val="bottom"/>
            <w:shd w:val="clear" w:color="auto" w:fill="DDDDDD"/>
          </w:tcPr>
          <w:p>
            <w:pPr>
              <w:spacing w:after="0"/>
              <w:rPr>
                <w:sz w:val="10"/>
                <w:szCs w:val="10"/>
                <w:color w:val="auto"/>
              </w:rPr>
            </w:pPr>
          </w:p>
        </w:tc>
        <w:tc>
          <w:tcPr>
            <w:tcW w:w="1000" w:type="dxa"/>
            <w:vAlign w:val="bottom"/>
            <w:shd w:val="clear" w:color="auto" w:fill="DDDDDD"/>
          </w:tcPr>
          <w:p>
            <w:pPr>
              <w:spacing w:after="0"/>
              <w:rPr>
                <w:sz w:val="10"/>
                <w:szCs w:val="10"/>
                <w:color w:val="auto"/>
              </w:rPr>
            </w:pPr>
          </w:p>
        </w:tc>
        <w:tc>
          <w:tcPr>
            <w:tcW w:w="380" w:type="dxa"/>
            <w:vAlign w:val="bottom"/>
            <w:shd w:val="clear" w:color="auto" w:fill="DDDDDD"/>
          </w:tcPr>
          <w:p>
            <w:pPr>
              <w:spacing w:after="0"/>
              <w:rPr>
                <w:sz w:val="10"/>
                <w:szCs w:val="10"/>
                <w:color w:val="auto"/>
              </w:rPr>
            </w:pPr>
          </w:p>
        </w:tc>
        <w:tc>
          <w:tcPr>
            <w:tcW w:w="860" w:type="dxa"/>
            <w:vAlign w:val="bottom"/>
            <w:shd w:val="clear" w:color="auto" w:fill="DDDDDD"/>
          </w:tcPr>
          <w:p>
            <w:pPr>
              <w:spacing w:after="0"/>
              <w:rPr>
                <w:sz w:val="10"/>
                <w:szCs w:val="10"/>
                <w:color w:val="auto"/>
              </w:rPr>
            </w:pPr>
          </w:p>
        </w:tc>
        <w:tc>
          <w:tcPr>
            <w:tcW w:w="740" w:type="dxa"/>
            <w:vAlign w:val="bottom"/>
            <w:shd w:val="clear" w:color="auto" w:fill="DDDDDD"/>
          </w:tcPr>
          <w:p>
            <w:pPr>
              <w:spacing w:after="0"/>
              <w:rPr>
                <w:sz w:val="10"/>
                <w:szCs w:val="10"/>
                <w:color w:val="auto"/>
              </w:rPr>
            </w:pPr>
          </w:p>
        </w:tc>
        <w:tc>
          <w:tcPr>
            <w:tcW w:w="680" w:type="dxa"/>
            <w:vAlign w:val="bottom"/>
            <w:shd w:val="clear" w:color="auto" w:fill="DDDDDD"/>
          </w:tcPr>
          <w:p>
            <w:pPr>
              <w:spacing w:after="0"/>
              <w:rPr>
                <w:sz w:val="10"/>
                <w:szCs w:val="10"/>
                <w:color w:val="auto"/>
              </w:rPr>
            </w:pPr>
          </w:p>
        </w:tc>
        <w:tc>
          <w:tcPr>
            <w:tcW w:w="160" w:type="dxa"/>
            <w:vAlign w:val="bottom"/>
            <w:shd w:val="clear" w:color="auto" w:fill="DDDDDD"/>
          </w:tcPr>
          <w:p>
            <w:pPr>
              <w:spacing w:after="0"/>
              <w:rPr>
                <w:sz w:val="10"/>
                <w:szCs w:val="10"/>
                <w:color w:val="auto"/>
              </w:rPr>
            </w:pPr>
          </w:p>
        </w:tc>
        <w:tc>
          <w:tcPr>
            <w:tcW w:w="600" w:type="dxa"/>
            <w:vAlign w:val="bottom"/>
            <w:tcBorders>
              <w:right w:val="single" w:sz="8" w:color="auto"/>
            </w:tcBorders>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60" w:type="dxa"/>
            <w:vAlign w:val="bottom"/>
            <w:tcBorders>
              <w:left w:val="single" w:sz="8" w:color="auto"/>
            </w:tcBorders>
            <w:shd w:val="clear" w:color="auto" w:fill="DDDDDD"/>
          </w:tcPr>
          <w:p>
            <w:pPr>
              <w:ind w:left="40"/>
              <w:spacing w:after="0"/>
              <w:rPr>
                <w:sz w:val="20"/>
                <w:szCs w:val="20"/>
                <w:color w:val="auto"/>
              </w:rPr>
            </w:pPr>
            <w:r>
              <w:rPr>
                <w:rFonts w:ascii="Arial" w:cs="Arial" w:eastAsia="Arial" w:hAnsi="Arial"/>
                <w:sz w:val="10"/>
                <w:szCs w:val="10"/>
                <w:color w:val="666666"/>
              </w:rPr>
              <w:t>In-Control</w:t>
            </w:r>
          </w:p>
        </w:tc>
        <w:tc>
          <w:tcPr>
            <w:tcW w:w="80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403,888</w:t>
            </w:r>
          </w:p>
        </w:tc>
        <w:tc>
          <w:tcPr>
            <w:tcW w:w="380" w:type="dxa"/>
            <w:vAlign w:val="bottom"/>
            <w:shd w:val="clear" w:color="auto" w:fill="DDDDDD"/>
          </w:tcPr>
          <w:p>
            <w:pPr>
              <w:ind w:left="260"/>
              <w:spacing w:after="0"/>
              <w:rPr>
                <w:sz w:val="20"/>
                <w:szCs w:val="20"/>
                <w:color w:val="auto"/>
              </w:rPr>
            </w:pPr>
            <w:r>
              <w:rPr>
                <w:rFonts w:ascii="Arial" w:cs="Arial" w:eastAsia="Arial" w:hAnsi="Arial"/>
                <w:sz w:val="10"/>
                <w:szCs w:val="10"/>
                <w:color w:val="666666"/>
                <w:w w:val="99"/>
              </w:rPr>
              <w:t>—</w:t>
            </w:r>
          </w:p>
        </w:tc>
        <w:tc>
          <w:tcPr>
            <w:tcW w:w="860" w:type="dxa"/>
            <w:vAlign w:val="bottom"/>
            <w:shd w:val="clear" w:color="auto" w:fill="DDDDDD"/>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shd w:val="clear" w:color="auto" w:fill="DDDDDD"/>
          </w:tcPr>
          <w:p>
            <w:pPr>
              <w:jc w:val="center"/>
              <w:ind w:right="69"/>
              <w:spacing w:after="0"/>
              <w:rPr>
                <w:sz w:val="20"/>
                <w:szCs w:val="20"/>
                <w:color w:val="auto"/>
              </w:rPr>
            </w:pPr>
            <w:r>
              <w:rPr>
                <w:rFonts w:ascii="Arial" w:cs="Arial" w:eastAsia="Arial" w:hAnsi="Arial"/>
                <w:sz w:val="10"/>
                <w:szCs w:val="10"/>
                <w:color w:val="666666"/>
                <w:w w:val="99"/>
              </w:rPr>
              <w:t>—</w:t>
            </w:r>
          </w:p>
        </w:tc>
        <w:tc>
          <w:tcPr>
            <w:tcW w:w="680" w:type="dxa"/>
            <w:vAlign w:val="bottom"/>
            <w:shd w:val="clear" w:color="auto" w:fill="DDDDDD"/>
          </w:tcPr>
          <w:p>
            <w:pPr>
              <w:jc w:val="center"/>
              <w:spacing w:after="0"/>
              <w:rPr>
                <w:sz w:val="20"/>
                <w:szCs w:val="20"/>
                <w:color w:val="auto"/>
              </w:rPr>
            </w:pPr>
            <w:r>
              <w:rPr>
                <w:rFonts w:ascii="Arial" w:cs="Arial" w:eastAsia="Arial" w:hAnsi="Arial"/>
                <w:sz w:val="10"/>
                <w:szCs w:val="10"/>
                <w:color w:val="666666"/>
              </w:rPr>
              <w:t>—</w:t>
            </w:r>
          </w:p>
        </w:tc>
        <w:tc>
          <w:tcPr>
            <w:tcW w:w="160" w:type="dxa"/>
            <w:vAlign w:val="bottom"/>
            <w:shd w:val="clear" w:color="auto" w:fill="DDDDDD"/>
          </w:tcPr>
          <w:p>
            <w:pPr>
              <w:spacing w:after="0"/>
              <w:rPr>
                <w:sz w:val="12"/>
                <w:szCs w:val="12"/>
                <w:color w:val="auto"/>
              </w:rPr>
            </w:pPr>
          </w:p>
        </w:tc>
        <w:tc>
          <w:tcPr>
            <w:tcW w:w="600" w:type="dxa"/>
            <w:vAlign w:val="bottom"/>
            <w:tcBorders>
              <w:right w:val="single" w:sz="8" w:color="auto"/>
            </w:tcBorders>
            <w:shd w:val="clear" w:color="auto" w:fill="DDDDDD"/>
          </w:tcPr>
          <w:p>
            <w:pPr>
              <w:jc w:val="right"/>
              <w:spacing w:after="0"/>
              <w:rPr>
                <w:sz w:val="20"/>
                <w:szCs w:val="20"/>
                <w:color w:val="auto"/>
              </w:rPr>
            </w:pPr>
            <w:r>
              <w:rPr>
                <w:rFonts w:ascii="Arial" w:cs="Arial" w:eastAsia="Arial" w:hAnsi="Arial"/>
                <w:sz w:val="10"/>
                <w:szCs w:val="10"/>
                <w:color w:val="666666"/>
              </w:rPr>
              <w:t>403,888</w:t>
            </w:r>
          </w:p>
        </w:tc>
        <w:tc>
          <w:tcPr>
            <w:tcW w:w="0" w:type="dxa"/>
            <w:vAlign w:val="bottom"/>
          </w:tcPr>
          <w:p>
            <w:pPr>
              <w:spacing w:after="0"/>
              <w:rPr>
                <w:sz w:val="1"/>
                <w:szCs w:val="1"/>
                <w:color w:val="auto"/>
              </w:rPr>
            </w:pPr>
          </w:p>
        </w:tc>
      </w:tr>
      <w:tr>
        <w:trPr>
          <w:trHeight w:val="192"/>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b w:val="1"/>
                <w:bCs w:val="1"/>
                <w:color w:val="666666"/>
              </w:rPr>
              <w:t>Susan L. Penfield</w:t>
            </w: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Death</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right"/>
              <w:ind w:right="189"/>
              <w:spacing w:after="0"/>
              <w:rPr>
                <w:sz w:val="20"/>
                <w:szCs w:val="20"/>
                <w:color w:val="auto"/>
              </w:rPr>
            </w:pPr>
            <w:r>
              <w:rPr>
                <w:rFonts w:ascii="Arial" w:cs="Arial" w:eastAsia="Arial" w:hAnsi="Arial"/>
                <w:sz w:val="10"/>
                <w:szCs w:val="10"/>
                <w:color w:val="666666"/>
              </w:rPr>
              <w:t>1,447,396</w:t>
            </w:r>
          </w:p>
        </w:tc>
        <w:tc>
          <w:tcPr>
            <w:tcW w:w="3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right"/>
              <w:ind w:right="9"/>
              <w:spacing w:after="0"/>
              <w:rPr>
                <w:sz w:val="20"/>
                <w:szCs w:val="20"/>
                <w:color w:val="auto"/>
              </w:rPr>
            </w:pPr>
            <w:r>
              <w:rPr>
                <w:rFonts w:ascii="Arial" w:cs="Arial" w:eastAsia="Arial" w:hAnsi="Arial"/>
                <w:sz w:val="10"/>
                <w:szCs w:val="10"/>
                <w:color w:val="666666"/>
              </w:rPr>
              <w:t xml:space="preserve">2,066,667 </w:t>
            </w:r>
            <w:r>
              <w:rPr>
                <w:rFonts w:ascii="Arial" w:cs="Arial" w:eastAsia="Arial" w:hAnsi="Arial"/>
                <w:sz w:val="17"/>
                <w:szCs w:val="17"/>
                <w:color w:val="666666"/>
                <w:vertAlign w:val="superscript"/>
              </w:rPr>
              <w:t>3</w:t>
            </w:r>
          </w:p>
        </w:tc>
        <w:tc>
          <w:tcPr>
            <w:tcW w:w="840" w:type="dxa"/>
            <w:vAlign w:val="bottom"/>
            <w:gridSpan w:val="2"/>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3,514,063</w:t>
            </w: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Disability</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right"/>
              <w:ind w:right="9"/>
              <w:spacing w:after="0" w:line="155" w:lineRule="exact"/>
              <w:rPr>
                <w:sz w:val="20"/>
                <w:szCs w:val="20"/>
                <w:color w:val="auto"/>
              </w:rPr>
            </w:pPr>
            <w:r>
              <w:rPr>
                <w:rFonts w:ascii="Arial" w:cs="Arial" w:eastAsia="Arial" w:hAnsi="Arial"/>
                <w:sz w:val="10"/>
                <w:szCs w:val="10"/>
                <w:color w:val="666666"/>
              </w:rPr>
              <w:t xml:space="preserve">2,437,097 </w:t>
            </w:r>
            <w:r>
              <w:rPr>
                <w:rFonts w:ascii="Arial" w:cs="Arial" w:eastAsia="Arial" w:hAnsi="Arial"/>
                <w:sz w:val="17"/>
                <w:szCs w:val="17"/>
                <w:color w:val="666666"/>
                <w:vertAlign w:val="superscript"/>
              </w:rPr>
              <w:t>4</w:t>
            </w:r>
          </w:p>
        </w:tc>
        <w:tc>
          <w:tcPr>
            <w:tcW w:w="840" w:type="dxa"/>
            <w:vAlign w:val="bottom"/>
            <w:gridSpan w:val="2"/>
          </w:tcPr>
          <w:p>
            <w:pPr>
              <w:jc w:val="right"/>
              <w:ind w:right="57"/>
              <w:spacing w:after="0" w:line="155" w:lineRule="exact"/>
              <w:rPr>
                <w:sz w:val="20"/>
                <w:szCs w:val="20"/>
                <w:color w:val="auto"/>
              </w:rPr>
            </w:pPr>
            <w:r>
              <w:rPr>
                <w:rFonts w:ascii="Arial" w:cs="Arial" w:eastAsia="Arial" w:hAnsi="Arial"/>
                <w:sz w:val="10"/>
                <w:szCs w:val="10"/>
                <w:color w:val="666666"/>
              </w:rPr>
              <w:t xml:space="preserve">1,116,162 </w:t>
            </w:r>
            <w:r>
              <w:rPr>
                <w:rFonts w:ascii="Arial" w:cs="Arial" w:eastAsia="Arial" w:hAnsi="Arial"/>
                <w:sz w:val="17"/>
                <w:szCs w:val="17"/>
                <w:color w:val="666666"/>
                <w:vertAlign w:val="superscript"/>
              </w:rPr>
              <w:t>5</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3,553,259</w:t>
            </w: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Involuntary</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vMerge w:val="restart"/>
          </w:tcPr>
          <w:p>
            <w:pPr>
              <w:jc w:val="right"/>
              <w:ind w:right="57"/>
              <w:spacing w:after="0"/>
              <w:rPr>
                <w:sz w:val="20"/>
                <w:szCs w:val="20"/>
                <w:color w:val="auto"/>
              </w:rPr>
            </w:pPr>
            <w:r>
              <w:rPr>
                <w:rFonts w:ascii="Arial" w:cs="Arial" w:eastAsia="Arial" w:hAnsi="Arial"/>
                <w:sz w:val="10"/>
                <w:szCs w:val="10"/>
                <w:color w:val="666666"/>
              </w:rPr>
              <w:t xml:space="preserve">30,000 </w:t>
            </w:r>
            <w:r>
              <w:rPr>
                <w:rFonts w:ascii="Arial" w:cs="Arial" w:eastAsia="Arial" w:hAnsi="Arial"/>
                <w:sz w:val="17"/>
                <w:szCs w:val="17"/>
                <w:color w:val="666666"/>
                <w:vertAlign w:val="superscript"/>
              </w:rPr>
              <w:t>6</w:t>
            </w:r>
          </w:p>
        </w:tc>
        <w:tc>
          <w:tcPr>
            <w:tcW w:w="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666666"/>
              </w:rPr>
              <w:t>Termination</w:t>
            </w:r>
          </w:p>
        </w:tc>
        <w:tc>
          <w:tcPr>
            <w:tcW w:w="800" w:type="dxa"/>
            <w:vAlign w:val="bottom"/>
          </w:tcPr>
          <w:p>
            <w:pPr>
              <w:jc w:val="right"/>
              <w:spacing w:after="0"/>
              <w:rPr>
                <w:sz w:val="20"/>
                <w:szCs w:val="20"/>
                <w:color w:val="auto"/>
              </w:rPr>
            </w:pPr>
            <w:r>
              <w:rPr>
                <w:rFonts w:ascii="Arial" w:cs="Arial" w:eastAsia="Arial" w:hAnsi="Arial"/>
                <w:sz w:val="10"/>
                <w:szCs w:val="10"/>
                <w:color w:val="666666"/>
              </w:rPr>
              <w:t>800,000</w:t>
            </w:r>
          </w:p>
        </w:tc>
        <w:tc>
          <w:tcPr>
            <w:tcW w:w="10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vMerge w:val="continue"/>
          </w:tcPr>
          <w:p>
            <w:pPr>
              <w:spacing w:after="0"/>
              <w:rPr>
                <w:sz w:val="16"/>
                <w:szCs w:val="16"/>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830,000</w:t>
            </w: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tcBorders>
          </w:tcPr>
          <w:p>
            <w:pPr>
              <w:ind w:left="260"/>
              <w:spacing w:after="0" w:line="155" w:lineRule="exact"/>
              <w:rPr>
                <w:sz w:val="20"/>
                <w:szCs w:val="20"/>
                <w:color w:val="auto"/>
              </w:rPr>
            </w:pPr>
            <w:r>
              <w:rPr>
                <w:rFonts w:ascii="Arial" w:cs="Arial" w:eastAsia="Arial" w:hAnsi="Arial"/>
                <w:sz w:val="10"/>
                <w:szCs w:val="10"/>
                <w:color w:val="666666"/>
              </w:rPr>
              <w:t xml:space="preserve">Retirement </w:t>
            </w:r>
            <w:r>
              <w:rPr>
                <w:rFonts w:ascii="Arial" w:cs="Arial" w:eastAsia="Arial" w:hAnsi="Arial"/>
                <w:sz w:val="17"/>
                <w:szCs w:val="17"/>
                <w:color w:val="666666"/>
                <w:vertAlign w:val="superscript"/>
              </w:rPr>
              <w:t>11</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666666"/>
              </w:rPr>
              <w:t>155,000</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tcPr>
          <w:p>
            <w:pPr>
              <w:jc w:val="right"/>
              <w:ind w:right="57"/>
              <w:spacing w:after="0" w:line="155" w:lineRule="exact"/>
              <w:rPr>
                <w:sz w:val="20"/>
                <w:szCs w:val="20"/>
                <w:color w:val="auto"/>
              </w:rPr>
            </w:pPr>
            <w:r>
              <w:rPr>
                <w:rFonts w:ascii="Arial" w:cs="Arial" w:eastAsia="Arial" w:hAnsi="Arial"/>
                <w:sz w:val="10"/>
                <w:szCs w:val="10"/>
                <w:color w:val="666666"/>
              </w:rPr>
              <w:t xml:space="preserve">1,221,846 </w:t>
            </w:r>
            <w:r>
              <w:rPr>
                <w:rFonts w:ascii="Arial" w:cs="Arial" w:eastAsia="Arial" w:hAnsi="Arial"/>
                <w:sz w:val="17"/>
                <w:szCs w:val="17"/>
                <w:color w:val="666666"/>
                <w:vertAlign w:val="superscript"/>
              </w:rPr>
              <w:t>7</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1,376,846</w:t>
            </w: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Voluntary</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666666"/>
              </w:rPr>
              <w:t>Resignation</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tcPr>
          <w:p>
            <w:pPr>
              <w:jc w:val="center"/>
              <w:ind w:right="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r>
        <w:trPr>
          <w:trHeight w:val="132"/>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Termination for</w:t>
            </w: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666666"/>
              </w:rPr>
              <w:t>Cause</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3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right w:val="single" w:sz="8" w:color="auto"/>
            </w:tcBorders>
          </w:tcPr>
          <w:p>
            <w:pPr>
              <w:jc w:val="center"/>
              <w:ind w:right="9"/>
              <w:spacing w:after="0"/>
              <w:rPr>
                <w:sz w:val="20"/>
                <w:szCs w:val="20"/>
                <w:color w:val="auto"/>
              </w:rPr>
            </w:pPr>
            <w:r>
              <w:rPr>
                <w:rFonts w:ascii="Arial" w:cs="Arial" w:eastAsia="Arial" w:hAnsi="Arial"/>
                <w:sz w:val="10"/>
                <w:szCs w:val="10"/>
                <w:color w:val="666666"/>
                <w:w w:val="99"/>
              </w:rPr>
              <w:t>—</w:t>
            </w:r>
          </w:p>
        </w:tc>
        <w:tc>
          <w:tcPr>
            <w:tcW w:w="0" w:type="dxa"/>
            <w:vAlign w:val="bottom"/>
          </w:tcPr>
          <w:p>
            <w:pPr>
              <w:spacing w:after="0"/>
              <w:rPr>
                <w:sz w:val="1"/>
                <w:szCs w:val="1"/>
                <w:color w:val="auto"/>
              </w:rPr>
            </w:pPr>
          </w:p>
        </w:tc>
      </w:tr>
      <w:tr>
        <w:trPr>
          <w:trHeight w:val="209"/>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Change-In-Control</w:t>
            </w:r>
          </w:p>
        </w:tc>
        <w:tc>
          <w:tcPr>
            <w:tcW w:w="80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Pr>
          <w:p>
            <w:pPr>
              <w:jc w:val="right"/>
              <w:spacing w:after="0"/>
              <w:rPr>
                <w:sz w:val="20"/>
                <w:szCs w:val="20"/>
                <w:color w:val="auto"/>
              </w:rPr>
            </w:pPr>
            <w:r>
              <w:rPr>
                <w:rFonts w:ascii="Arial" w:cs="Arial" w:eastAsia="Arial" w:hAnsi="Arial"/>
                <w:sz w:val="10"/>
                <w:szCs w:val="10"/>
                <w:color w:val="666666"/>
              </w:rPr>
              <w:t>1,030,072</w:t>
            </w:r>
          </w:p>
        </w:tc>
        <w:tc>
          <w:tcPr>
            <w:tcW w:w="3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gridSpan w:val="2"/>
          </w:tcPr>
          <w:p>
            <w:pPr>
              <w:jc w:val="right"/>
              <w:ind w:right="57"/>
              <w:spacing w:after="0"/>
              <w:rPr>
                <w:sz w:val="20"/>
                <w:szCs w:val="20"/>
                <w:color w:val="auto"/>
              </w:rPr>
            </w:pPr>
            <w:r>
              <w:rPr>
                <w:rFonts w:ascii="Arial" w:cs="Arial" w:eastAsia="Arial" w:hAnsi="Arial"/>
                <w:sz w:val="10"/>
                <w:szCs w:val="10"/>
                <w:color w:val="666666"/>
              </w:rPr>
              <w:t xml:space="preserve">1,116,162 </w:t>
            </w:r>
            <w:r>
              <w:rPr>
                <w:rFonts w:ascii="Arial" w:cs="Arial" w:eastAsia="Arial" w:hAnsi="Arial"/>
                <w:sz w:val="17"/>
                <w:szCs w:val="17"/>
                <w:color w:val="666666"/>
                <w:vertAlign w:val="superscript"/>
              </w:rPr>
              <w:t>9</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666666"/>
              </w:rPr>
              <w:t>2,146,234</w:t>
            </w: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tcBorders>
          </w:tcPr>
          <w:p>
            <w:pPr>
              <w:ind w:left="260"/>
              <w:spacing w:after="0"/>
              <w:rPr>
                <w:sz w:val="20"/>
                <w:szCs w:val="20"/>
                <w:color w:val="auto"/>
              </w:rPr>
            </w:pPr>
            <w:r>
              <w:rPr>
                <w:rFonts w:ascii="Arial" w:cs="Arial" w:eastAsia="Arial" w:hAnsi="Arial"/>
                <w:sz w:val="10"/>
                <w:szCs w:val="10"/>
                <w:color w:val="666666"/>
              </w:rPr>
              <w:t>Involuntary</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60" w:type="dxa"/>
            <w:vAlign w:val="bottom"/>
            <w:tcBorders>
              <w:left w:val="single" w:sz="8" w:color="auto"/>
            </w:tcBorders>
          </w:tcPr>
          <w:p>
            <w:pPr>
              <w:ind w:left="40"/>
              <w:spacing w:after="0"/>
              <w:rPr>
                <w:sz w:val="20"/>
                <w:szCs w:val="20"/>
                <w:color w:val="auto"/>
              </w:rPr>
            </w:pPr>
            <w:r>
              <w:rPr>
                <w:rFonts w:ascii="Arial" w:cs="Arial" w:eastAsia="Arial" w:hAnsi="Arial"/>
                <w:sz w:val="10"/>
                <w:szCs w:val="10"/>
                <w:color w:val="666666"/>
              </w:rPr>
              <w:t>Termination After Change-</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0"/>
                <w:szCs w:val="10"/>
                <w:color w:val="666666"/>
              </w:rPr>
              <w:t>In-Control</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666666"/>
                <w:w w:val="99"/>
              </w:rPr>
              <w:t>—</w:t>
            </w:r>
          </w:p>
        </w:tc>
        <w:tc>
          <w:tcPr>
            <w:tcW w:w="10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666666"/>
              </w:rPr>
              <w:t>417,324</w:t>
            </w: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666666"/>
                <w:w w:val="99"/>
              </w:rPr>
              <w:t>—</w:t>
            </w:r>
          </w:p>
        </w:tc>
        <w:tc>
          <w:tcPr>
            <w:tcW w:w="740" w:type="dxa"/>
            <w:vAlign w:val="bottom"/>
            <w:tcBorders>
              <w:bottom w:val="single" w:sz="8" w:color="auto"/>
            </w:tcBorders>
          </w:tcPr>
          <w:p>
            <w:pPr>
              <w:jc w:val="center"/>
              <w:ind w:right="69"/>
              <w:spacing w:after="0"/>
              <w:rPr>
                <w:sz w:val="20"/>
                <w:szCs w:val="20"/>
                <w:color w:val="auto"/>
              </w:rPr>
            </w:pPr>
            <w:r>
              <w:rPr>
                <w:rFonts w:ascii="Arial" w:cs="Arial" w:eastAsia="Arial" w:hAnsi="Arial"/>
                <w:sz w:val="10"/>
                <w:szCs w:val="10"/>
                <w:color w:val="666666"/>
                <w:w w:val="99"/>
              </w:rPr>
              <w:t>—</w:t>
            </w:r>
          </w:p>
        </w:tc>
        <w:tc>
          <w:tcPr>
            <w:tcW w:w="840" w:type="dxa"/>
            <w:vAlign w:val="bottom"/>
            <w:tcBorders>
              <w:bottom w:val="single" w:sz="8" w:color="auto"/>
            </w:tcBorders>
            <w:gridSpan w:val="2"/>
          </w:tcPr>
          <w:p>
            <w:pPr>
              <w:jc w:val="center"/>
              <w:ind w:right="117"/>
              <w:spacing w:after="0"/>
              <w:rPr>
                <w:sz w:val="20"/>
                <w:szCs w:val="20"/>
                <w:color w:val="auto"/>
              </w:rPr>
            </w:pPr>
            <w:r>
              <w:rPr>
                <w:rFonts w:ascii="Arial" w:cs="Arial" w:eastAsia="Arial" w:hAnsi="Arial"/>
                <w:sz w:val="10"/>
                <w:szCs w:val="10"/>
                <w:color w:val="666666"/>
              </w:rPr>
              <w:t>—</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666666"/>
              </w:rPr>
              <w:t>417,324</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80" w:hanging="287"/>
        <w:spacing w:after="0" w:line="285" w:lineRule="auto"/>
        <w:tabs>
          <w:tab w:leader="none" w:pos="380" w:val="left"/>
        </w:tabs>
        <w:numPr>
          <w:ilvl w:val="0"/>
          <w:numId w:val="46"/>
        </w:numPr>
        <w:rPr>
          <w:rFonts w:ascii="Arial" w:cs="Arial" w:eastAsia="Arial" w:hAnsi="Arial"/>
          <w:sz w:val="10"/>
          <w:szCs w:val="10"/>
          <w:color w:val="666666"/>
        </w:rPr>
      </w:pPr>
      <w:r>
        <w:rPr>
          <w:rFonts w:ascii="Arial" w:cs="Arial" w:eastAsia="Arial" w:hAnsi="Arial"/>
          <w:sz w:val="10"/>
          <w:szCs w:val="10"/>
          <w:color w:val="666666"/>
        </w:rPr>
        <w:t>Each named executive officer is eligible for transition pay under our Transition Policy upon an involuntary termination equal to four months of base pay, plus one additional month for each year of service as an executive, up to a maximum of 12 months’ base pay.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47</w:t>
      </w:r>
    </w:p>
    <w:p>
      <w:pPr>
        <w:sectPr>
          <w:pgSz w:w="11900" w:h="16838" w:orient="portrait"/>
          <w:cols w:equalWidth="0" w:num="1">
            <w:col w:w="11480"/>
          </w:cols>
          <w:pgMar w:left="220" w:top="561" w:right="199" w:bottom="1440" w:gutter="0" w:footer="0" w:header="0"/>
        </w:sectPr>
      </w:pPr>
    </w:p>
    <w:bookmarkStart w:id="56" w:name="page57"/>
    <w:bookmarkEnd w:id="56"/>
    <w:p>
      <w:pPr>
        <w:jc w:val="both"/>
        <w:ind w:left="287" w:hanging="287"/>
        <w:spacing w:after="0" w:line="245" w:lineRule="auto"/>
        <w:tabs>
          <w:tab w:leader="none" w:pos="287" w:val="left"/>
        </w:tabs>
        <w:numPr>
          <w:ilvl w:val="0"/>
          <w:numId w:val="47"/>
        </w:numPr>
        <w:rPr>
          <w:rFonts w:ascii="Arial" w:cs="Arial" w:eastAsia="Arial" w:hAnsi="Arial"/>
          <w:sz w:val="10"/>
          <w:szCs w:val="10"/>
          <w:color w:val="666666"/>
        </w:rPr>
      </w:pPr>
      <w:r>
        <w:rPr>
          <w:rFonts w:ascii="Arial" w:cs="Arial" w:eastAsia="Arial" w:hAnsi="Arial"/>
          <w:sz w:val="10"/>
          <w:szCs w:val="10"/>
          <w:color w:val="666666"/>
        </w:rPr>
        <w:t>This column includes the value of the equity with accelerated vesting calculated using $38.72, the closing fair market value of our common stock on March 29, 2018, and the value of the deferred cash payment due to the named executive officers as a result of the special dividends paid on November 29, 2013, February 28, 2014, and August 29, 2014. In connection with the payment of these special dividends, holders of certain options granted pursuant to our Equity Incentive Plan, including the named executive officers, received dividend equivalent rights that entitle the holder to receive, on the option’s vesting date, a cash payment based on the amount of the special dividend. With respect to the performance-based restricted stock units, this column assumes the named executive officer was involuntarily terminated on the date of the change in control. The accelerated vesting for a change in control is described in more detail under “Change in Control Protections.” In the event of death, all outstanding service-vesting options and time-based restricted stock units immediately vest. Upon certain qualifying retirement events, the performance restricted stock units will be treated as described below in footnote 11 to this table.</w:t>
      </w:r>
    </w:p>
    <w:p>
      <w:pPr>
        <w:spacing w:after="0" w:line="116" w:lineRule="exact"/>
        <w:rPr>
          <w:rFonts w:ascii="Arial" w:cs="Arial" w:eastAsia="Arial" w:hAnsi="Arial"/>
          <w:sz w:val="10"/>
          <w:szCs w:val="10"/>
          <w:color w:val="666666"/>
        </w:rPr>
      </w:pPr>
    </w:p>
    <w:p>
      <w:pPr>
        <w:ind w:left="287" w:hanging="287"/>
        <w:spacing w:after="0"/>
        <w:tabs>
          <w:tab w:leader="none" w:pos="287" w:val="left"/>
        </w:tabs>
        <w:numPr>
          <w:ilvl w:val="0"/>
          <w:numId w:val="47"/>
        </w:numPr>
        <w:rPr>
          <w:rFonts w:ascii="Arial" w:cs="Arial" w:eastAsia="Arial" w:hAnsi="Arial"/>
          <w:sz w:val="10"/>
          <w:szCs w:val="10"/>
          <w:color w:val="666666"/>
        </w:rPr>
      </w:pPr>
      <w:r>
        <w:rPr>
          <w:rFonts w:ascii="Arial" w:cs="Arial" w:eastAsia="Arial" w:hAnsi="Arial"/>
          <w:sz w:val="10"/>
          <w:szCs w:val="10"/>
          <w:color w:val="666666"/>
        </w:rPr>
        <w:t>Each named executive officer has a $2 million life insurance policy. If the death was accidental, an additional $1.5 million would be paid. Decedent's survivors also receive one month’s base pay.</w:t>
      </w:r>
    </w:p>
    <w:p>
      <w:pPr>
        <w:jc w:val="both"/>
        <w:ind w:left="287" w:hanging="287"/>
        <w:spacing w:after="0"/>
        <w:tabs>
          <w:tab w:leader="none" w:pos="287" w:val="left"/>
        </w:tabs>
        <w:numPr>
          <w:ilvl w:val="0"/>
          <w:numId w:val="47"/>
        </w:numPr>
        <w:rPr>
          <w:rFonts w:ascii="Arial" w:cs="Arial" w:eastAsia="Arial" w:hAnsi="Arial"/>
          <w:sz w:val="10"/>
          <w:szCs w:val="10"/>
          <w:color w:val="666666"/>
        </w:rPr>
      </w:pPr>
      <w:r>
        <w:rPr>
          <w:rFonts w:ascii="Arial" w:cs="Arial" w:eastAsia="Arial" w:hAnsi="Arial"/>
          <w:sz w:val="10"/>
          <w:szCs w:val="10"/>
          <w:color w:val="666666"/>
        </w:rPr>
        <w:t>Includes present value of disability insurance payments that cover up to 60% of base salary and bonus with a maximum benefit of $25,000 per month ($300,000 per year). The amounts in this column were calculated by valuing the benefit as a standard annuity benefit based on the incidence of disability, using assumptions consistent with FASB ASC 715-30 and 715-60 accounting for our other benefit programs and, for the assumption of a rate of disability, the 1977 Social Security Disability Index table.</w:t>
      </w:r>
    </w:p>
    <w:p>
      <w:pPr>
        <w:ind w:left="287" w:right="20" w:hanging="287"/>
        <w:spacing w:after="0"/>
        <w:tabs>
          <w:tab w:leader="none" w:pos="287" w:val="left"/>
        </w:tabs>
        <w:numPr>
          <w:ilvl w:val="0"/>
          <w:numId w:val="47"/>
        </w:numPr>
        <w:rPr>
          <w:rFonts w:ascii="Arial" w:cs="Arial" w:eastAsia="Arial" w:hAnsi="Arial"/>
          <w:sz w:val="10"/>
          <w:szCs w:val="10"/>
          <w:color w:val="666666"/>
        </w:rPr>
      </w:pPr>
      <w:r>
        <w:rPr>
          <w:rFonts w:ascii="Arial" w:cs="Arial" w:eastAsia="Arial" w:hAnsi="Arial"/>
          <w:sz w:val="10"/>
          <w:szCs w:val="10"/>
          <w:color w:val="666666"/>
        </w:rPr>
        <w:t>Amount includes actuarial present value of retiree medical benefits. The present value of accumulated benefits has been calculated in a manner consistent with our reporting of the Retired Officers’ Welfare Plan under FASB ASC 715-60, using the Accumulated Postretirement Benefit Obligation with an adjustment made to retirement age assumptions as required by SEC regulations.</w:t>
      </w:r>
    </w:p>
    <w:p>
      <w:pPr>
        <w:ind w:left="287" w:hanging="287"/>
        <w:spacing w:after="0"/>
        <w:tabs>
          <w:tab w:leader="none" w:pos="287" w:val="left"/>
        </w:tabs>
        <w:numPr>
          <w:ilvl w:val="0"/>
          <w:numId w:val="47"/>
        </w:numPr>
        <w:rPr>
          <w:rFonts w:ascii="Arial" w:cs="Arial" w:eastAsia="Arial" w:hAnsi="Arial"/>
          <w:sz w:val="10"/>
          <w:szCs w:val="10"/>
          <w:color w:val="666666"/>
        </w:rPr>
      </w:pPr>
      <w:r>
        <w:rPr>
          <w:rFonts w:ascii="Arial" w:cs="Arial" w:eastAsia="Arial" w:hAnsi="Arial"/>
          <w:sz w:val="10"/>
          <w:szCs w:val="10"/>
          <w:color w:val="666666"/>
        </w:rPr>
        <w:t>Amount includes $30,000 outplacement assistance.</w:t>
      </w:r>
    </w:p>
    <w:p>
      <w:pPr>
        <w:jc w:val="both"/>
        <w:ind w:left="287" w:right="20" w:hanging="287"/>
        <w:spacing w:after="0"/>
        <w:tabs>
          <w:tab w:leader="none" w:pos="287" w:val="left"/>
        </w:tabs>
        <w:numPr>
          <w:ilvl w:val="0"/>
          <w:numId w:val="47"/>
        </w:numPr>
        <w:rPr>
          <w:rFonts w:ascii="Arial" w:cs="Arial" w:eastAsia="Arial" w:hAnsi="Arial"/>
          <w:sz w:val="10"/>
          <w:szCs w:val="10"/>
          <w:color w:val="666666"/>
        </w:rPr>
      </w:pPr>
      <w:r>
        <w:rPr>
          <w:rFonts w:ascii="Arial" w:cs="Arial" w:eastAsia="Arial" w:hAnsi="Arial"/>
          <w:sz w:val="10"/>
          <w:szCs w:val="10"/>
          <w:color w:val="666666"/>
        </w:rPr>
        <w:t>These amounts represent the actuarial present value of retiree medical benefits which were calculated as described in footnote 5 above. Amounts in this column also include the actuarial present value of up to $4,000 per year for financial counseling assistance and were calculated with the same assumptions we use to disclose our Retired Officers’ Bonus Plan, consistent with FASB ASC 715-30, with an adjustment to the rate of retirement; the valuation is based on the discounted value of the full $4,000. The amount also includes a one-time retirement gift of $10,000, one-time reimbursement for $5,000 for retirement financial counseling, and depreciated value of bestowed office furniture.</w:t>
      </w:r>
    </w:p>
    <w:p>
      <w:pPr>
        <w:ind w:left="287" w:hanging="287"/>
        <w:spacing w:after="0"/>
        <w:tabs>
          <w:tab w:leader="none" w:pos="287" w:val="left"/>
        </w:tabs>
        <w:numPr>
          <w:ilvl w:val="0"/>
          <w:numId w:val="47"/>
        </w:numPr>
        <w:rPr>
          <w:rFonts w:ascii="Arial" w:cs="Arial" w:eastAsia="Arial" w:hAnsi="Arial"/>
          <w:sz w:val="10"/>
          <w:szCs w:val="10"/>
          <w:color w:val="666666"/>
        </w:rPr>
      </w:pPr>
      <w:r>
        <w:rPr>
          <w:rFonts w:ascii="Arial" w:cs="Arial" w:eastAsia="Arial" w:hAnsi="Arial"/>
          <w:sz w:val="10"/>
          <w:szCs w:val="10"/>
          <w:color w:val="666666"/>
        </w:rPr>
        <w:t>Benefits under the Officers’ Retirement Plan. This amount has been calculated using the methodology and assumptions described in footnote 1 to the Pension Benefits Table above.</w:t>
      </w:r>
    </w:p>
    <w:p>
      <w:pPr>
        <w:ind w:left="287" w:right="20" w:hanging="287"/>
        <w:spacing w:after="0"/>
        <w:tabs>
          <w:tab w:leader="none" w:pos="287" w:val="left"/>
        </w:tabs>
        <w:numPr>
          <w:ilvl w:val="0"/>
          <w:numId w:val="47"/>
        </w:numPr>
        <w:rPr>
          <w:rFonts w:ascii="Arial" w:cs="Arial" w:eastAsia="Arial" w:hAnsi="Arial"/>
          <w:sz w:val="10"/>
          <w:szCs w:val="10"/>
          <w:color w:val="666666"/>
        </w:rPr>
      </w:pPr>
      <w:r>
        <w:rPr>
          <w:rFonts w:ascii="Arial" w:cs="Arial" w:eastAsia="Arial" w:hAnsi="Arial"/>
          <w:sz w:val="10"/>
          <w:szCs w:val="10"/>
          <w:color w:val="666666"/>
        </w:rPr>
        <w:t>Reflects the present value of the guaranteed benefits and cash payment of the actuarial cost of the executive’s benefits under the executives’ retiree medical plan, assuming that the plan was terminated during the five years following a change in control.</w:t>
      </w:r>
    </w:p>
    <w:p>
      <w:pPr>
        <w:ind w:left="287" w:hanging="287"/>
        <w:spacing w:after="0"/>
        <w:tabs>
          <w:tab w:leader="none" w:pos="287" w:val="left"/>
        </w:tabs>
        <w:numPr>
          <w:ilvl w:val="0"/>
          <w:numId w:val="47"/>
        </w:numPr>
        <w:rPr>
          <w:rFonts w:ascii="Arial" w:cs="Arial" w:eastAsia="Arial" w:hAnsi="Arial"/>
          <w:sz w:val="10"/>
          <w:szCs w:val="10"/>
          <w:color w:val="666666"/>
        </w:rPr>
      </w:pPr>
      <w:r>
        <w:rPr>
          <w:rFonts w:ascii="Arial" w:cs="Arial" w:eastAsia="Arial" w:hAnsi="Arial"/>
          <w:sz w:val="10"/>
          <w:szCs w:val="10"/>
          <w:color w:val="666666"/>
        </w:rPr>
        <w:t>Mr. Rozanski is not retirement eligible as an executive as of March 31, 2018.</w:t>
      </w:r>
    </w:p>
    <w:p>
      <w:pPr>
        <w:jc w:val="both"/>
        <w:ind w:left="287" w:hanging="287"/>
        <w:spacing w:after="0" w:line="247" w:lineRule="auto"/>
        <w:tabs>
          <w:tab w:leader="none" w:pos="287" w:val="left"/>
        </w:tabs>
        <w:numPr>
          <w:ilvl w:val="0"/>
          <w:numId w:val="47"/>
        </w:numPr>
        <w:rPr>
          <w:rFonts w:ascii="Arial" w:cs="Arial" w:eastAsia="Arial" w:hAnsi="Arial"/>
          <w:sz w:val="10"/>
          <w:szCs w:val="10"/>
          <w:color w:val="666666"/>
        </w:rPr>
      </w:pPr>
      <w:r>
        <w:rPr>
          <w:rFonts w:ascii="Arial" w:cs="Arial" w:eastAsia="Arial" w:hAnsi="Arial"/>
          <w:sz w:val="10"/>
          <w:szCs w:val="10"/>
          <w:color w:val="666666"/>
        </w:rPr>
        <w:t>If the named executive officer’s employment terminated on or after March 31, 2018 by reason of a “qualifying permanent retirement” (as defined in the applicable award agreement), outstanding unvested performance restricted stock units granted in fiscal year 2018 will be eligible to continue to vest on the vesting date, subject to and based on actual achievement of the performance goals. The estimated value of the continued vesting would be $565,428, $565,428, $403,888 and $417,324 for Mr. Howell, Ms. Dahut, Mr. Logue and Ms. Penfield, respectively, calculated based on the closing fair market value of our common stock on March 29, 2018 and assuming for these purposes achievement of target performance levels. Upon a retirement that at any time is not considered a qualifying permanent retirement, the outstanding unvested performance restricted stock units will be forfeited.</w:t>
      </w:r>
    </w:p>
    <w:p>
      <w:pPr>
        <w:spacing w:after="0" w:line="371" w:lineRule="exact"/>
        <w:rPr>
          <w:sz w:val="20"/>
          <w:szCs w:val="20"/>
          <w:color w:val="auto"/>
        </w:rPr>
      </w:pPr>
    </w:p>
    <w:p>
      <w:pPr>
        <w:jc w:val="center"/>
        <w:ind w:right="93"/>
        <w:spacing w:after="0"/>
        <w:rPr>
          <w:sz w:val="20"/>
          <w:szCs w:val="20"/>
          <w:color w:val="auto"/>
        </w:rPr>
      </w:pPr>
      <w:r>
        <w:rPr>
          <w:rFonts w:ascii="Arial" w:cs="Arial" w:eastAsia="Arial" w:hAnsi="Arial"/>
          <w:sz w:val="13"/>
          <w:szCs w:val="13"/>
          <w:color w:val="666666"/>
        </w:rPr>
        <w:t>48</w:t>
      </w:r>
    </w:p>
    <w:p>
      <w:pPr>
        <w:sectPr>
          <w:pgSz w:w="11900" w:h="16838" w:orient="portrait"/>
          <w:cols w:equalWidth="0" w:num="1">
            <w:col w:w="11387"/>
          </w:cols>
          <w:pgMar w:left="313" w:top="457" w:right="19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547BCC"/>
        </w:rPr>
        <w:t>Pay Ratio</w:t>
      </w:r>
    </w:p>
    <w:p>
      <w:pPr>
        <w:spacing w:after="0" w:line="167" w:lineRule="exact"/>
        <w:rPr>
          <w:sz w:val="20"/>
          <w:szCs w:val="20"/>
          <w:color w:val="auto"/>
        </w:rPr>
      </w:pPr>
    </w:p>
    <w:p>
      <w:pPr>
        <w:ind w:right="80"/>
        <w:spacing w:after="0" w:line="285" w:lineRule="auto"/>
        <w:rPr>
          <w:sz w:val="20"/>
          <w:szCs w:val="20"/>
          <w:color w:val="auto"/>
        </w:rPr>
      </w:pPr>
      <w:r>
        <w:rPr>
          <w:rFonts w:ascii="Arial" w:cs="Arial" w:eastAsia="Arial" w:hAnsi="Arial"/>
          <w:sz w:val="14"/>
          <w:szCs w:val="14"/>
          <w:color w:val="666666"/>
        </w:rPr>
        <w:t>In accordance with Section 953(b) of the Dodd-Frank Wall Street Reform and Consumer Protection Act (the "Dodd-Frank Act") and Item 402(u) of Regulation S-K, we are providing the following estimated information for fiscal year 2018:</w:t>
      </w:r>
    </w:p>
    <w:p>
      <w:pPr>
        <w:spacing w:after="0" w:line="107" w:lineRule="exact"/>
        <w:rPr>
          <w:sz w:val="20"/>
          <w:szCs w:val="20"/>
          <w:color w:val="auto"/>
        </w:rPr>
      </w:pPr>
    </w:p>
    <w:p>
      <w:pPr>
        <w:ind w:left="460" w:hanging="233"/>
        <w:spacing w:after="0" w:line="285" w:lineRule="auto"/>
        <w:tabs>
          <w:tab w:leader="none" w:pos="460" w:val="left"/>
        </w:tabs>
        <w:numPr>
          <w:ilvl w:val="0"/>
          <w:numId w:val="48"/>
        </w:numPr>
        <w:rPr>
          <w:rFonts w:ascii="Arial" w:cs="Arial" w:eastAsia="Arial" w:hAnsi="Arial"/>
          <w:sz w:val="14"/>
          <w:szCs w:val="14"/>
          <w:color w:val="666666"/>
        </w:rPr>
      </w:pPr>
      <w:r>
        <w:rPr>
          <w:rFonts w:ascii="Arial" w:cs="Arial" w:eastAsia="Arial" w:hAnsi="Arial"/>
          <w:sz w:val="14"/>
          <w:szCs w:val="14"/>
          <w:color w:val="666666"/>
        </w:rPr>
        <w:t>the median of the annual total compensation of all of our employees was $110,985 (excluding our President and Chief Executive Officer (the "CEO") and calculated as discussed below in "Methodology for Identifying Our Median Employee")</w:t>
      </w:r>
    </w:p>
    <w:p>
      <w:pPr>
        <w:spacing w:after="0" w:line="107" w:lineRule="exact"/>
        <w:rPr>
          <w:rFonts w:ascii="Arial" w:cs="Arial" w:eastAsia="Arial" w:hAnsi="Arial"/>
          <w:sz w:val="14"/>
          <w:szCs w:val="14"/>
          <w:color w:val="666666"/>
        </w:rPr>
      </w:pPr>
    </w:p>
    <w:p>
      <w:pPr>
        <w:ind w:left="460" w:hanging="233"/>
        <w:spacing w:after="0"/>
        <w:tabs>
          <w:tab w:leader="none" w:pos="460" w:val="left"/>
        </w:tabs>
        <w:numPr>
          <w:ilvl w:val="0"/>
          <w:numId w:val="48"/>
        </w:numPr>
        <w:rPr>
          <w:rFonts w:ascii="Arial" w:cs="Arial" w:eastAsia="Arial" w:hAnsi="Arial"/>
          <w:sz w:val="14"/>
          <w:szCs w:val="14"/>
          <w:color w:val="666666"/>
        </w:rPr>
      </w:pPr>
      <w:r>
        <w:rPr>
          <w:rFonts w:ascii="Arial" w:cs="Arial" w:eastAsia="Arial" w:hAnsi="Arial"/>
          <w:sz w:val="14"/>
          <w:szCs w:val="14"/>
          <w:color w:val="666666"/>
        </w:rPr>
        <w:t>the annual total compensation of our CEO, as reported in the Summary Compensation Table of the Compensation Discussion and Analysis, was $4,922,357</w:t>
      </w:r>
    </w:p>
    <w:p>
      <w:pPr>
        <w:spacing w:after="0" w:line="165" w:lineRule="exact"/>
        <w:rPr>
          <w:rFonts w:ascii="Arial" w:cs="Arial" w:eastAsia="Arial" w:hAnsi="Arial"/>
          <w:sz w:val="14"/>
          <w:szCs w:val="14"/>
          <w:color w:val="666666"/>
        </w:rPr>
      </w:pPr>
    </w:p>
    <w:p>
      <w:pPr>
        <w:ind w:left="460" w:hanging="233"/>
        <w:spacing w:after="0"/>
        <w:tabs>
          <w:tab w:leader="none" w:pos="460" w:val="left"/>
        </w:tabs>
        <w:numPr>
          <w:ilvl w:val="0"/>
          <w:numId w:val="48"/>
        </w:numPr>
        <w:rPr>
          <w:rFonts w:ascii="Arial" w:cs="Arial" w:eastAsia="Arial" w:hAnsi="Arial"/>
          <w:sz w:val="14"/>
          <w:szCs w:val="14"/>
          <w:color w:val="666666"/>
        </w:rPr>
      </w:pPr>
      <w:r>
        <w:rPr>
          <w:rFonts w:ascii="Arial" w:cs="Arial" w:eastAsia="Arial" w:hAnsi="Arial"/>
          <w:sz w:val="14"/>
          <w:szCs w:val="14"/>
          <w:color w:val="666666"/>
        </w:rPr>
        <w:t>the ratio of the annual total compensation of our CEO to the median of the annual total compensation of all our employees (the "Pay Ratio") was approximately 44 to 1.</w:t>
      </w:r>
    </w:p>
    <w:p>
      <w:pPr>
        <w:spacing w:after="0" w:line="165" w:lineRule="exact"/>
        <w:rPr>
          <w:sz w:val="20"/>
          <w:szCs w:val="20"/>
          <w:color w:val="auto"/>
        </w:rPr>
      </w:pPr>
    </w:p>
    <w:p>
      <w:pPr>
        <w:ind w:right="120" w:firstLine="230"/>
        <w:spacing w:after="0" w:line="264" w:lineRule="auto"/>
        <w:rPr>
          <w:sz w:val="20"/>
          <w:szCs w:val="20"/>
          <w:color w:val="auto"/>
        </w:rPr>
      </w:pPr>
      <w:r>
        <w:rPr>
          <w:rFonts w:ascii="Arial" w:cs="Arial" w:eastAsia="Arial" w:hAnsi="Arial"/>
          <w:sz w:val="14"/>
          <w:szCs w:val="14"/>
          <w:color w:val="666666"/>
        </w:rPr>
        <w:t>The Pay Ratio is a reasonable estimate calculated in a matter consistent with Item 402(u) of Regulation S-K. Additionally, the rules for identifying the "median employee" and calculating the Pay Ratio allow companies to apply various methodologies and assumptions. As a result, the compensation for our median employee and the Pay Ratio reported by us should not be used as a comparison to the information reported by other companies.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547BCC"/>
        </w:rPr>
        <w:t>Methodology for Identifying Our "Median Employee"</w:t>
      </w:r>
    </w:p>
    <w:p>
      <w:pPr>
        <w:spacing w:after="0" w:line="163" w:lineRule="exact"/>
        <w:rPr>
          <w:sz w:val="20"/>
          <w:szCs w:val="20"/>
          <w:color w:val="auto"/>
        </w:rPr>
      </w:pPr>
    </w:p>
    <w:p>
      <w:pPr>
        <w:ind w:right="160" w:firstLine="230"/>
        <w:spacing w:after="0" w:line="251" w:lineRule="auto"/>
        <w:rPr>
          <w:sz w:val="20"/>
          <w:szCs w:val="20"/>
          <w:color w:val="auto"/>
        </w:rPr>
      </w:pPr>
      <w:r>
        <w:rPr>
          <w:rFonts w:ascii="Arial" w:cs="Arial" w:eastAsia="Arial" w:hAnsi="Arial"/>
          <w:sz w:val="14"/>
          <w:szCs w:val="14"/>
          <w:color w:val="666666"/>
        </w:rPr>
        <w:t xml:space="preserve">We determined that, as of March 31, 2018, our total employee population consisted of approximately 25,378 individuals, including our CEO. This population included both full-time and part-time employees, of which approximately 24,475 were aligned to offices in the United States of America (the "U.S.") and 903 were aligned to offices outside of the U.S. As the population outside of the U.S. accounts for less than 5% of our total workforce, we were able to rely on the </w:t>
      </w:r>
      <w:r>
        <w:rPr>
          <w:rFonts w:ascii="Arial" w:cs="Arial" w:eastAsia="Arial" w:hAnsi="Arial"/>
          <w:sz w:val="14"/>
          <w:szCs w:val="14"/>
          <w:i w:val="1"/>
          <w:iCs w:val="1"/>
          <w:color w:val="666666"/>
        </w:rPr>
        <w:t>de minimis</w:t>
      </w:r>
      <w:r>
        <w:rPr>
          <w:rFonts w:ascii="Arial" w:cs="Arial" w:eastAsia="Arial" w:hAnsi="Arial"/>
          <w:sz w:val="14"/>
          <w:szCs w:val="14"/>
          <w:color w:val="666666"/>
        </w:rPr>
        <w:t xml:space="preserve"> exception as permitted under Item 402(u) and exclude this population from our "median employee" calculation. This included employees in Canada (5), Germany (280), Indonesia (16), Italy (11), Japan (85), Kazakhstan (1), Republic of Korea (77), Kuwait (2), Lebanon (12), Pakistan (27), Qatar (3), the Kingdom of Saudi Arabia (120), Singapore (23), the United Arab Emirates (141), and the United Kingdom (100). After excluding this population, as well as our CEO, the resulting adjusted employee population to be used for identifying our "median employee" was 24,474.</w:t>
      </w:r>
    </w:p>
    <w:p>
      <w:pPr>
        <w:spacing w:after="0" w:line="132" w:lineRule="exact"/>
        <w:rPr>
          <w:sz w:val="20"/>
          <w:szCs w:val="20"/>
          <w:color w:val="auto"/>
        </w:rPr>
      </w:pPr>
    </w:p>
    <w:p>
      <w:pPr>
        <w:ind w:right="60" w:firstLine="230"/>
        <w:spacing w:after="0" w:line="264" w:lineRule="auto"/>
        <w:rPr>
          <w:sz w:val="20"/>
          <w:szCs w:val="20"/>
          <w:color w:val="auto"/>
        </w:rPr>
      </w:pPr>
      <w:r>
        <w:rPr>
          <w:rFonts w:ascii="Arial" w:cs="Arial" w:eastAsia="Arial" w:hAnsi="Arial"/>
          <w:sz w:val="14"/>
          <w:szCs w:val="14"/>
          <w:color w:val="666666"/>
        </w:rPr>
        <w:t>We compared the annual salary of our adjusted employee population as reflected in our human resources system of record. This measure was consistently applied to all individuals in the adjusted employee population. This analysis yielded our "approximate median employee," which was two individuals, as our starting population was an even number. For these two individuals, we performed a detailed analysis of the annual total compensation, as discussed below.</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547BCC"/>
        </w:rPr>
        <w:t>Annual Total Compensation Determination</w:t>
      </w:r>
    </w:p>
    <w:p>
      <w:pPr>
        <w:spacing w:after="0" w:line="163"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4"/>
          <w:szCs w:val="14"/>
          <w:color w:val="666666"/>
        </w:rPr>
        <w:t>Upon identifying the two employees, we calculated their annual total compensation for fiscal year 2018 using the same methodology we used for purposes of determining the annual total compensation of our named executive officers for fiscal year 2018 (as set forth in the Summary Compensation Table of the Compensation Discussion and Analysis). Specifically, in addition to the actual salary paid for fiscal year 2018, the calculation of total compensation for the two employees also included Company-paid portions of: health and wellness benefits, qualified retirement plan contributions, tuition reimbursement, and anniversary and recognition awards. After reviewing these items, we selected the employee whose compensation was best representative of our employee population as our median employee.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49</w:t>
      </w:r>
    </w:p>
    <w:p>
      <w:pPr>
        <w:sectPr>
          <w:pgSz w:w="11900" w:h="16838" w:orient="portrait"/>
          <w:cols w:equalWidth="0" w:num="1">
            <w:col w:w="11460"/>
          </w:cols>
          <w:pgMar w:left="220" w:top="443" w:right="219"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547BCC"/>
        </w:rPr>
        <w:t>COMPENSATION COMMITTEE REPORT ON EXECUTIVE COMPENSATION</w:t>
      </w:r>
    </w:p>
    <w:p>
      <w:pPr>
        <w:spacing w:after="0" w:line="126" w:lineRule="exact"/>
        <w:rPr>
          <w:sz w:val="20"/>
          <w:szCs w:val="20"/>
          <w:color w:val="auto"/>
        </w:rPr>
      </w:pPr>
    </w:p>
    <w:p>
      <w:pPr>
        <w:ind w:firstLine="230"/>
        <w:spacing w:after="0" w:line="285" w:lineRule="auto"/>
        <w:rPr>
          <w:sz w:val="20"/>
          <w:szCs w:val="20"/>
          <w:color w:val="auto"/>
        </w:rPr>
      </w:pPr>
      <w:r>
        <w:rPr>
          <w:rFonts w:ascii="Arial" w:cs="Arial" w:eastAsia="Arial" w:hAnsi="Arial"/>
          <w:sz w:val="14"/>
          <w:szCs w:val="14"/>
          <w:color w:val="666666"/>
        </w:rPr>
        <w:t>The Compensation Committee has reviewed and discussed the CD&amp;A included in this proxy statement with members of management, and based on such review and discussions, the Compensation Committee recommended to the Board that the CD&amp;A be included in this proxy statement.</w:t>
      </w:r>
    </w:p>
    <w:p>
      <w:pPr>
        <w:spacing w:after="0" w:line="59" w:lineRule="exact"/>
        <w:rPr>
          <w:sz w:val="20"/>
          <w:szCs w:val="20"/>
          <w:color w:val="auto"/>
        </w:rPr>
      </w:pPr>
    </w:p>
    <w:p>
      <w:pPr>
        <w:ind w:left="4060"/>
        <w:spacing w:after="0"/>
        <w:rPr>
          <w:sz w:val="20"/>
          <w:szCs w:val="20"/>
          <w:color w:val="auto"/>
        </w:rPr>
      </w:pPr>
      <w:r>
        <w:rPr>
          <w:rFonts w:ascii="Arial" w:cs="Arial" w:eastAsia="Arial" w:hAnsi="Arial"/>
          <w:sz w:val="14"/>
          <w:szCs w:val="14"/>
          <w:color w:val="666666"/>
        </w:rPr>
        <w:t>THE COMPENSATION COMMITTEE</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4"/>
          <w:szCs w:val="14"/>
          <w:color w:val="666666"/>
        </w:rPr>
        <w:t>Philip A. Odeen (Chairman)</w:t>
      </w:r>
    </w:p>
    <w:p>
      <w:pPr>
        <w:spacing w:after="0" w:line="20" w:lineRule="exact"/>
        <w:rPr>
          <w:sz w:val="20"/>
          <w:szCs w:val="20"/>
          <w:color w:val="auto"/>
        </w:rPr>
      </w:pPr>
    </w:p>
    <w:p>
      <w:pPr>
        <w:ind w:left="4060"/>
        <w:spacing w:after="0"/>
        <w:rPr>
          <w:sz w:val="20"/>
          <w:szCs w:val="20"/>
          <w:color w:val="auto"/>
        </w:rPr>
      </w:pPr>
      <w:r>
        <w:rPr>
          <w:rFonts w:ascii="Arial" w:cs="Arial" w:eastAsia="Arial" w:hAnsi="Arial"/>
          <w:sz w:val="14"/>
          <w:szCs w:val="14"/>
          <w:color w:val="666666"/>
        </w:rPr>
        <w:t>Melody C. Barnes</w:t>
      </w:r>
    </w:p>
    <w:p>
      <w:pPr>
        <w:spacing w:after="0" w:line="2" w:lineRule="exact"/>
        <w:rPr>
          <w:sz w:val="20"/>
          <w:szCs w:val="20"/>
          <w:color w:val="auto"/>
        </w:rPr>
      </w:pPr>
    </w:p>
    <w:p>
      <w:pPr>
        <w:ind w:left="4060"/>
        <w:spacing w:after="0"/>
        <w:rPr>
          <w:sz w:val="20"/>
          <w:szCs w:val="20"/>
          <w:color w:val="auto"/>
        </w:rPr>
      </w:pPr>
      <w:r>
        <w:rPr>
          <w:rFonts w:ascii="Arial" w:cs="Arial" w:eastAsia="Arial" w:hAnsi="Arial"/>
          <w:sz w:val="14"/>
          <w:szCs w:val="14"/>
          <w:color w:val="666666"/>
        </w:rPr>
        <w:t>Peter Clare</w:t>
      </w:r>
    </w:p>
    <w:p>
      <w:pPr>
        <w:spacing w:after="0" w:line="2" w:lineRule="exact"/>
        <w:rPr>
          <w:sz w:val="20"/>
          <w:szCs w:val="20"/>
          <w:color w:val="auto"/>
        </w:rPr>
      </w:pPr>
    </w:p>
    <w:p>
      <w:pPr>
        <w:ind w:left="4060"/>
        <w:spacing w:after="0"/>
        <w:rPr>
          <w:sz w:val="20"/>
          <w:szCs w:val="20"/>
          <w:color w:val="auto"/>
        </w:rPr>
      </w:pPr>
      <w:r>
        <w:rPr>
          <w:rFonts w:ascii="Arial" w:cs="Arial" w:eastAsia="Arial" w:hAnsi="Arial"/>
          <w:sz w:val="14"/>
          <w:szCs w:val="14"/>
          <w:color w:val="666666"/>
        </w:rPr>
        <w:t>Ian Fujiyama</w:t>
      </w:r>
    </w:p>
    <w:p>
      <w:pPr>
        <w:spacing w:after="0" w:line="2" w:lineRule="exact"/>
        <w:rPr>
          <w:sz w:val="20"/>
          <w:szCs w:val="20"/>
          <w:color w:val="auto"/>
        </w:rPr>
      </w:pPr>
    </w:p>
    <w:p>
      <w:pPr>
        <w:ind w:left="4060"/>
        <w:spacing w:after="0"/>
        <w:rPr>
          <w:sz w:val="20"/>
          <w:szCs w:val="20"/>
          <w:color w:val="auto"/>
        </w:rPr>
      </w:pPr>
      <w:r>
        <w:rPr>
          <w:rFonts w:ascii="Arial" w:cs="Arial" w:eastAsia="Arial" w:hAnsi="Arial"/>
          <w:sz w:val="14"/>
          <w:szCs w:val="14"/>
          <w:color w:val="666666"/>
        </w:rPr>
        <w:t>Gretchen W. McClain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50</w:t>
      </w:r>
    </w:p>
    <w:p>
      <w:pPr>
        <w:sectPr>
          <w:pgSz w:w="11900" w:h="16838" w:orient="portrait"/>
          <w:cols w:equalWidth="0" w:num="1">
            <w:col w:w="11460"/>
          </w:cols>
          <w:pgMar w:left="220" w:top="594" w:right="21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b w:val="1"/>
          <w:bCs w:val="1"/>
          <w:color w:val="547BCC"/>
        </w:rPr>
        <w:t>AUDIT COMMITTEE REPORT</w:t>
      </w:r>
    </w:p>
    <w:p>
      <w:pPr>
        <w:spacing w:after="0" w:line="126"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4"/>
          <w:szCs w:val="14"/>
          <w:color w:val="666666"/>
        </w:rPr>
        <w:t>The Audit Committee is composed of four directors identified below, each of whom is an independent director as defined by the applicable SEC rules and the NYSE listing standards. Three committee members, Mark Gaumond, Joan Amble, and Charles O. Rossotti, have been designated by the Board as “audit committee financial experts” under applicable SEC rules. For further description of each committee member’s background and expertise, please refer to the director qualification section of our proxy statement beginning on page six.</w:t>
      </w:r>
    </w:p>
    <w:p>
      <w:pPr>
        <w:spacing w:after="0" w:line="295" w:lineRule="exact"/>
        <w:rPr>
          <w:sz w:val="20"/>
          <w:szCs w:val="20"/>
          <w:color w:val="auto"/>
        </w:rPr>
      </w:pPr>
    </w:p>
    <w:p>
      <w:pPr>
        <w:ind w:right="60" w:firstLine="230"/>
        <w:spacing w:after="0" w:line="251" w:lineRule="auto"/>
        <w:rPr>
          <w:sz w:val="20"/>
          <w:szCs w:val="20"/>
          <w:color w:val="auto"/>
        </w:rPr>
      </w:pPr>
      <w:r>
        <w:rPr>
          <w:rFonts w:ascii="Arial" w:cs="Arial" w:eastAsia="Arial" w:hAnsi="Arial"/>
          <w:sz w:val="14"/>
          <w:szCs w:val="14"/>
          <w:color w:val="666666"/>
        </w:rPr>
        <w:t>The Audit Committee is responsible for assisting the Board in fulfilling its oversight responsibilities relating to, among other things, the Company’s accounting, auditing, and financial reporting processes, internal controls, compliance with legal and regulatory requirements and its code of ethics and risk management, as discussed more fully in the Audit Committee charter, a copy of which is available on our website, www.boozallen.com. In accordance with its charter, the Audit Committee appoints the Company’s independent registered public accounting firm, E&amp;Y, subject to stockholder ratification, and conducts an annual review of its performance. In addition, the Audit Committee pre-approves all audit and permissible non-audit services provided by E&amp;Y, and the fees for those services. The Audit Committee also oversees the Company’s internal audit function, including its annual audit plan, budget, and staffing. As part of its oversight role, the Audit Committee meets throughout the year, separately and together, with each of management, the Company's internal auditors, and E&amp;Y.</w:t>
      </w:r>
    </w:p>
    <w:p>
      <w:pPr>
        <w:spacing w:after="0" w:line="84" w:lineRule="exact"/>
        <w:rPr>
          <w:sz w:val="20"/>
          <w:szCs w:val="20"/>
          <w:color w:val="auto"/>
        </w:rPr>
      </w:pPr>
    </w:p>
    <w:p>
      <w:pPr>
        <w:jc w:val="both"/>
        <w:ind w:right="20" w:firstLine="230"/>
        <w:spacing w:after="0" w:line="257" w:lineRule="auto"/>
        <w:rPr>
          <w:sz w:val="20"/>
          <w:szCs w:val="20"/>
          <w:color w:val="auto"/>
        </w:rPr>
      </w:pPr>
      <w:r>
        <w:rPr>
          <w:rFonts w:ascii="Arial" w:cs="Arial" w:eastAsia="Arial" w:hAnsi="Arial"/>
          <w:sz w:val="14"/>
          <w:szCs w:val="14"/>
          <w:color w:val="666666"/>
        </w:rPr>
        <w:t>Management has the primary responsibility for the Company's financial statements and accounting and reporting processes, including the systems of internal accounting control. E&amp;Y is responsible for performing an independent audit of the consolidated financial statements in accordance with the standards of the Public Company Accounting Oversight Board (“PCAOB”), and rendering opinions on whether the financial statements are in conformity with accounting principles generally accepted in the United States and the effectiveness of the Company’s internal control over financial reporting.</w:t>
      </w:r>
    </w:p>
    <w:p>
      <w:pPr>
        <w:spacing w:after="0" w:line="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4"/>
          <w:szCs w:val="14"/>
          <w:color w:val="666666"/>
        </w:rPr>
        <w:t xml:space="preserve">The Audit Committee has reviewed and discussed with management of the Company and E&amp;Y, the audited consolidated financial statements of the Company for the fiscal year ended March 31, 2018 (the “Audited Financial Statements”), and their assessment of the effectiveness of internal control over financial reporting. The Audit Committee also reviewed any significant audit findings identified by E&amp;Y, and those identified by the Company's internal auditors as well as management's responses thereto. In addition, the Audit Committee discussed with E&amp;Y the matters required to be discussed under PCAOB Auditing Standard No. 16, </w:t>
      </w:r>
      <w:r>
        <w:rPr>
          <w:rFonts w:ascii="Arial" w:cs="Arial" w:eastAsia="Arial" w:hAnsi="Arial"/>
          <w:sz w:val="14"/>
          <w:szCs w:val="14"/>
          <w:i w:val="1"/>
          <w:iCs w:val="1"/>
          <w:color w:val="666666"/>
        </w:rPr>
        <w:t>Communications with Audit Committees</w:t>
      </w:r>
      <w:r>
        <w:rPr>
          <w:rFonts w:ascii="Arial" w:cs="Arial" w:eastAsia="Arial" w:hAnsi="Arial"/>
          <w:sz w:val="14"/>
          <w:szCs w:val="14"/>
          <w:color w:val="666666"/>
        </w:rPr>
        <w:t>.</w:t>
      </w:r>
    </w:p>
    <w:p>
      <w:pPr>
        <w:spacing w:after="0" w:line="79"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4"/>
          <w:szCs w:val="14"/>
          <w:color w:val="666666"/>
        </w:rPr>
        <w:t>The Audit Committee has also: (i) considered whether non-audit services provided by E&amp;Y are compatible with its independence; (ii) received the written disclosures and the letter from E&amp;Y required by the applicable requirements of the PCAOB regarding E&amp;Y’s communications with the Audit Committee concerning independence; and (iii) discussed with E&amp;Y its independence.</w:t>
      </w:r>
    </w:p>
    <w:p>
      <w:pPr>
        <w:spacing w:after="0" w:line="74" w:lineRule="exact"/>
        <w:rPr>
          <w:sz w:val="20"/>
          <w:szCs w:val="20"/>
          <w:color w:val="auto"/>
        </w:rPr>
      </w:pPr>
    </w:p>
    <w:p>
      <w:pPr>
        <w:jc w:val="both"/>
        <w:ind w:right="20" w:firstLine="230"/>
        <w:spacing w:after="0" w:line="285" w:lineRule="auto"/>
        <w:rPr>
          <w:sz w:val="20"/>
          <w:szCs w:val="20"/>
          <w:color w:val="auto"/>
        </w:rPr>
      </w:pPr>
      <w:r>
        <w:rPr>
          <w:rFonts w:ascii="Arial" w:cs="Arial" w:eastAsia="Arial" w:hAnsi="Arial"/>
          <w:sz w:val="14"/>
          <w:szCs w:val="14"/>
          <w:color w:val="666666"/>
        </w:rPr>
        <w:t>Based on the reviews and discussions described above, the Audit Committee recommended to the Board that the Audited Financial Statements be included in our Annual Report on Form 10-K for the fiscal year ended March 31, 2018 for filing with the SEC.</w:t>
      </w:r>
    </w:p>
    <w:p>
      <w:pPr>
        <w:spacing w:after="0" w:line="59" w:lineRule="exact"/>
        <w:rPr>
          <w:sz w:val="20"/>
          <w:szCs w:val="20"/>
          <w:color w:val="auto"/>
        </w:rPr>
      </w:pPr>
    </w:p>
    <w:p>
      <w:pPr>
        <w:ind w:left="4060"/>
        <w:spacing w:after="0"/>
        <w:rPr>
          <w:sz w:val="20"/>
          <w:szCs w:val="20"/>
          <w:color w:val="auto"/>
        </w:rPr>
      </w:pPr>
      <w:r>
        <w:rPr>
          <w:rFonts w:ascii="Arial" w:cs="Arial" w:eastAsia="Arial" w:hAnsi="Arial"/>
          <w:sz w:val="14"/>
          <w:szCs w:val="14"/>
          <w:color w:val="666666"/>
        </w:rPr>
        <w:t>THE AUDIT COMMITTEE</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4"/>
          <w:szCs w:val="14"/>
          <w:color w:val="666666"/>
        </w:rPr>
        <w:t>Mark Gaumond (Chairman)</w:t>
      </w:r>
    </w:p>
    <w:p>
      <w:pPr>
        <w:spacing w:after="0" w:line="20" w:lineRule="exact"/>
        <w:rPr>
          <w:sz w:val="20"/>
          <w:szCs w:val="20"/>
          <w:color w:val="auto"/>
        </w:rPr>
      </w:pPr>
    </w:p>
    <w:p>
      <w:pPr>
        <w:ind w:left="4060"/>
        <w:spacing w:after="0"/>
        <w:rPr>
          <w:sz w:val="20"/>
          <w:szCs w:val="20"/>
          <w:color w:val="auto"/>
        </w:rPr>
      </w:pPr>
      <w:r>
        <w:rPr>
          <w:rFonts w:ascii="Arial" w:cs="Arial" w:eastAsia="Arial" w:hAnsi="Arial"/>
          <w:sz w:val="14"/>
          <w:szCs w:val="14"/>
          <w:color w:val="666666"/>
        </w:rPr>
        <w:t>Joan Lordi C. Amble</w:t>
      </w:r>
    </w:p>
    <w:p>
      <w:pPr>
        <w:spacing w:after="0" w:line="2" w:lineRule="exact"/>
        <w:rPr>
          <w:sz w:val="20"/>
          <w:szCs w:val="20"/>
          <w:color w:val="auto"/>
        </w:rPr>
      </w:pPr>
    </w:p>
    <w:p>
      <w:pPr>
        <w:ind w:left="4060"/>
        <w:spacing w:after="0"/>
        <w:rPr>
          <w:sz w:val="20"/>
          <w:szCs w:val="20"/>
          <w:color w:val="auto"/>
        </w:rPr>
      </w:pPr>
      <w:r>
        <w:rPr>
          <w:rFonts w:ascii="Arial" w:cs="Arial" w:eastAsia="Arial" w:hAnsi="Arial"/>
          <w:sz w:val="14"/>
          <w:szCs w:val="14"/>
          <w:color w:val="666666"/>
        </w:rPr>
        <w:t>Arthur E. Johnson</w:t>
      </w:r>
    </w:p>
    <w:p>
      <w:pPr>
        <w:spacing w:after="0" w:line="2" w:lineRule="exact"/>
        <w:rPr>
          <w:sz w:val="20"/>
          <w:szCs w:val="20"/>
          <w:color w:val="auto"/>
        </w:rPr>
      </w:pPr>
    </w:p>
    <w:p>
      <w:pPr>
        <w:ind w:left="4060"/>
        <w:spacing w:after="0"/>
        <w:rPr>
          <w:sz w:val="20"/>
          <w:szCs w:val="20"/>
          <w:color w:val="auto"/>
        </w:rPr>
      </w:pPr>
      <w:r>
        <w:rPr>
          <w:rFonts w:ascii="Arial" w:cs="Arial" w:eastAsia="Arial" w:hAnsi="Arial"/>
          <w:sz w:val="14"/>
          <w:szCs w:val="14"/>
          <w:color w:val="666666"/>
        </w:rPr>
        <w:t>Charles O. Rossotti</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51</w:t>
      </w:r>
    </w:p>
    <w:p>
      <w:pPr>
        <w:sectPr>
          <w:pgSz w:w="11900" w:h="16838" w:orient="portrait"/>
          <w:cols w:equalWidth="0" w:num="1">
            <w:col w:w="11480"/>
          </w:cols>
          <w:pgMar w:left="220" w:top="441" w:right="19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547BCC"/>
        </w:rPr>
        <w:t>PRE-APPROVAL OF SERVICES BY INDEPENDENT REGISTERED ACCOUNTING FIRM</w:t>
      </w:r>
    </w:p>
    <w:p>
      <w:pPr>
        <w:spacing w:after="0" w:line="126"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4"/>
          <w:szCs w:val="14"/>
          <w:color w:val="666666"/>
        </w:rPr>
        <w:t>The Audit Committee pre-approves all audit, audit-related, tax, and other services performed by our independent auditors. The Audit Committee pre-approves specific categories of services up to pre-established fee thresholds. Unless the type of service had previously been pre-approved, the Audit Committee must approve that specific service before the independent auditors may perform it. In addition, separate approval is required if the amount of fees for any pre-approved category of service exceeds the fee thresholds established by the Audit Committee. The Audit Committee has delegated to the chair of the committee pre-approval authority with respect to permitted services, provided that the chair must report any pre-approval decisions to the Audit Committee at its next scheduled meeting. All fees described below were pre-approved by the Audit Committee.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52</w:t>
      </w:r>
    </w:p>
    <w:p>
      <w:pPr>
        <w:sectPr>
          <w:pgSz w:w="11900" w:h="16838" w:orient="portrait"/>
          <w:cols w:equalWidth="0" w:num="1">
            <w:col w:w="11480"/>
          </w:cols>
          <w:pgMar w:left="220" w:top="556" w:right="199" w:bottom="1440" w:gutter="0" w:footer="0" w:header="0"/>
        </w:sectPr>
      </w:pPr>
    </w:p>
    <w:bookmarkStart w:id="61" w:name="page62"/>
    <w:bookmarkEnd w:id="61"/>
    <w:p>
      <w:pPr>
        <w:ind w:left="2400"/>
        <w:spacing w:after="0"/>
        <w:rPr>
          <w:sz w:val="20"/>
          <w:szCs w:val="20"/>
          <w:color w:val="auto"/>
        </w:rPr>
      </w:pPr>
      <w:r>
        <w:rPr>
          <w:rFonts w:ascii="Arial" w:cs="Arial" w:eastAsia="Arial" w:hAnsi="Arial"/>
          <w:sz w:val="22"/>
          <w:szCs w:val="22"/>
          <w:b w:val="1"/>
          <w:bCs w:val="1"/>
          <w:color w:val="547BCC"/>
        </w:rPr>
        <w:t>INDEPENDENT REGISTERED PUBLIC ACCOUNTING FIRM FEES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4"/>
          <w:szCs w:val="14"/>
          <w:color w:val="5E5E61"/>
        </w:rPr>
        <w:t>The following table presents the Company’s fees for services performed by its principal accounting firm, E&amp;Y, during fiscal years 2018 and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shd w:val="clear" w:color="auto" w:fill="D8D8D8"/>
          </w:tcPr>
          <w:p>
            <w:pPr>
              <w:spacing w:after="0"/>
              <w:rPr>
                <w:sz w:val="20"/>
                <w:szCs w:val="20"/>
                <w:color w:val="auto"/>
              </w:rPr>
            </w:pPr>
            <w:r>
              <w:rPr>
                <w:rFonts w:ascii="Arial" w:cs="Arial" w:eastAsia="Arial" w:hAnsi="Arial"/>
                <w:sz w:val="10"/>
                <w:szCs w:val="10"/>
                <w:b w:val="1"/>
                <w:bCs w:val="1"/>
                <w:color w:val="666666"/>
              </w:rPr>
              <w:t>(Amounts in thousands)</w:t>
            </w:r>
          </w:p>
        </w:tc>
        <w:tc>
          <w:tcPr>
            <w:tcW w:w="480" w:type="dxa"/>
            <w:vAlign w:val="bottom"/>
            <w:tcBorders>
              <w:bottom w:val="single" w:sz="8" w:color="666666"/>
            </w:tcBorders>
            <w:shd w:val="clear" w:color="auto" w:fill="D8D8D8"/>
          </w:tcPr>
          <w:p>
            <w:pPr>
              <w:spacing w:after="0"/>
              <w:rPr>
                <w:sz w:val="16"/>
                <w:szCs w:val="16"/>
                <w:color w:val="auto"/>
              </w:rPr>
            </w:pPr>
          </w:p>
        </w:tc>
        <w:tc>
          <w:tcPr>
            <w:tcW w:w="1520" w:type="dxa"/>
            <w:vAlign w:val="bottom"/>
            <w:tcBorders>
              <w:bottom w:val="single" w:sz="8" w:color="666666"/>
            </w:tcBorders>
            <w:shd w:val="clear" w:color="auto" w:fill="D8D8D8"/>
          </w:tcPr>
          <w:p>
            <w:pPr>
              <w:jc w:val="right"/>
              <w:ind w:right="829"/>
              <w:spacing w:after="0"/>
              <w:rPr>
                <w:sz w:val="20"/>
                <w:szCs w:val="20"/>
                <w:color w:val="auto"/>
              </w:rPr>
            </w:pPr>
            <w:r>
              <w:rPr>
                <w:rFonts w:ascii="Arial" w:cs="Arial" w:eastAsia="Arial" w:hAnsi="Arial"/>
                <w:sz w:val="10"/>
                <w:szCs w:val="10"/>
                <w:b w:val="1"/>
                <w:bCs w:val="1"/>
                <w:color w:val="666666"/>
              </w:rPr>
              <w:t>2018</w:t>
            </w:r>
          </w:p>
        </w:tc>
        <w:tc>
          <w:tcPr>
            <w:tcW w:w="120" w:type="dxa"/>
            <w:vAlign w:val="bottom"/>
            <w:shd w:val="clear" w:color="auto" w:fill="D8D8D8"/>
          </w:tcPr>
          <w:p>
            <w:pPr>
              <w:spacing w:after="0"/>
              <w:rPr>
                <w:sz w:val="16"/>
                <w:szCs w:val="16"/>
                <w:color w:val="auto"/>
              </w:rPr>
            </w:pPr>
          </w:p>
        </w:tc>
        <w:tc>
          <w:tcPr>
            <w:tcW w:w="440" w:type="dxa"/>
            <w:vAlign w:val="bottom"/>
            <w:tcBorders>
              <w:bottom w:val="single" w:sz="8" w:color="666666"/>
            </w:tcBorders>
            <w:shd w:val="clear" w:color="auto" w:fill="D8D8D8"/>
          </w:tcPr>
          <w:p>
            <w:pPr>
              <w:spacing w:after="0"/>
              <w:rPr>
                <w:sz w:val="16"/>
                <w:szCs w:val="16"/>
                <w:color w:val="auto"/>
              </w:rPr>
            </w:pPr>
          </w:p>
        </w:tc>
        <w:tc>
          <w:tcPr>
            <w:tcW w:w="1440" w:type="dxa"/>
            <w:vAlign w:val="bottom"/>
            <w:tcBorders>
              <w:bottom w:val="single" w:sz="8" w:color="666666"/>
            </w:tcBorders>
            <w:shd w:val="clear" w:color="auto" w:fill="D8D8D8"/>
          </w:tcPr>
          <w:p>
            <w:pPr>
              <w:jc w:val="right"/>
              <w:ind w:right="789"/>
              <w:spacing w:after="0"/>
              <w:rPr>
                <w:sz w:val="20"/>
                <w:szCs w:val="20"/>
                <w:color w:val="auto"/>
              </w:rPr>
            </w:pPr>
            <w:r>
              <w:rPr>
                <w:rFonts w:ascii="Arial" w:cs="Arial" w:eastAsia="Arial" w:hAnsi="Arial"/>
                <w:sz w:val="10"/>
                <w:szCs w:val="10"/>
                <w:b w:val="1"/>
                <w:bCs w:val="1"/>
                <w:color w:val="666666"/>
              </w:rPr>
              <w:t>2017</w:t>
            </w:r>
          </w:p>
        </w:tc>
      </w:tr>
      <w:tr>
        <w:trPr>
          <w:trHeight w:val="172"/>
        </w:trPr>
        <w:tc>
          <w:tcPr>
            <w:tcW w:w="7160" w:type="dxa"/>
            <w:vAlign w:val="bottom"/>
          </w:tcPr>
          <w:p>
            <w:pPr>
              <w:ind w:left="20"/>
              <w:spacing w:after="0" w:line="172" w:lineRule="exact"/>
              <w:rPr>
                <w:sz w:val="20"/>
                <w:szCs w:val="20"/>
                <w:color w:val="auto"/>
              </w:rPr>
            </w:pPr>
            <w:r>
              <w:rPr>
                <w:rFonts w:ascii="Arial" w:cs="Arial" w:eastAsia="Arial" w:hAnsi="Arial"/>
                <w:sz w:val="10"/>
                <w:szCs w:val="10"/>
                <w:color w:val="666666"/>
              </w:rPr>
              <w:t>Audit fees</w:t>
            </w:r>
            <w:r>
              <w:rPr>
                <w:rFonts w:ascii="Arial" w:cs="Arial" w:eastAsia="Arial" w:hAnsi="Arial"/>
                <w:sz w:val="17"/>
                <w:szCs w:val="17"/>
                <w:color w:val="666666"/>
                <w:vertAlign w:val="superscript"/>
              </w:rPr>
              <w:t>(1)</w:t>
            </w:r>
          </w:p>
        </w:tc>
        <w:tc>
          <w:tcPr>
            <w:tcW w:w="480" w:type="dxa"/>
            <w:vAlign w:val="bottom"/>
          </w:tcPr>
          <w:p>
            <w:pPr>
              <w:jc w:val="right"/>
              <w:ind w:right="369"/>
              <w:spacing w:after="0"/>
              <w:rPr>
                <w:sz w:val="20"/>
                <w:szCs w:val="20"/>
                <w:color w:val="auto"/>
              </w:rPr>
            </w:pPr>
            <w:r>
              <w:rPr>
                <w:rFonts w:ascii="Arial" w:cs="Arial" w:eastAsia="Arial" w:hAnsi="Arial"/>
                <w:sz w:val="10"/>
                <w:szCs w:val="10"/>
                <w:color w:val="666666"/>
                <w:w w:val="71"/>
              </w:rPr>
              <w:t>$</w:t>
            </w:r>
          </w:p>
        </w:tc>
        <w:tc>
          <w:tcPr>
            <w:tcW w:w="1520" w:type="dxa"/>
            <w:vAlign w:val="bottom"/>
          </w:tcPr>
          <w:p>
            <w:pPr>
              <w:jc w:val="right"/>
              <w:ind w:right="49"/>
              <w:spacing w:after="0"/>
              <w:rPr>
                <w:sz w:val="20"/>
                <w:szCs w:val="20"/>
                <w:color w:val="auto"/>
              </w:rPr>
            </w:pPr>
            <w:r>
              <w:rPr>
                <w:rFonts w:ascii="Arial" w:cs="Arial" w:eastAsia="Arial" w:hAnsi="Arial"/>
                <w:sz w:val="10"/>
                <w:szCs w:val="10"/>
                <w:color w:val="666666"/>
              </w:rPr>
              <w:t>3,855</w:t>
            </w:r>
          </w:p>
        </w:tc>
        <w:tc>
          <w:tcPr>
            <w:tcW w:w="120" w:type="dxa"/>
            <w:vAlign w:val="bottom"/>
          </w:tcPr>
          <w:p>
            <w:pPr>
              <w:spacing w:after="0"/>
              <w:rPr>
                <w:sz w:val="14"/>
                <w:szCs w:val="14"/>
                <w:color w:val="auto"/>
              </w:rPr>
            </w:pPr>
          </w:p>
        </w:tc>
        <w:tc>
          <w:tcPr>
            <w:tcW w:w="440" w:type="dxa"/>
            <w:vAlign w:val="bottom"/>
          </w:tcPr>
          <w:p>
            <w:pPr>
              <w:jc w:val="right"/>
              <w:ind w:right="329"/>
              <w:spacing w:after="0"/>
              <w:rPr>
                <w:sz w:val="20"/>
                <w:szCs w:val="20"/>
                <w:color w:val="auto"/>
              </w:rPr>
            </w:pPr>
            <w:r>
              <w:rPr>
                <w:rFonts w:ascii="Arial" w:cs="Arial" w:eastAsia="Arial" w:hAnsi="Arial"/>
                <w:sz w:val="10"/>
                <w:szCs w:val="10"/>
                <w:color w:val="666666"/>
                <w:w w:val="71"/>
              </w:rPr>
              <w:t>$</w:t>
            </w:r>
          </w:p>
        </w:tc>
        <w:tc>
          <w:tcPr>
            <w:tcW w:w="1440" w:type="dxa"/>
            <w:vAlign w:val="bottom"/>
          </w:tcPr>
          <w:p>
            <w:pPr>
              <w:jc w:val="right"/>
              <w:ind w:right="69"/>
              <w:spacing w:after="0"/>
              <w:rPr>
                <w:sz w:val="20"/>
                <w:szCs w:val="20"/>
                <w:color w:val="auto"/>
              </w:rPr>
            </w:pPr>
            <w:r>
              <w:rPr>
                <w:rFonts w:ascii="Arial" w:cs="Arial" w:eastAsia="Arial" w:hAnsi="Arial"/>
                <w:sz w:val="10"/>
                <w:szCs w:val="10"/>
                <w:color w:val="666666"/>
              </w:rPr>
              <w:t>3,960</w:t>
            </w:r>
          </w:p>
        </w:tc>
      </w:tr>
      <w:tr>
        <w:trPr>
          <w:trHeight w:val="192"/>
        </w:trPr>
        <w:tc>
          <w:tcPr>
            <w:tcW w:w="7160" w:type="dxa"/>
            <w:vAlign w:val="bottom"/>
            <w:shd w:val="clear" w:color="auto" w:fill="D8D8D8"/>
          </w:tcPr>
          <w:p>
            <w:pPr>
              <w:ind w:left="20"/>
              <w:spacing w:after="0"/>
              <w:rPr>
                <w:sz w:val="20"/>
                <w:szCs w:val="20"/>
                <w:color w:val="auto"/>
              </w:rPr>
            </w:pPr>
            <w:r>
              <w:rPr>
                <w:rFonts w:ascii="Arial" w:cs="Arial" w:eastAsia="Arial" w:hAnsi="Arial"/>
                <w:sz w:val="10"/>
                <w:szCs w:val="10"/>
                <w:color w:val="666666"/>
              </w:rPr>
              <w:t>Audit-related fees</w:t>
            </w:r>
          </w:p>
        </w:tc>
        <w:tc>
          <w:tcPr>
            <w:tcW w:w="480" w:type="dxa"/>
            <w:vAlign w:val="bottom"/>
            <w:shd w:val="clear" w:color="auto" w:fill="D8D8D8"/>
          </w:tcPr>
          <w:p>
            <w:pPr>
              <w:spacing w:after="0"/>
              <w:rPr>
                <w:sz w:val="16"/>
                <w:szCs w:val="16"/>
                <w:color w:val="auto"/>
              </w:rPr>
            </w:pPr>
          </w:p>
        </w:tc>
        <w:tc>
          <w:tcPr>
            <w:tcW w:w="1640" w:type="dxa"/>
            <w:vAlign w:val="bottom"/>
            <w:gridSpan w:val="2"/>
            <w:shd w:val="clear" w:color="auto" w:fill="D8D8D8"/>
          </w:tcPr>
          <w:p>
            <w:pPr>
              <w:jc w:val="right"/>
              <w:ind w:right="220"/>
              <w:spacing w:after="0"/>
              <w:rPr>
                <w:sz w:val="20"/>
                <w:szCs w:val="20"/>
                <w:color w:val="auto"/>
              </w:rPr>
            </w:pPr>
            <w:r>
              <w:rPr>
                <w:rFonts w:ascii="Arial" w:cs="Arial" w:eastAsia="Arial" w:hAnsi="Arial"/>
                <w:sz w:val="10"/>
                <w:szCs w:val="10"/>
                <w:color w:val="666666"/>
              </w:rPr>
              <w:t>—</w:t>
            </w:r>
          </w:p>
        </w:tc>
        <w:tc>
          <w:tcPr>
            <w:tcW w:w="440" w:type="dxa"/>
            <w:vAlign w:val="bottom"/>
            <w:shd w:val="clear" w:color="auto" w:fill="D8D8D8"/>
          </w:tcPr>
          <w:p>
            <w:pPr>
              <w:spacing w:after="0"/>
              <w:rPr>
                <w:sz w:val="16"/>
                <w:szCs w:val="16"/>
                <w:color w:val="auto"/>
              </w:rPr>
            </w:pPr>
          </w:p>
        </w:tc>
        <w:tc>
          <w:tcPr>
            <w:tcW w:w="1440" w:type="dxa"/>
            <w:vAlign w:val="bottom"/>
            <w:shd w:val="clear" w:color="auto" w:fill="D8D8D8"/>
          </w:tcPr>
          <w:p>
            <w:pPr>
              <w:jc w:val="right"/>
              <w:ind w:right="69"/>
              <w:spacing w:after="0"/>
              <w:rPr>
                <w:sz w:val="20"/>
                <w:szCs w:val="20"/>
                <w:color w:val="auto"/>
              </w:rPr>
            </w:pPr>
            <w:r>
              <w:rPr>
                <w:rFonts w:ascii="Arial" w:cs="Arial" w:eastAsia="Arial" w:hAnsi="Arial"/>
                <w:sz w:val="10"/>
                <w:szCs w:val="10"/>
                <w:color w:val="666666"/>
              </w:rPr>
              <w:t>—</w:t>
            </w:r>
          </w:p>
        </w:tc>
      </w:tr>
      <w:tr>
        <w:trPr>
          <w:trHeight w:val="192"/>
        </w:trPr>
        <w:tc>
          <w:tcPr>
            <w:tcW w:w="7160" w:type="dxa"/>
            <w:vAlign w:val="bottom"/>
          </w:tcPr>
          <w:p>
            <w:pPr>
              <w:ind w:left="20"/>
              <w:spacing w:after="0" w:line="192" w:lineRule="exact"/>
              <w:rPr>
                <w:sz w:val="20"/>
                <w:szCs w:val="20"/>
                <w:color w:val="auto"/>
              </w:rPr>
            </w:pPr>
            <w:r>
              <w:rPr>
                <w:rFonts w:ascii="Arial" w:cs="Arial" w:eastAsia="Arial" w:hAnsi="Arial"/>
                <w:sz w:val="10"/>
                <w:szCs w:val="10"/>
                <w:color w:val="666666"/>
              </w:rPr>
              <w:t>Tax fees</w:t>
            </w:r>
            <w:r>
              <w:rPr>
                <w:rFonts w:ascii="Arial" w:cs="Arial" w:eastAsia="Arial" w:hAnsi="Arial"/>
                <w:sz w:val="17"/>
                <w:szCs w:val="17"/>
                <w:color w:val="666666"/>
                <w:vertAlign w:val="superscript"/>
              </w:rPr>
              <w:t>(2)</w:t>
            </w:r>
          </w:p>
        </w:tc>
        <w:tc>
          <w:tcPr>
            <w:tcW w:w="480" w:type="dxa"/>
            <w:vAlign w:val="bottom"/>
          </w:tcPr>
          <w:p>
            <w:pPr>
              <w:jc w:val="right"/>
              <w:ind w:right="369"/>
              <w:spacing w:after="0"/>
              <w:rPr>
                <w:sz w:val="20"/>
                <w:szCs w:val="20"/>
                <w:color w:val="auto"/>
              </w:rPr>
            </w:pPr>
            <w:r>
              <w:rPr>
                <w:rFonts w:ascii="Arial" w:cs="Arial" w:eastAsia="Arial" w:hAnsi="Arial"/>
                <w:sz w:val="10"/>
                <w:szCs w:val="10"/>
                <w:color w:val="666666"/>
                <w:w w:val="71"/>
              </w:rPr>
              <w:t>$</w:t>
            </w:r>
          </w:p>
        </w:tc>
        <w:tc>
          <w:tcPr>
            <w:tcW w:w="1520" w:type="dxa"/>
            <w:vAlign w:val="bottom"/>
          </w:tcPr>
          <w:p>
            <w:pPr>
              <w:jc w:val="right"/>
              <w:ind w:right="49"/>
              <w:spacing w:after="0"/>
              <w:rPr>
                <w:sz w:val="20"/>
                <w:szCs w:val="20"/>
                <w:color w:val="auto"/>
              </w:rPr>
            </w:pPr>
            <w:r>
              <w:rPr>
                <w:rFonts w:ascii="Arial" w:cs="Arial" w:eastAsia="Arial" w:hAnsi="Arial"/>
                <w:sz w:val="10"/>
                <w:szCs w:val="10"/>
                <w:color w:val="666666"/>
              </w:rPr>
              <w:t>942</w:t>
            </w:r>
          </w:p>
        </w:tc>
        <w:tc>
          <w:tcPr>
            <w:tcW w:w="120" w:type="dxa"/>
            <w:vAlign w:val="bottom"/>
          </w:tcPr>
          <w:p>
            <w:pPr>
              <w:spacing w:after="0"/>
              <w:rPr>
                <w:sz w:val="16"/>
                <w:szCs w:val="16"/>
                <w:color w:val="auto"/>
              </w:rPr>
            </w:pPr>
          </w:p>
        </w:tc>
        <w:tc>
          <w:tcPr>
            <w:tcW w:w="440" w:type="dxa"/>
            <w:vAlign w:val="bottom"/>
          </w:tcPr>
          <w:p>
            <w:pPr>
              <w:jc w:val="right"/>
              <w:ind w:right="329"/>
              <w:spacing w:after="0"/>
              <w:rPr>
                <w:sz w:val="20"/>
                <w:szCs w:val="20"/>
                <w:color w:val="auto"/>
              </w:rPr>
            </w:pPr>
            <w:r>
              <w:rPr>
                <w:rFonts w:ascii="Arial" w:cs="Arial" w:eastAsia="Arial" w:hAnsi="Arial"/>
                <w:sz w:val="10"/>
                <w:szCs w:val="10"/>
                <w:color w:val="666666"/>
                <w:w w:val="71"/>
              </w:rPr>
              <w:t>$</w:t>
            </w:r>
          </w:p>
        </w:tc>
        <w:tc>
          <w:tcPr>
            <w:tcW w:w="1440" w:type="dxa"/>
            <w:vAlign w:val="bottom"/>
          </w:tcPr>
          <w:p>
            <w:pPr>
              <w:jc w:val="right"/>
              <w:ind w:right="69"/>
              <w:spacing w:after="0"/>
              <w:rPr>
                <w:sz w:val="20"/>
                <w:szCs w:val="20"/>
                <w:color w:val="auto"/>
              </w:rPr>
            </w:pPr>
            <w:r>
              <w:rPr>
                <w:rFonts w:ascii="Arial" w:cs="Arial" w:eastAsia="Arial" w:hAnsi="Arial"/>
                <w:sz w:val="10"/>
                <w:szCs w:val="10"/>
                <w:color w:val="666666"/>
              </w:rPr>
              <w:t>768</w:t>
            </w:r>
          </w:p>
        </w:tc>
      </w:tr>
      <w:tr>
        <w:trPr>
          <w:trHeight w:val="192"/>
        </w:trPr>
        <w:tc>
          <w:tcPr>
            <w:tcW w:w="716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0"/>
                <w:szCs w:val="10"/>
                <w:color w:val="666666"/>
              </w:rPr>
              <w:t>All other fees</w:t>
            </w:r>
          </w:p>
        </w:tc>
        <w:tc>
          <w:tcPr>
            <w:tcW w:w="480" w:type="dxa"/>
            <w:vAlign w:val="bottom"/>
            <w:tcBorders>
              <w:bottom w:val="single" w:sz="8" w:color="D8D8D8"/>
            </w:tcBorders>
            <w:shd w:val="clear" w:color="auto" w:fill="D8D8D8"/>
          </w:tcPr>
          <w:p>
            <w:pPr>
              <w:spacing w:after="0"/>
              <w:rPr>
                <w:sz w:val="16"/>
                <w:szCs w:val="16"/>
                <w:color w:val="auto"/>
              </w:rPr>
            </w:pPr>
          </w:p>
        </w:tc>
        <w:tc>
          <w:tcPr>
            <w:tcW w:w="1640" w:type="dxa"/>
            <w:vAlign w:val="bottom"/>
            <w:tcBorders>
              <w:bottom w:val="single" w:sz="8" w:color="D8D8D8"/>
            </w:tcBorders>
            <w:gridSpan w:val="2"/>
            <w:shd w:val="clear" w:color="auto" w:fill="D8D8D8"/>
          </w:tcPr>
          <w:p>
            <w:pPr>
              <w:jc w:val="right"/>
              <w:ind w:right="220"/>
              <w:spacing w:after="0"/>
              <w:rPr>
                <w:sz w:val="20"/>
                <w:szCs w:val="20"/>
                <w:color w:val="auto"/>
              </w:rPr>
            </w:pPr>
            <w:r>
              <w:rPr>
                <w:rFonts w:ascii="Arial" w:cs="Arial" w:eastAsia="Arial" w:hAnsi="Arial"/>
                <w:sz w:val="10"/>
                <w:szCs w:val="10"/>
                <w:color w:val="666666"/>
              </w:rPr>
              <w:t>—</w:t>
            </w:r>
          </w:p>
        </w:tc>
        <w:tc>
          <w:tcPr>
            <w:tcW w:w="440" w:type="dxa"/>
            <w:vAlign w:val="bottom"/>
            <w:tcBorders>
              <w:bottom w:val="single" w:sz="8" w:color="D8D8D8"/>
            </w:tcBorders>
            <w:shd w:val="clear" w:color="auto" w:fill="D8D8D8"/>
          </w:tcPr>
          <w:p>
            <w:pPr>
              <w:spacing w:after="0"/>
              <w:rPr>
                <w:sz w:val="16"/>
                <w:szCs w:val="16"/>
                <w:color w:val="auto"/>
              </w:rPr>
            </w:pPr>
          </w:p>
        </w:tc>
        <w:tc>
          <w:tcPr>
            <w:tcW w:w="1440" w:type="dxa"/>
            <w:vAlign w:val="bottom"/>
            <w:tcBorders>
              <w:bottom w:val="single" w:sz="8" w:color="D8D8D8"/>
            </w:tcBorders>
            <w:shd w:val="clear" w:color="auto" w:fill="D8D8D8"/>
          </w:tcPr>
          <w:p>
            <w:pPr>
              <w:jc w:val="right"/>
              <w:ind w:right="69"/>
              <w:spacing w:after="0"/>
              <w:rPr>
                <w:sz w:val="20"/>
                <w:szCs w:val="20"/>
                <w:color w:val="auto"/>
              </w:rPr>
            </w:pPr>
            <w:r>
              <w:rPr>
                <w:rFonts w:ascii="Arial" w:cs="Arial" w:eastAsia="Arial" w:hAnsi="Arial"/>
                <w:sz w:val="10"/>
                <w:szCs w:val="10"/>
                <w:color w:val="666666"/>
              </w:rPr>
              <w:t>—</w:t>
            </w:r>
          </w:p>
        </w:tc>
      </w:tr>
      <w:tr>
        <w:trPr>
          <w:trHeight w:val="156"/>
        </w:trPr>
        <w:tc>
          <w:tcPr>
            <w:tcW w:w="7160" w:type="dxa"/>
            <w:vAlign w:val="bottom"/>
          </w:tcPr>
          <w:p>
            <w:pPr>
              <w:ind w:left="20"/>
              <w:spacing w:after="0"/>
              <w:rPr>
                <w:sz w:val="20"/>
                <w:szCs w:val="20"/>
                <w:color w:val="auto"/>
              </w:rPr>
            </w:pPr>
            <w:r>
              <w:rPr>
                <w:rFonts w:ascii="Arial" w:cs="Arial" w:eastAsia="Arial" w:hAnsi="Arial"/>
                <w:sz w:val="10"/>
                <w:szCs w:val="10"/>
                <w:color w:val="666666"/>
              </w:rPr>
              <w:t>Total</w:t>
            </w:r>
          </w:p>
        </w:tc>
        <w:tc>
          <w:tcPr>
            <w:tcW w:w="480" w:type="dxa"/>
            <w:vAlign w:val="bottom"/>
            <w:tcBorders>
              <w:top w:val="single" w:sz="8" w:color="666666"/>
            </w:tcBorders>
          </w:tcPr>
          <w:p>
            <w:pPr>
              <w:jc w:val="right"/>
              <w:ind w:right="369"/>
              <w:spacing w:after="0"/>
              <w:rPr>
                <w:sz w:val="20"/>
                <w:szCs w:val="20"/>
                <w:color w:val="auto"/>
              </w:rPr>
            </w:pPr>
            <w:r>
              <w:rPr>
                <w:rFonts w:ascii="Arial" w:cs="Arial" w:eastAsia="Arial" w:hAnsi="Arial"/>
                <w:sz w:val="10"/>
                <w:szCs w:val="10"/>
                <w:color w:val="666666"/>
                <w:w w:val="71"/>
              </w:rPr>
              <w:t>$</w:t>
            </w:r>
          </w:p>
        </w:tc>
        <w:tc>
          <w:tcPr>
            <w:tcW w:w="1520" w:type="dxa"/>
            <w:vAlign w:val="bottom"/>
            <w:tcBorders>
              <w:top w:val="single" w:sz="8" w:color="666666"/>
            </w:tcBorders>
          </w:tcPr>
          <w:p>
            <w:pPr>
              <w:jc w:val="right"/>
              <w:ind w:right="49"/>
              <w:spacing w:after="0"/>
              <w:rPr>
                <w:sz w:val="20"/>
                <w:szCs w:val="20"/>
                <w:color w:val="auto"/>
              </w:rPr>
            </w:pPr>
            <w:r>
              <w:rPr>
                <w:rFonts w:ascii="Arial" w:cs="Arial" w:eastAsia="Arial" w:hAnsi="Arial"/>
                <w:sz w:val="10"/>
                <w:szCs w:val="10"/>
                <w:color w:val="666666"/>
              </w:rPr>
              <w:t>4,797</w:t>
            </w:r>
          </w:p>
        </w:tc>
        <w:tc>
          <w:tcPr>
            <w:tcW w:w="120" w:type="dxa"/>
            <w:vAlign w:val="bottom"/>
          </w:tcPr>
          <w:p>
            <w:pPr>
              <w:spacing w:after="0"/>
              <w:rPr>
                <w:sz w:val="13"/>
                <w:szCs w:val="13"/>
                <w:color w:val="auto"/>
              </w:rPr>
            </w:pPr>
          </w:p>
        </w:tc>
        <w:tc>
          <w:tcPr>
            <w:tcW w:w="440" w:type="dxa"/>
            <w:vAlign w:val="bottom"/>
            <w:tcBorders>
              <w:top w:val="single" w:sz="8" w:color="666666"/>
            </w:tcBorders>
          </w:tcPr>
          <w:p>
            <w:pPr>
              <w:jc w:val="right"/>
              <w:ind w:right="329"/>
              <w:spacing w:after="0"/>
              <w:rPr>
                <w:sz w:val="20"/>
                <w:szCs w:val="20"/>
                <w:color w:val="auto"/>
              </w:rPr>
            </w:pPr>
            <w:r>
              <w:rPr>
                <w:rFonts w:ascii="Arial" w:cs="Arial" w:eastAsia="Arial" w:hAnsi="Arial"/>
                <w:sz w:val="10"/>
                <w:szCs w:val="10"/>
                <w:color w:val="666666"/>
                <w:w w:val="71"/>
              </w:rPr>
              <w:t>$</w:t>
            </w:r>
          </w:p>
        </w:tc>
        <w:tc>
          <w:tcPr>
            <w:tcW w:w="1440" w:type="dxa"/>
            <w:vAlign w:val="bottom"/>
            <w:tcBorders>
              <w:top w:val="single" w:sz="8" w:color="666666"/>
            </w:tcBorders>
          </w:tcPr>
          <w:p>
            <w:pPr>
              <w:jc w:val="right"/>
              <w:ind w:right="69"/>
              <w:spacing w:after="0"/>
              <w:rPr>
                <w:sz w:val="20"/>
                <w:szCs w:val="20"/>
                <w:color w:val="auto"/>
              </w:rPr>
            </w:pPr>
            <w:r>
              <w:rPr>
                <w:rFonts w:ascii="Arial" w:cs="Arial" w:eastAsia="Arial" w:hAnsi="Arial"/>
                <w:sz w:val="10"/>
                <w:szCs w:val="10"/>
                <w:color w:val="666666"/>
              </w:rPr>
              <w:t>4,728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3810</wp:posOffset>
            </wp:positionV>
            <wp:extent cx="2542540"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42540" cy="18415"/>
                    </a:xfrm>
                    <a:prstGeom prst="rect">
                      <a:avLst/>
                    </a:prstGeom>
                    <a:noFill/>
                  </pic:spPr>
                </pic:pic>
              </a:graphicData>
            </a:graphic>
          </wp:anchor>
        </w:drawing>
      </w:r>
    </w:p>
    <w:p>
      <w:pPr>
        <w:spacing w:after="0" w:line="7" w:lineRule="exact"/>
        <w:rPr>
          <w:sz w:val="20"/>
          <w:szCs w:val="20"/>
          <w:color w:val="auto"/>
        </w:rPr>
      </w:pPr>
    </w:p>
    <w:p>
      <w:pPr>
        <w:ind w:left="380" w:hanging="230"/>
        <w:spacing w:after="0"/>
        <w:tabs>
          <w:tab w:leader="none" w:pos="380" w:val="left"/>
        </w:tabs>
        <w:numPr>
          <w:ilvl w:val="0"/>
          <w:numId w:val="49"/>
        </w:numPr>
        <w:rPr>
          <w:rFonts w:ascii="Arial" w:cs="Arial" w:eastAsia="Arial" w:hAnsi="Arial"/>
          <w:sz w:val="10"/>
          <w:szCs w:val="10"/>
          <w:color w:val="666666"/>
        </w:rPr>
      </w:pPr>
      <w:r>
        <w:rPr>
          <w:rFonts w:ascii="Arial" w:cs="Arial" w:eastAsia="Arial" w:hAnsi="Arial"/>
          <w:sz w:val="10"/>
          <w:szCs w:val="10"/>
          <w:color w:val="666666"/>
        </w:rPr>
        <w:t>Audit fees principally include those for services related to the audit and quarterly reviews of the Company’s consolidated financial statements and consultation on accounting matters.</w:t>
      </w:r>
    </w:p>
    <w:p>
      <w:pPr>
        <w:spacing w:after="0" w:line="12" w:lineRule="exact"/>
        <w:rPr>
          <w:rFonts w:ascii="Arial" w:cs="Arial" w:eastAsia="Arial" w:hAnsi="Arial"/>
          <w:sz w:val="10"/>
          <w:szCs w:val="10"/>
          <w:color w:val="666666"/>
        </w:rPr>
      </w:pPr>
    </w:p>
    <w:p>
      <w:pPr>
        <w:ind w:left="380" w:hanging="230"/>
        <w:spacing w:after="0"/>
        <w:tabs>
          <w:tab w:leader="none" w:pos="380" w:val="left"/>
        </w:tabs>
        <w:numPr>
          <w:ilvl w:val="0"/>
          <w:numId w:val="49"/>
        </w:numPr>
        <w:rPr>
          <w:rFonts w:ascii="Arial" w:cs="Arial" w:eastAsia="Arial" w:hAnsi="Arial"/>
          <w:sz w:val="10"/>
          <w:szCs w:val="10"/>
          <w:color w:val="666666"/>
        </w:rPr>
      </w:pPr>
      <w:r>
        <w:rPr>
          <w:rFonts w:ascii="Arial" w:cs="Arial" w:eastAsia="Arial" w:hAnsi="Arial"/>
          <w:sz w:val="10"/>
          <w:szCs w:val="10"/>
          <w:color w:val="666666"/>
        </w:rPr>
        <w:t>Tax fees principally include domestic and foreign tax compliance and advisory services.</w:t>
      </w:r>
    </w:p>
    <w:p>
      <w:pPr>
        <w:spacing w:after="0" w:line="153"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666666"/>
        </w:rPr>
        <w:t>53</w:t>
      </w:r>
    </w:p>
    <w:p>
      <w:pPr>
        <w:sectPr>
          <w:pgSz w:w="11900" w:h="16838" w:orient="portrait"/>
          <w:cols w:equalWidth="0" w:num="1">
            <w:col w:w="11160"/>
          </w:cols>
          <w:pgMar w:left="220" w:top="556" w:right="51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547BCC"/>
        </w:rPr>
        <w:t>PROPOSAL 2: RATIFICATION OF APPOINTMENT OF ACCOUNTANTS</w:t>
      </w:r>
    </w:p>
    <w:p>
      <w:pPr>
        <w:spacing w:after="0" w:line="126"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4"/>
          <w:szCs w:val="14"/>
          <w:color w:val="666666"/>
        </w:rPr>
        <w:t>The Audit Committee has appointed E&amp;Y as the independent auditors to perform an integrated audit of the Company for the fiscal year ending March 31, 2019. E&amp;Y served as our independent auditors for the fiscal year ended March 31, 2018. Stockholder approval of the appointment is not required.</w:t>
      </w:r>
    </w:p>
    <w:p>
      <w:pPr>
        <w:spacing w:after="0" w:line="5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4"/>
          <w:szCs w:val="14"/>
          <w:color w:val="666666"/>
        </w:rPr>
        <w:t>The Board believes that obtaining stockholder ratification of the appointment is a sound corporate governance practice. If the stockholders do not vote on an advisory basis in favor of E&amp;Y, the Audit Committee will reconsider whether to hire the firm and may retain E&amp;Y or hire another firm without resubmitting the matter for stockholders to approve. The Audit Committee retains the discretion at any time to appoint a different independent auditor.</w:t>
      </w:r>
    </w:p>
    <w:p>
      <w:pPr>
        <w:spacing w:after="0" w:line="74"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4"/>
          <w:szCs w:val="14"/>
          <w:color w:val="666666"/>
        </w:rPr>
        <w:t>Representatives of E&amp;Y are expected to be present at the annual meeting, available to respond to appropriate questions, and will have the opportunity to make a statement if they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282575</wp:posOffset>
            </wp:positionV>
            <wp:extent cx="5694680" cy="4997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4680" cy="4997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547BCC"/>
        </w:rPr>
        <w:t>The Board of Directors recommends a vote FOR ratification of the appointment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547BCC"/>
        </w:rPr>
        <w:t>Ernst &amp; Young LLP as the independent registered public accounting firm</w:t>
      </w:r>
    </w:p>
    <w:p>
      <w:pPr>
        <w:jc w:val="center"/>
        <w:ind w:right="-19"/>
        <w:spacing w:after="0"/>
        <w:rPr>
          <w:sz w:val="20"/>
          <w:szCs w:val="20"/>
          <w:color w:val="auto"/>
        </w:rPr>
      </w:pPr>
      <w:r>
        <w:rPr>
          <w:rFonts w:ascii="Arial" w:cs="Arial" w:eastAsia="Arial" w:hAnsi="Arial"/>
          <w:sz w:val="14"/>
          <w:szCs w:val="14"/>
          <w:b w:val="1"/>
          <w:bCs w:val="1"/>
          <w:i w:val="1"/>
          <w:iCs w:val="1"/>
          <w:color w:val="547BCC"/>
        </w:rPr>
        <w:t>for the Company for fiscal year 2019.</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54</w:t>
      </w:r>
    </w:p>
    <w:p>
      <w:pPr>
        <w:sectPr>
          <w:pgSz w:w="11900" w:h="16838" w:orient="portrait"/>
          <w:cols w:equalWidth="0" w:num="1">
            <w:col w:w="11460"/>
          </w:cols>
          <w:pgMar w:left="220" w:top="556" w:right="21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547BCC"/>
        </w:rPr>
        <w:t>PROPOSAL 3: ADVISORY VOTE ON COMPANY'S EXECUTIVE COMPENSATION</w:t>
      </w:r>
    </w:p>
    <w:p>
      <w:pPr>
        <w:spacing w:after="0" w:line="126"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4"/>
          <w:szCs w:val="14"/>
          <w:color w:val="666666"/>
        </w:rPr>
        <w:t>As required by Section 14A of the Exchange Act, the Company is providing stockholders with a non-binding advisory vote on the compensation of our named executive officers, as disclosed in the CD&amp;A, the accompanying compensation tables, and the related narrative disclosure in this proxy statement. Although this vote is advisory, the Board and the Compensation Committee value the opinions of our stockholders and will review and consider the voting results when making future compensation decisions for our named executive officers.</w:t>
      </w:r>
    </w:p>
    <w:p>
      <w:pPr>
        <w:spacing w:after="0" w:line="7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4"/>
          <w:szCs w:val="14"/>
          <w:color w:val="666666"/>
        </w:rPr>
        <w:t>As described in detail under the CD&amp;A, our compensation programs are designed to attract, motivate, and retain executives of outstanding ability to meet and exceed the demands of our clients, focus management on optimizing stockholder value and fostering an ownership culture, create appropriate rewards for outstanding performance and penalties for underperformance, and provide competitive rewards that foster collaboration by rewarding executives for their contribution to our overall performance and financial success while determining and allocating incentives based on our performance as a whole in recognition of the spirit and culture of collaboration that has defined us throughout our history. Accordingly, the Board submits the following resolution for a stockholder vote at the 2018 Annual Meeting:</w:t>
      </w:r>
    </w:p>
    <w:p>
      <w:pPr>
        <w:spacing w:after="0" w:line="83"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4"/>
          <w:szCs w:val="14"/>
          <w:color w:val="666666"/>
        </w:rPr>
        <w:t>RESOLVED, that the stockholders approve, on an advisory basis, the compensation of the Company’s named executive officers as disclosed in the CD&amp;A, the accompanying compensation tables, and the related narrative disclosure in the Company’s proxy statement for the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282575</wp:posOffset>
            </wp:positionV>
            <wp:extent cx="5694680" cy="231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4680" cy="23177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547BCC"/>
        </w:rPr>
        <w:t>The Board of Directors recommends a vote FOR the approval, on an advisory basis, of the compensation of our named executive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547BCC"/>
        </w:rPr>
        <w:t>officers as disclosed in the Compensation Discussion &amp; Analysis of this proxy statement.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55</w:t>
      </w:r>
    </w:p>
    <w:p>
      <w:pPr>
        <w:sectPr>
          <w:pgSz w:w="11900" w:h="16838" w:orient="portrait"/>
          <w:cols w:equalWidth="0" w:num="1">
            <w:col w:w="11460"/>
          </w:cols>
          <w:pgMar w:left="220" w:top="556" w:right="21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color w:val="547BCC"/>
        </w:rPr>
        <w:t>OTHER BUSINESS</w:t>
      </w:r>
    </w:p>
    <w:p>
      <w:pPr>
        <w:spacing w:after="0" w:line="126"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4"/>
          <w:szCs w:val="14"/>
          <w:color w:val="666666"/>
        </w:rPr>
        <w:t>The Board is not aware of any other matters to be presented at the annual meeting. If any other matter proper for action at the meeting should be presented, the holders of the accompanying proxy will vote the shares represented by the proxy on such matter in accordance with their best judgment. If any matter not proper for action at the meeting should be presented, the holders of the proxy will vote against consideration of the matter or the proposed action.</w:t>
      </w:r>
    </w:p>
    <w:p>
      <w:pPr>
        <w:spacing w:after="0" w:line="352" w:lineRule="exact"/>
        <w:rPr>
          <w:sz w:val="20"/>
          <w:szCs w:val="20"/>
          <w:color w:val="auto"/>
        </w:rPr>
      </w:pPr>
    </w:p>
    <w:p>
      <w:pPr>
        <w:ind w:left="4060"/>
        <w:spacing w:after="0"/>
        <w:rPr>
          <w:sz w:val="20"/>
          <w:szCs w:val="20"/>
          <w:color w:val="auto"/>
        </w:rPr>
      </w:pPr>
      <w:r>
        <w:rPr>
          <w:rFonts w:ascii="Arial" w:cs="Arial" w:eastAsia="Arial" w:hAnsi="Arial"/>
          <w:sz w:val="14"/>
          <w:szCs w:val="14"/>
          <w:color w:val="666666"/>
        </w:rPr>
        <w:t>By order of the Board of Directors,</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4"/>
          <w:szCs w:val="14"/>
          <w:color w:val="666666"/>
        </w:rPr>
        <w:t>Nancy J. Laben</w:t>
      </w:r>
    </w:p>
    <w:p>
      <w:pPr>
        <w:spacing w:after="0" w:line="20" w:lineRule="exact"/>
        <w:rPr>
          <w:sz w:val="20"/>
          <w:szCs w:val="20"/>
          <w:color w:val="auto"/>
        </w:rPr>
      </w:pPr>
    </w:p>
    <w:p>
      <w:pPr>
        <w:ind w:left="4060"/>
        <w:spacing w:after="0"/>
        <w:rPr>
          <w:sz w:val="20"/>
          <w:szCs w:val="20"/>
          <w:color w:val="auto"/>
        </w:rPr>
      </w:pPr>
      <w:r>
        <w:rPr>
          <w:rFonts w:ascii="Arial" w:cs="Arial" w:eastAsia="Arial" w:hAnsi="Arial"/>
          <w:sz w:val="14"/>
          <w:szCs w:val="14"/>
          <w:color w:val="666666"/>
        </w:rPr>
        <w:t>Secretary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666666"/>
        </w:rPr>
        <w:t>McLean, Virginia</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666666"/>
        </w:rPr>
        <w:t>June 14, 2018</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56</w:t>
      </w:r>
    </w:p>
    <w:p>
      <w:pPr>
        <w:sectPr>
          <w:pgSz w:w="11900" w:h="16838" w:orient="portrait"/>
          <w:cols w:equalWidth="0" w:num="1">
            <w:col w:w="11480"/>
          </w:cols>
          <w:pgMar w:left="220" w:top="441" w:right="199" w:bottom="1440" w:gutter="0" w:footer="0" w:header="0"/>
        </w:sectPr>
      </w:pPr>
    </w:p>
    <w:bookmarkStart w:id="65" w:name="page66"/>
    <w:bookmarkEnd w:id="65"/>
    <w:p>
      <w:pPr>
        <w:jc w:val="center"/>
        <w:spacing w:after="0"/>
        <w:rPr>
          <w:sz w:val="20"/>
          <w:szCs w:val="20"/>
          <w:color w:val="auto"/>
        </w:rPr>
      </w:pPr>
      <w:r>
        <w:rPr>
          <w:rFonts w:ascii="Arial" w:cs="Arial" w:eastAsia="Arial" w:hAnsi="Arial"/>
          <w:sz w:val="22"/>
          <w:szCs w:val="22"/>
          <w:b w:val="1"/>
          <w:bCs w:val="1"/>
          <w:color w:val="547BCC"/>
        </w:rPr>
        <w:t>IMPORTANT INFORMATION ABOUT ANNUAL MEETING AND PROXY PROCEDURES</w:t>
      </w:r>
    </w:p>
    <w:p>
      <w:pPr>
        <w:spacing w:after="0" w:line="126" w:lineRule="exact"/>
        <w:rPr>
          <w:sz w:val="20"/>
          <w:szCs w:val="20"/>
          <w:color w:val="auto"/>
        </w:rPr>
      </w:pPr>
    </w:p>
    <w:p>
      <w:pPr>
        <w:ind w:firstLine="230"/>
        <w:spacing w:after="0" w:line="285" w:lineRule="auto"/>
        <w:rPr>
          <w:sz w:val="20"/>
          <w:szCs w:val="20"/>
          <w:color w:val="auto"/>
        </w:rPr>
      </w:pPr>
      <w:r>
        <w:rPr>
          <w:rFonts w:ascii="Arial" w:cs="Arial" w:eastAsia="Arial" w:hAnsi="Arial"/>
          <w:sz w:val="14"/>
          <w:szCs w:val="14"/>
          <w:color w:val="666666"/>
        </w:rPr>
        <w:t>The Board is soliciting proxies to be used at the Annual Meeting of Stockholders to be held on July 26, 2018, beginning at 8:00 a.m. (EDT) at The John C. Newman Auditorium, located in our offices at 8283 Greensboro Drive, McLean, Virginia, 22102.</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Why am I receiving these proxy materials?</w:t>
      </w:r>
    </w:p>
    <w:p>
      <w:pPr>
        <w:spacing w:after="0" w:line="158" w:lineRule="exact"/>
        <w:rPr>
          <w:sz w:val="20"/>
          <w:szCs w:val="20"/>
          <w:color w:val="auto"/>
        </w:rPr>
      </w:pPr>
    </w:p>
    <w:p>
      <w:pPr>
        <w:ind w:right="40" w:firstLine="230"/>
        <w:spacing w:after="0" w:line="253" w:lineRule="auto"/>
        <w:rPr>
          <w:sz w:val="20"/>
          <w:szCs w:val="20"/>
          <w:color w:val="auto"/>
        </w:rPr>
      </w:pPr>
      <w:r>
        <w:rPr>
          <w:rFonts w:ascii="Arial" w:cs="Arial" w:eastAsia="Arial" w:hAnsi="Arial"/>
          <w:sz w:val="14"/>
          <w:szCs w:val="14"/>
          <w:color w:val="666666"/>
        </w:rPr>
        <w:t>You have received these proxy materials because our Board is soliciting your proxy to vote your shares at the annual meeting. As a stockholder, you are invited to attend the annual meeting and are requested to vote on the items of business described in this proxy statement. This proxy statement includes information that we are required to provide to you under SEC rules and describes issues on which we would like you to vote at our Annual Meeting of Stockholders. It also gives you information on these issues so that you can make an informed decision. The proxy materials include our proxy statement for the annual meeting, our annual report to stockholders, which includes our Annual Report on Form 10-K for the year ended March 31, 2018 and the proxy card, or a voting instruction card, for the annual meeting.</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Our Board has made this proxy statement and proxy card available to you on the Internet because you own shares of Class A Common Stock of the Company.</w:t>
      </w:r>
    </w:p>
    <w:p>
      <w:pPr>
        <w:spacing w:after="0" w:line="165" w:lineRule="exact"/>
        <w:rPr>
          <w:sz w:val="20"/>
          <w:szCs w:val="20"/>
          <w:color w:val="auto"/>
        </w:rPr>
      </w:pPr>
    </w:p>
    <w:p>
      <w:pPr>
        <w:ind w:right="220" w:firstLine="230"/>
        <w:spacing w:after="0" w:line="253" w:lineRule="auto"/>
        <w:rPr>
          <w:sz w:val="20"/>
          <w:szCs w:val="20"/>
          <w:color w:val="auto"/>
        </w:rPr>
      </w:pPr>
      <w:r>
        <w:rPr>
          <w:rFonts w:ascii="Arial" w:cs="Arial" w:eastAsia="Arial" w:hAnsi="Arial"/>
          <w:sz w:val="14"/>
          <w:szCs w:val="14"/>
          <w:color w:val="666666"/>
        </w:rPr>
        <w:t>If you submit a proxy by using the Internet, by calling or by signing and returning the proxy card, you will appoint Horacio D. Rozanski, President and Chief Executive Officer, and Nancy J. Laben, Executive Vice President, Chief Legal Officer and Secretary (with full power of substitution) as your representatives at the annual meeting. He or she will vote your shares at the annual meeting as you have instructed them or, if an issue that is not on the proxy card comes up for vote, in accordance with his or her best judgment. By submitting a proxy, you can ensure your shares will be voted whether or not you attend the annual meeting. Even if you plan to attend the annual meeting, we encourage you to submit a proxy in advance by using the Internet, by calling or by signing and returning your proxy card. If you vote by Internet or by calling, you do not need to return your proxy card.</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Why did I receive a one-page notice in the mail regarding the Internet availability of proxy materials instead of a full set of proxy materials?</w:t>
      </w:r>
    </w:p>
    <w:p>
      <w:pPr>
        <w:spacing w:after="0" w:line="158" w:lineRule="exact"/>
        <w:rPr>
          <w:sz w:val="20"/>
          <w:szCs w:val="20"/>
          <w:color w:val="auto"/>
        </w:rPr>
      </w:pPr>
    </w:p>
    <w:p>
      <w:pPr>
        <w:ind w:right="80" w:firstLine="230"/>
        <w:spacing w:after="0" w:line="250" w:lineRule="auto"/>
        <w:rPr>
          <w:sz w:val="20"/>
          <w:szCs w:val="20"/>
          <w:color w:val="auto"/>
        </w:rPr>
      </w:pPr>
      <w:r>
        <w:rPr>
          <w:rFonts w:ascii="Arial" w:cs="Arial" w:eastAsia="Arial" w:hAnsi="Arial"/>
          <w:sz w:val="14"/>
          <w:szCs w:val="14"/>
          <w:color w:val="666666"/>
        </w:rPr>
        <w:t>Pursuant to the “Notice and Access” rules adopted by the SEC, we have elected to provide access to our proxy materials over the Internet at www.proxyvote.com. Accordingly, we are sending a Notice of Internet Availability of Proxy Materials to our stockholders. All stockholders will have the ability to access the proxy materials on the website referred to in the Notice of Internet Availability of Proxy Materials or request to receive an electronic copy or printed set of the proxy materials. Instructions on how to access the proxy materials over the Internet or to request an electronic copy or printed copy may be found in the Notice of Internet Availability of Proxy Materials. In addition, stockholders may request to receive proxy materials in printed form by mail or electronically by email on an ongoing basis if you submit your request in writing to our Secretary at Booz Allen Hamilton, 8283 Greensboro Drive, McLean, Virginia 22102. We encourage stockholders to take advantage of the availability of the proxy materials on the Internet to help reduce the environmental impact and the cost of the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Do I need an admission ticket to attend the annual meeting?</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No; however, you must present both proof of ownership and valid photo identification to attend the annual meeting.</w:t>
      </w:r>
    </w:p>
    <w:p>
      <w:pPr>
        <w:spacing w:after="0" w:line="165" w:lineRule="exact"/>
        <w:rPr>
          <w:sz w:val="20"/>
          <w:szCs w:val="20"/>
          <w:color w:val="auto"/>
        </w:rPr>
      </w:pPr>
    </w:p>
    <w:p>
      <w:pPr>
        <w:ind w:left="460" w:hanging="233"/>
        <w:spacing w:after="0" w:line="285" w:lineRule="auto"/>
        <w:tabs>
          <w:tab w:leader="none" w:pos="460" w:val="left"/>
        </w:tabs>
        <w:numPr>
          <w:ilvl w:val="0"/>
          <w:numId w:val="50"/>
        </w:numPr>
        <w:rPr>
          <w:rFonts w:ascii="Arial" w:cs="Arial" w:eastAsia="Arial" w:hAnsi="Arial"/>
          <w:sz w:val="14"/>
          <w:szCs w:val="14"/>
          <w:color w:val="666666"/>
        </w:rPr>
      </w:pPr>
      <w:r>
        <w:rPr>
          <w:rFonts w:ascii="Arial" w:cs="Arial" w:eastAsia="Arial" w:hAnsi="Arial"/>
          <w:sz w:val="14"/>
          <w:szCs w:val="14"/>
          <w:color w:val="666666"/>
        </w:rPr>
        <w:t>If you hold shares through an account with a bank or broker, contact your bank or broker to request a legal proxy from the owner of record to vote your shares in person. This will serve as proof of ownership.</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57</w:t>
      </w:r>
    </w:p>
    <w:p>
      <w:pPr>
        <w:sectPr>
          <w:pgSz w:w="11900" w:h="16838" w:orient="portrait"/>
          <w:cols w:equalWidth="0" w:num="1">
            <w:col w:w="11460"/>
          </w:cols>
          <w:pgMar w:left="220" w:top="441" w:right="219" w:bottom="1440" w:gutter="0" w:footer="0" w:header="0"/>
        </w:sectPr>
      </w:pPr>
    </w:p>
    <w:bookmarkStart w:id="66" w:name="page67"/>
    <w:bookmarkEnd w:id="66"/>
    <w:p>
      <w:pPr>
        <w:ind w:left="220" w:right="140" w:firstLine="7"/>
        <w:spacing w:after="0" w:line="483" w:lineRule="auto"/>
        <w:tabs>
          <w:tab w:leader="none" w:pos="451" w:val="left"/>
        </w:tabs>
        <w:numPr>
          <w:ilvl w:val="0"/>
          <w:numId w:val="51"/>
        </w:numPr>
        <w:rPr>
          <w:rFonts w:ascii="Arial" w:cs="Arial" w:eastAsia="Arial" w:hAnsi="Arial"/>
          <w:sz w:val="14"/>
          <w:szCs w:val="14"/>
          <w:color w:val="666666"/>
        </w:rPr>
      </w:pPr>
      <w:r>
        <w:rPr>
          <w:rFonts w:ascii="Arial" w:cs="Arial" w:eastAsia="Arial" w:hAnsi="Arial"/>
          <w:sz w:val="14"/>
          <w:szCs w:val="14"/>
          <w:color w:val="666666"/>
        </w:rPr>
        <w:t>A recent brokerage statement or letter from your broker showing that you owned shares in your account as of the record date, June 4, 2018, also serves as proof of ownership. If you do not have proof of ownership and valid photo identification, you will not be admitted into the annual meeting.</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Who is entitled to vote at the annual meeting?</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Holders of the Company’s Class A common stock are entitled to vote at the annual meeting. The Board has established the record date for the annual meeting as June 4, 2018.</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666666"/>
        </w:rPr>
        <w:t>Only holders of record of the Company’s Class A common stock on the record date are entitled to receive notice of the meeting and to vote at the meeting.</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How many shares must be present to hold the annual meeting?</w:t>
      </w:r>
    </w:p>
    <w:p>
      <w:pPr>
        <w:spacing w:after="0" w:line="158" w:lineRule="exact"/>
        <w:rPr>
          <w:sz w:val="20"/>
          <w:szCs w:val="20"/>
          <w:color w:val="auto"/>
        </w:rPr>
      </w:pPr>
    </w:p>
    <w:p>
      <w:pPr>
        <w:ind w:right="160" w:firstLine="230"/>
        <w:spacing w:after="0" w:line="285" w:lineRule="auto"/>
        <w:rPr>
          <w:sz w:val="20"/>
          <w:szCs w:val="20"/>
          <w:color w:val="auto"/>
        </w:rPr>
      </w:pPr>
      <w:r>
        <w:rPr>
          <w:rFonts w:ascii="Arial" w:cs="Arial" w:eastAsia="Arial" w:hAnsi="Arial"/>
          <w:sz w:val="14"/>
          <w:szCs w:val="14"/>
          <w:color w:val="666666"/>
        </w:rPr>
        <w:t>In order for us to lawfully conduct business at the annual meeting, the holders of stock representing a majority of the voting power of all shares issued and outstanding and entitled to vote at the meeting must be present in person or represented by proxy. This is referred to as a quorum.</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How many shares may I vote?</w:t>
      </w:r>
    </w:p>
    <w:p>
      <w:pPr>
        <w:spacing w:after="0" w:line="158" w:lineRule="exact"/>
        <w:rPr>
          <w:sz w:val="20"/>
          <w:szCs w:val="20"/>
          <w:color w:val="auto"/>
        </w:rPr>
      </w:pPr>
    </w:p>
    <w:p>
      <w:pPr>
        <w:jc w:val="both"/>
        <w:ind w:right="20" w:firstLine="230"/>
        <w:spacing w:after="0" w:line="285" w:lineRule="auto"/>
        <w:rPr>
          <w:sz w:val="20"/>
          <w:szCs w:val="20"/>
          <w:color w:val="auto"/>
        </w:rPr>
      </w:pPr>
      <w:r>
        <w:rPr>
          <w:rFonts w:ascii="Arial" w:cs="Arial" w:eastAsia="Arial" w:hAnsi="Arial"/>
          <w:sz w:val="14"/>
          <w:szCs w:val="14"/>
          <w:color w:val="666666"/>
        </w:rPr>
        <w:t>On June 1, 2018, 143,403,861 shares of our Class A common stock were outstanding. Each share of Class A common stock is entitled to one vote, and stockholders do not have the right to cumulate their votes for the election of directors.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What am I voting on and what are the Board’s recommendations?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0" w:type="dxa"/>
            <w:vAlign w:val="bottom"/>
            <w:tcBorders>
              <w:bottom w:val="single" w:sz="8" w:color="auto"/>
            </w:tcBorders>
            <w:shd w:val="clear" w:color="auto" w:fill="D7D7D7"/>
          </w:tcPr>
          <w:p>
            <w:pPr>
              <w:jc w:val="center"/>
              <w:ind w:left="76"/>
              <w:spacing w:after="0"/>
              <w:rPr>
                <w:sz w:val="20"/>
                <w:szCs w:val="20"/>
                <w:color w:val="auto"/>
              </w:rPr>
            </w:pPr>
            <w:r>
              <w:rPr>
                <w:rFonts w:ascii="Arial" w:cs="Arial" w:eastAsia="Arial" w:hAnsi="Arial"/>
                <w:sz w:val="13"/>
                <w:szCs w:val="13"/>
                <w:b w:val="1"/>
                <w:bCs w:val="1"/>
                <w:color w:val="547BCC"/>
                <w:w w:val="96"/>
              </w:rPr>
              <w:t>Proposal</w:t>
            </w:r>
          </w:p>
        </w:tc>
        <w:tc>
          <w:tcPr>
            <w:tcW w:w="5740" w:type="dxa"/>
            <w:vAlign w:val="bottom"/>
            <w:tcBorders>
              <w:bottom w:val="single" w:sz="8" w:color="auto"/>
            </w:tcBorders>
            <w:shd w:val="clear" w:color="auto" w:fill="D7D7D7"/>
          </w:tcPr>
          <w:p>
            <w:pPr>
              <w:ind w:left="2620"/>
              <w:spacing w:after="0"/>
              <w:rPr>
                <w:sz w:val="20"/>
                <w:szCs w:val="20"/>
                <w:color w:val="auto"/>
              </w:rPr>
            </w:pPr>
            <w:r>
              <w:rPr>
                <w:rFonts w:ascii="Arial" w:cs="Arial" w:eastAsia="Arial" w:hAnsi="Arial"/>
                <w:sz w:val="13"/>
                <w:szCs w:val="13"/>
                <w:b w:val="1"/>
                <w:bCs w:val="1"/>
                <w:color w:val="547BCC"/>
              </w:rPr>
              <w:t>Description</w:t>
            </w:r>
          </w:p>
        </w:tc>
        <w:tc>
          <w:tcPr>
            <w:tcW w:w="2560" w:type="dxa"/>
            <w:vAlign w:val="bottom"/>
            <w:tcBorders>
              <w:bottom w:val="single" w:sz="8" w:color="auto"/>
            </w:tcBorders>
            <w:shd w:val="clear" w:color="auto" w:fill="D7D7D7"/>
          </w:tcPr>
          <w:p>
            <w:pPr>
              <w:jc w:val="center"/>
              <w:ind w:right="256"/>
              <w:spacing w:after="0"/>
              <w:rPr>
                <w:sz w:val="20"/>
                <w:szCs w:val="20"/>
                <w:color w:val="auto"/>
              </w:rPr>
            </w:pPr>
            <w:r>
              <w:rPr>
                <w:rFonts w:ascii="Arial" w:cs="Arial" w:eastAsia="Arial" w:hAnsi="Arial"/>
                <w:sz w:val="13"/>
                <w:szCs w:val="13"/>
                <w:b w:val="1"/>
                <w:bCs w:val="1"/>
                <w:color w:val="547BCC"/>
                <w:w w:val="97"/>
              </w:rPr>
              <w:t>Board's Voting Recommendation</w:t>
            </w:r>
          </w:p>
        </w:tc>
        <w:tc>
          <w:tcPr>
            <w:tcW w:w="2180" w:type="dxa"/>
            <w:vAlign w:val="bottom"/>
            <w:tcBorders>
              <w:bottom w:val="single" w:sz="8" w:color="auto"/>
            </w:tcBorders>
            <w:shd w:val="clear" w:color="auto" w:fill="D7D7D7"/>
          </w:tcPr>
          <w:p>
            <w:pPr>
              <w:ind w:left="440"/>
              <w:spacing w:after="0"/>
              <w:rPr>
                <w:sz w:val="20"/>
                <w:szCs w:val="20"/>
                <w:color w:val="auto"/>
              </w:rPr>
            </w:pPr>
            <w:r>
              <w:rPr>
                <w:rFonts w:ascii="Arial" w:cs="Arial" w:eastAsia="Arial" w:hAnsi="Arial"/>
                <w:sz w:val="13"/>
                <w:szCs w:val="13"/>
                <w:b w:val="1"/>
                <w:bCs w:val="1"/>
                <w:color w:val="547BCC"/>
              </w:rPr>
              <w:t>Page Reference</w:t>
            </w: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tcPr>
          <w:p>
            <w:pPr>
              <w:jc w:val="center"/>
              <w:ind w:left="76"/>
              <w:spacing w:after="0"/>
              <w:rPr>
                <w:sz w:val="20"/>
                <w:szCs w:val="20"/>
                <w:color w:val="auto"/>
              </w:rPr>
            </w:pPr>
            <w:r>
              <w:rPr>
                <w:rFonts w:ascii="Arial" w:cs="Arial" w:eastAsia="Arial" w:hAnsi="Arial"/>
                <w:sz w:val="13"/>
                <w:szCs w:val="13"/>
                <w:color w:val="666666"/>
                <w:w w:val="96"/>
              </w:rPr>
              <w:t>No. 1</w:t>
            </w:r>
          </w:p>
        </w:tc>
        <w:tc>
          <w:tcPr>
            <w:tcW w:w="574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666666"/>
              </w:rPr>
              <w:t>Election of four director nominees</w:t>
            </w:r>
          </w:p>
        </w:tc>
        <w:tc>
          <w:tcPr>
            <w:tcW w:w="2560" w:type="dxa"/>
            <w:vAlign w:val="bottom"/>
            <w:tcBorders>
              <w:bottom w:val="single" w:sz="8" w:color="auto"/>
            </w:tcBorders>
          </w:tcPr>
          <w:p>
            <w:pPr>
              <w:jc w:val="center"/>
              <w:ind w:right="256"/>
              <w:spacing w:after="0"/>
              <w:rPr>
                <w:sz w:val="20"/>
                <w:szCs w:val="20"/>
                <w:color w:val="auto"/>
              </w:rPr>
            </w:pPr>
            <w:r>
              <w:rPr>
                <w:rFonts w:ascii="Arial" w:cs="Arial" w:eastAsia="Arial" w:hAnsi="Arial"/>
                <w:sz w:val="13"/>
                <w:szCs w:val="13"/>
                <w:b w:val="1"/>
                <w:bCs w:val="1"/>
                <w:color w:val="666666"/>
                <w:w w:val="98"/>
              </w:rPr>
              <w:t>FOR each nominee</w:t>
            </w:r>
          </w:p>
        </w:tc>
        <w:tc>
          <w:tcPr>
            <w:tcW w:w="218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color w:val="666666"/>
              </w:rPr>
              <w:t>6</w:t>
            </w:r>
          </w:p>
        </w:tc>
        <w:tc>
          <w:tcPr>
            <w:tcW w:w="0" w:type="dxa"/>
            <w:vAlign w:val="bottom"/>
          </w:tcPr>
          <w:p>
            <w:pPr>
              <w:spacing w:after="0"/>
              <w:rPr>
                <w:sz w:val="1"/>
                <w:szCs w:val="1"/>
                <w:color w:val="auto"/>
              </w:rPr>
            </w:pPr>
          </w:p>
        </w:tc>
      </w:tr>
      <w:tr>
        <w:trPr>
          <w:trHeight w:val="138"/>
        </w:trPr>
        <w:tc>
          <w:tcPr>
            <w:tcW w:w="1000" w:type="dxa"/>
            <w:vAlign w:val="bottom"/>
            <w:vMerge w:val="restart"/>
            <w:shd w:val="clear" w:color="auto" w:fill="D7D7D7"/>
          </w:tcPr>
          <w:p>
            <w:pPr>
              <w:jc w:val="center"/>
              <w:ind w:left="76"/>
              <w:spacing w:after="0"/>
              <w:rPr>
                <w:sz w:val="20"/>
                <w:szCs w:val="20"/>
                <w:color w:val="auto"/>
              </w:rPr>
            </w:pPr>
            <w:r>
              <w:rPr>
                <w:rFonts w:ascii="Arial" w:cs="Arial" w:eastAsia="Arial" w:hAnsi="Arial"/>
                <w:sz w:val="13"/>
                <w:szCs w:val="13"/>
                <w:color w:val="666666"/>
                <w:w w:val="96"/>
              </w:rPr>
              <w:t>No. 2</w:t>
            </w:r>
          </w:p>
        </w:tc>
        <w:tc>
          <w:tcPr>
            <w:tcW w:w="5740" w:type="dxa"/>
            <w:vAlign w:val="bottom"/>
            <w:shd w:val="clear" w:color="auto" w:fill="D7D7D7"/>
          </w:tcPr>
          <w:p>
            <w:pPr>
              <w:ind w:left="160"/>
              <w:spacing w:after="0" w:line="138" w:lineRule="exact"/>
              <w:rPr>
                <w:sz w:val="20"/>
                <w:szCs w:val="20"/>
                <w:color w:val="auto"/>
              </w:rPr>
            </w:pPr>
            <w:r>
              <w:rPr>
                <w:rFonts w:ascii="Arial" w:cs="Arial" w:eastAsia="Arial" w:hAnsi="Arial"/>
                <w:sz w:val="13"/>
                <w:szCs w:val="13"/>
                <w:color w:val="666666"/>
              </w:rPr>
              <w:t>Ratification of appointment of E&amp;Y as the Company's independent registered accounting firm for</w:t>
            </w:r>
          </w:p>
        </w:tc>
        <w:tc>
          <w:tcPr>
            <w:tcW w:w="2560" w:type="dxa"/>
            <w:vAlign w:val="bottom"/>
            <w:vMerge w:val="restart"/>
            <w:shd w:val="clear" w:color="auto" w:fill="D7D7D7"/>
          </w:tcPr>
          <w:p>
            <w:pPr>
              <w:jc w:val="center"/>
              <w:ind w:right="236"/>
              <w:spacing w:after="0"/>
              <w:rPr>
                <w:sz w:val="20"/>
                <w:szCs w:val="20"/>
                <w:color w:val="auto"/>
              </w:rPr>
            </w:pPr>
            <w:r>
              <w:rPr>
                <w:rFonts w:ascii="Arial" w:cs="Arial" w:eastAsia="Arial" w:hAnsi="Arial"/>
                <w:sz w:val="13"/>
                <w:szCs w:val="13"/>
                <w:b w:val="1"/>
                <w:bCs w:val="1"/>
                <w:color w:val="666666"/>
                <w:w w:val="94"/>
              </w:rPr>
              <w:t>FOR</w:t>
            </w:r>
          </w:p>
        </w:tc>
        <w:tc>
          <w:tcPr>
            <w:tcW w:w="2180" w:type="dxa"/>
            <w:vAlign w:val="bottom"/>
            <w:vMerge w:val="restart"/>
            <w:shd w:val="clear" w:color="auto" w:fill="D7D7D7"/>
          </w:tcPr>
          <w:p>
            <w:pPr>
              <w:jc w:val="center"/>
              <w:ind w:right="271"/>
              <w:spacing w:after="0"/>
              <w:rPr>
                <w:sz w:val="20"/>
                <w:szCs w:val="20"/>
                <w:color w:val="auto"/>
              </w:rPr>
            </w:pPr>
            <w:r>
              <w:rPr>
                <w:rFonts w:ascii="Arial" w:cs="Arial" w:eastAsia="Arial" w:hAnsi="Arial"/>
                <w:sz w:val="14"/>
                <w:szCs w:val="14"/>
                <w:color w:val="666666"/>
              </w:rPr>
              <w:t>54</w:t>
            </w:r>
          </w:p>
        </w:tc>
        <w:tc>
          <w:tcPr>
            <w:tcW w:w="0" w:type="dxa"/>
            <w:vAlign w:val="bottom"/>
          </w:tcPr>
          <w:p>
            <w:pPr>
              <w:spacing w:after="0"/>
              <w:rPr>
                <w:sz w:val="1"/>
                <w:szCs w:val="1"/>
                <w:color w:val="auto"/>
              </w:rPr>
            </w:pPr>
          </w:p>
        </w:tc>
      </w:tr>
      <w:tr>
        <w:trPr>
          <w:trHeight w:val="109"/>
        </w:trPr>
        <w:tc>
          <w:tcPr>
            <w:tcW w:w="1000" w:type="dxa"/>
            <w:vAlign w:val="bottom"/>
            <w:vMerge w:val="continue"/>
            <w:shd w:val="clear" w:color="auto" w:fill="D7D7D7"/>
          </w:tcPr>
          <w:p>
            <w:pPr>
              <w:spacing w:after="0"/>
              <w:rPr>
                <w:sz w:val="9"/>
                <w:szCs w:val="9"/>
                <w:color w:val="auto"/>
              </w:rPr>
            </w:pPr>
          </w:p>
        </w:tc>
        <w:tc>
          <w:tcPr>
            <w:tcW w:w="5740" w:type="dxa"/>
            <w:vAlign w:val="bottom"/>
            <w:vMerge w:val="restart"/>
            <w:shd w:val="clear" w:color="auto" w:fill="D7D7D7"/>
          </w:tcPr>
          <w:p>
            <w:pPr>
              <w:ind w:left="160"/>
              <w:spacing w:after="0"/>
              <w:rPr>
                <w:sz w:val="20"/>
                <w:szCs w:val="20"/>
                <w:color w:val="auto"/>
              </w:rPr>
            </w:pPr>
            <w:r>
              <w:rPr>
                <w:rFonts w:ascii="Arial" w:cs="Arial" w:eastAsia="Arial" w:hAnsi="Arial"/>
                <w:sz w:val="13"/>
                <w:szCs w:val="13"/>
                <w:color w:val="666666"/>
              </w:rPr>
              <w:t>fiscal 2018</w:t>
            </w:r>
          </w:p>
        </w:tc>
        <w:tc>
          <w:tcPr>
            <w:tcW w:w="2560" w:type="dxa"/>
            <w:vAlign w:val="bottom"/>
            <w:vMerge w:val="continue"/>
            <w:shd w:val="clear" w:color="auto" w:fill="D7D7D7"/>
          </w:tcPr>
          <w:p>
            <w:pPr>
              <w:spacing w:after="0"/>
              <w:rPr>
                <w:sz w:val="9"/>
                <w:szCs w:val="9"/>
                <w:color w:val="auto"/>
              </w:rPr>
            </w:pPr>
          </w:p>
        </w:tc>
        <w:tc>
          <w:tcPr>
            <w:tcW w:w="2180" w:type="dxa"/>
            <w:vAlign w:val="bottom"/>
            <w:vMerge w:val="continue"/>
            <w:shd w:val="clear" w:color="auto" w:fill="D7D7D7"/>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000" w:type="dxa"/>
            <w:vAlign w:val="bottom"/>
            <w:tcBorders>
              <w:bottom w:val="single" w:sz="8" w:color="auto"/>
            </w:tcBorders>
            <w:shd w:val="clear" w:color="auto" w:fill="D7D7D7"/>
          </w:tcPr>
          <w:p>
            <w:pPr>
              <w:spacing w:after="0"/>
              <w:rPr>
                <w:sz w:val="5"/>
                <w:szCs w:val="5"/>
                <w:color w:val="auto"/>
              </w:rPr>
            </w:pPr>
          </w:p>
        </w:tc>
        <w:tc>
          <w:tcPr>
            <w:tcW w:w="5740" w:type="dxa"/>
            <w:vAlign w:val="bottom"/>
            <w:tcBorders>
              <w:bottom w:val="single" w:sz="8" w:color="auto"/>
            </w:tcBorders>
            <w:vMerge w:val="continue"/>
            <w:shd w:val="clear" w:color="auto" w:fill="D7D7D7"/>
          </w:tcPr>
          <w:p>
            <w:pPr>
              <w:spacing w:after="0"/>
              <w:rPr>
                <w:sz w:val="5"/>
                <w:szCs w:val="5"/>
                <w:color w:val="auto"/>
              </w:rPr>
            </w:pPr>
          </w:p>
        </w:tc>
        <w:tc>
          <w:tcPr>
            <w:tcW w:w="2560" w:type="dxa"/>
            <w:vAlign w:val="bottom"/>
            <w:tcBorders>
              <w:bottom w:val="single" w:sz="8" w:color="auto"/>
            </w:tcBorders>
            <w:shd w:val="clear" w:color="auto" w:fill="D7D7D7"/>
          </w:tcPr>
          <w:p>
            <w:pPr>
              <w:spacing w:after="0"/>
              <w:rPr>
                <w:sz w:val="5"/>
                <w:szCs w:val="5"/>
                <w:color w:val="auto"/>
              </w:rPr>
            </w:pPr>
          </w:p>
        </w:tc>
        <w:tc>
          <w:tcPr>
            <w:tcW w:w="2180" w:type="dxa"/>
            <w:vAlign w:val="bottom"/>
            <w:tcBorders>
              <w:bottom w:val="single" w:sz="8" w:color="auto"/>
            </w:tcBorders>
            <w:shd w:val="clear" w:color="auto" w:fill="D7D7D7"/>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00" w:type="dxa"/>
            <w:vAlign w:val="bottom"/>
            <w:vMerge w:val="restart"/>
          </w:tcPr>
          <w:p>
            <w:pPr>
              <w:jc w:val="center"/>
              <w:ind w:left="76"/>
              <w:spacing w:after="0"/>
              <w:rPr>
                <w:sz w:val="20"/>
                <w:szCs w:val="20"/>
                <w:color w:val="auto"/>
              </w:rPr>
            </w:pPr>
            <w:r>
              <w:rPr>
                <w:rFonts w:ascii="Arial" w:cs="Arial" w:eastAsia="Arial" w:hAnsi="Arial"/>
                <w:sz w:val="13"/>
                <w:szCs w:val="13"/>
                <w:color w:val="666666"/>
                <w:w w:val="96"/>
              </w:rPr>
              <w:t>No. 3</w:t>
            </w:r>
          </w:p>
        </w:tc>
        <w:tc>
          <w:tcPr>
            <w:tcW w:w="5740" w:type="dxa"/>
            <w:vAlign w:val="bottom"/>
          </w:tcPr>
          <w:p>
            <w:pPr>
              <w:ind w:left="160"/>
              <w:spacing w:after="0" w:line="141" w:lineRule="exact"/>
              <w:rPr>
                <w:sz w:val="20"/>
                <w:szCs w:val="20"/>
                <w:color w:val="auto"/>
              </w:rPr>
            </w:pPr>
            <w:r>
              <w:rPr>
                <w:rFonts w:ascii="Arial" w:cs="Arial" w:eastAsia="Arial" w:hAnsi="Arial"/>
                <w:sz w:val="13"/>
                <w:szCs w:val="13"/>
                <w:color w:val="666666"/>
              </w:rPr>
              <w:t>A non-binding advisory vote on the compensation program for the Company’s named executive</w:t>
            </w:r>
          </w:p>
        </w:tc>
        <w:tc>
          <w:tcPr>
            <w:tcW w:w="2560" w:type="dxa"/>
            <w:vAlign w:val="bottom"/>
            <w:vMerge w:val="restart"/>
          </w:tcPr>
          <w:p>
            <w:pPr>
              <w:jc w:val="center"/>
              <w:ind w:right="236"/>
              <w:spacing w:after="0"/>
              <w:rPr>
                <w:sz w:val="20"/>
                <w:szCs w:val="20"/>
                <w:color w:val="auto"/>
              </w:rPr>
            </w:pPr>
            <w:r>
              <w:rPr>
                <w:rFonts w:ascii="Arial" w:cs="Arial" w:eastAsia="Arial" w:hAnsi="Arial"/>
                <w:sz w:val="13"/>
                <w:szCs w:val="13"/>
                <w:b w:val="1"/>
                <w:bCs w:val="1"/>
                <w:color w:val="666666"/>
                <w:w w:val="94"/>
              </w:rPr>
              <w:t>FOR</w:t>
            </w:r>
          </w:p>
        </w:tc>
        <w:tc>
          <w:tcPr>
            <w:tcW w:w="2180" w:type="dxa"/>
            <w:vAlign w:val="bottom"/>
          </w:tcPr>
          <w:p>
            <w:pPr>
              <w:jc w:val="center"/>
              <w:ind w:right="271"/>
              <w:spacing w:after="0" w:line="141" w:lineRule="exact"/>
              <w:rPr>
                <w:sz w:val="20"/>
                <w:szCs w:val="20"/>
                <w:color w:val="auto"/>
              </w:rPr>
            </w:pPr>
            <w:r>
              <w:rPr>
                <w:rFonts w:ascii="Arial" w:cs="Arial" w:eastAsia="Arial" w:hAnsi="Arial"/>
                <w:sz w:val="14"/>
                <w:szCs w:val="14"/>
                <w:color w:val="666666"/>
              </w:rPr>
              <w:t>55</w:t>
            </w:r>
          </w:p>
        </w:tc>
        <w:tc>
          <w:tcPr>
            <w:tcW w:w="0" w:type="dxa"/>
            <w:vAlign w:val="bottom"/>
          </w:tcPr>
          <w:p>
            <w:pPr>
              <w:spacing w:after="0"/>
              <w:rPr>
                <w:sz w:val="1"/>
                <w:szCs w:val="1"/>
                <w:color w:val="auto"/>
              </w:rPr>
            </w:pPr>
          </w:p>
        </w:tc>
      </w:tr>
      <w:tr>
        <w:trPr>
          <w:trHeight w:val="111"/>
        </w:trPr>
        <w:tc>
          <w:tcPr>
            <w:tcW w:w="1000" w:type="dxa"/>
            <w:vAlign w:val="bottom"/>
            <w:vMerge w:val="continue"/>
          </w:tcPr>
          <w:p>
            <w:pPr>
              <w:spacing w:after="0"/>
              <w:rPr>
                <w:sz w:val="9"/>
                <w:szCs w:val="9"/>
                <w:color w:val="auto"/>
              </w:rPr>
            </w:pPr>
          </w:p>
        </w:tc>
        <w:tc>
          <w:tcPr>
            <w:tcW w:w="5740" w:type="dxa"/>
            <w:vAlign w:val="bottom"/>
            <w:vMerge w:val="restart"/>
          </w:tcPr>
          <w:p>
            <w:pPr>
              <w:ind w:left="160"/>
              <w:spacing w:after="0"/>
              <w:rPr>
                <w:sz w:val="20"/>
                <w:szCs w:val="20"/>
                <w:color w:val="auto"/>
              </w:rPr>
            </w:pPr>
            <w:r>
              <w:rPr>
                <w:rFonts w:ascii="Arial" w:cs="Arial" w:eastAsia="Arial" w:hAnsi="Arial"/>
                <w:sz w:val="13"/>
                <w:szCs w:val="13"/>
                <w:color w:val="666666"/>
              </w:rPr>
              <w:t>officers, as disclosed in the CD&amp;A of the proxy statement</w:t>
            </w:r>
          </w:p>
        </w:tc>
        <w:tc>
          <w:tcPr>
            <w:tcW w:w="256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000" w:type="dxa"/>
            <w:vAlign w:val="bottom"/>
            <w:tcBorders>
              <w:bottom w:val="single" w:sz="8" w:color="auto"/>
            </w:tcBorders>
          </w:tcPr>
          <w:p>
            <w:pPr>
              <w:spacing w:after="0"/>
              <w:rPr>
                <w:sz w:val="6"/>
                <w:szCs w:val="6"/>
                <w:color w:val="auto"/>
              </w:rPr>
            </w:pPr>
          </w:p>
        </w:tc>
        <w:tc>
          <w:tcPr>
            <w:tcW w:w="5740" w:type="dxa"/>
            <w:vAlign w:val="bottom"/>
            <w:tcBorders>
              <w:bottom w:val="single" w:sz="8" w:color="auto"/>
            </w:tcBorders>
            <w:vMerge w:val="continue"/>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What is the difference between holding shares as a stockholder of record and as a beneficial owner?</w:t>
      </w:r>
    </w:p>
    <w:p>
      <w:pPr>
        <w:spacing w:after="0" w:line="158" w:lineRule="exact"/>
        <w:rPr>
          <w:sz w:val="20"/>
          <w:szCs w:val="20"/>
          <w:color w:val="auto"/>
        </w:rPr>
      </w:pPr>
    </w:p>
    <w:p>
      <w:pPr>
        <w:jc w:val="both"/>
        <w:ind w:right="20" w:firstLine="230"/>
        <w:spacing w:after="0" w:line="285" w:lineRule="auto"/>
        <w:rPr>
          <w:sz w:val="20"/>
          <w:szCs w:val="20"/>
          <w:color w:val="auto"/>
        </w:rPr>
      </w:pPr>
      <w:r>
        <w:rPr>
          <w:rFonts w:ascii="Arial" w:cs="Arial" w:eastAsia="Arial" w:hAnsi="Arial"/>
          <w:sz w:val="14"/>
          <w:szCs w:val="14"/>
          <w:color w:val="666666"/>
        </w:rPr>
        <w:t>If your shares are registered directly in your name with the Company’s registrar and transfer agent, Computershare, you are considered a “stockholder of record” with respect to those shares. In this case, we mailed the proxy materials and our annual report to you directly.</w:t>
      </w:r>
    </w:p>
    <w:p>
      <w:pPr>
        <w:spacing w:after="0" w:line="107"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4"/>
          <w:szCs w:val="14"/>
          <w:color w:val="666666"/>
        </w:rPr>
        <w:t>If your shares are held in a brokerage account or bank, you are considered the “beneficial owner” of those shares, which are held in “street name.” In this case, the proxy materials and our annual report were forwarded to you by your broker or bank. As the beneficial owner, you have the right to direct your broker or bank how to vote your shares by following the voting instructions included in the mailing.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58</w:t>
      </w:r>
    </w:p>
    <w:p>
      <w:pPr>
        <w:sectPr>
          <w:pgSz w:w="11900" w:h="16838" w:orient="portrait"/>
          <w:cols w:equalWidth="0" w:num="1">
            <w:col w:w="11480"/>
          </w:cols>
          <w:pgMar w:left="220" w:top="445" w:right="199" w:bottom="1440" w:gutter="0" w:footer="0" w:header="0"/>
        </w:sectPr>
      </w:pPr>
    </w:p>
    <w:bookmarkStart w:id="67" w:name="page68"/>
    <w:bookmarkEnd w:id="67"/>
    <w:p>
      <w:pPr>
        <w:spacing w:after="0"/>
        <w:rPr>
          <w:sz w:val="20"/>
          <w:szCs w:val="20"/>
          <w:color w:val="auto"/>
        </w:rPr>
      </w:pPr>
      <w:r>
        <w:rPr>
          <w:rFonts w:ascii="Arial" w:cs="Arial" w:eastAsia="Arial" w:hAnsi="Arial"/>
          <w:sz w:val="15"/>
          <w:szCs w:val="15"/>
          <w:b w:val="1"/>
          <w:bCs w:val="1"/>
          <w:color w:val="547BCC"/>
        </w:rPr>
        <w:t>What is the procedure for voting?</w:t>
      </w:r>
    </w:p>
    <w:p>
      <w:pPr>
        <w:spacing w:after="0" w:line="15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4"/>
          <w:szCs w:val="14"/>
          <w:color w:val="666666"/>
        </w:rPr>
        <w:t>If you are a stockholder of record of Class A common stock, you can vote your shares at the annual meeting by attending the meeting and completing a ballot or you can give a proxy to be voted at the annual meeting in one of three ways: (1) over the telephone by calling a toll-free number provided on the enclosed proxy card, (2) electronically via the Internet as described in the enclosed proxy card, or (3) date, sign, and complete the proxy card and return it in the enclosed envelope, which requires no postage stamp if mailed in the United States.</w:t>
      </w:r>
    </w:p>
    <w:p>
      <w:pPr>
        <w:spacing w:after="0" w:line="12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4"/>
          <w:szCs w:val="14"/>
          <w:color w:val="666666"/>
        </w:rPr>
        <w:t>If you are a beneficial owner of Class A common stock, you can vote your shares at the annual meeting by attending the meeting in person if you have requested and received a legal proxy from your bank or broker which you must bring with you to the meeting, or you can give a proxy to be voted at the annual meeting in one of three ways: (1) over the telephone by calling a toll-free number provided on the enclosed proxy card, (2) electronically via the Internet as described in the enclosed proxy card, or (3) date, sign, and complete the proxy card and return it in the enclosed envelope, which requires no postage stamp if mailed in the United States.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Can I change my proxy?</w:t>
      </w:r>
    </w:p>
    <w:p>
      <w:pPr>
        <w:spacing w:after="0" w:line="168"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4"/>
          <w:szCs w:val="14"/>
          <w:color w:val="666666"/>
        </w:rPr>
        <w:t>You may revoke your proxy before it is voted at the annual meeting by delivering a signed revocation letter to the Secretary of the Company at 8283 Greensboro Drive, McLean, Virginia 22102 or by submitting a new proxy, dated later than your first proxy, in one of the ways described in the answer to the previous question. If you are attending in person and have previously mailed your proxy card, you may revoke your proxy and vote in person at the meeting.</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Can other matters be decided at the annual meeting?</w:t>
      </w:r>
    </w:p>
    <w:p>
      <w:pPr>
        <w:spacing w:after="0" w:line="15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4"/>
          <w:szCs w:val="14"/>
          <w:color w:val="666666"/>
        </w:rPr>
        <w:t>The Board is not aware of any other matters to be presented at the annual meeting. If any other matter proper for action at the meeting should be presented, the holders of the accompanying proxy will vote the shares represented by the proxy on such matter in accordance with their best judgment. If any matter not proper for action at the meeting should be presented, the holders of the proxy will vote against consideration of the matter or the proposed action.</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What is the vote required for each proposal?</w:t>
      </w:r>
    </w:p>
    <w:p>
      <w:pPr>
        <w:spacing w:after="0" w:line="158"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4"/>
          <w:szCs w:val="14"/>
          <w:color w:val="666666"/>
        </w:rPr>
        <w:t>For each of the proposals being considered at the annual meeting, approval of the proposal requires the affirmative vote of a majority of the shares entitled to vote at the annual meeting represented either in person or by proxy at the annual meeting, except that directors shall be elected by a majority of the votes validly cast at the annual meeting.</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What if I am a stockholder of record and do not provide voting instructions when returning a proxy?</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666666"/>
        </w:rPr>
        <w:t>Stockholders should specify their choice for each matter on the proxy card. Proxies that are signed and returned but do not contain voting instructions will be voted:</w:t>
      </w:r>
    </w:p>
    <w:p>
      <w:pPr>
        <w:spacing w:after="0" w:line="165" w:lineRule="exact"/>
        <w:rPr>
          <w:sz w:val="20"/>
          <w:szCs w:val="20"/>
          <w:color w:val="auto"/>
        </w:rPr>
      </w:pPr>
    </w:p>
    <w:p>
      <w:pPr>
        <w:ind w:left="460" w:hanging="233"/>
        <w:spacing w:after="0"/>
        <w:tabs>
          <w:tab w:leader="none" w:pos="460" w:val="left"/>
        </w:tabs>
        <w:numPr>
          <w:ilvl w:val="0"/>
          <w:numId w:val="52"/>
        </w:numPr>
        <w:rPr>
          <w:rFonts w:ascii="Arial" w:cs="Arial" w:eastAsia="Arial" w:hAnsi="Arial"/>
          <w:sz w:val="14"/>
          <w:szCs w:val="14"/>
          <w:color w:val="666666"/>
        </w:rPr>
      </w:pPr>
      <w:r>
        <w:rPr>
          <w:rFonts w:ascii="Arial" w:cs="Arial" w:eastAsia="Arial" w:hAnsi="Arial"/>
          <w:sz w:val="14"/>
          <w:szCs w:val="14"/>
          <w:color w:val="666666"/>
        </w:rPr>
        <w:t>FOR the election of all director nominees as set forth in this proxy statement;</w:t>
      </w:r>
    </w:p>
    <w:p>
      <w:pPr>
        <w:spacing w:after="0" w:line="20" w:lineRule="exact"/>
        <w:rPr>
          <w:rFonts w:ascii="Arial" w:cs="Arial" w:eastAsia="Arial" w:hAnsi="Arial"/>
          <w:sz w:val="14"/>
          <w:szCs w:val="14"/>
          <w:color w:val="666666"/>
        </w:rPr>
      </w:pPr>
    </w:p>
    <w:p>
      <w:pPr>
        <w:ind w:left="460" w:hanging="233"/>
        <w:spacing w:after="0"/>
        <w:tabs>
          <w:tab w:leader="none" w:pos="460" w:val="left"/>
        </w:tabs>
        <w:numPr>
          <w:ilvl w:val="0"/>
          <w:numId w:val="52"/>
        </w:numPr>
        <w:rPr>
          <w:rFonts w:ascii="Arial" w:cs="Arial" w:eastAsia="Arial" w:hAnsi="Arial"/>
          <w:sz w:val="14"/>
          <w:szCs w:val="14"/>
          <w:color w:val="666666"/>
        </w:rPr>
      </w:pPr>
      <w:r>
        <w:rPr>
          <w:rFonts w:ascii="Arial" w:cs="Arial" w:eastAsia="Arial" w:hAnsi="Arial"/>
          <w:sz w:val="14"/>
          <w:szCs w:val="14"/>
          <w:color w:val="666666"/>
        </w:rPr>
        <w:t>FOR the ratification of the appointment of E&amp;Y as the Company's independent registered accounting firm for fiscal 2019; and</w:t>
      </w:r>
    </w:p>
    <w:p>
      <w:pPr>
        <w:spacing w:after="0" w:line="2" w:lineRule="exact"/>
        <w:rPr>
          <w:rFonts w:ascii="Arial" w:cs="Arial" w:eastAsia="Arial" w:hAnsi="Arial"/>
          <w:sz w:val="14"/>
          <w:szCs w:val="14"/>
          <w:color w:val="666666"/>
        </w:rPr>
      </w:pPr>
    </w:p>
    <w:p>
      <w:pPr>
        <w:ind w:left="460" w:hanging="233"/>
        <w:spacing w:after="0"/>
        <w:tabs>
          <w:tab w:leader="none" w:pos="460" w:val="left"/>
        </w:tabs>
        <w:numPr>
          <w:ilvl w:val="0"/>
          <w:numId w:val="52"/>
        </w:numPr>
        <w:rPr>
          <w:rFonts w:ascii="Arial" w:cs="Arial" w:eastAsia="Arial" w:hAnsi="Arial"/>
          <w:sz w:val="14"/>
          <w:szCs w:val="14"/>
          <w:color w:val="666666"/>
        </w:rPr>
      </w:pPr>
      <w:r>
        <w:rPr>
          <w:rFonts w:ascii="Arial" w:cs="Arial" w:eastAsia="Arial" w:hAnsi="Arial"/>
          <w:sz w:val="14"/>
          <w:szCs w:val="14"/>
          <w:color w:val="666666"/>
        </w:rPr>
        <w:t>FOR the approval, on a non-binding, advisory basis, of the compensation of our named executive officers.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What if I am a beneficial owner and do not give voting instructions to my broker?</w:t>
      </w:r>
    </w:p>
    <w:p>
      <w:pPr>
        <w:spacing w:after="0" w:line="158" w:lineRule="exact"/>
        <w:rPr>
          <w:sz w:val="20"/>
          <w:szCs w:val="20"/>
          <w:color w:val="auto"/>
        </w:rPr>
      </w:pPr>
    </w:p>
    <w:p>
      <w:pPr>
        <w:jc w:val="both"/>
        <w:ind w:right="20" w:firstLine="230"/>
        <w:spacing w:after="0" w:line="257" w:lineRule="auto"/>
        <w:rPr>
          <w:sz w:val="20"/>
          <w:szCs w:val="20"/>
          <w:color w:val="auto"/>
        </w:rPr>
      </w:pPr>
      <w:r>
        <w:rPr>
          <w:rFonts w:ascii="Arial" w:cs="Arial" w:eastAsia="Arial" w:hAnsi="Arial"/>
          <w:sz w:val="14"/>
          <w:szCs w:val="14"/>
          <w:color w:val="666666"/>
        </w:rPr>
        <w:t>If your shares are held by a broker in “street name,” your brokerage firm may vote your shares on certain “routine” matters if you do not provide voting instructions. The ratification of an independent registered public accounting firm is an example of a routine matter. If you do not provide voting instructions, your brokerage firm may either vote your shares on routine matters or leave your shares unvoted. When a brokerage firm votes its customers' shares on a routine matter without receiving voting instructions, these shares are counted both for establishing a quorum to conduct business at the meeting and in determining the number of shares voted for or against the routine matter. A</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59</w:t>
      </w:r>
    </w:p>
    <w:p>
      <w:pPr>
        <w:sectPr>
          <w:pgSz w:w="11900" w:h="16838" w:orient="portrait"/>
          <w:cols w:equalWidth="0" w:num="1">
            <w:col w:w="11480"/>
          </w:cols>
          <w:pgMar w:left="220" w:top="451" w:right="199" w:bottom="1440" w:gutter="0" w:footer="0" w:header="0"/>
        </w:sectPr>
      </w:pPr>
    </w:p>
    <w:bookmarkStart w:id="68" w:name="page69"/>
    <w:bookmarkEnd w:id="68"/>
    <w:p>
      <w:pPr>
        <w:jc w:val="both"/>
        <w:spacing w:after="0" w:line="285" w:lineRule="auto"/>
        <w:rPr>
          <w:sz w:val="20"/>
          <w:szCs w:val="20"/>
          <w:color w:val="auto"/>
        </w:rPr>
      </w:pPr>
      <w:r>
        <w:rPr>
          <w:rFonts w:ascii="Arial" w:cs="Arial" w:eastAsia="Arial" w:hAnsi="Arial"/>
          <w:sz w:val="14"/>
          <w:szCs w:val="14"/>
          <w:color w:val="666666"/>
        </w:rPr>
        <w:t>brokerage firm cannot vote your shares on non-routine matters, such as the election of directors and the advisory vote on executive compensation. If your brokerage firm has not received voting instructions on a non-routine matter, these shares will be considered “broker non-votes” to the extent that the brokerage firm submits a proxy.</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How are abstentions and broker non-votes counted?</w:t>
      </w:r>
    </w:p>
    <w:p>
      <w:pPr>
        <w:spacing w:after="0" w:line="158" w:lineRule="exact"/>
        <w:rPr>
          <w:sz w:val="20"/>
          <w:szCs w:val="20"/>
          <w:color w:val="auto"/>
        </w:rPr>
      </w:pPr>
    </w:p>
    <w:p>
      <w:pPr>
        <w:ind w:right="300" w:firstLine="230"/>
        <w:spacing w:after="0" w:line="285" w:lineRule="auto"/>
        <w:rPr>
          <w:sz w:val="20"/>
          <w:szCs w:val="20"/>
          <w:color w:val="auto"/>
        </w:rPr>
      </w:pPr>
      <w:r>
        <w:rPr>
          <w:rFonts w:ascii="Arial" w:cs="Arial" w:eastAsia="Arial" w:hAnsi="Arial"/>
          <w:sz w:val="14"/>
          <w:szCs w:val="14"/>
          <w:color w:val="666666"/>
        </w:rPr>
        <w:t>Abstentions will be treated as present for purposes of determining a quorum but will not be included in vote totals. Abstentions will have the effect of a vote “against” each of the proposals, other than for the election of directors whereby abstentions will not affect the outcome.</w:t>
      </w:r>
    </w:p>
    <w:p>
      <w:pPr>
        <w:spacing w:after="0" w:line="107" w:lineRule="exact"/>
        <w:rPr>
          <w:sz w:val="20"/>
          <w:szCs w:val="20"/>
          <w:color w:val="auto"/>
        </w:rPr>
      </w:pPr>
    </w:p>
    <w:p>
      <w:pPr>
        <w:ind w:right="40" w:firstLine="230"/>
        <w:spacing w:after="0" w:line="285" w:lineRule="auto"/>
        <w:rPr>
          <w:sz w:val="20"/>
          <w:szCs w:val="20"/>
          <w:color w:val="auto"/>
        </w:rPr>
      </w:pPr>
      <w:r>
        <w:rPr>
          <w:rFonts w:ascii="Arial" w:cs="Arial" w:eastAsia="Arial" w:hAnsi="Arial"/>
          <w:sz w:val="14"/>
          <w:szCs w:val="14"/>
          <w:color w:val="666666"/>
        </w:rPr>
        <w:t>Broker non-votes are counted for purposes of establishing a quorum. Broker non-votes will have no effect on the outcome of the non-routine proposals, while discretionary voting by a broker is permitted in the case of the ratification of an independent registered public accounting firm, a routine matter.</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Who will count the votes?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4"/>
          <w:szCs w:val="14"/>
          <w:color w:val="666666"/>
        </w:rPr>
        <w:t>A representative from Broadridge Financial Services will tabulate the votes and act as the inspector of election for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Who will bear the costs of soliciting votes for the annual meeting?</w:t>
      </w:r>
    </w:p>
    <w:p>
      <w:pPr>
        <w:spacing w:after="0" w:line="120"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4"/>
          <w:szCs w:val="14"/>
          <w:color w:val="666666"/>
        </w:rPr>
        <w:t>We will bear all costs of soliciting proxies. Pursuant to rules adopted by the SEC, we have elected to deliver a notice of Internet availability of proxy materials to stockholders and provide Internet access to those proxy materials. Stockholders may obtain paper copies of the proxy materials free of charge by following the instructions provided in the notice of Internet availability of proxy materials. We have retained the services of Georgeson Inc. to assist in the solicitation of proxies for the annual meeting. The estimated cost of such services is $17,000, plus reasonable out-of-pocket expenses incurred in the process of soliciting proxies.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When will the Company announce the voting results?</w:t>
      </w:r>
    </w:p>
    <w:p>
      <w:pPr>
        <w:spacing w:after="0" w:line="158" w:lineRule="exact"/>
        <w:rPr>
          <w:sz w:val="20"/>
          <w:szCs w:val="20"/>
          <w:color w:val="auto"/>
        </w:rPr>
      </w:pPr>
    </w:p>
    <w:p>
      <w:pPr>
        <w:ind w:right="140" w:firstLine="230"/>
        <w:spacing w:after="0" w:line="285" w:lineRule="auto"/>
        <w:rPr>
          <w:sz w:val="20"/>
          <w:szCs w:val="20"/>
          <w:color w:val="auto"/>
        </w:rPr>
      </w:pPr>
      <w:r>
        <w:rPr>
          <w:rFonts w:ascii="Arial" w:cs="Arial" w:eastAsia="Arial" w:hAnsi="Arial"/>
          <w:sz w:val="14"/>
          <w:szCs w:val="14"/>
          <w:color w:val="666666"/>
        </w:rPr>
        <w:t>The preliminary voting results will be announced at the annual meeting. The Company will report the final results on our website and in a Current Report on Form 8-K filed with the SEC.</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Can I receive a copy of the Annual Report?</w:t>
      </w:r>
    </w:p>
    <w:p>
      <w:pPr>
        <w:spacing w:after="0" w:line="158"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4"/>
          <w:szCs w:val="14"/>
          <w:color w:val="666666"/>
        </w:rPr>
        <w:t>The annual report of the Company on Form 10-K for the fiscal year ended March 31, 2018 is being furnished concurrently with this proxy statement to persons who were stockholders of record as of June 4, 2018, the record date for the annual meeting. These materials do not form part of the material for the solicitation of proxies.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547BCC"/>
        </w:rPr>
        <w:t>What is “householding” and how does it affect me?</w:t>
      </w:r>
    </w:p>
    <w:p>
      <w:pPr>
        <w:spacing w:after="0" w:line="158"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4"/>
          <w:szCs w:val="14"/>
          <w:color w:val="666666"/>
        </w:rPr>
        <w:t>In some cases, stockholders holding their shares in a brokerage or bank account who share the same surname and address and have not given contrary instructions are receiving only one copy of our annual report on Form 10-K and this proxy statement. This reduces the volume of duplicate information received at your household and helps to reduce costs. If you would like to have additional copies of these documents mailed to you, please write or call our Secretary at 8283 Greensboro Drive, McLean, Virginia 22102, telephone: (703) 902-5000. If you want to receive separate copies of the proxy statement, annual report to stockholders, or Notice of Internet Availability of Proxy Materials in the future, or if you are receiving multiple copies and would like to receive only one copy per household, you should contact your bank, broker, or other nominee record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60</w:t>
      </w:r>
    </w:p>
    <w:p>
      <w:pPr>
        <w:sectPr>
          <w:pgSz w:w="11900" w:h="16838" w:orient="portrait"/>
          <w:cols w:equalWidth="0" w:num="1">
            <w:col w:w="11460"/>
          </w:cols>
          <w:pgMar w:left="220" w:top="445" w:right="219" w:bottom="1440" w:gutter="0" w:footer="0" w:header="0"/>
        </w:sectPr>
      </w:pPr>
    </w:p>
    <w:bookmarkStart w:id="69" w:name="page70"/>
    <w:bookmarkEnd w:id="69"/>
    <w:p>
      <w:pPr>
        <w:ind w:left="3"/>
        <w:spacing w:after="0"/>
        <w:rPr>
          <w:sz w:val="20"/>
          <w:szCs w:val="20"/>
          <w:color w:val="auto"/>
        </w:rPr>
      </w:pPr>
      <w:r>
        <w:rPr>
          <w:rFonts w:ascii="Arial" w:cs="Arial" w:eastAsia="Arial" w:hAnsi="Arial"/>
          <w:sz w:val="15"/>
          <w:szCs w:val="15"/>
          <w:b w:val="1"/>
          <w:bCs w:val="1"/>
          <w:color w:val="547BCC"/>
        </w:rPr>
        <w:t>How do I submit a proposal for action at the annual of meeting of stockholders in 2019?</w:t>
      </w:r>
    </w:p>
    <w:p>
      <w:pPr>
        <w:spacing w:after="0" w:line="158" w:lineRule="exact"/>
        <w:rPr>
          <w:sz w:val="20"/>
          <w:szCs w:val="20"/>
          <w:color w:val="auto"/>
        </w:rPr>
      </w:pPr>
    </w:p>
    <w:p>
      <w:pPr>
        <w:jc w:val="both"/>
        <w:ind w:left="3" w:firstLine="230"/>
        <w:spacing w:after="0" w:line="285" w:lineRule="auto"/>
        <w:rPr>
          <w:sz w:val="20"/>
          <w:szCs w:val="20"/>
          <w:color w:val="auto"/>
        </w:rPr>
      </w:pPr>
      <w:r>
        <w:rPr>
          <w:rFonts w:ascii="Arial" w:cs="Arial" w:eastAsia="Arial" w:hAnsi="Arial"/>
          <w:sz w:val="14"/>
          <w:szCs w:val="14"/>
          <w:color w:val="666666"/>
        </w:rPr>
        <w:t>Under applicable SEC rules and regulations, the Company will review for inclusion in next year’s proxy statement stockholder proposals received by February 14, 2019. Proposals should be sent to the Secretary of the Company at 8283 Greensboro Drive, McLean, Virginia 22102.</w:t>
      </w:r>
    </w:p>
    <w:p>
      <w:pPr>
        <w:spacing w:after="0" w:line="107" w:lineRule="exact"/>
        <w:rPr>
          <w:sz w:val="20"/>
          <w:szCs w:val="20"/>
          <w:color w:val="auto"/>
        </w:rPr>
      </w:pPr>
    </w:p>
    <w:p>
      <w:pPr>
        <w:jc w:val="both"/>
        <w:ind w:left="3" w:firstLine="230"/>
        <w:spacing w:after="0" w:line="247" w:lineRule="auto"/>
        <w:rPr>
          <w:sz w:val="20"/>
          <w:szCs w:val="20"/>
          <w:color w:val="auto"/>
        </w:rPr>
      </w:pPr>
      <w:r>
        <w:rPr>
          <w:rFonts w:ascii="Arial" w:cs="Arial" w:eastAsia="Arial" w:hAnsi="Arial"/>
          <w:sz w:val="14"/>
          <w:szCs w:val="14"/>
          <w:color w:val="666666"/>
        </w:rPr>
        <w:t>Pursuant to our third amended and restated bylaws, stockholder proposals not included in next year’s proxy statement may be brought before the 2019 Annual Meeting of Stockholders by a stockholder of the Company who is entitled to vote at the meeting, who has given a written notice to the Secretary of the Company at 8283 Greensboro Drive, McLean, Virginia 22102 containing certain information specified in the bylaws and who was a stockholder of record at the time such notice was given. Such notice must be delivered to or mailed and received at the address in the preceding paragraph no earlier than March 28, 2019 and no later than April 27, 2019, except that if the date of the 2018 Annual Meeting of Stockholders is changed, and the meeting is held before June 26, 2019 or after October 4, 2019, such notice must be delivered at the address in the preceding paragraph no earlier than 120 days prior to the new date of such annual meeting and not later than the close of business on the later of (i) the ninetieth day prior to the new date of such annual meeting and</w:t>
      </w:r>
    </w:p>
    <w:p>
      <w:pPr>
        <w:spacing w:after="0" w:line="3" w:lineRule="exact"/>
        <w:rPr>
          <w:sz w:val="20"/>
          <w:szCs w:val="20"/>
          <w:color w:val="auto"/>
        </w:rPr>
      </w:pPr>
    </w:p>
    <w:p>
      <w:pPr>
        <w:ind w:left="203" w:hanging="203"/>
        <w:spacing w:after="0"/>
        <w:tabs>
          <w:tab w:leader="none" w:pos="203" w:val="left"/>
        </w:tabs>
        <w:numPr>
          <w:ilvl w:val="0"/>
          <w:numId w:val="53"/>
        </w:numPr>
        <w:rPr>
          <w:rFonts w:ascii="Arial" w:cs="Arial" w:eastAsia="Arial" w:hAnsi="Arial"/>
          <w:sz w:val="14"/>
          <w:szCs w:val="14"/>
          <w:color w:val="666666"/>
        </w:rPr>
      </w:pPr>
      <w:r>
        <w:rPr>
          <w:rFonts w:ascii="Arial" w:cs="Arial" w:eastAsia="Arial" w:hAnsi="Arial"/>
          <w:sz w:val="14"/>
          <w:szCs w:val="14"/>
          <w:color w:val="666666"/>
        </w:rPr>
        <w:t>the tenth day following the day on which a public announcement of the new date of such annual meeting is first made.</w:t>
      </w:r>
    </w:p>
    <w:p>
      <w:pPr>
        <w:spacing w:after="0" w:line="161" w:lineRule="exact"/>
        <w:rPr>
          <w:rFonts w:ascii="Arial" w:cs="Arial" w:eastAsia="Arial" w:hAnsi="Arial"/>
          <w:sz w:val="14"/>
          <w:szCs w:val="14"/>
          <w:color w:val="666666"/>
        </w:rPr>
      </w:pPr>
    </w:p>
    <w:p>
      <w:pPr>
        <w:ind w:left="5663"/>
        <w:spacing w:after="0"/>
        <w:rPr>
          <w:rFonts w:ascii="Arial" w:cs="Arial" w:eastAsia="Arial" w:hAnsi="Arial"/>
          <w:sz w:val="14"/>
          <w:szCs w:val="14"/>
          <w:color w:val="666666"/>
        </w:rPr>
      </w:pPr>
      <w:r>
        <w:rPr>
          <w:rFonts w:ascii="Arial" w:cs="Arial" w:eastAsia="Arial" w:hAnsi="Arial"/>
          <w:sz w:val="13"/>
          <w:szCs w:val="13"/>
          <w:color w:val="666666"/>
        </w:rPr>
        <w:t>61</w:t>
      </w:r>
    </w:p>
    <w:p>
      <w:pPr>
        <w:sectPr>
          <w:pgSz w:w="11900" w:h="16838" w:orient="portrait"/>
          <w:cols w:equalWidth="0" w:num="1">
            <w:col w:w="11463"/>
          </w:cols>
          <w:pgMar w:left="217" w:top="451" w:right="21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b w:val="1"/>
          <w:bCs w:val="1"/>
          <w:u w:val="single" w:color="auto"/>
          <w:color w:val="547BCC"/>
        </w:rPr>
        <w:t>Appendix A</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547BCC"/>
        </w:rPr>
        <w:t>Non-GAAP Measures</w:t>
      </w:r>
    </w:p>
    <w:p>
      <w:pPr>
        <w:spacing w:after="0" w:line="62" w:lineRule="exact"/>
        <w:rPr>
          <w:sz w:val="20"/>
          <w:szCs w:val="20"/>
          <w:color w:val="auto"/>
        </w:rPr>
      </w:pPr>
    </w:p>
    <w:p>
      <w:pPr>
        <w:ind w:right="20" w:firstLine="230"/>
        <w:spacing w:after="0" w:line="246" w:lineRule="auto"/>
        <w:rPr>
          <w:sz w:val="20"/>
          <w:szCs w:val="20"/>
          <w:color w:val="auto"/>
        </w:rPr>
      </w:pPr>
      <w:r>
        <w:rPr>
          <w:rFonts w:ascii="Arial" w:cs="Arial" w:eastAsia="Arial" w:hAnsi="Arial"/>
          <w:sz w:val="14"/>
          <w:szCs w:val="14"/>
          <w:color w:val="666666"/>
        </w:rPr>
        <w:t>We publicly disclose certain non-GAAP financial measurements, including Adjusted EBITDA, Adjusted EBITDA Margin on Revenue, and Adjusted Diluted Earnings Per Share, or Adjusted Diluted EPS, because management uses these measures for business planning purposes, including to manage our business against internal projected results of operations and measure our performance. We view Adjusted EBITDA, Adjusted EBITDA Margin on Revenue,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EBITDA, Adjusted EBITDA Margin on Revenue,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net income to Adjusted EBITDA, Adjusted EBITDA Margin on Revenue, and Adjusted Diluted EPS, and net cash provided by operating activities to Free Cash Flow, and the explanatory footnotes regarding those adjustments, each as defined under GAAP, (ii) use Adjusted EBITDA, Adjusted EBITDA Margin on Revenue, and Adjusted Diluted EPS in addition to, and not as an alternative to, net income or diluted EPS, as measures of operating results, and (iii) use Free Cash Flow in addition to, and not as an alternative to, net cash provided by operating activities as a measure of liquidity, each as defined under GAAP. We have defined the aforementioned non-GAAP measures as follows:</w:t>
      </w:r>
    </w:p>
    <w:p>
      <w:pPr>
        <w:spacing w:after="0" w:line="146" w:lineRule="exact"/>
        <w:rPr>
          <w:sz w:val="20"/>
          <w:szCs w:val="20"/>
          <w:color w:val="auto"/>
        </w:rPr>
      </w:pPr>
    </w:p>
    <w:p>
      <w:pPr>
        <w:jc w:val="both"/>
        <w:ind w:left="460" w:hanging="233"/>
        <w:spacing w:after="0" w:line="257" w:lineRule="auto"/>
        <w:tabs>
          <w:tab w:leader="none" w:pos="46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“Adjusted EBITDA” represents net income before income taxes, net interest and other expense, and depreciation and amortization, before certain other items, including transaction costs, fees, losses, and expenses, including fees associated with debt prepayments. "Adjusted EBITDA Margin on Revenue" is calculated as Adjusted EBITDA divided by revenue. The Company prepares Adjusted EBITDA and Adjusted EBITDA Margin on Revenue to eliminate the impact of items it does not consider indicative of ongoing operating performance due to their inherent unusual, extraordinary, or non-recurring nature or because they result from an event of a similar nature.</w:t>
      </w:r>
    </w:p>
    <w:p>
      <w:pPr>
        <w:spacing w:after="0" w:line="78" w:lineRule="exact"/>
        <w:rPr>
          <w:rFonts w:ascii="Arial" w:cs="Arial" w:eastAsia="Arial" w:hAnsi="Arial"/>
          <w:sz w:val="14"/>
          <w:szCs w:val="14"/>
          <w:color w:val="666666"/>
        </w:rPr>
      </w:pPr>
    </w:p>
    <w:p>
      <w:pPr>
        <w:ind w:left="460" w:hanging="233"/>
        <w:spacing w:after="0" w:line="285" w:lineRule="auto"/>
        <w:tabs>
          <w:tab w:leader="none" w:pos="46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“Adjusted Diluted EPS” represents diluted EPS calculated using Adjusted Net Income as opposed to net income. Additionally, Adjusted Diluted EPS does not contemplate any adjustments to net income as required under the two-class method as disclosed in the footnotes to the consolidated financial statements.</w:t>
      </w:r>
    </w:p>
    <w:p>
      <w:pPr>
        <w:spacing w:after="0" w:line="59" w:lineRule="exact"/>
        <w:rPr>
          <w:rFonts w:ascii="Arial" w:cs="Arial" w:eastAsia="Arial" w:hAnsi="Arial"/>
          <w:sz w:val="14"/>
          <w:szCs w:val="14"/>
          <w:color w:val="666666"/>
        </w:rPr>
      </w:pPr>
    </w:p>
    <w:p>
      <w:pPr>
        <w:ind w:left="460" w:hanging="233"/>
        <w:spacing w:after="0"/>
        <w:tabs>
          <w:tab w:leader="none" w:pos="460" w:val="left"/>
        </w:tabs>
        <w:numPr>
          <w:ilvl w:val="0"/>
          <w:numId w:val="54"/>
        </w:numPr>
        <w:rPr>
          <w:rFonts w:ascii="Arial" w:cs="Arial" w:eastAsia="Arial" w:hAnsi="Arial"/>
          <w:sz w:val="14"/>
          <w:szCs w:val="14"/>
          <w:color w:val="666666"/>
        </w:rPr>
      </w:pPr>
      <w:r>
        <w:rPr>
          <w:rFonts w:ascii="Arial" w:cs="Arial" w:eastAsia="Arial" w:hAnsi="Arial"/>
          <w:sz w:val="14"/>
          <w:szCs w:val="14"/>
          <w:color w:val="666666"/>
        </w:rPr>
        <w:t>“Free Cash Flow” represents the net cash generated from operating activities less the impact of purchases of property and equipment.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A - 1</w:t>
      </w:r>
    </w:p>
    <w:p>
      <w:pPr>
        <w:sectPr>
          <w:pgSz w:w="11900" w:h="16838" w:orient="portrait"/>
          <w:cols w:equalWidth="0" w:num="1">
            <w:col w:w="11460"/>
          </w:cols>
          <w:pgMar w:left="220" w:top="597" w:right="219" w:bottom="1440" w:gutter="0" w:footer="0" w:header="0"/>
        </w:sectPr>
      </w:pPr>
    </w:p>
    <w:bookmarkStart w:id="71" w:name="page72"/>
    <w:bookmarkEnd w:id="71"/>
    <w:p>
      <w:pPr>
        <w:ind w:firstLine="288"/>
        <w:spacing w:after="0" w:line="285" w:lineRule="auto"/>
        <w:rPr>
          <w:sz w:val="20"/>
          <w:szCs w:val="20"/>
          <w:color w:val="auto"/>
        </w:rPr>
      </w:pPr>
      <w:r>
        <w:rPr>
          <w:rFonts w:ascii="Arial" w:cs="Arial" w:eastAsia="Arial" w:hAnsi="Arial"/>
          <w:sz w:val="14"/>
          <w:szCs w:val="14"/>
          <w:color w:val="666666"/>
        </w:rPr>
        <w:t>Below is a reconciliation of Adjusted EBITDA, Adjusted EBITDA Margin on Revenue, and Adjusted Diluted EPS, and Free Cash Flow to the most directly comparable financial measure calculated and presented in accordance with GAAP.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gridSpan w:val="2"/>
            <w:shd w:val="clear" w:color="auto" w:fill="CCEEFF"/>
          </w:tcPr>
          <w:p>
            <w:pPr>
              <w:jc w:val="center"/>
              <w:ind w:right="280"/>
              <w:spacing w:after="0"/>
              <w:rPr>
                <w:sz w:val="20"/>
                <w:szCs w:val="20"/>
                <w:color w:val="auto"/>
              </w:rPr>
            </w:pPr>
            <w:r>
              <w:rPr>
                <w:rFonts w:ascii="Arial" w:cs="Arial" w:eastAsia="Arial" w:hAnsi="Arial"/>
                <w:sz w:val="10"/>
                <w:szCs w:val="10"/>
                <w:b w:val="1"/>
                <w:bCs w:val="1"/>
                <w:color w:val="666666"/>
              </w:rPr>
              <w:t>Fiscal Year Ended March 31,</w:t>
            </w:r>
          </w:p>
        </w:tc>
        <w:tc>
          <w:tcPr>
            <w:tcW w:w="4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666666"/>
              </w:rPr>
              <w:t>(Amounts in thousands, except share and per share data)</w:t>
            </w:r>
          </w:p>
        </w:tc>
        <w:tc>
          <w:tcPr>
            <w:tcW w:w="460" w:type="dxa"/>
            <w:vAlign w:val="bottom"/>
            <w:tcBorders>
              <w:bottom w:val="single" w:sz="8" w:color="666666"/>
            </w:tcBorders>
          </w:tcPr>
          <w:p>
            <w:pPr>
              <w:spacing w:after="0"/>
              <w:rPr>
                <w:sz w:val="15"/>
                <w:szCs w:val="15"/>
                <w:color w:val="auto"/>
              </w:rPr>
            </w:pPr>
          </w:p>
        </w:tc>
        <w:tc>
          <w:tcPr>
            <w:tcW w:w="1460" w:type="dxa"/>
            <w:vAlign w:val="bottom"/>
            <w:tcBorders>
              <w:bottom w:val="single" w:sz="8" w:color="666666"/>
            </w:tcBorders>
          </w:tcPr>
          <w:p>
            <w:pPr>
              <w:jc w:val="right"/>
              <w:ind w:right="789"/>
              <w:spacing w:after="0"/>
              <w:rPr>
                <w:sz w:val="20"/>
                <w:szCs w:val="20"/>
                <w:color w:val="auto"/>
              </w:rPr>
            </w:pPr>
            <w:r>
              <w:rPr>
                <w:rFonts w:ascii="Arial" w:cs="Arial" w:eastAsia="Arial" w:hAnsi="Arial"/>
                <w:sz w:val="10"/>
                <w:szCs w:val="10"/>
                <w:b w:val="1"/>
                <w:bCs w:val="1"/>
                <w:color w:val="666666"/>
              </w:rPr>
              <w:t>2018</w:t>
            </w:r>
          </w:p>
        </w:tc>
        <w:tc>
          <w:tcPr>
            <w:tcW w:w="120" w:type="dxa"/>
            <w:vAlign w:val="bottom"/>
            <w:tcBorders>
              <w:bottom w:val="single" w:sz="8" w:color="666666"/>
            </w:tcBorders>
          </w:tcPr>
          <w:p>
            <w:pPr>
              <w:spacing w:after="0"/>
              <w:rPr>
                <w:sz w:val="15"/>
                <w:szCs w:val="15"/>
                <w:color w:val="auto"/>
              </w:rPr>
            </w:pPr>
          </w:p>
        </w:tc>
        <w:tc>
          <w:tcPr>
            <w:tcW w:w="160" w:type="dxa"/>
            <w:vAlign w:val="bottom"/>
            <w:tcBorders>
              <w:bottom w:val="single" w:sz="8" w:color="666666"/>
            </w:tcBorders>
          </w:tcPr>
          <w:p>
            <w:pPr>
              <w:spacing w:after="0"/>
              <w:rPr>
                <w:sz w:val="15"/>
                <w:szCs w:val="15"/>
                <w:color w:val="auto"/>
              </w:rPr>
            </w:pPr>
          </w:p>
        </w:tc>
        <w:tc>
          <w:tcPr>
            <w:tcW w:w="1760" w:type="dxa"/>
            <w:vAlign w:val="bottom"/>
            <w:tcBorders>
              <w:bottom w:val="single" w:sz="8" w:color="666666"/>
            </w:tcBorders>
          </w:tcPr>
          <w:p>
            <w:pPr>
              <w:jc w:val="center"/>
              <w:ind w:right="109"/>
              <w:spacing w:after="0"/>
              <w:rPr>
                <w:sz w:val="20"/>
                <w:szCs w:val="20"/>
                <w:color w:val="auto"/>
              </w:rPr>
            </w:pPr>
            <w:r>
              <w:rPr>
                <w:rFonts w:ascii="Arial" w:cs="Arial" w:eastAsia="Arial" w:hAnsi="Arial"/>
                <w:sz w:val="10"/>
                <w:szCs w:val="10"/>
                <w:b w:val="1"/>
                <w:bCs w:val="1"/>
                <w:color w:val="666666"/>
              </w:rPr>
              <w:t>2017</w:t>
            </w:r>
          </w:p>
        </w:tc>
        <w:tc>
          <w:tcPr>
            <w:tcW w:w="100" w:type="dxa"/>
            <w:vAlign w:val="bottom"/>
            <w:tcBorders>
              <w:bottom w:val="single" w:sz="8" w:color="666666"/>
            </w:tcBorders>
          </w:tcPr>
          <w:p>
            <w:pPr>
              <w:spacing w:after="0"/>
              <w:rPr>
                <w:sz w:val="15"/>
                <w:szCs w:val="15"/>
                <w:color w:val="auto"/>
              </w:rPr>
            </w:pPr>
          </w:p>
        </w:tc>
        <w:tc>
          <w:tcPr>
            <w:tcW w:w="460" w:type="dxa"/>
            <w:vAlign w:val="bottom"/>
            <w:tcBorders>
              <w:bottom w:val="single" w:sz="8" w:color="666666"/>
            </w:tcBorders>
          </w:tcPr>
          <w:p>
            <w:pPr>
              <w:spacing w:after="0"/>
              <w:rPr>
                <w:sz w:val="15"/>
                <w:szCs w:val="15"/>
                <w:color w:val="auto"/>
              </w:rPr>
            </w:pPr>
          </w:p>
        </w:tc>
        <w:tc>
          <w:tcPr>
            <w:tcW w:w="1440" w:type="dxa"/>
            <w:vAlign w:val="bottom"/>
            <w:tcBorders>
              <w:bottom w:val="single" w:sz="8" w:color="666666"/>
            </w:tcBorders>
          </w:tcPr>
          <w:p>
            <w:pPr>
              <w:jc w:val="right"/>
              <w:ind w:right="789"/>
              <w:spacing w:after="0"/>
              <w:rPr>
                <w:sz w:val="20"/>
                <w:szCs w:val="20"/>
                <w:color w:val="auto"/>
              </w:rPr>
            </w:pPr>
            <w:r>
              <w:rPr>
                <w:rFonts w:ascii="Arial" w:cs="Arial" w:eastAsia="Arial" w:hAnsi="Arial"/>
                <w:sz w:val="10"/>
                <w:szCs w:val="10"/>
                <w:b w:val="1"/>
                <w:bCs w:val="1"/>
                <w:color w:val="666666"/>
              </w:rPr>
              <w:t>2016</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jc w:val="center"/>
              <w:ind w:right="280"/>
              <w:spacing w:after="0"/>
              <w:rPr>
                <w:sz w:val="20"/>
                <w:szCs w:val="20"/>
                <w:color w:val="auto"/>
              </w:rPr>
            </w:pPr>
            <w:r>
              <w:rPr>
                <w:rFonts w:ascii="Arial" w:cs="Arial" w:eastAsia="Arial" w:hAnsi="Arial"/>
                <w:sz w:val="10"/>
                <w:szCs w:val="10"/>
                <w:b w:val="1"/>
                <w:bCs w:val="1"/>
                <w:color w:val="666666"/>
              </w:rPr>
              <w:t>(Unaudited)</w:t>
            </w: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300" w:type="dxa"/>
            <w:vAlign w:val="bottom"/>
          </w:tcPr>
          <w:p>
            <w:pPr>
              <w:ind w:left="20"/>
              <w:spacing w:after="0"/>
              <w:rPr>
                <w:sz w:val="20"/>
                <w:szCs w:val="20"/>
                <w:color w:val="auto"/>
              </w:rPr>
            </w:pPr>
            <w:r>
              <w:rPr>
                <w:rFonts w:ascii="Arial" w:cs="Arial" w:eastAsia="Arial" w:hAnsi="Arial"/>
                <w:sz w:val="10"/>
                <w:szCs w:val="10"/>
                <w:b w:val="1"/>
                <w:bCs w:val="1"/>
                <w:i w:val="1"/>
                <w:iCs w:val="1"/>
                <w:color w:val="666666"/>
              </w:rPr>
              <w:t>EBITDA, Adjusted EBITDA &amp; Adjusted EBITDA Margin on Revenue</w:t>
            </w: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5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0"/>
                <w:szCs w:val="10"/>
                <w:color w:val="666666"/>
              </w:rPr>
              <w:t>Net income</w:t>
            </w:r>
          </w:p>
        </w:tc>
        <w:tc>
          <w:tcPr>
            <w:tcW w:w="460" w:type="dxa"/>
            <w:vAlign w:val="bottom"/>
            <w:tcBorders>
              <w:bottom w:val="single" w:sz="8" w:color="CCEEFF"/>
            </w:tcBorders>
            <w:shd w:val="clear" w:color="auto" w:fill="CCEEFF"/>
          </w:tcPr>
          <w:p>
            <w:pPr>
              <w:jc w:val="right"/>
              <w:ind w:right="329"/>
              <w:spacing w:after="0"/>
              <w:rPr>
                <w:sz w:val="20"/>
                <w:szCs w:val="20"/>
                <w:color w:val="auto"/>
              </w:rPr>
            </w:pPr>
            <w:r>
              <w:rPr>
                <w:rFonts w:ascii="Arial" w:cs="Arial" w:eastAsia="Arial" w:hAnsi="Arial"/>
                <w:sz w:val="10"/>
                <w:szCs w:val="10"/>
                <w:color w:val="666666"/>
              </w:rPr>
              <w:t>$</w:t>
            </w:r>
          </w:p>
        </w:tc>
        <w:tc>
          <w:tcPr>
            <w:tcW w:w="14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666666"/>
              </w:rPr>
              <w:t>305,111</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666666"/>
              </w:rPr>
              <w:t>$</w:t>
            </w: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666666"/>
              </w:rPr>
              <w:t>252,490</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329"/>
              <w:spacing w:after="0"/>
              <w:rPr>
                <w:sz w:val="20"/>
                <w:szCs w:val="20"/>
                <w:color w:val="auto"/>
              </w:rPr>
            </w:pPr>
            <w:r>
              <w:rPr>
                <w:rFonts w:ascii="Arial" w:cs="Arial" w:eastAsia="Arial" w:hAnsi="Arial"/>
                <w:sz w:val="10"/>
                <w:szCs w:val="10"/>
                <w:color w:val="666666"/>
              </w:rPr>
              <w:t>$</w:t>
            </w:r>
          </w:p>
        </w:tc>
        <w:tc>
          <w:tcPr>
            <w:tcW w:w="14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666666"/>
              </w:rPr>
              <w:t>294,094</w:t>
            </w:r>
          </w:p>
        </w:tc>
        <w:tc>
          <w:tcPr>
            <w:tcW w:w="0" w:type="dxa"/>
            <w:vAlign w:val="bottom"/>
          </w:tcPr>
          <w:p>
            <w:pPr>
              <w:spacing w:after="0"/>
              <w:rPr>
                <w:sz w:val="1"/>
                <w:szCs w:val="1"/>
                <w:color w:val="auto"/>
              </w:rPr>
            </w:pPr>
          </w:p>
        </w:tc>
      </w:tr>
      <w:tr>
        <w:trPr>
          <w:trHeight w:val="147"/>
        </w:trPr>
        <w:tc>
          <w:tcPr>
            <w:tcW w:w="5300" w:type="dxa"/>
            <w:vAlign w:val="bottom"/>
          </w:tcPr>
          <w:p>
            <w:pPr>
              <w:ind w:left="260"/>
              <w:spacing w:after="0"/>
              <w:rPr>
                <w:sz w:val="20"/>
                <w:szCs w:val="20"/>
                <w:color w:val="auto"/>
              </w:rPr>
            </w:pPr>
            <w:r>
              <w:rPr>
                <w:rFonts w:ascii="Arial" w:cs="Arial" w:eastAsia="Arial" w:hAnsi="Arial"/>
                <w:sz w:val="10"/>
                <w:szCs w:val="10"/>
                <w:color w:val="666666"/>
              </w:rPr>
              <w:t>Income tax expense</w:t>
            </w:r>
          </w:p>
        </w:tc>
        <w:tc>
          <w:tcPr>
            <w:tcW w:w="460" w:type="dxa"/>
            <w:vAlign w:val="bottom"/>
          </w:tcPr>
          <w:p>
            <w:pPr>
              <w:spacing w:after="0"/>
              <w:rPr>
                <w:sz w:val="12"/>
                <w:szCs w:val="12"/>
                <w:color w:val="auto"/>
              </w:rPr>
            </w:pPr>
          </w:p>
        </w:tc>
        <w:tc>
          <w:tcPr>
            <w:tcW w:w="1460" w:type="dxa"/>
            <w:vAlign w:val="bottom"/>
            <w:vMerge w:val="restart"/>
          </w:tcPr>
          <w:p>
            <w:pPr>
              <w:jc w:val="right"/>
              <w:ind w:right="69"/>
              <w:spacing w:after="0"/>
              <w:rPr>
                <w:sz w:val="20"/>
                <w:szCs w:val="20"/>
                <w:color w:val="auto"/>
              </w:rPr>
            </w:pPr>
            <w:r>
              <w:rPr>
                <w:rFonts w:ascii="Arial" w:cs="Arial" w:eastAsia="Arial" w:hAnsi="Arial"/>
                <w:sz w:val="10"/>
                <w:szCs w:val="10"/>
                <w:color w:val="666666"/>
              </w:rPr>
              <w:t>132,893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vMerge w:val="restart"/>
          </w:tcPr>
          <w:p>
            <w:pPr>
              <w:jc w:val="right"/>
              <w:ind w:right="69"/>
              <w:spacing w:after="0"/>
              <w:rPr>
                <w:sz w:val="20"/>
                <w:szCs w:val="20"/>
                <w:color w:val="auto"/>
              </w:rPr>
            </w:pPr>
            <w:r>
              <w:rPr>
                <w:rFonts w:ascii="Arial" w:cs="Arial" w:eastAsia="Arial" w:hAnsi="Arial"/>
                <w:sz w:val="10"/>
                <w:szCs w:val="10"/>
                <w:color w:val="666666"/>
              </w:rPr>
              <w:t>159,410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vMerge w:val="restart"/>
          </w:tcPr>
          <w:p>
            <w:pPr>
              <w:jc w:val="right"/>
              <w:ind w:right="69"/>
              <w:spacing w:after="0"/>
              <w:rPr>
                <w:sz w:val="20"/>
                <w:szCs w:val="20"/>
                <w:color w:val="auto"/>
              </w:rPr>
            </w:pPr>
            <w:r>
              <w:rPr>
                <w:rFonts w:ascii="Arial" w:cs="Arial" w:eastAsia="Arial" w:hAnsi="Arial"/>
                <w:sz w:val="10"/>
                <w:szCs w:val="10"/>
                <w:color w:val="666666"/>
              </w:rPr>
              <w:t>85,368</w:t>
            </w:r>
          </w:p>
        </w:tc>
        <w:tc>
          <w:tcPr>
            <w:tcW w:w="0" w:type="dxa"/>
            <w:vAlign w:val="bottom"/>
          </w:tcPr>
          <w:p>
            <w:pPr>
              <w:spacing w:after="0"/>
              <w:rPr>
                <w:sz w:val="1"/>
                <w:szCs w:val="1"/>
                <w:color w:val="auto"/>
              </w:rPr>
            </w:pPr>
          </w:p>
        </w:tc>
      </w:tr>
      <w:tr>
        <w:trPr>
          <w:trHeight w:val="42"/>
        </w:trPr>
        <w:tc>
          <w:tcPr>
            <w:tcW w:w="5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0"/>
                <w:szCs w:val="10"/>
                <w:color w:val="666666"/>
              </w:rPr>
              <w:t>Interest and other, net (a)</w:t>
            </w:r>
          </w:p>
        </w:tc>
        <w:tc>
          <w:tcPr>
            <w:tcW w:w="4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666666"/>
              </w:rPr>
              <w:t>82,081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666666"/>
              </w:rPr>
              <w:t>72,347</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666666"/>
              </w:rPr>
              <w:t>65,122</w:t>
            </w:r>
          </w:p>
        </w:tc>
        <w:tc>
          <w:tcPr>
            <w:tcW w:w="0" w:type="dxa"/>
            <w:vAlign w:val="bottom"/>
          </w:tcPr>
          <w:p>
            <w:pPr>
              <w:spacing w:after="0"/>
              <w:rPr>
                <w:sz w:val="1"/>
                <w:szCs w:val="1"/>
                <w:color w:val="auto"/>
              </w:rPr>
            </w:pPr>
          </w:p>
        </w:tc>
      </w:tr>
      <w:tr>
        <w:trPr>
          <w:trHeight w:val="147"/>
        </w:trPr>
        <w:tc>
          <w:tcPr>
            <w:tcW w:w="5300" w:type="dxa"/>
            <w:vAlign w:val="bottom"/>
          </w:tcPr>
          <w:p>
            <w:pPr>
              <w:ind w:left="260"/>
              <w:spacing w:after="0"/>
              <w:rPr>
                <w:sz w:val="20"/>
                <w:szCs w:val="20"/>
                <w:color w:val="auto"/>
              </w:rPr>
            </w:pPr>
            <w:r>
              <w:rPr>
                <w:rFonts w:ascii="Arial" w:cs="Arial" w:eastAsia="Arial" w:hAnsi="Arial"/>
                <w:sz w:val="10"/>
                <w:szCs w:val="10"/>
                <w:color w:val="666666"/>
              </w:rPr>
              <w:t>Depreciation and amortization</w:t>
            </w:r>
          </w:p>
        </w:tc>
        <w:tc>
          <w:tcPr>
            <w:tcW w:w="460" w:type="dxa"/>
            <w:vAlign w:val="bottom"/>
          </w:tcPr>
          <w:p>
            <w:pPr>
              <w:spacing w:after="0"/>
              <w:rPr>
                <w:sz w:val="12"/>
                <w:szCs w:val="12"/>
                <w:color w:val="auto"/>
              </w:rPr>
            </w:pPr>
          </w:p>
        </w:tc>
        <w:tc>
          <w:tcPr>
            <w:tcW w:w="1460" w:type="dxa"/>
            <w:vAlign w:val="bottom"/>
            <w:vMerge w:val="restart"/>
          </w:tcPr>
          <w:p>
            <w:pPr>
              <w:jc w:val="right"/>
              <w:ind w:right="69"/>
              <w:spacing w:after="0"/>
              <w:rPr>
                <w:sz w:val="20"/>
                <w:szCs w:val="20"/>
                <w:color w:val="auto"/>
              </w:rPr>
            </w:pPr>
            <w:r>
              <w:rPr>
                <w:rFonts w:ascii="Arial" w:cs="Arial" w:eastAsia="Arial" w:hAnsi="Arial"/>
                <w:sz w:val="10"/>
                <w:szCs w:val="10"/>
                <w:color w:val="666666"/>
              </w:rPr>
              <w:t>64,756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vMerge w:val="restart"/>
          </w:tcPr>
          <w:p>
            <w:pPr>
              <w:jc w:val="right"/>
              <w:ind w:right="69"/>
              <w:spacing w:after="0"/>
              <w:rPr>
                <w:sz w:val="20"/>
                <w:szCs w:val="20"/>
                <w:color w:val="auto"/>
              </w:rPr>
            </w:pPr>
            <w:r>
              <w:rPr>
                <w:rFonts w:ascii="Arial" w:cs="Arial" w:eastAsia="Arial" w:hAnsi="Arial"/>
                <w:sz w:val="10"/>
                <w:szCs w:val="10"/>
                <w:color w:val="666666"/>
              </w:rPr>
              <w:t>59,544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vMerge w:val="restart"/>
          </w:tcPr>
          <w:p>
            <w:pPr>
              <w:jc w:val="right"/>
              <w:ind w:right="69"/>
              <w:spacing w:after="0"/>
              <w:rPr>
                <w:sz w:val="20"/>
                <w:szCs w:val="20"/>
                <w:color w:val="auto"/>
              </w:rPr>
            </w:pPr>
            <w:r>
              <w:rPr>
                <w:rFonts w:ascii="Arial" w:cs="Arial" w:eastAsia="Arial" w:hAnsi="Arial"/>
                <w:sz w:val="10"/>
                <w:szCs w:val="10"/>
                <w:color w:val="666666"/>
              </w:rPr>
              <w:t>61,536</w:t>
            </w:r>
          </w:p>
        </w:tc>
        <w:tc>
          <w:tcPr>
            <w:tcW w:w="0" w:type="dxa"/>
            <w:vAlign w:val="bottom"/>
          </w:tcPr>
          <w:p>
            <w:pPr>
              <w:spacing w:after="0"/>
              <w:rPr>
                <w:sz w:val="1"/>
                <w:szCs w:val="1"/>
                <w:color w:val="auto"/>
              </w:rPr>
            </w:pPr>
          </w:p>
        </w:tc>
      </w:tr>
      <w:tr>
        <w:trPr>
          <w:trHeight w:val="42"/>
        </w:trPr>
        <w:tc>
          <w:tcPr>
            <w:tcW w:w="5300" w:type="dxa"/>
            <w:vAlign w:val="bottom"/>
            <w:tcBorders>
              <w:bottom w:val="single" w:sz="8" w:color="CCEEFF"/>
            </w:tcBorders>
          </w:tcPr>
          <w:p>
            <w:pPr>
              <w:spacing w:after="0"/>
              <w:rPr>
                <w:sz w:val="3"/>
                <w:szCs w:val="3"/>
                <w:color w:val="auto"/>
              </w:rPr>
            </w:pPr>
          </w:p>
        </w:tc>
        <w:tc>
          <w:tcPr>
            <w:tcW w:w="460" w:type="dxa"/>
            <w:vAlign w:val="bottom"/>
            <w:tcBorders>
              <w:bottom w:val="single" w:sz="8" w:color="666666"/>
            </w:tcBorders>
          </w:tcPr>
          <w:p>
            <w:pPr>
              <w:spacing w:after="0"/>
              <w:rPr>
                <w:sz w:val="3"/>
                <w:szCs w:val="3"/>
                <w:color w:val="auto"/>
              </w:rPr>
            </w:pPr>
          </w:p>
        </w:tc>
        <w:tc>
          <w:tcPr>
            <w:tcW w:w="1460" w:type="dxa"/>
            <w:vAlign w:val="bottom"/>
            <w:tcBorders>
              <w:bottom w:val="single" w:sz="8" w:color="666666"/>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666666"/>
            </w:tcBorders>
          </w:tcPr>
          <w:p>
            <w:pPr>
              <w:spacing w:after="0"/>
              <w:rPr>
                <w:sz w:val="3"/>
                <w:szCs w:val="3"/>
                <w:color w:val="auto"/>
              </w:rPr>
            </w:pPr>
          </w:p>
        </w:tc>
        <w:tc>
          <w:tcPr>
            <w:tcW w:w="1760" w:type="dxa"/>
            <w:vAlign w:val="bottom"/>
            <w:tcBorders>
              <w:bottom w:val="single" w:sz="8" w:color="666666"/>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666666"/>
            </w:tcBorders>
          </w:tcPr>
          <w:p>
            <w:pPr>
              <w:spacing w:after="0"/>
              <w:rPr>
                <w:sz w:val="3"/>
                <w:szCs w:val="3"/>
                <w:color w:val="auto"/>
              </w:rPr>
            </w:pPr>
          </w:p>
        </w:tc>
        <w:tc>
          <w:tcPr>
            <w:tcW w:w="1440" w:type="dxa"/>
            <w:vAlign w:val="bottom"/>
            <w:tcBorders>
              <w:bottom w:val="single" w:sz="8" w:color="666666"/>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5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0"/>
                <w:szCs w:val="10"/>
                <w:color w:val="666666"/>
              </w:rPr>
              <w:t>EBITDA</w:t>
            </w:r>
          </w:p>
        </w:tc>
        <w:tc>
          <w:tcPr>
            <w:tcW w:w="46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666666"/>
              </w:rPr>
              <w:t>584,841</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666666"/>
              </w:rPr>
              <w:t>543,791</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666666"/>
              </w:rPr>
              <w:t>506,120</w:t>
            </w:r>
          </w:p>
        </w:tc>
        <w:tc>
          <w:tcPr>
            <w:tcW w:w="0" w:type="dxa"/>
            <w:vAlign w:val="bottom"/>
          </w:tcPr>
          <w:p>
            <w:pPr>
              <w:spacing w:after="0"/>
              <w:rPr>
                <w:sz w:val="1"/>
                <w:szCs w:val="1"/>
                <w:color w:val="auto"/>
              </w:rPr>
            </w:pPr>
          </w:p>
        </w:tc>
      </w:tr>
      <w:tr>
        <w:trPr>
          <w:trHeight w:val="147"/>
        </w:trPr>
        <w:tc>
          <w:tcPr>
            <w:tcW w:w="5300" w:type="dxa"/>
            <w:vAlign w:val="bottom"/>
          </w:tcPr>
          <w:p>
            <w:pPr>
              <w:ind w:left="260"/>
              <w:spacing w:after="0"/>
              <w:rPr>
                <w:sz w:val="20"/>
                <w:szCs w:val="20"/>
                <w:color w:val="auto"/>
              </w:rPr>
            </w:pPr>
            <w:r>
              <w:rPr>
                <w:rFonts w:ascii="Arial" w:cs="Arial" w:eastAsia="Arial" w:hAnsi="Arial"/>
                <w:sz w:val="10"/>
                <w:szCs w:val="10"/>
                <w:color w:val="666666"/>
              </w:rPr>
              <w:t>Transaction expenses (b)</w:t>
            </w:r>
          </w:p>
        </w:tc>
        <w:tc>
          <w:tcPr>
            <w:tcW w:w="460" w:type="dxa"/>
            <w:vAlign w:val="bottom"/>
          </w:tcPr>
          <w:p>
            <w:pPr>
              <w:spacing w:after="0"/>
              <w:rPr>
                <w:sz w:val="12"/>
                <w:szCs w:val="12"/>
                <w:color w:val="auto"/>
              </w:rPr>
            </w:pPr>
          </w:p>
        </w:tc>
        <w:tc>
          <w:tcPr>
            <w:tcW w:w="1580" w:type="dxa"/>
            <w:vAlign w:val="bottom"/>
            <w:gridSpan w:val="2"/>
            <w:vMerge w:val="restart"/>
          </w:tcPr>
          <w:p>
            <w:pPr>
              <w:jc w:val="right"/>
              <w:ind w:right="240"/>
              <w:spacing w:after="0"/>
              <w:rPr>
                <w:sz w:val="20"/>
                <w:szCs w:val="20"/>
                <w:color w:val="auto"/>
              </w:rPr>
            </w:pPr>
            <w:r>
              <w:rPr>
                <w:rFonts w:ascii="Arial" w:cs="Arial" w:eastAsia="Arial" w:hAnsi="Arial"/>
                <w:sz w:val="10"/>
                <w:szCs w:val="10"/>
                <w:color w:val="666666"/>
              </w:rPr>
              <w:t>—</w:t>
            </w:r>
          </w:p>
        </w:tc>
        <w:tc>
          <w:tcPr>
            <w:tcW w:w="160" w:type="dxa"/>
            <w:vAlign w:val="bottom"/>
          </w:tcPr>
          <w:p>
            <w:pPr>
              <w:spacing w:after="0"/>
              <w:rPr>
                <w:sz w:val="12"/>
                <w:szCs w:val="12"/>
                <w:color w:val="auto"/>
              </w:rPr>
            </w:pPr>
          </w:p>
        </w:tc>
        <w:tc>
          <w:tcPr>
            <w:tcW w:w="1760" w:type="dxa"/>
            <w:vAlign w:val="bottom"/>
            <w:vMerge w:val="restart"/>
          </w:tcPr>
          <w:p>
            <w:pPr>
              <w:jc w:val="right"/>
              <w:ind w:right="69"/>
              <w:spacing w:after="0"/>
              <w:rPr>
                <w:sz w:val="20"/>
                <w:szCs w:val="20"/>
                <w:color w:val="auto"/>
              </w:rPr>
            </w:pPr>
            <w:r>
              <w:rPr>
                <w:rFonts w:ascii="Arial" w:cs="Arial" w:eastAsia="Arial" w:hAnsi="Arial"/>
                <w:sz w:val="10"/>
                <w:szCs w:val="10"/>
                <w:color w:val="666666"/>
              </w:rPr>
              <w:t>3,354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vMerge w:val="restart"/>
          </w:tcPr>
          <w:p>
            <w:pPr>
              <w:jc w:val="right"/>
              <w:ind w:right="69"/>
              <w:spacing w:after="0"/>
              <w:rPr>
                <w:sz w:val="20"/>
                <w:szCs w:val="20"/>
                <w:color w:val="auto"/>
              </w:rPr>
            </w:pPr>
            <w:r>
              <w:rPr>
                <w:rFonts w:ascii="Arial" w:cs="Arial" w:eastAsia="Arial" w:hAnsi="Arial"/>
                <w:sz w:val="10"/>
                <w:szCs w:val="10"/>
                <w:color w:val="666666"/>
              </w:rPr>
              <w:t>—</w:t>
            </w:r>
          </w:p>
        </w:tc>
        <w:tc>
          <w:tcPr>
            <w:tcW w:w="0" w:type="dxa"/>
            <w:vAlign w:val="bottom"/>
          </w:tcPr>
          <w:p>
            <w:pPr>
              <w:spacing w:after="0"/>
              <w:rPr>
                <w:sz w:val="1"/>
                <w:szCs w:val="1"/>
                <w:color w:val="auto"/>
              </w:rPr>
            </w:pPr>
          </w:p>
        </w:tc>
      </w:tr>
      <w:tr>
        <w:trPr>
          <w:trHeight w:val="42"/>
        </w:trPr>
        <w:tc>
          <w:tcPr>
            <w:tcW w:w="5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3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0"/>
                <w:szCs w:val="10"/>
                <w:color w:val="666666"/>
              </w:rPr>
              <w:t>Adjusted EBITDA</w:t>
            </w:r>
          </w:p>
        </w:tc>
        <w:tc>
          <w:tcPr>
            <w:tcW w:w="460" w:type="dxa"/>
            <w:vAlign w:val="bottom"/>
            <w:tcBorders>
              <w:top w:val="single" w:sz="8" w:color="666666"/>
              <w:bottom w:val="single" w:sz="8" w:color="666666"/>
            </w:tcBorders>
            <w:shd w:val="clear" w:color="auto" w:fill="CCEEFF"/>
          </w:tcPr>
          <w:p>
            <w:pPr>
              <w:jc w:val="right"/>
              <w:ind w:right="329"/>
              <w:spacing w:after="0"/>
              <w:rPr>
                <w:sz w:val="20"/>
                <w:szCs w:val="20"/>
                <w:color w:val="auto"/>
              </w:rPr>
            </w:pPr>
            <w:r>
              <w:rPr>
                <w:rFonts w:ascii="Arial" w:cs="Arial" w:eastAsia="Arial" w:hAnsi="Arial"/>
                <w:sz w:val="10"/>
                <w:szCs w:val="10"/>
                <w:color w:val="666666"/>
              </w:rPr>
              <w:t>$</w:t>
            </w:r>
          </w:p>
        </w:tc>
        <w:tc>
          <w:tcPr>
            <w:tcW w:w="1460" w:type="dxa"/>
            <w:vAlign w:val="bottom"/>
            <w:tcBorders>
              <w:top w:val="single" w:sz="8" w:color="666666"/>
              <w:bottom w:val="single" w:sz="8" w:color="666666"/>
            </w:tcBorders>
            <w:shd w:val="clear" w:color="auto" w:fill="CCEEFF"/>
          </w:tcPr>
          <w:p>
            <w:pPr>
              <w:jc w:val="right"/>
              <w:ind w:right="69"/>
              <w:spacing w:after="0"/>
              <w:rPr>
                <w:sz w:val="20"/>
                <w:szCs w:val="20"/>
                <w:color w:val="auto"/>
              </w:rPr>
            </w:pPr>
            <w:r>
              <w:rPr>
                <w:rFonts w:ascii="Arial" w:cs="Arial" w:eastAsia="Arial" w:hAnsi="Arial"/>
                <w:sz w:val="10"/>
                <w:szCs w:val="10"/>
                <w:color w:val="666666"/>
              </w:rPr>
              <w:t>584,841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666666"/>
              <w:bottom w:val="single" w:sz="8" w:color="666666"/>
            </w:tcBorders>
            <w:shd w:val="clear" w:color="auto" w:fill="CCEEFF"/>
          </w:tcPr>
          <w:p>
            <w:pPr>
              <w:jc w:val="right"/>
              <w:ind w:right="29"/>
              <w:spacing w:after="0"/>
              <w:rPr>
                <w:sz w:val="20"/>
                <w:szCs w:val="20"/>
                <w:color w:val="auto"/>
              </w:rPr>
            </w:pPr>
            <w:r>
              <w:rPr>
                <w:rFonts w:ascii="Arial" w:cs="Arial" w:eastAsia="Arial" w:hAnsi="Arial"/>
                <w:sz w:val="10"/>
                <w:szCs w:val="10"/>
                <w:color w:val="666666"/>
              </w:rPr>
              <w:t>$</w:t>
            </w:r>
          </w:p>
        </w:tc>
        <w:tc>
          <w:tcPr>
            <w:tcW w:w="1760" w:type="dxa"/>
            <w:vAlign w:val="bottom"/>
            <w:tcBorders>
              <w:top w:val="single" w:sz="8" w:color="666666"/>
              <w:bottom w:val="single" w:sz="8" w:color="666666"/>
            </w:tcBorders>
            <w:shd w:val="clear" w:color="auto" w:fill="CCEEFF"/>
          </w:tcPr>
          <w:p>
            <w:pPr>
              <w:jc w:val="right"/>
              <w:ind w:right="69"/>
              <w:spacing w:after="0"/>
              <w:rPr>
                <w:sz w:val="20"/>
                <w:szCs w:val="20"/>
                <w:color w:val="auto"/>
              </w:rPr>
            </w:pPr>
            <w:r>
              <w:rPr>
                <w:rFonts w:ascii="Arial" w:cs="Arial" w:eastAsia="Arial" w:hAnsi="Arial"/>
                <w:sz w:val="10"/>
                <w:szCs w:val="10"/>
                <w:color w:val="666666"/>
              </w:rPr>
              <w:t>547,145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666666"/>
              <w:bottom w:val="single" w:sz="8" w:color="666666"/>
            </w:tcBorders>
            <w:shd w:val="clear" w:color="auto" w:fill="CCEEFF"/>
          </w:tcPr>
          <w:p>
            <w:pPr>
              <w:jc w:val="right"/>
              <w:ind w:right="329"/>
              <w:spacing w:after="0"/>
              <w:rPr>
                <w:sz w:val="20"/>
                <w:szCs w:val="20"/>
                <w:color w:val="auto"/>
              </w:rPr>
            </w:pPr>
            <w:r>
              <w:rPr>
                <w:rFonts w:ascii="Arial" w:cs="Arial" w:eastAsia="Arial" w:hAnsi="Arial"/>
                <w:sz w:val="10"/>
                <w:szCs w:val="10"/>
                <w:color w:val="666666"/>
              </w:rPr>
              <w:t>$</w:t>
            </w:r>
          </w:p>
        </w:tc>
        <w:tc>
          <w:tcPr>
            <w:tcW w:w="1440" w:type="dxa"/>
            <w:vAlign w:val="bottom"/>
            <w:tcBorders>
              <w:top w:val="single" w:sz="8" w:color="666666"/>
              <w:bottom w:val="single" w:sz="8" w:color="666666"/>
            </w:tcBorders>
            <w:shd w:val="clear" w:color="auto" w:fill="CCEEFF"/>
          </w:tcPr>
          <w:p>
            <w:pPr>
              <w:jc w:val="right"/>
              <w:ind w:right="69"/>
              <w:spacing w:after="0"/>
              <w:rPr>
                <w:sz w:val="20"/>
                <w:szCs w:val="20"/>
                <w:color w:val="auto"/>
              </w:rPr>
            </w:pPr>
            <w:r>
              <w:rPr>
                <w:rFonts w:ascii="Arial" w:cs="Arial" w:eastAsia="Arial" w:hAnsi="Arial"/>
                <w:sz w:val="10"/>
                <w:szCs w:val="10"/>
                <w:color w:val="666666"/>
              </w:rPr>
              <w:t>506,120</w:t>
            </w:r>
          </w:p>
        </w:tc>
        <w:tc>
          <w:tcPr>
            <w:tcW w:w="0" w:type="dxa"/>
            <w:vAlign w:val="bottom"/>
          </w:tcPr>
          <w:p>
            <w:pPr>
              <w:spacing w:after="0"/>
              <w:rPr>
                <w:sz w:val="1"/>
                <w:szCs w:val="1"/>
                <w:color w:val="auto"/>
              </w:rPr>
            </w:pPr>
          </w:p>
        </w:tc>
      </w:tr>
      <w:tr>
        <w:trPr>
          <w:trHeight w:val="127"/>
        </w:trPr>
        <w:tc>
          <w:tcPr>
            <w:tcW w:w="5300" w:type="dxa"/>
            <w:vAlign w:val="bottom"/>
          </w:tcPr>
          <w:p>
            <w:pPr>
              <w:ind w:left="260"/>
              <w:spacing w:after="0"/>
              <w:rPr>
                <w:sz w:val="20"/>
                <w:szCs w:val="20"/>
                <w:color w:val="auto"/>
              </w:rPr>
            </w:pPr>
            <w:r>
              <w:rPr>
                <w:rFonts w:ascii="Arial" w:cs="Arial" w:eastAsia="Arial" w:hAnsi="Arial"/>
                <w:sz w:val="10"/>
                <w:szCs w:val="10"/>
                <w:color w:val="666666"/>
              </w:rPr>
              <w:t>Revenue</w:t>
            </w:r>
          </w:p>
        </w:tc>
        <w:tc>
          <w:tcPr>
            <w:tcW w:w="460" w:type="dxa"/>
            <w:vAlign w:val="bottom"/>
            <w:vMerge w:val="restart"/>
          </w:tcPr>
          <w:p>
            <w:pPr>
              <w:jc w:val="right"/>
              <w:ind w:right="329"/>
              <w:spacing w:after="0"/>
              <w:rPr>
                <w:sz w:val="20"/>
                <w:szCs w:val="20"/>
                <w:color w:val="auto"/>
              </w:rPr>
            </w:pPr>
            <w:r>
              <w:rPr>
                <w:rFonts w:ascii="Arial" w:cs="Arial" w:eastAsia="Arial" w:hAnsi="Arial"/>
                <w:sz w:val="10"/>
                <w:szCs w:val="10"/>
                <w:color w:val="666666"/>
              </w:rPr>
              <w:t>$</w:t>
            </w:r>
          </w:p>
        </w:tc>
        <w:tc>
          <w:tcPr>
            <w:tcW w:w="1460" w:type="dxa"/>
            <w:vAlign w:val="bottom"/>
            <w:vMerge w:val="restart"/>
          </w:tcPr>
          <w:p>
            <w:pPr>
              <w:jc w:val="right"/>
              <w:ind w:right="69"/>
              <w:spacing w:after="0"/>
              <w:rPr>
                <w:sz w:val="20"/>
                <w:szCs w:val="20"/>
                <w:color w:val="auto"/>
              </w:rPr>
            </w:pPr>
            <w:r>
              <w:rPr>
                <w:rFonts w:ascii="Arial" w:cs="Arial" w:eastAsia="Arial" w:hAnsi="Arial"/>
                <w:sz w:val="10"/>
                <w:szCs w:val="10"/>
                <w:color w:val="666666"/>
              </w:rPr>
              <w:t>6,171,853</w:t>
            </w:r>
          </w:p>
        </w:tc>
        <w:tc>
          <w:tcPr>
            <w:tcW w:w="120" w:type="dxa"/>
            <w:vAlign w:val="bottom"/>
          </w:tcPr>
          <w:p>
            <w:pPr>
              <w:spacing w:after="0"/>
              <w:rPr>
                <w:sz w:val="11"/>
                <w:szCs w:val="11"/>
                <w:color w:val="auto"/>
              </w:rPr>
            </w:pPr>
          </w:p>
        </w:tc>
        <w:tc>
          <w:tcPr>
            <w:tcW w:w="160" w:type="dxa"/>
            <w:vAlign w:val="bottom"/>
            <w:vMerge w:val="restart"/>
          </w:tcPr>
          <w:p>
            <w:pPr>
              <w:jc w:val="right"/>
              <w:ind w:right="29"/>
              <w:spacing w:after="0"/>
              <w:rPr>
                <w:sz w:val="20"/>
                <w:szCs w:val="20"/>
                <w:color w:val="auto"/>
              </w:rPr>
            </w:pPr>
            <w:r>
              <w:rPr>
                <w:rFonts w:ascii="Arial" w:cs="Arial" w:eastAsia="Arial" w:hAnsi="Arial"/>
                <w:sz w:val="10"/>
                <w:szCs w:val="10"/>
                <w:color w:val="666666"/>
              </w:rPr>
              <w:t>$</w:t>
            </w:r>
          </w:p>
        </w:tc>
        <w:tc>
          <w:tcPr>
            <w:tcW w:w="1760" w:type="dxa"/>
            <w:vAlign w:val="bottom"/>
            <w:vMerge w:val="restart"/>
          </w:tcPr>
          <w:p>
            <w:pPr>
              <w:jc w:val="right"/>
              <w:ind w:right="69"/>
              <w:spacing w:after="0"/>
              <w:rPr>
                <w:sz w:val="20"/>
                <w:szCs w:val="20"/>
                <w:color w:val="auto"/>
              </w:rPr>
            </w:pPr>
            <w:r>
              <w:rPr>
                <w:rFonts w:ascii="Arial" w:cs="Arial" w:eastAsia="Arial" w:hAnsi="Arial"/>
                <w:sz w:val="10"/>
                <w:szCs w:val="10"/>
                <w:color w:val="666666"/>
              </w:rPr>
              <w:t>5,804,284</w:t>
            </w:r>
          </w:p>
        </w:tc>
        <w:tc>
          <w:tcPr>
            <w:tcW w:w="100" w:type="dxa"/>
            <w:vAlign w:val="bottom"/>
          </w:tcPr>
          <w:p>
            <w:pPr>
              <w:spacing w:after="0"/>
              <w:rPr>
                <w:sz w:val="11"/>
                <w:szCs w:val="11"/>
                <w:color w:val="auto"/>
              </w:rPr>
            </w:pPr>
          </w:p>
        </w:tc>
        <w:tc>
          <w:tcPr>
            <w:tcW w:w="460" w:type="dxa"/>
            <w:vAlign w:val="bottom"/>
            <w:vMerge w:val="restart"/>
          </w:tcPr>
          <w:p>
            <w:pPr>
              <w:jc w:val="right"/>
              <w:ind w:right="329"/>
              <w:spacing w:after="0"/>
              <w:rPr>
                <w:sz w:val="20"/>
                <w:szCs w:val="20"/>
                <w:color w:val="auto"/>
              </w:rPr>
            </w:pPr>
            <w:r>
              <w:rPr>
                <w:rFonts w:ascii="Arial" w:cs="Arial" w:eastAsia="Arial" w:hAnsi="Arial"/>
                <w:sz w:val="10"/>
                <w:szCs w:val="10"/>
                <w:color w:val="666666"/>
              </w:rPr>
              <w:t>$</w:t>
            </w:r>
          </w:p>
        </w:tc>
        <w:tc>
          <w:tcPr>
            <w:tcW w:w="1440" w:type="dxa"/>
            <w:vAlign w:val="bottom"/>
            <w:vMerge w:val="restart"/>
          </w:tcPr>
          <w:p>
            <w:pPr>
              <w:jc w:val="right"/>
              <w:ind w:right="69"/>
              <w:spacing w:after="0"/>
              <w:rPr>
                <w:sz w:val="20"/>
                <w:szCs w:val="20"/>
                <w:color w:val="auto"/>
              </w:rPr>
            </w:pPr>
            <w:r>
              <w:rPr>
                <w:rFonts w:ascii="Arial" w:cs="Arial" w:eastAsia="Arial" w:hAnsi="Arial"/>
                <w:sz w:val="10"/>
                <w:szCs w:val="10"/>
                <w:color w:val="666666"/>
              </w:rPr>
              <w:t>5,405,738</w:t>
            </w:r>
          </w:p>
        </w:tc>
        <w:tc>
          <w:tcPr>
            <w:tcW w:w="0" w:type="dxa"/>
            <w:vAlign w:val="bottom"/>
          </w:tcPr>
          <w:p>
            <w:pPr>
              <w:spacing w:after="0"/>
              <w:rPr>
                <w:sz w:val="1"/>
                <w:szCs w:val="1"/>
                <w:color w:val="auto"/>
              </w:rPr>
            </w:pPr>
          </w:p>
        </w:tc>
      </w:tr>
      <w:tr>
        <w:trPr>
          <w:trHeight w:val="42"/>
        </w:trPr>
        <w:tc>
          <w:tcPr>
            <w:tcW w:w="5300" w:type="dxa"/>
            <w:vAlign w:val="bottom"/>
            <w:tcBorders>
              <w:bottom w:val="single" w:sz="8" w:color="CCEEFF"/>
            </w:tcBorders>
          </w:tcPr>
          <w:p>
            <w:pPr>
              <w:spacing w:after="0"/>
              <w:rPr>
                <w:sz w:val="3"/>
                <w:szCs w:val="3"/>
                <w:color w:val="auto"/>
              </w:rPr>
            </w:pPr>
          </w:p>
        </w:tc>
        <w:tc>
          <w:tcPr>
            <w:tcW w:w="460" w:type="dxa"/>
            <w:vAlign w:val="bottom"/>
            <w:tcBorders>
              <w:bottom w:val="single" w:sz="8" w:color="666666"/>
            </w:tcBorders>
            <w:vMerge w:val="continue"/>
          </w:tcPr>
          <w:p>
            <w:pPr>
              <w:spacing w:after="0"/>
              <w:rPr>
                <w:sz w:val="3"/>
                <w:szCs w:val="3"/>
                <w:color w:val="auto"/>
              </w:rPr>
            </w:pPr>
          </w:p>
        </w:tc>
        <w:tc>
          <w:tcPr>
            <w:tcW w:w="1460" w:type="dxa"/>
            <w:vAlign w:val="bottom"/>
            <w:tcBorders>
              <w:bottom w:val="single" w:sz="8" w:color="666666"/>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666666"/>
            </w:tcBorders>
            <w:vMerge w:val="continue"/>
          </w:tcPr>
          <w:p>
            <w:pPr>
              <w:spacing w:after="0"/>
              <w:rPr>
                <w:sz w:val="3"/>
                <w:szCs w:val="3"/>
                <w:color w:val="auto"/>
              </w:rPr>
            </w:pPr>
          </w:p>
        </w:tc>
        <w:tc>
          <w:tcPr>
            <w:tcW w:w="1760" w:type="dxa"/>
            <w:vAlign w:val="bottom"/>
            <w:tcBorders>
              <w:bottom w:val="single" w:sz="8" w:color="666666"/>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666666"/>
            </w:tcBorders>
            <w:vMerge w:val="continue"/>
          </w:tcPr>
          <w:p>
            <w:pPr>
              <w:spacing w:after="0"/>
              <w:rPr>
                <w:sz w:val="3"/>
                <w:szCs w:val="3"/>
                <w:color w:val="auto"/>
              </w:rPr>
            </w:pPr>
          </w:p>
        </w:tc>
        <w:tc>
          <w:tcPr>
            <w:tcW w:w="1440" w:type="dxa"/>
            <w:vAlign w:val="bottom"/>
            <w:tcBorders>
              <w:bottom w:val="single" w:sz="8" w:color="666666"/>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0"/>
                <w:szCs w:val="10"/>
                <w:color w:val="666666"/>
              </w:rPr>
              <w:t>Adjusted EBITDA Margin on Revenue</w:t>
            </w:r>
          </w:p>
        </w:tc>
        <w:tc>
          <w:tcPr>
            <w:tcW w:w="460" w:type="dxa"/>
            <w:vAlign w:val="bottom"/>
            <w:tcBorders>
              <w:bottom w:val="single" w:sz="8" w:color="666666"/>
            </w:tcBorders>
            <w:shd w:val="clear" w:color="auto" w:fill="CCEEFF"/>
          </w:tcPr>
          <w:p>
            <w:pPr>
              <w:spacing w:after="0"/>
              <w:rPr>
                <w:sz w:val="15"/>
                <w:szCs w:val="15"/>
                <w:color w:val="auto"/>
              </w:rPr>
            </w:pPr>
          </w:p>
        </w:tc>
        <w:tc>
          <w:tcPr>
            <w:tcW w:w="1460" w:type="dxa"/>
            <w:vAlign w:val="bottom"/>
            <w:tcBorders>
              <w:bottom w:val="single" w:sz="8" w:color="666666"/>
            </w:tcBorders>
            <w:shd w:val="clear" w:color="auto" w:fill="CCEEFF"/>
          </w:tcPr>
          <w:p>
            <w:pPr>
              <w:jc w:val="right"/>
              <w:spacing w:after="0"/>
              <w:rPr>
                <w:sz w:val="20"/>
                <w:szCs w:val="20"/>
                <w:color w:val="auto"/>
              </w:rPr>
            </w:pPr>
            <w:r>
              <w:rPr>
                <w:rFonts w:ascii="Arial" w:cs="Arial" w:eastAsia="Arial" w:hAnsi="Arial"/>
                <w:sz w:val="10"/>
                <w:szCs w:val="10"/>
                <w:color w:val="666666"/>
              </w:rPr>
              <w:t>9.5%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666666"/>
            </w:tcBorders>
            <w:shd w:val="clear" w:color="auto" w:fill="CCEEFF"/>
          </w:tcPr>
          <w:p>
            <w:pPr>
              <w:spacing w:after="0"/>
              <w:rPr>
                <w:sz w:val="15"/>
                <w:szCs w:val="15"/>
                <w:color w:val="auto"/>
              </w:rPr>
            </w:pPr>
          </w:p>
        </w:tc>
        <w:tc>
          <w:tcPr>
            <w:tcW w:w="1760" w:type="dxa"/>
            <w:vAlign w:val="bottom"/>
            <w:tcBorders>
              <w:bottom w:val="single" w:sz="8" w:color="666666"/>
            </w:tcBorders>
            <w:shd w:val="clear" w:color="auto" w:fill="CCEEFF"/>
          </w:tcPr>
          <w:p>
            <w:pPr>
              <w:jc w:val="right"/>
              <w:spacing w:after="0"/>
              <w:rPr>
                <w:sz w:val="20"/>
                <w:szCs w:val="20"/>
                <w:color w:val="auto"/>
              </w:rPr>
            </w:pPr>
            <w:r>
              <w:rPr>
                <w:rFonts w:ascii="Arial" w:cs="Arial" w:eastAsia="Arial" w:hAnsi="Arial"/>
                <w:sz w:val="10"/>
                <w:szCs w:val="10"/>
                <w:color w:val="666666"/>
              </w:rPr>
              <w:t>9.4%</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666666"/>
            </w:tcBorders>
            <w:shd w:val="clear" w:color="auto" w:fill="CCEEFF"/>
          </w:tcPr>
          <w:p>
            <w:pPr>
              <w:spacing w:after="0"/>
              <w:rPr>
                <w:sz w:val="15"/>
                <w:szCs w:val="15"/>
                <w:color w:val="auto"/>
              </w:rPr>
            </w:pPr>
          </w:p>
        </w:tc>
        <w:tc>
          <w:tcPr>
            <w:tcW w:w="1440" w:type="dxa"/>
            <w:vAlign w:val="bottom"/>
            <w:tcBorders>
              <w:bottom w:val="single" w:sz="8" w:color="666666"/>
            </w:tcBorders>
            <w:shd w:val="clear" w:color="auto" w:fill="CCEEFF"/>
          </w:tcPr>
          <w:p>
            <w:pPr>
              <w:jc w:val="right"/>
              <w:spacing w:after="0"/>
              <w:rPr>
                <w:sz w:val="20"/>
                <w:szCs w:val="20"/>
                <w:color w:val="auto"/>
              </w:rPr>
            </w:pPr>
            <w:r>
              <w:rPr>
                <w:rFonts w:ascii="Arial" w:cs="Arial" w:eastAsia="Arial" w:hAnsi="Arial"/>
                <w:sz w:val="10"/>
                <w:szCs w:val="10"/>
                <w:color w:val="666666"/>
              </w:rPr>
              <w:t>9.4%</w:t>
            </w:r>
          </w:p>
        </w:tc>
        <w:tc>
          <w:tcPr>
            <w:tcW w:w="0" w:type="dxa"/>
            <w:vAlign w:val="bottom"/>
          </w:tcPr>
          <w:p>
            <w:pPr>
              <w:spacing w:after="0"/>
              <w:rPr>
                <w:sz w:val="1"/>
                <w:szCs w:val="1"/>
                <w:color w:val="auto"/>
              </w:rPr>
            </w:pPr>
          </w:p>
        </w:tc>
      </w:tr>
      <w:tr>
        <w:trPr>
          <w:trHeight w:val="126"/>
        </w:trPr>
        <w:tc>
          <w:tcPr>
            <w:tcW w:w="5300" w:type="dxa"/>
            <w:vAlign w:val="bottom"/>
          </w:tcPr>
          <w:p>
            <w:pPr>
              <w:ind w:left="20"/>
              <w:spacing w:after="0"/>
              <w:rPr>
                <w:sz w:val="20"/>
                <w:szCs w:val="20"/>
                <w:color w:val="auto"/>
              </w:rPr>
            </w:pPr>
            <w:r>
              <w:rPr>
                <w:rFonts w:ascii="Arial" w:cs="Arial" w:eastAsia="Arial" w:hAnsi="Arial"/>
                <w:sz w:val="10"/>
                <w:szCs w:val="10"/>
                <w:b w:val="1"/>
                <w:bCs w:val="1"/>
                <w:i w:val="1"/>
                <w:iCs w:val="1"/>
                <w:color w:val="666666"/>
              </w:rPr>
              <w:t>Adjusted Diluted Earnings Per Share</w:t>
            </w:r>
          </w:p>
        </w:tc>
        <w:tc>
          <w:tcPr>
            <w:tcW w:w="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5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0"/>
                <w:szCs w:val="10"/>
                <w:color w:val="666666"/>
              </w:rPr>
              <w:t>Weighted-average number of diluted shares outstanding</w:t>
            </w:r>
          </w:p>
        </w:tc>
        <w:tc>
          <w:tcPr>
            <w:tcW w:w="4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666666"/>
              </w:rPr>
              <w:t>147,750,022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666666"/>
              </w:rPr>
              <w:t>150,274,640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666666"/>
              </w:rPr>
              <w:t>149,719,137</w:t>
            </w:r>
          </w:p>
        </w:tc>
        <w:tc>
          <w:tcPr>
            <w:tcW w:w="0" w:type="dxa"/>
            <w:vAlign w:val="bottom"/>
          </w:tcPr>
          <w:p>
            <w:pPr>
              <w:spacing w:after="0"/>
              <w:rPr>
                <w:sz w:val="1"/>
                <w:szCs w:val="1"/>
                <w:color w:val="auto"/>
              </w:rPr>
            </w:pPr>
          </w:p>
        </w:tc>
      </w:tr>
      <w:tr>
        <w:trPr>
          <w:trHeight w:val="171"/>
        </w:trPr>
        <w:tc>
          <w:tcPr>
            <w:tcW w:w="5300" w:type="dxa"/>
            <w:vAlign w:val="bottom"/>
            <w:tcBorders>
              <w:bottom w:val="single" w:sz="8" w:color="CCEEFF"/>
            </w:tcBorders>
          </w:tcPr>
          <w:p>
            <w:pPr>
              <w:ind w:left="260"/>
              <w:spacing w:after="0"/>
              <w:rPr>
                <w:sz w:val="20"/>
                <w:szCs w:val="20"/>
                <w:color w:val="auto"/>
              </w:rPr>
            </w:pPr>
            <w:r>
              <w:rPr>
                <w:rFonts w:ascii="Arial" w:cs="Arial" w:eastAsia="Arial" w:hAnsi="Arial"/>
                <w:sz w:val="10"/>
                <w:szCs w:val="10"/>
                <w:color w:val="666666"/>
              </w:rPr>
              <w:t>Adjusted Net Income Per Diluted Share (c)</w:t>
            </w:r>
          </w:p>
        </w:tc>
        <w:tc>
          <w:tcPr>
            <w:tcW w:w="460" w:type="dxa"/>
            <w:vAlign w:val="bottom"/>
            <w:tcBorders>
              <w:top w:val="single" w:sz="8" w:color="666666"/>
              <w:bottom w:val="single" w:sz="8" w:color="666666"/>
            </w:tcBorders>
          </w:tcPr>
          <w:p>
            <w:pPr>
              <w:jc w:val="right"/>
              <w:ind w:right="329"/>
              <w:spacing w:after="0"/>
              <w:rPr>
                <w:sz w:val="20"/>
                <w:szCs w:val="20"/>
                <w:color w:val="auto"/>
              </w:rPr>
            </w:pPr>
            <w:r>
              <w:rPr>
                <w:rFonts w:ascii="Arial" w:cs="Arial" w:eastAsia="Arial" w:hAnsi="Arial"/>
                <w:sz w:val="10"/>
                <w:szCs w:val="10"/>
                <w:color w:val="666666"/>
              </w:rPr>
              <w:t>$</w:t>
            </w:r>
          </w:p>
        </w:tc>
        <w:tc>
          <w:tcPr>
            <w:tcW w:w="1460" w:type="dxa"/>
            <w:vAlign w:val="bottom"/>
            <w:tcBorders>
              <w:top w:val="single" w:sz="8" w:color="666666"/>
              <w:bottom w:val="single" w:sz="8" w:color="666666"/>
            </w:tcBorders>
          </w:tcPr>
          <w:p>
            <w:pPr>
              <w:jc w:val="right"/>
              <w:ind w:right="69"/>
              <w:spacing w:after="0"/>
              <w:rPr>
                <w:sz w:val="20"/>
                <w:szCs w:val="20"/>
                <w:color w:val="auto"/>
              </w:rPr>
            </w:pPr>
            <w:r>
              <w:rPr>
                <w:rFonts w:ascii="Arial" w:cs="Arial" w:eastAsia="Arial" w:hAnsi="Arial"/>
                <w:sz w:val="10"/>
                <w:szCs w:val="10"/>
                <w:color w:val="666666"/>
              </w:rPr>
              <w:t>2.01</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666666"/>
              <w:bottom w:val="single" w:sz="8" w:color="666666"/>
            </w:tcBorders>
          </w:tcPr>
          <w:p>
            <w:pPr>
              <w:jc w:val="right"/>
              <w:ind w:right="29"/>
              <w:spacing w:after="0"/>
              <w:rPr>
                <w:sz w:val="20"/>
                <w:szCs w:val="20"/>
                <w:color w:val="auto"/>
              </w:rPr>
            </w:pPr>
            <w:r>
              <w:rPr>
                <w:rFonts w:ascii="Arial" w:cs="Arial" w:eastAsia="Arial" w:hAnsi="Arial"/>
                <w:sz w:val="10"/>
                <w:szCs w:val="10"/>
                <w:color w:val="666666"/>
              </w:rPr>
              <w:t>$</w:t>
            </w:r>
          </w:p>
        </w:tc>
        <w:tc>
          <w:tcPr>
            <w:tcW w:w="1760" w:type="dxa"/>
            <w:vAlign w:val="bottom"/>
            <w:tcBorders>
              <w:top w:val="single" w:sz="8" w:color="666666"/>
              <w:bottom w:val="single" w:sz="8" w:color="666666"/>
            </w:tcBorders>
          </w:tcPr>
          <w:p>
            <w:pPr>
              <w:jc w:val="right"/>
              <w:ind w:right="69"/>
              <w:spacing w:after="0"/>
              <w:rPr>
                <w:sz w:val="20"/>
                <w:szCs w:val="20"/>
                <w:color w:val="auto"/>
              </w:rPr>
            </w:pPr>
            <w:r>
              <w:rPr>
                <w:rFonts w:ascii="Arial" w:cs="Arial" w:eastAsia="Arial" w:hAnsi="Arial"/>
                <w:sz w:val="10"/>
                <w:szCs w:val="10"/>
                <w:color w:val="666666"/>
              </w:rPr>
              <w:t>1.75</w:t>
            </w:r>
          </w:p>
        </w:tc>
        <w:tc>
          <w:tcPr>
            <w:tcW w:w="100" w:type="dxa"/>
            <w:vAlign w:val="bottom"/>
            <w:tcBorders>
              <w:bottom w:val="single" w:sz="8" w:color="CCEEFF"/>
            </w:tcBorders>
          </w:tcPr>
          <w:p>
            <w:pPr>
              <w:spacing w:after="0"/>
              <w:rPr>
                <w:sz w:val="14"/>
                <w:szCs w:val="14"/>
                <w:color w:val="auto"/>
              </w:rPr>
            </w:pPr>
          </w:p>
        </w:tc>
        <w:tc>
          <w:tcPr>
            <w:tcW w:w="460" w:type="dxa"/>
            <w:vAlign w:val="bottom"/>
            <w:tcBorders>
              <w:top w:val="single" w:sz="8" w:color="666666"/>
              <w:bottom w:val="single" w:sz="8" w:color="666666"/>
            </w:tcBorders>
          </w:tcPr>
          <w:p>
            <w:pPr>
              <w:jc w:val="right"/>
              <w:ind w:right="329"/>
              <w:spacing w:after="0"/>
              <w:rPr>
                <w:sz w:val="20"/>
                <w:szCs w:val="20"/>
                <w:color w:val="auto"/>
              </w:rPr>
            </w:pPr>
            <w:r>
              <w:rPr>
                <w:rFonts w:ascii="Arial" w:cs="Arial" w:eastAsia="Arial" w:hAnsi="Arial"/>
                <w:sz w:val="10"/>
                <w:szCs w:val="10"/>
                <w:color w:val="666666"/>
              </w:rPr>
              <w:t>$</w:t>
            </w:r>
          </w:p>
        </w:tc>
        <w:tc>
          <w:tcPr>
            <w:tcW w:w="1440" w:type="dxa"/>
            <w:vAlign w:val="bottom"/>
            <w:tcBorders>
              <w:top w:val="single" w:sz="8" w:color="666666"/>
              <w:bottom w:val="single" w:sz="8" w:color="666666"/>
            </w:tcBorders>
          </w:tcPr>
          <w:p>
            <w:pPr>
              <w:jc w:val="right"/>
              <w:ind w:right="69"/>
              <w:spacing w:after="0"/>
              <w:rPr>
                <w:sz w:val="20"/>
                <w:szCs w:val="20"/>
                <w:color w:val="auto"/>
              </w:rPr>
            </w:pPr>
            <w:r>
              <w:rPr>
                <w:rFonts w:ascii="Arial" w:cs="Arial" w:eastAsia="Arial" w:hAnsi="Arial"/>
                <w:sz w:val="10"/>
                <w:szCs w:val="10"/>
                <w:color w:val="666666"/>
              </w:rPr>
              <w:t>1.65</w:t>
            </w:r>
          </w:p>
        </w:tc>
        <w:tc>
          <w:tcPr>
            <w:tcW w:w="0" w:type="dxa"/>
            <w:vAlign w:val="bottom"/>
          </w:tcPr>
          <w:p>
            <w:pPr>
              <w:spacing w:after="0"/>
              <w:rPr>
                <w:sz w:val="1"/>
                <w:szCs w:val="1"/>
                <w:color w:val="auto"/>
              </w:rPr>
            </w:pPr>
          </w:p>
        </w:tc>
      </w:tr>
      <w:tr>
        <w:trPr>
          <w:trHeight w:val="172"/>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i w:val="1"/>
                <w:iCs w:val="1"/>
                <w:color w:val="666666"/>
              </w:rPr>
              <w:t>Free Cash Flow</w:t>
            </w:r>
          </w:p>
        </w:tc>
        <w:tc>
          <w:tcPr>
            <w:tcW w:w="46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300" w:type="dxa"/>
            <w:vAlign w:val="bottom"/>
          </w:tcPr>
          <w:p>
            <w:pPr>
              <w:ind w:left="260"/>
              <w:spacing w:after="0"/>
              <w:rPr>
                <w:sz w:val="20"/>
                <w:szCs w:val="20"/>
                <w:color w:val="auto"/>
              </w:rPr>
            </w:pPr>
            <w:r>
              <w:rPr>
                <w:rFonts w:ascii="Arial" w:cs="Arial" w:eastAsia="Arial" w:hAnsi="Arial"/>
                <w:sz w:val="10"/>
                <w:szCs w:val="10"/>
                <w:color w:val="666666"/>
              </w:rPr>
              <w:t>Net cash provided by operating activities</w:t>
            </w:r>
          </w:p>
        </w:tc>
        <w:tc>
          <w:tcPr>
            <w:tcW w:w="460" w:type="dxa"/>
            <w:vAlign w:val="bottom"/>
          </w:tcPr>
          <w:p>
            <w:pPr>
              <w:spacing w:after="0"/>
              <w:rPr>
                <w:sz w:val="12"/>
                <w:szCs w:val="12"/>
                <w:color w:val="auto"/>
              </w:rPr>
            </w:pPr>
          </w:p>
        </w:tc>
        <w:tc>
          <w:tcPr>
            <w:tcW w:w="1460" w:type="dxa"/>
            <w:vAlign w:val="bottom"/>
            <w:vMerge w:val="restart"/>
          </w:tcPr>
          <w:p>
            <w:pPr>
              <w:jc w:val="right"/>
              <w:ind w:right="69"/>
              <w:spacing w:after="0"/>
              <w:rPr>
                <w:sz w:val="20"/>
                <w:szCs w:val="20"/>
                <w:color w:val="auto"/>
              </w:rPr>
            </w:pPr>
            <w:r>
              <w:rPr>
                <w:rFonts w:ascii="Arial" w:cs="Arial" w:eastAsia="Arial" w:hAnsi="Arial"/>
                <w:sz w:val="10"/>
                <w:szCs w:val="10"/>
                <w:color w:val="666666"/>
              </w:rPr>
              <w:t>369,143</w:t>
            </w:r>
          </w:p>
        </w:tc>
        <w:tc>
          <w:tcPr>
            <w:tcW w:w="120" w:type="dxa"/>
            <w:vAlign w:val="bottom"/>
          </w:tcPr>
          <w:p>
            <w:pPr>
              <w:spacing w:after="0"/>
              <w:rPr>
                <w:sz w:val="12"/>
                <w:szCs w:val="12"/>
                <w:color w:val="auto"/>
              </w:rPr>
            </w:pPr>
          </w:p>
        </w:tc>
        <w:tc>
          <w:tcPr>
            <w:tcW w:w="160" w:type="dxa"/>
            <w:vAlign w:val="bottom"/>
            <w:vMerge w:val="restart"/>
          </w:tcPr>
          <w:p>
            <w:pPr>
              <w:jc w:val="right"/>
              <w:ind w:right="29"/>
              <w:spacing w:after="0"/>
              <w:rPr>
                <w:sz w:val="20"/>
                <w:szCs w:val="20"/>
                <w:color w:val="auto"/>
              </w:rPr>
            </w:pPr>
            <w:r>
              <w:rPr>
                <w:rFonts w:ascii="Arial" w:cs="Arial" w:eastAsia="Arial" w:hAnsi="Arial"/>
                <w:sz w:val="10"/>
                <w:szCs w:val="10"/>
                <w:color w:val="666666"/>
              </w:rPr>
              <w:t>$</w:t>
            </w:r>
          </w:p>
        </w:tc>
        <w:tc>
          <w:tcPr>
            <w:tcW w:w="1760" w:type="dxa"/>
            <w:vAlign w:val="bottom"/>
            <w:vMerge w:val="restart"/>
          </w:tcPr>
          <w:p>
            <w:pPr>
              <w:jc w:val="right"/>
              <w:ind w:right="69"/>
              <w:spacing w:after="0"/>
              <w:rPr>
                <w:sz w:val="20"/>
                <w:szCs w:val="20"/>
                <w:color w:val="auto"/>
              </w:rPr>
            </w:pPr>
            <w:r>
              <w:rPr>
                <w:rFonts w:ascii="Arial" w:cs="Arial" w:eastAsia="Arial" w:hAnsi="Arial"/>
                <w:sz w:val="10"/>
                <w:szCs w:val="10"/>
                <w:color w:val="666666"/>
              </w:rPr>
              <w:t>382,277</w:t>
            </w:r>
          </w:p>
        </w:tc>
        <w:tc>
          <w:tcPr>
            <w:tcW w:w="100" w:type="dxa"/>
            <w:vAlign w:val="bottom"/>
          </w:tcPr>
          <w:p>
            <w:pPr>
              <w:spacing w:after="0"/>
              <w:rPr>
                <w:sz w:val="12"/>
                <w:szCs w:val="12"/>
                <w:color w:val="auto"/>
              </w:rPr>
            </w:pPr>
          </w:p>
        </w:tc>
        <w:tc>
          <w:tcPr>
            <w:tcW w:w="460" w:type="dxa"/>
            <w:vAlign w:val="bottom"/>
            <w:vMerge w:val="restart"/>
          </w:tcPr>
          <w:p>
            <w:pPr>
              <w:jc w:val="right"/>
              <w:ind w:right="329"/>
              <w:spacing w:after="0"/>
              <w:rPr>
                <w:sz w:val="20"/>
                <w:szCs w:val="20"/>
                <w:color w:val="auto"/>
              </w:rPr>
            </w:pPr>
            <w:r>
              <w:rPr>
                <w:rFonts w:ascii="Arial" w:cs="Arial" w:eastAsia="Arial" w:hAnsi="Arial"/>
                <w:sz w:val="10"/>
                <w:szCs w:val="10"/>
                <w:color w:val="666666"/>
              </w:rPr>
              <w:t>$</w:t>
            </w:r>
          </w:p>
        </w:tc>
        <w:tc>
          <w:tcPr>
            <w:tcW w:w="1440" w:type="dxa"/>
            <w:vAlign w:val="bottom"/>
            <w:vMerge w:val="restart"/>
          </w:tcPr>
          <w:p>
            <w:pPr>
              <w:jc w:val="right"/>
              <w:ind w:right="69"/>
              <w:spacing w:after="0"/>
              <w:rPr>
                <w:sz w:val="20"/>
                <w:szCs w:val="20"/>
                <w:color w:val="auto"/>
              </w:rPr>
            </w:pPr>
            <w:r>
              <w:rPr>
                <w:rFonts w:ascii="Arial" w:cs="Arial" w:eastAsia="Arial" w:hAnsi="Arial"/>
                <w:sz w:val="10"/>
                <w:szCs w:val="10"/>
                <w:color w:val="666666"/>
              </w:rPr>
              <w:t>249,234</w:t>
            </w:r>
          </w:p>
        </w:tc>
        <w:tc>
          <w:tcPr>
            <w:tcW w:w="0" w:type="dxa"/>
            <w:vAlign w:val="bottom"/>
          </w:tcPr>
          <w:p>
            <w:pPr>
              <w:spacing w:after="0"/>
              <w:rPr>
                <w:sz w:val="1"/>
                <w:szCs w:val="1"/>
                <w:color w:val="auto"/>
              </w:rPr>
            </w:pPr>
          </w:p>
        </w:tc>
      </w:tr>
      <w:tr>
        <w:trPr>
          <w:trHeight w:val="42"/>
        </w:trPr>
        <w:tc>
          <w:tcPr>
            <w:tcW w:w="5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17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0"/>
                <w:szCs w:val="10"/>
                <w:color w:val="666666"/>
              </w:rPr>
              <w:t>Less: Purchases of property and equipment</w:t>
            </w:r>
          </w:p>
        </w:tc>
        <w:tc>
          <w:tcPr>
            <w:tcW w:w="4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666666"/>
              </w:rPr>
              <w:t>(78,437)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666666"/>
              </w:rPr>
              <w:t>(53,919)</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0"/>
                <w:szCs w:val="10"/>
                <w:color w:val="666666"/>
              </w:rPr>
              <w:t>(66,635)</w:t>
            </w:r>
          </w:p>
        </w:tc>
        <w:tc>
          <w:tcPr>
            <w:tcW w:w="0" w:type="dxa"/>
            <w:vAlign w:val="bottom"/>
          </w:tcPr>
          <w:p>
            <w:pPr>
              <w:spacing w:after="0"/>
              <w:rPr>
                <w:sz w:val="1"/>
                <w:szCs w:val="1"/>
                <w:color w:val="auto"/>
              </w:rPr>
            </w:pPr>
          </w:p>
        </w:tc>
      </w:tr>
      <w:tr>
        <w:trPr>
          <w:trHeight w:val="171"/>
        </w:trPr>
        <w:tc>
          <w:tcPr>
            <w:tcW w:w="5300" w:type="dxa"/>
            <w:vAlign w:val="bottom"/>
          </w:tcPr>
          <w:p>
            <w:pPr>
              <w:ind w:left="500"/>
              <w:spacing w:after="0"/>
              <w:rPr>
                <w:sz w:val="20"/>
                <w:szCs w:val="20"/>
                <w:color w:val="auto"/>
              </w:rPr>
            </w:pPr>
            <w:r>
              <w:rPr>
                <w:rFonts w:ascii="Arial" w:cs="Arial" w:eastAsia="Arial" w:hAnsi="Arial"/>
                <w:sz w:val="10"/>
                <w:szCs w:val="10"/>
                <w:color w:val="666666"/>
              </w:rPr>
              <w:t>Free Cash Flow</w:t>
            </w:r>
          </w:p>
        </w:tc>
        <w:tc>
          <w:tcPr>
            <w:tcW w:w="460" w:type="dxa"/>
            <w:vAlign w:val="bottom"/>
            <w:tcBorders>
              <w:top w:val="single" w:sz="8" w:color="666666"/>
              <w:bottom w:val="single" w:sz="8" w:color="666666"/>
            </w:tcBorders>
          </w:tcPr>
          <w:p>
            <w:pPr>
              <w:jc w:val="right"/>
              <w:ind w:right="329"/>
              <w:spacing w:after="0"/>
              <w:rPr>
                <w:sz w:val="20"/>
                <w:szCs w:val="20"/>
                <w:color w:val="auto"/>
              </w:rPr>
            </w:pPr>
            <w:r>
              <w:rPr>
                <w:rFonts w:ascii="Arial" w:cs="Arial" w:eastAsia="Arial" w:hAnsi="Arial"/>
                <w:sz w:val="10"/>
                <w:szCs w:val="10"/>
                <w:color w:val="666666"/>
              </w:rPr>
              <w:t>$</w:t>
            </w:r>
          </w:p>
        </w:tc>
        <w:tc>
          <w:tcPr>
            <w:tcW w:w="1460" w:type="dxa"/>
            <w:vAlign w:val="bottom"/>
            <w:tcBorders>
              <w:top w:val="single" w:sz="8" w:color="666666"/>
              <w:bottom w:val="single" w:sz="8" w:color="666666"/>
            </w:tcBorders>
          </w:tcPr>
          <w:p>
            <w:pPr>
              <w:jc w:val="right"/>
              <w:ind w:right="69"/>
              <w:spacing w:after="0"/>
              <w:rPr>
                <w:sz w:val="20"/>
                <w:szCs w:val="20"/>
                <w:color w:val="auto"/>
              </w:rPr>
            </w:pPr>
            <w:r>
              <w:rPr>
                <w:rFonts w:ascii="Arial" w:cs="Arial" w:eastAsia="Arial" w:hAnsi="Arial"/>
                <w:sz w:val="10"/>
                <w:szCs w:val="10"/>
                <w:color w:val="666666"/>
              </w:rPr>
              <w:t>290,706</w:t>
            </w:r>
          </w:p>
        </w:tc>
        <w:tc>
          <w:tcPr>
            <w:tcW w:w="120" w:type="dxa"/>
            <w:vAlign w:val="bottom"/>
          </w:tcPr>
          <w:p>
            <w:pPr>
              <w:spacing w:after="0"/>
              <w:rPr>
                <w:sz w:val="14"/>
                <w:szCs w:val="14"/>
                <w:color w:val="auto"/>
              </w:rPr>
            </w:pPr>
          </w:p>
        </w:tc>
        <w:tc>
          <w:tcPr>
            <w:tcW w:w="160" w:type="dxa"/>
            <w:vAlign w:val="bottom"/>
            <w:tcBorders>
              <w:top w:val="single" w:sz="8" w:color="666666"/>
              <w:bottom w:val="single" w:sz="8" w:color="666666"/>
            </w:tcBorders>
          </w:tcPr>
          <w:p>
            <w:pPr>
              <w:jc w:val="right"/>
              <w:ind w:right="29"/>
              <w:spacing w:after="0"/>
              <w:rPr>
                <w:sz w:val="20"/>
                <w:szCs w:val="20"/>
                <w:color w:val="auto"/>
              </w:rPr>
            </w:pPr>
            <w:r>
              <w:rPr>
                <w:rFonts w:ascii="Arial" w:cs="Arial" w:eastAsia="Arial" w:hAnsi="Arial"/>
                <w:sz w:val="10"/>
                <w:szCs w:val="10"/>
                <w:color w:val="666666"/>
              </w:rPr>
              <w:t>$</w:t>
            </w:r>
          </w:p>
        </w:tc>
        <w:tc>
          <w:tcPr>
            <w:tcW w:w="1760" w:type="dxa"/>
            <w:vAlign w:val="bottom"/>
            <w:tcBorders>
              <w:top w:val="single" w:sz="8" w:color="666666"/>
              <w:bottom w:val="single" w:sz="8" w:color="666666"/>
            </w:tcBorders>
          </w:tcPr>
          <w:p>
            <w:pPr>
              <w:jc w:val="right"/>
              <w:ind w:right="69"/>
              <w:spacing w:after="0"/>
              <w:rPr>
                <w:sz w:val="20"/>
                <w:szCs w:val="20"/>
                <w:color w:val="auto"/>
              </w:rPr>
            </w:pPr>
            <w:r>
              <w:rPr>
                <w:rFonts w:ascii="Arial" w:cs="Arial" w:eastAsia="Arial" w:hAnsi="Arial"/>
                <w:sz w:val="10"/>
                <w:szCs w:val="10"/>
                <w:color w:val="666666"/>
              </w:rPr>
              <w:t>328,358</w:t>
            </w:r>
          </w:p>
        </w:tc>
        <w:tc>
          <w:tcPr>
            <w:tcW w:w="100" w:type="dxa"/>
            <w:vAlign w:val="bottom"/>
          </w:tcPr>
          <w:p>
            <w:pPr>
              <w:spacing w:after="0"/>
              <w:rPr>
                <w:sz w:val="14"/>
                <w:szCs w:val="14"/>
                <w:color w:val="auto"/>
              </w:rPr>
            </w:pPr>
          </w:p>
        </w:tc>
        <w:tc>
          <w:tcPr>
            <w:tcW w:w="460" w:type="dxa"/>
            <w:vAlign w:val="bottom"/>
            <w:tcBorders>
              <w:top w:val="single" w:sz="8" w:color="666666"/>
              <w:bottom w:val="single" w:sz="8" w:color="666666"/>
            </w:tcBorders>
          </w:tcPr>
          <w:p>
            <w:pPr>
              <w:jc w:val="right"/>
              <w:ind w:right="329"/>
              <w:spacing w:after="0"/>
              <w:rPr>
                <w:sz w:val="20"/>
                <w:szCs w:val="20"/>
                <w:color w:val="auto"/>
              </w:rPr>
            </w:pPr>
            <w:r>
              <w:rPr>
                <w:rFonts w:ascii="Arial" w:cs="Arial" w:eastAsia="Arial" w:hAnsi="Arial"/>
                <w:sz w:val="10"/>
                <w:szCs w:val="10"/>
                <w:color w:val="666666"/>
              </w:rPr>
              <w:t>$</w:t>
            </w:r>
          </w:p>
        </w:tc>
        <w:tc>
          <w:tcPr>
            <w:tcW w:w="1440" w:type="dxa"/>
            <w:vAlign w:val="bottom"/>
            <w:tcBorders>
              <w:top w:val="single" w:sz="8" w:color="666666"/>
              <w:bottom w:val="single" w:sz="8" w:color="666666"/>
            </w:tcBorders>
          </w:tcPr>
          <w:p>
            <w:pPr>
              <w:jc w:val="right"/>
              <w:ind w:right="69"/>
              <w:spacing w:after="0"/>
              <w:rPr>
                <w:sz w:val="20"/>
                <w:szCs w:val="20"/>
                <w:color w:val="auto"/>
              </w:rPr>
            </w:pPr>
            <w:r>
              <w:rPr>
                <w:rFonts w:ascii="Arial" w:cs="Arial" w:eastAsia="Arial" w:hAnsi="Arial"/>
                <w:sz w:val="10"/>
                <w:szCs w:val="10"/>
                <w:color w:val="666666"/>
              </w:rPr>
              <w:t>182,599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0" w:hanging="230"/>
        <w:spacing w:after="0"/>
        <w:tabs>
          <w:tab w:leader="none" w:pos="400" w:val="left"/>
        </w:tabs>
        <w:numPr>
          <w:ilvl w:val="0"/>
          <w:numId w:val="55"/>
        </w:numPr>
        <w:rPr>
          <w:rFonts w:ascii="Arial" w:cs="Arial" w:eastAsia="Arial" w:hAnsi="Arial"/>
          <w:sz w:val="10"/>
          <w:szCs w:val="10"/>
          <w:color w:val="666666"/>
        </w:rPr>
      </w:pPr>
      <w:r>
        <w:rPr>
          <w:rFonts w:ascii="Arial" w:cs="Arial" w:eastAsia="Arial" w:hAnsi="Arial"/>
          <w:sz w:val="10"/>
          <w:szCs w:val="10"/>
          <w:color w:val="666666"/>
        </w:rPr>
        <w:t>Reflects the combination of Interest expense and Other income (expense), net from the consolidated statement of operations</w:t>
      </w:r>
    </w:p>
    <w:p>
      <w:pPr>
        <w:spacing w:after="0" w:line="12" w:lineRule="exact"/>
        <w:rPr>
          <w:rFonts w:ascii="Arial" w:cs="Arial" w:eastAsia="Arial" w:hAnsi="Arial"/>
          <w:sz w:val="10"/>
          <w:szCs w:val="10"/>
          <w:color w:val="666666"/>
        </w:rPr>
      </w:pPr>
    </w:p>
    <w:p>
      <w:pPr>
        <w:ind w:left="400" w:hanging="230"/>
        <w:spacing w:after="0"/>
        <w:tabs>
          <w:tab w:leader="none" w:pos="400" w:val="left"/>
        </w:tabs>
        <w:numPr>
          <w:ilvl w:val="0"/>
          <w:numId w:val="55"/>
        </w:numPr>
        <w:rPr>
          <w:rFonts w:ascii="Arial" w:cs="Arial" w:eastAsia="Arial" w:hAnsi="Arial"/>
          <w:sz w:val="10"/>
          <w:szCs w:val="10"/>
          <w:color w:val="666666"/>
        </w:rPr>
      </w:pPr>
      <w:r>
        <w:rPr>
          <w:rFonts w:ascii="Arial" w:cs="Arial" w:eastAsia="Arial" w:hAnsi="Arial"/>
          <w:sz w:val="10"/>
          <w:szCs w:val="10"/>
          <w:color w:val="666666"/>
        </w:rPr>
        <w:t>Fiscal 2017 reflects debt refinancing costs incurred in connection with the refinancing transaction consummated on July 13, 2016.</w:t>
      </w:r>
    </w:p>
    <w:p>
      <w:pPr>
        <w:ind w:left="400" w:hanging="230"/>
        <w:spacing w:after="0"/>
        <w:tabs>
          <w:tab w:leader="none" w:pos="400" w:val="left"/>
        </w:tabs>
        <w:numPr>
          <w:ilvl w:val="0"/>
          <w:numId w:val="55"/>
        </w:numPr>
        <w:rPr>
          <w:rFonts w:ascii="Arial" w:cs="Arial" w:eastAsia="Arial" w:hAnsi="Arial"/>
          <w:sz w:val="10"/>
          <w:szCs w:val="10"/>
          <w:color w:val="666666"/>
        </w:rPr>
      </w:pPr>
      <w:r>
        <w:rPr>
          <w:rFonts w:ascii="Arial" w:cs="Arial" w:eastAsia="Arial" w:hAnsi="Arial"/>
          <w:sz w:val="10"/>
          <w:szCs w:val="10"/>
          <w:color w:val="666666"/>
        </w:rPr>
        <w:t xml:space="preserve">Excludes an adjustment of approximately </w:t>
      </w:r>
      <w:r>
        <w:rPr>
          <w:rFonts w:ascii="Times New Roman" w:cs="Times New Roman" w:eastAsia="Times New Roman" w:hAnsi="Times New Roman"/>
          <w:sz w:val="10"/>
          <w:szCs w:val="10"/>
          <w:color w:val="666666"/>
        </w:rPr>
        <w:t>$1.9 million</w:t>
      </w:r>
      <w:r>
        <w:rPr>
          <w:rFonts w:ascii="Arial" w:cs="Arial" w:eastAsia="Arial" w:hAnsi="Arial"/>
          <w:sz w:val="10"/>
          <w:szCs w:val="10"/>
          <w:color w:val="666666"/>
        </w:rPr>
        <w:t xml:space="preserve">, </w:t>
      </w:r>
      <w:r>
        <w:rPr>
          <w:rFonts w:ascii="Times New Roman" w:cs="Times New Roman" w:eastAsia="Times New Roman" w:hAnsi="Times New Roman"/>
          <w:sz w:val="10"/>
          <w:szCs w:val="10"/>
          <w:color w:val="666666"/>
        </w:rPr>
        <w:t>$2.3 million</w:t>
      </w:r>
      <w:r>
        <w:rPr>
          <w:rFonts w:ascii="Arial" w:cs="Arial" w:eastAsia="Arial" w:hAnsi="Arial"/>
          <w:sz w:val="10"/>
          <w:szCs w:val="10"/>
          <w:color w:val="666666"/>
        </w:rPr>
        <w:t xml:space="preserve">, and </w:t>
      </w:r>
      <w:r>
        <w:rPr>
          <w:rFonts w:ascii="Times New Roman" w:cs="Times New Roman" w:eastAsia="Times New Roman" w:hAnsi="Times New Roman"/>
          <w:sz w:val="10"/>
          <w:szCs w:val="10"/>
          <w:color w:val="666666"/>
        </w:rPr>
        <w:t>$3.5 million</w:t>
      </w:r>
      <w:r>
        <w:rPr>
          <w:rFonts w:ascii="Arial" w:cs="Arial" w:eastAsia="Arial" w:hAnsi="Arial"/>
          <w:sz w:val="10"/>
          <w:szCs w:val="10"/>
          <w:color w:val="666666"/>
        </w:rPr>
        <w:t xml:space="preserve"> of net earnings for fiscal 2018, 2017, and 2016, respectively, associated with the application of the two-class method for computing diluted earnings per share.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666666"/>
        </w:rPr>
        <w:t>A - 2</w:t>
      </w:r>
    </w:p>
    <w:p>
      <w:pPr>
        <w:sectPr>
          <w:pgSz w:w="11900" w:h="16838" w:orient="portrait"/>
          <w:cols w:equalWidth="0" w:num="1">
            <w:col w:w="11460"/>
          </w:cols>
          <w:pgMar w:left="220" w:top="445" w:right="219" w:bottom="1440" w:gutter="0" w:footer="0" w:header="0"/>
        </w:sectPr>
      </w:pPr>
    </w:p>
    <w:bookmarkStart w:id="72" w:name="page73"/>
    <w:bookmarkEnd w:id="7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4F7CBA"/>
        </w:rPr>
        <w:t>[THIS PAGE INTENTIONALLY LEFT BLANK]</w:t>
      </w:r>
    </w:p>
    <w:p>
      <w:pPr>
        <w:sectPr>
          <w:pgSz w:w="11900" w:h="16838" w:orient="portrait"/>
          <w:cols w:equalWidth="0" w:num="1">
            <w:col w:w="9019"/>
          </w:cols>
          <w:pgMar w:left="1440" w:top="1440" w:right="1440" w:bottom="1440" w:gutter="0" w:footer="0" w:header="0"/>
        </w:sectPr>
      </w:pPr>
    </w:p>
    <w:bookmarkStart w:id="74" w:name="page75"/>
    <w:bookmarkEnd w:id="7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295910</wp:posOffset>
            </wp:positionV>
            <wp:extent cx="4158615" cy="53841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4158615" cy="5384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137795</wp:posOffset>
            </wp:positionH>
            <wp:positionV relativeFrom="page">
              <wp:posOffset>295910</wp:posOffset>
            </wp:positionV>
            <wp:extent cx="4158615" cy="53841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4158615" cy="53841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lvl w:ilvl="1">
      <w:lvlJc w:val="left"/>
      <w:lvlText w:val="(%2)"/>
      <w:numFmt w:val="decimal"/>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lowerRoman"/>
      <w:start w:val="5"/>
    </w:lvl>
  </w:abstractNum>
  <w:abstractNum w:abstractNumId="5">
    <w:nsid w:val="1E7FF521"/>
    <w:multiLevelType w:val="hybridMultilevel"/>
    <w:lvl w:ilvl="0">
      <w:lvlJc w:val="left"/>
      <w:lvlText w:val="•"/>
      <w:numFmt w:val="bullet"/>
      <w:start w:val="1"/>
    </w:lvl>
    <w:lvl w:ilvl="1">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lvl w:ilvl="1">
      <w:lvlJc w:val="left"/>
      <w:lvlText w:val="(%2)"/>
      <w:numFmt w:val="decimal"/>
      <w:start w:val="1"/>
    </w:lvl>
  </w:abstractNum>
  <w:abstractNum w:abstractNumId="18">
    <w:nsid w:val="77465F01"/>
    <w:multiLevelType w:val="hybridMultilevel"/>
    <w:lvl w:ilvl="0">
      <w:lvlJc w:val="left"/>
      <w:lvlText w:val="(%1)"/>
      <w:numFmt w:val="decimal"/>
      <w:start w:val="2"/>
    </w:lvl>
    <w:lvl w:ilvl="1">
      <w:lvlJc w:val="left"/>
      <w:lvlText w:val="%2"/>
      <w:numFmt w:val="decimal"/>
      <w:start w:val="1"/>
    </w:lvl>
  </w:abstractNum>
  <w:abstractNum w:abstractNumId="19">
    <w:nsid w:val="7724C67E"/>
    <w:multiLevelType w:val="hybridMultilevel"/>
    <w:lvl w:ilvl="0">
      <w:lvlJc w:val="left"/>
      <w:lvlText w:val="(%1)"/>
      <w:numFmt w:val="lowerLetter"/>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ü"/>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lvl w:ilvl="1">
      <w:lvlJc w:val="left"/>
      <w:lvlText w:val="\endash "/>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2"/>
    </w:lvl>
  </w:abstractNum>
  <w:abstractNum w:abstractNumId="41">
    <w:nsid w:val="32FFF902"/>
    <w:multiLevelType w:val="hybridMultilevel"/>
    <w:lvl w:ilvl="0">
      <w:lvlJc w:val="left"/>
      <w:lvlText w:val="(%1)"/>
      <w:numFmt w:val="decimal"/>
      <w:start w:val="3"/>
    </w:lvl>
  </w:abstractNum>
  <w:abstractNum w:abstractNumId="42">
    <w:nsid w:val="684A481A"/>
    <w:multiLevelType w:val="hybridMultilevel"/>
    <w:lvl w:ilvl="0">
      <w:lvlJc w:val="left"/>
      <w:lvlText w:val="(%1)"/>
      <w:numFmt w:val="decimal"/>
      <w:start w:val="6"/>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2"/>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lowerRoman"/>
      <w:start w:val="2"/>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2019-12-07T14:37:51Z</dcterms:created>
  <dcterms:modified xsi:type="dcterms:W3CDTF">2019-12-07T14:37:51Z</dcterms:modified>
</cp:coreProperties>
</file>