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0604328.xml.htm"/>
      <w:bookmarkStart w:id="1" w:name="kswkform3_178060432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Nolan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8283 GREENSBORO DRIVE</w:t>
                  </w:r>
                </w:p>
              </w:tc>
            </w:tr>
            <w:tr>
              <w:trPr/>
              <w:tc>
                <w:tcPr>
                  <w:tcW w:w="294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MCLEAN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Booz Allen Hamilton Holding Corp</w:t>
              </w:r>
            </w:hyperlink>
            <w:r>
              <w:rPr/>
              <w:t xml:space="preserve"> [ </w:t>
            </w:r>
            <w:r>
              <w:rPr>
                <w:rFonts w:ascii="Times;serif" w:hAnsi="Times;serif"/>
                <w:color w:val="0000FF"/>
                <w:sz w:val="24"/>
                <w:shd w:fill="FFFFFF" w:val="clear"/>
              </w:rPr>
              <w:t>BAH</w:t>
            </w:r>
            <w:r>
              <w:rPr/>
              <w:t xml:space="preserve"> ] </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Jamie Weatherby, as Attorney-in-Fact for Ryan Nolan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nolan-section16powerofat.htm"/>
      <w:bookmarkStart w:id="3" w:name="ksnolansection16powerofat"/>
      <w:bookmarkEnd w:id="2"/>
      <w:bookmarkEnd w:id="3"/>
      <w:r>
        <w:rPr/>
        <w:drawing>
          <wp:inline distT="0" distB="0" distL="0" distR="0">
            <wp:extent cx="10191750"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191750"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I II Booz Allen Hamilton Restricted POWER OF ATTORNEY Know by all these present, that the undersigned hereby constitutes and appoints each of Jacob D. Bernstein, Susanna Patton, Joshua Petty and Jamie Weatherby signing singly, the undersigned's true and lawful attorney-in-fact to: I. execute for and on behalfof the undersigned, in the undersigned· s capacity as an officer and/or director of Booz Allen Hamilton Holding Corporation (the "Companv"), Forms 3, 4 and 5 in accordance with Section 16(a) of the Securities Ex.change Act of 1934, as amended (the "Ex.change Act''), and the rules thereunder; 2. do and perform any and all acts for and on behalf of the undersigned which may be necessary or desirable to complete and execute any such Form 3, 4 or 5, complete and execute any amendment or amendments thereto, and timely tile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fonn and shall contain such terms and conditions as such attorney-in-fact may approve in such attorney-in</w:t>
        <w:softHyphen/>
        <w:t xml:space="preserve"> 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Anomey to be executed as of this 4th day of May, 2026. /;an Nolan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2384" TargetMode="External"/><Relationship Id="rId3" Type="http://schemas.openxmlformats.org/officeDocument/2006/relationships/hyperlink" Target="http://www.sec.gov/cgi-bin/browse-edgar?action=getcompany&amp;CIK=00014436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846</Words>
  <Characters>4498</Characters>
  <CharactersWithSpaces>5305</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nolan-section16powerofat</dc:title>
</cp:coreProperties>
</file>