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5"/>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60" w:type="dxa"/>
            <w:vAlign w:val="bottom"/>
          </w:tcPr>
          <w:p>
            <w:pPr>
              <w:ind w:left="760"/>
              <w:spacing w:after="0" w:line="208"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40" w:type="dxa"/>
            <w:vAlign w:val="bottom"/>
            <w:vMerge w:val="restart"/>
          </w:tcPr>
          <w:p>
            <w:pPr>
              <w:ind w:left="500"/>
              <w:spacing w:after="0"/>
              <w:rPr>
                <w:sz w:val="20"/>
                <w:szCs w:val="20"/>
                <w:color w:val="auto"/>
              </w:rPr>
            </w:pPr>
            <w:r>
              <w:rPr>
                <w:rFonts w:ascii="Arial" w:cs="Arial" w:eastAsia="Arial" w:hAnsi="Arial"/>
                <w:sz w:val="13"/>
                <w:szCs w:val="13"/>
                <w:color w:val="auto"/>
                <w:w w:val="98"/>
              </w:rPr>
              <w:t>OMB APPROVAL</w:t>
            </w: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160" w:type="dxa"/>
            <w:vAlign w:val="bottom"/>
          </w:tcPr>
          <w:p>
            <w:pPr>
              <w:spacing w:after="0"/>
              <w:rPr>
                <w:sz w:val="7"/>
                <w:szCs w:val="7"/>
                <w:color w:val="auto"/>
              </w:rPr>
            </w:pPr>
          </w:p>
        </w:tc>
        <w:tc>
          <w:tcPr>
            <w:tcW w:w="6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540" w:type="dxa"/>
            <w:vAlign w:val="bottom"/>
            <w:tcBorders>
              <w:bottom w:val="single" w:sz="8" w:color="808080"/>
            </w:tcBorders>
            <w:vMerge w:val="continue"/>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5" w:lineRule="exact"/>
              <w:rPr>
                <w:sz w:val="20"/>
                <w:szCs w:val="20"/>
                <w:color w:val="auto"/>
              </w:rPr>
            </w:pPr>
            <w:r>
              <w:rPr>
                <w:rFonts w:ascii="Arial" w:cs="Arial" w:eastAsia="Arial" w:hAnsi="Arial"/>
                <w:sz w:val="15"/>
                <w:szCs w:val="15"/>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5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6931025</wp:posOffset>
            </wp:positionH>
            <wp:positionV relativeFrom="paragraph">
              <wp:posOffset>-503555</wp:posOffset>
            </wp:positionV>
            <wp:extent cx="51435" cy="516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6890"/>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-503555</wp:posOffset>
            </wp:positionV>
            <wp:extent cx="51435" cy="516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6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19050</wp:posOffset>
            </wp:positionV>
            <wp:extent cx="7019925" cy="312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925" cy="3122930"/>
                    </a:xfrm>
                    <a:prstGeom prst="rect">
                      <a:avLst/>
                    </a:prstGeom>
                    <a:noFill/>
                  </pic:spPr>
                </pic:pic>
              </a:graphicData>
            </a:graphic>
          </wp:anchor>
        </w:drawing>
      </w:r>
    </w:p>
    <w:p>
      <w:pPr>
        <w:sectPr>
          <w:pgSz w:w="11900" w:h="16838" w:orient="portrait"/>
          <w:cols w:equalWidth="0" w:num="1">
            <w:col w:w="11020"/>
          </w:cols>
          <w:pgMar w:left="440" w:top="201" w:right="439" w:bottom="1440" w:gutter="0" w:footer="0" w:header="0"/>
        </w:sectPr>
      </w:pPr>
    </w:p>
    <w:p>
      <w:pPr>
        <w:spacing w:after="0" w:line="40"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06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1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40" w:type="dxa"/>
            <w:vAlign w:val="bottom"/>
            <w:gridSpan w:val="2"/>
            <w:vMerge w:val="restart"/>
          </w:tcPr>
          <w:p>
            <w:pPr>
              <w:spacing w:after="0" w:line="186"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Fitzgerald Buffum Shannon</w:t>
              </w:r>
            </w:hyperlink>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tcBorders>
              <w:bottom w:val="single" w:sz="8" w:color="0000EE"/>
            </w:tcBorders>
            <w:gridSpan w:val="2"/>
            <w:vMerge w:val="continue"/>
          </w:tcPr>
          <w:p>
            <w:pPr>
              <w:spacing w:after="0"/>
              <w:rPr>
                <w:sz w:val="9"/>
                <w:szCs w:val="9"/>
                <w:color w:val="auto"/>
              </w:rPr>
            </w:pPr>
          </w:p>
        </w:tc>
        <w:tc>
          <w:tcPr>
            <w:tcW w:w="180" w:type="dxa"/>
            <w:vAlign w:val="bottom"/>
            <w:vMerge w:val="restart"/>
          </w:tcPr>
          <w:p>
            <w:pPr>
              <w:spacing w:after="0"/>
              <w:rPr>
                <w:sz w:val="9"/>
                <w:szCs w:val="9"/>
                <w:color w:val="auto"/>
              </w:rPr>
            </w:pPr>
          </w:p>
        </w:tc>
        <w:tc>
          <w:tcPr>
            <w:tcW w:w="254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3"/>
                <w:szCs w:val="13"/>
                <w:color w:val="0000FF"/>
              </w:rPr>
              <w:t>05/20/2026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40" w:type="dxa"/>
            <w:vAlign w:val="bottom"/>
            <w:gridSpan w:val="2"/>
          </w:tcPr>
          <w:p>
            <w:pPr>
              <w:spacing w:after="0"/>
              <w:rPr>
                <w:sz w:val="3"/>
                <w:szCs w:val="3"/>
                <w:color w:val="auto"/>
              </w:rPr>
            </w:pPr>
          </w:p>
        </w:tc>
        <w:tc>
          <w:tcPr>
            <w:tcW w:w="180" w:type="dxa"/>
            <w:vAlign w:val="bottom"/>
            <w:vMerge w:val="continue"/>
          </w:tcPr>
          <w:p>
            <w:pPr>
              <w:spacing w:after="0"/>
              <w:rPr>
                <w:sz w:val="3"/>
                <w:szCs w:val="3"/>
                <w:color w:val="auto"/>
              </w:rPr>
            </w:pPr>
          </w:p>
        </w:tc>
        <w:tc>
          <w:tcPr>
            <w:tcW w:w="25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0"/>
                <w:szCs w:val="10"/>
                <w:color w:val="auto"/>
              </w:rPr>
              <w:t>(Last)</w:t>
            </w:r>
          </w:p>
        </w:tc>
        <w:tc>
          <w:tcPr>
            <w:tcW w:w="1220" w:type="dxa"/>
            <w:vAlign w:val="bottom"/>
            <w:gridSpan w:val="2"/>
          </w:tcPr>
          <w:p>
            <w:pPr>
              <w:ind w:left="240"/>
              <w:spacing w:after="0"/>
              <w:rPr>
                <w:sz w:val="20"/>
                <w:szCs w:val="20"/>
                <w:color w:val="auto"/>
              </w:rPr>
            </w:pPr>
            <w:r>
              <w:rPr>
                <w:rFonts w:ascii="Arial" w:cs="Arial" w:eastAsia="Arial" w:hAnsi="Arial"/>
                <w:sz w:val="10"/>
                <w:szCs w:val="10"/>
                <w:color w:val="auto"/>
              </w:rPr>
              <w:t>(First)</w:t>
            </w:r>
          </w:p>
        </w:tc>
        <w:tc>
          <w:tcPr>
            <w:tcW w:w="2540" w:type="dxa"/>
            <w:vAlign w:val="bottom"/>
            <w:gridSpan w:val="2"/>
          </w:tcPr>
          <w:p>
            <w:pPr>
              <w:ind w:left="8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8283 GREENSBORO DRIVE</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40" w:type="dxa"/>
            <w:vAlign w:val="bottom"/>
            <w:gridSpan w:val="3"/>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3"/>
                <w:szCs w:val="13"/>
                <w:color w:val="0000FF"/>
              </w:rPr>
              <w:t>MCLEAN</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VA</w:t>
            </w:r>
          </w:p>
        </w:tc>
        <w:tc>
          <w:tcPr>
            <w:tcW w:w="11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22102</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80" w:type="dxa"/>
            <w:vAlign w:val="bottom"/>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240" w:type="dxa"/>
            <w:vAlign w:val="bottom"/>
            <w:gridSpan w:val="4"/>
          </w:tcPr>
          <w:p>
            <w:pPr>
              <w:spacing w:after="0" w:line="176" w:lineRule="exact"/>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color w:val="0000EE"/>
                </w:rPr>
                <w:t xml:space="preserve">Booz Allen Hamilton Holding Corp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BAH</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0" w:type="dxa"/>
            <w:vAlign w:val="bottom"/>
            <w:tcBorders>
              <w:bottom w:val="single" w:sz="8" w:color="2C2C2C"/>
            </w:tcBorders>
          </w:tcPr>
          <w:p>
            <w:pPr>
              <w:spacing w:after="0"/>
              <w:rPr>
                <w:sz w:val="19"/>
                <w:szCs w:val="19"/>
                <w:color w:val="auto"/>
              </w:rPr>
            </w:pPr>
          </w:p>
        </w:tc>
        <w:tc>
          <w:tcPr>
            <w:tcW w:w="100" w:type="dxa"/>
            <w:vAlign w:val="bottom"/>
            <w:tcBorders>
              <w:top w:val="single" w:sz="8" w:color="0000EE"/>
              <w:bottom w:val="single" w:sz="8" w:color="2C2C2C"/>
            </w:tcBorders>
          </w:tcPr>
          <w:p>
            <w:pPr>
              <w:spacing w:after="0"/>
              <w:rPr>
                <w:sz w:val="19"/>
                <w:szCs w:val="19"/>
                <w:color w:val="auto"/>
              </w:rPr>
            </w:pPr>
          </w:p>
        </w:tc>
        <w:tc>
          <w:tcPr>
            <w:tcW w:w="1980" w:type="dxa"/>
            <w:vAlign w:val="bottom"/>
            <w:tcBorders>
              <w:top w:val="single" w:sz="8" w:color="0000EE"/>
              <w:bottom w:val="single" w:sz="8" w:color="2C2C2C"/>
            </w:tcBorders>
          </w:tcPr>
          <w:p>
            <w:pPr>
              <w:spacing w:after="0"/>
              <w:rPr>
                <w:sz w:val="19"/>
                <w:szCs w:val="19"/>
                <w:color w:val="auto"/>
              </w:rPr>
            </w:pPr>
          </w:p>
        </w:tc>
        <w:tc>
          <w:tcPr>
            <w:tcW w:w="280" w:type="dxa"/>
            <w:vAlign w:val="bottom"/>
            <w:tcBorders>
              <w:top w:val="single" w:sz="8" w:color="0000EE"/>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262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208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vMerge w:val="restart"/>
          </w:tcPr>
          <w:p>
            <w:pPr>
              <w:ind w:left="420"/>
              <w:spacing w:after="0"/>
              <w:rPr>
                <w:sz w:val="20"/>
                <w:szCs w:val="20"/>
                <w:color w:val="auto"/>
              </w:rPr>
            </w:pPr>
            <w:r>
              <w:rPr>
                <w:rFonts w:ascii="Arial" w:cs="Arial" w:eastAsia="Arial" w:hAnsi="Arial"/>
                <w:sz w:val="10"/>
                <w:szCs w:val="10"/>
                <w:color w:val="auto"/>
              </w:rPr>
              <w:t>Director</w:t>
            </w:r>
          </w:p>
        </w:tc>
        <w:tc>
          <w:tcPr>
            <w:tcW w:w="1160" w:type="dxa"/>
            <w:vAlign w:val="bottom"/>
            <w:gridSpan w:val="2"/>
            <w:vMerge w:val="restart"/>
          </w:tcPr>
          <w:p>
            <w:pPr>
              <w:ind w:left="2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ind w:left="420"/>
              <w:spacing w:after="0"/>
              <w:rPr>
                <w:sz w:val="20"/>
                <w:szCs w:val="20"/>
                <w:color w:val="auto"/>
              </w:rPr>
            </w:pPr>
            <w:r>
              <w:rPr>
                <w:rFonts w:ascii="Arial" w:cs="Arial" w:eastAsia="Arial" w:hAnsi="Arial"/>
                <w:sz w:val="10"/>
                <w:szCs w:val="10"/>
                <w:color w:val="auto"/>
              </w:rPr>
              <w:t>Officer (give title</w:t>
            </w:r>
          </w:p>
        </w:tc>
        <w:tc>
          <w:tcPr>
            <w:tcW w:w="1160" w:type="dxa"/>
            <w:vAlign w:val="bottom"/>
            <w:gridSpan w:val="2"/>
            <w:vMerge w:val="restart"/>
          </w:tcPr>
          <w:p>
            <w:pPr>
              <w:ind w:left="2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11"/>
                <w:szCs w:val="11"/>
                <w:color w:val="auto"/>
              </w:rPr>
            </w:pP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vMerge w:val="restart"/>
          </w:tcPr>
          <w:p>
            <w:pPr>
              <w:ind w:left="420"/>
              <w:spacing w:after="0"/>
              <w:rPr>
                <w:sz w:val="20"/>
                <w:szCs w:val="20"/>
                <w:color w:val="auto"/>
              </w:rPr>
            </w:pPr>
            <w:r>
              <w:rPr>
                <w:rFonts w:ascii="Arial" w:cs="Arial" w:eastAsia="Arial" w:hAnsi="Arial"/>
                <w:sz w:val="10"/>
                <w:szCs w:val="10"/>
                <w:color w:val="auto"/>
              </w:rPr>
              <w:t>below)</w:t>
            </w: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restart"/>
          </w:tcPr>
          <w:p>
            <w:pPr>
              <w:ind w:left="34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3"/>
          </w:tcPr>
          <w:p>
            <w:pPr>
              <w:ind w:left="820"/>
              <w:spacing w:after="0"/>
              <w:rPr>
                <w:sz w:val="20"/>
                <w:szCs w:val="20"/>
                <w:color w:val="auto"/>
              </w:rPr>
            </w:pPr>
            <w:r>
              <w:rPr>
                <w:rFonts w:ascii="Times New Roman" w:cs="Times New Roman" w:eastAsia="Times New Roman" w:hAnsi="Times New Roman"/>
                <w:sz w:val="13"/>
                <w:szCs w:val="13"/>
                <w:color w:val="0000FF"/>
              </w:rPr>
              <w:t>Executive Vice President</w:t>
            </w:r>
          </w:p>
        </w:tc>
        <w:tc>
          <w:tcPr>
            <w:tcW w:w="140" w:type="dxa"/>
            <w:vAlign w:val="bottom"/>
          </w:tcPr>
          <w:p>
            <w:pPr>
              <w:spacing w:after="0"/>
              <w:rPr>
                <w:sz w:val="15"/>
                <w:szCs w:val="15"/>
                <w:color w:val="auto"/>
              </w:rPr>
            </w:pPr>
          </w:p>
        </w:tc>
        <w:tc>
          <w:tcPr>
            <w:tcW w:w="262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290" w:lineRule="exact"/>
        <w:rPr>
          <w:sz w:val="24"/>
          <w:szCs w:val="24"/>
          <w:color w:val="auto"/>
        </w:rPr>
      </w:pPr>
    </w:p>
    <w:p>
      <w:pPr>
        <w:sectPr>
          <w:pgSz w:w="11900" w:h="16838" w:orient="portrait"/>
          <w:cols w:equalWidth="0" w:num="2">
            <w:col w:w="4660" w:space="280"/>
            <w:col w:w="6080"/>
          </w:cols>
          <w:pgMar w:left="440" w:top="201" w:right="439" w:bottom="1440" w:gutter="0" w:footer="0" w:header="0"/>
          <w:type w:val="continuous"/>
        </w:sectPr>
      </w:pPr>
    </w:p>
    <w:p>
      <w:pPr>
        <w:spacing w:after="0" w:line="38"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3"/>
        </w:trPr>
        <w:tc>
          <w:tcPr>
            <w:tcW w:w="3120" w:type="dxa"/>
            <w:vAlign w:val="bottom"/>
          </w:tcPr>
          <w:p>
            <w:pPr>
              <w:spacing w:after="0"/>
              <w:rPr>
                <w:sz w:val="9"/>
                <w:szCs w:val="9"/>
                <w:color w:val="auto"/>
              </w:rPr>
            </w:pPr>
          </w:p>
        </w:tc>
        <w:tc>
          <w:tcPr>
            <w:tcW w:w="3700" w:type="dxa"/>
            <w:vAlign w:val="bottom"/>
          </w:tcPr>
          <w:p>
            <w:pPr>
              <w:ind w:left="178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1"/>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62"/>
        </w:trPr>
        <w:tc>
          <w:tcPr>
            <w:tcW w:w="20" w:type="dxa"/>
            <w:vAlign w:val="bottom"/>
            <w:tcBorders>
              <w:bottom w:val="single" w:sz="8" w:color="2C2C2C"/>
            </w:tcBorders>
          </w:tcPr>
          <w:p>
            <w:pPr>
              <w:spacing w:after="0"/>
              <w:rPr>
                <w:sz w:val="22"/>
                <w:szCs w:val="22"/>
                <w:color w:val="auto"/>
              </w:rPr>
            </w:pPr>
          </w:p>
        </w:tc>
        <w:tc>
          <w:tcPr>
            <w:tcW w:w="28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12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13"/>
                <w:szCs w:val="13"/>
                <w:color w:val="0000FF"/>
              </w:rPr>
              <w:t>3,187</w:t>
            </w:r>
            <w:r>
              <w:rPr>
                <w:rFonts w:ascii="Times New Roman" w:cs="Times New Roman" w:eastAsia="Times New Roman" w:hAnsi="Times New Roman"/>
                <w:sz w:val="17"/>
                <w:szCs w:val="17"/>
                <w:color w:val="008000"/>
                <w:vertAlign w:val="superscript"/>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2860" w:type="dxa"/>
            <w:vAlign w:val="bottom"/>
            <w:tcBorders>
              <w:top w:val="single" w:sz="8" w:color="2C2C2C"/>
            </w:tcBorders>
          </w:tcPr>
          <w:p>
            <w:pPr>
              <w:spacing w:after="0"/>
              <w:rPr>
                <w:sz w:val="14"/>
                <w:szCs w:val="14"/>
                <w:color w:val="auto"/>
              </w:rPr>
            </w:pPr>
          </w:p>
        </w:tc>
        <w:tc>
          <w:tcPr>
            <w:tcW w:w="820" w:type="dxa"/>
            <w:vAlign w:val="bottom"/>
            <w:tcBorders>
              <w:top w:val="single" w:sz="8" w:color="2C2C2C"/>
            </w:tcBorders>
          </w:tcPr>
          <w:p>
            <w:pPr>
              <w:spacing w:after="0"/>
              <w:rPr>
                <w:sz w:val="14"/>
                <w:szCs w:val="14"/>
                <w:color w:val="auto"/>
              </w:rPr>
            </w:pPr>
          </w:p>
        </w:tc>
        <w:tc>
          <w:tcPr>
            <w:tcW w:w="342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80" w:type="dxa"/>
            <w:vAlign w:val="bottom"/>
            <w:gridSpan w:val="5"/>
          </w:tcPr>
          <w:p>
            <w:pPr>
              <w:ind w:left="7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gridSpan w:val="2"/>
          </w:tcPr>
          <w:p>
            <w:pPr>
              <w:spacing w:after="0" w:line="20" w:lineRule="exact"/>
              <w:rPr>
                <w:sz w:val="1"/>
                <w:szCs w:val="1"/>
                <w:color w:val="auto"/>
              </w:rPr>
            </w:pPr>
          </w:p>
        </w:tc>
        <w:tc>
          <w:tcPr>
            <w:tcW w:w="276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6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00" w:type="dxa"/>
            <w:vAlign w:val="bottom"/>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05/20/2030</w:t>
            </w:r>
          </w:p>
        </w:tc>
        <w:tc>
          <w:tcPr>
            <w:tcW w:w="21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19,359</w:t>
            </w:r>
          </w:p>
        </w:tc>
        <w:tc>
          <w:tcPr>
            <w:tcW w:w="720" w:type="dxa"/>
            <w:vAlign w:val="bottom"/>
          </w:tcPr>
          <w:p>
            <w:pPr>
              <w:jc w:val="right"/>
              <w:ind w:right="125"/>
              <w:spacing w:after="0"/>
              <w:rPr>
                <w:sz w:val="20"/>
                <w:szCs w:val="20"/>
                <w:color w:val="auto"/>
              </w:rPr>
            </w:pPr>
            <w:r>
              <w:rPr>
                <w:rFonts w:ascii="Times New Roman" w:cs="Times New Roman" w:eastAsia="Times New Roman" w:hAnsi="Times New Roman"/>
                <w:sz w:val="13"/>
                <w:szCs w:val="13"/>
                <w:color w:val="0000FF"/>
              </w:rPr>
              <w:t>74.59</w:t>
            </w:r>
          </w:p>
        </w:tc>
        <w:tc>
          <w:tcPr>
            <w:tcW w:w="8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00" w:type="dxa"/>
            <w:vAlign w:val="bottom"/>
            <w:gridSpan w:val="2"/>
          </w:tcPr>
          <w:p>
            <w:pPr>
              <w:jc w:val="right"/>
              <w:ind w:right="226"/>
              <w:spacing w:after="0"/>
              <w:rPr>
                <w:sz w:val="20"/>
                <w:szCs w:val="20"/>
                <w:color w:val="auto"/>
              </w:rPr>
            </w:pPr>
            <w:r>
              <w:rPr>
                <w:rFonts w:ascii="Times New Roman" w:cs="Times New Roman" w:eastAsia="Times New Roman" w:hAnsi="Times New Roman"/>
                <w:sz w:val="9"/>
                <w:szCs w:val="9"/>
                <w:color w:val="008000"/>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03/28/2034</w:t>
            </w:r>
          </w:p>
        </w:tc>
        <w:tc>
          <w:tcPr>
            <w:tcW w:w="212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0000FF"/>
              </w:rPr>
              <w:t>6,446</w:t>
            </w:r>
          </w:p>
        </w:tc>
        <w:tc>
          <w:tcPr>
            <w:tcW w:w="720" w:type="dxa"/>
            <w:vAlign w:val="bottom"/>
          </w:tcPr>
          <w:p>
            <w:pPr>
              <w:jc w:val="right"/>
              <w:ind w:right="85"/>
              <w:spacing w:after="0"/>
              <w:rPr>
                <w:sz w:val="20"/>
                <w:szCs w:val="20"/>
                <w:color w:val="auto"/>
              </w:rPr>
            </w:pPr>
            <w:r>
              <w:rPr>
                <w:rFonts w:ascii="Times New Roman" w:cs="Times New Roman" w:eastAsia="Times New Roman" w:hAnsi="Times New Roman"/>
                <w:sz w:val="13"/>
                <w:szCs w:val="13"/>
                <w:color w:val="0000FF"/>
              </w:rPr>
              <w:t>148.44</w:t>
            </w:r>
          </w:p>
        </w:tc>
        <w:tc>
          <w:tcPr>
            <w:tcW w:w="8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40" w:right="160" w:hanging="7"/>
        <w:spacing w:after="0" w:line="254"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274 and 804 restricted stock units, issued under the Issuer's 2023 Equity Incentive Plan exempt under Rule 16b-3. Each restricted stock unit represents a contingent right to receive one share of the Issuer's Class A common stock upon vesting. 274 restricted stock units are scheduled to vest and settle on March 31, 2027, subject to the Reporting Person's continued employment. Half of the 804 restricted stock units are scheduled to vest and settle on each of March 31, 2026, and 2027, subject to the Reporting Person's continued employment.</w:t>
      </w:r>
    </w:p>
    <w:p>
      <w:pPr>
        <w:spacing w:after="0" w:line="16" w:lineRule="exact"/>
        <w:rPr>
          <w:rFonts w:ascii="Times New Roman" w:cs="Times New Roman" w:eastAsia="Times New Roman" w:hAnsi="Times New Roman"/>
          <w:sz w:val="10"/>
          <w:szCs w:val="10"/>
          <w:color w:val="008000"/>
        </w:rPr>
      </w:pPr>
    </w:p>
    <w:p>
      <w:pPr>
        <w:ind w:left="140" w:hanging="107"/>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All options are fully vested and exercisable.</w:t>
      </w:r>
    </w:p>
    <w:p>
      <w:pPr>
        <w:spacing w:after="0" w:line="39" w:lineRule="exact"/>
        <w:rPr>
          <w:rFonts w:ascii="Times New Roman" w:cs="Times New Roman" w:eastAsia="Times New Roman" w:hAnsi="Times New Roman"/>
          <w:sz w:val="10"/>
          <w:szCs w:val="10"/>
          <w:color w:val="008000"/>
        </w:rPr>
      </w:pPr>
    </w:p>
    <w:p>
      <w:pPr>
        <w:ind w:left="40" w:right="120" w:hanging="7"/>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2,578 options are fully vested and exercisable. The remaining options vest and become exercisable, subject to the reporting person's continued employment, on March 31, 2027, 2028, and 2029. These options fully vest and become exercisable immediately prior to the effective date of certain change in control events.</w:t>
      </w:r>
    </w:p>
    <w:p>
      <w:pPr>
        <w:sectPr>
          <w:pgSz w:w="11900" w:h="16838" w:orient="portrait"/>
          <w:cols w:equalWidth="0" w:num="1">
            <w:col w:w="11020"/>
          </w:cols>
          <w:pgMar w:left="440" w:top="201" w:right="43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By: /s/ Jamie Weatherby,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4199890</wp:posOffset>
            </wp:positionH>
            <wp:positionV relativeFrom="paragraph">
              <wp:posOffset>-3175</wp:posOffset>
            </wp:positionV>
            <wp:extent cx="129286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92860" cy="6350"/>
                    </a:xfrm>
                    <a:prstGeom prst="rect">
                      <a:avLst/>
                    </a:prstGeom>
                    <a:noFill/>
                  </pic:spPr>
                </pic:pic>
              </a:graphicData>
            </a:graphic>
          </wp:anchor>
        </w:drawing>
      </w:r>
    </w:p>
    <w:p>
      <w:pPr>
        <w:spacing w:after="0" w:line="4"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in-Fact for Shannon Fitzgerald Buffum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4199890</wp:posOffset>
            </wp:positionH>
            <wp:positionV relativeFrom="paragraph">
              <wp:posOffset>-8255</wp:posOffset>
            </wp:positionV>
            <wp:extent cx="13322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2230" cy="6350"/>
                    </a:xfrm>
                    <a:prstGeom prst="rect">
                      <a:avLst/>
                    </a:prstGeom>
                    <a:noFill/>
                  </pic:spPr>
                </pic:pic>
              </a:graphicData>
            </a:graphic>
          </wp:anchor>
        </w:drawing>
      </w:r>
    </w:p>
    <w:p>
      <w:pPr>
        <w:spacing w:after="0" w:line="28"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38798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6350"/>
                    </a:xfrm>
                    <a:prstGeom prst="rect">
                      <a:avLst/>
                    </a:prstGeom>
                    <a:noFill/>
                  </pic:spPr>
                </pic:pic>
              </a:graphicData>
            </a:graphic>
          </wp:anchor>
        </w:drawing>
      </w:r>
    </w:p>
    <w:p>
      <w:pPr>
        <w:spacing w:after="0" w:line="118"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4"/>
          <w:szCs w:val="24"/>
          <w:color w:val="auto"/>
        </w:rPr>
      </w:pPr>
    </w:p>
    <w:p>
      <w:pPr>
        <w:sectPr>
          <w:pgSz w:w="11900" w:h="16838" w:orient="portrait"/>
          <w:cols w:equalWidth="0" w:num="2">
            <w:col w:w="8720" w:space="100"/>
            <w:col w:w="2200"/>
          </w:cols>
          <w:pgMar w:left="440" w:top="201"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5040" w:hanging="7"/>
        <w:spacing w:after="0" w:line="322"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1"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298450</wp:posOffset>
            </wp:positionV>
            <wp:extent cx="694499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99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2132897" TargetMode="External"/><Relationship Id="rId12" Type="http://schemas.openxmlformats.org/officeDocument/2006/relationships/hyperlink" Target="http://www.sec.gov/cgi-bin/browse-edgar?action=getcompany&amp;CIK=0001443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2026-05-22T15:07:29Z</dcterms:created>
  <dcterms:modified xsi:type="dcterms:W3CDTF">2026-05-22T15:07:29Z</dcterms:modified>
</cp:coreProperties>
</file>