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6"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Washington, D.C. 20549</w:t>
      </w:r>
    </w:p>
    <w:p>
      <w:pPr>
        <w:spacing w:after="0" w:line="137"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SCHEDULE 14-A</w:t>
      </w:r>
    </w:p>
    <w:p>
      <w:pPr>
        <w:spacing w:after="0" w:line="188"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(RULE 14a-101)</w:t>
      </w:r>
    </w:p>
    <w:p>
      <w:pPr>
        <w:spacing w:after="0" w:line="157"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INFORMATION REQUIRED IN PROXY STATEMENT</w:t>
      </w:r>
    </w:p>
    <w:p>
      <w:pPr>
        <w:spacing w:after="0" w:line="181"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SCHEDULE 14A INFORMATION</w:t>
      </w:r>
    </w:p>
    <w:p>
      <w:pPr>
        <w:sectPr>
          <w:pgSz w:w="11900" w:h="16838" w:orient="portrait"/>
          <w:cols w:equalWidth="0" w:num="1">
            <w:col w:w="10139"/>
          </w:cols>
          <w:pgMar w:left="320" w:top="1440" w:right="1440" w:bottom="1440" w:gutter="0" w:footer="0" w:header="0"/>
        </w:sectPr>
      </w:pPr>
    </w:p>
    <w:p>
      <w:pPr>
        <w:spacing w:after="0" w:line="170"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Proxy Statement Pursuant to Section 14(a) of</w:t>
      </w:r>
    </w:p>
    <w:p>
      <w:pPr>
        <w:spacing w:after="0" w:line="25"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13" w:lineRule="exact"/>
        <w:rPr>
          <w:sz w:val="24"/>
          <w:szCs w:val="24"/>
          <w:color w:val="auto"/>
        </w:rPr>
      </w:pPr>
    </w:p>
    <w:p>
      <w:pPr>
        <w:sectPr>
          <w:pgSz w:w="11900" w:h="16838" w:orient="portrait"/>
          <w:cols w:equalWidth="0" w:num="2">
            <w:col w:w="7140" w:space="300"/>
            <w:col w:w="2699"/>
          </w:cols>
          <w:pgMar w:left="320" w:top="1440" w:right="1440" w:bottom="1440" w:gutter="0" w:footer="0" w:header="0"/>
          <w:type w:val="continuous"/>
        </w:sectPr>
      </w:pPr>
    </w:p>
    <w:p>
      <w:pPr>
        <w:spacing w:after="0" w:line="17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90" w:lineRule="exact"/>
        <w:rPr>
          <w:sz w:val="24"/>
          <w:szCs w:val="24"/>
          <w:color w:val="auto"/>
        </w:rPr>
      </w:pPr>
    </w:p>
    <w:p>
      <w:pPr>
        <w:ind w:left="280" w:hanging="274"/>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3" w:lineRule="exact"/>
        <w:rPr>
          <w:rFonts w:ascii="MS PGothic" w:cs="MS PGothic" w:eastAsia="MS PGothic" w:hAnsi="MS PGothic"/>
          <w:sz w:val="14"/>
          <w:szCs w:val="14"/>
          <w:color w:val="auto"/>
        </w:rPr>
      </w:pPr>
    </w:p>
    <w:p>
      <w:pPr>
        <w:ind w:left="280" w:hanging="274"/>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59"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Definitive Proxy Statement</w:t>
      </w:r>
    </w:p>
    <w:p>
      <w:pPr>
        <w:spacing w:after="0" w:line="134" w:lineRule="exact"/>
        <w:rPr>
          <w:rFonts w:ascii="MS PGothic" w:cs="MS PGothic" w:eastAsia="MS PGothic" w:hAnsi="MS PGothic"/>
          <w:sz w:val="14"/>
          <w:szCs w:val="14"/>
          <w:color w:val="auto"/>
        </w:rPr>
      </w:pPr>
    </w:p>
    <w:p>
      <w:pPr>
        <w:ind w:left="280" w:hanging="274"/>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1" w:lineRule="exact"/>
        <w:rPr>
          <w:rFonts w:ascii="MS PGothic" w:cs="MS PGothic" w:eastAsia="MS PGothic" w:hAnsi="MS PGothic"/>
          <w:sz w:val="14"/>
          <w:szCs w:val="14"/>
          <w:color w:val="auto"/>
        </w:rPr>
      </w:pPr>
    </w:p>
    <w:p>
      <w:pPr>
        <w:ind w:left="280" w:hanging="274"/>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Soliciting Materials Pursuant to </w:t>
      </w:r>
      <w:r>
        <w:rPr>
          <w:rFonts w:ascii="Times New Roman" w:cs="Times New Roman" w:eastAsia="Times New Roman" w:hAnsi="Times New Roman"/>
          <w:sz w:val="17"/>
          <w:szCs w:val="17"/>
          <w:color w:val="auto"/>
        </w:rPr>
        <w:t>§</w:t>
      </w:r>
      <w:r>
        <w:rPr>
          <w:rFonts w:ascii="Arial" w:cs="Arial" w:eastAsia="Arial" w:hAnsi="Arial"/>
          <w:sz w:val="14"/>
          <w:szCs w:val="14"/>
          <w:color w:val="auto"/>
        </w:rPr>
        <w:t>240.14a-12</w:t>
      </w:r>
    </w:p>
    <w:p>
      <w:pPr>
        <w:spacing w:after="0" w:line="200" w:lineRule="exact"/>
        <w:rPr>
          <w:sz w:val="24"/>
          <w:szCs w:val="24"/>
          <w:color w:val="auto"/>
        </w:rPr>
      </w:pPr>
    </w:p>
    <w:p>
      <w:pPr>
        <w:spacing w:after="0" w:line="22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170"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(Name of Registrant as Specified In Its Charter)</w:t>
      </w:r>
    </w:p>
    <w:p>
      <w:pPr>
        <w:spacing w:after="0" w:line="170" w:lineRule="exact"/>
        <w:rPr>
          <w:sz w:val="24"/>
          <w:szCs w:val="24"/>
          <w:color w:val="auto"/>
        </w:rPr>
      </w:pPr>
    </w:p>
    <w:p>
      <w:pPr>
        <w:jc w:val="right"/>
        <w:ind w:right="22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0" w:lineRule="exact"/>
        <w:rPr>
          <w:sz w:val="24"/>
          <w:szCs w:val="24"/>
          <w:color w:val="auto"/>
        </w:rPr>
      </w:pPr>
    </w:p>
    <w:p>
      <w:pPr>
        <w:ind w:left="280" w:hanging="274"/>
        <w:spacing w:after="0"/>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04" w:lineRule="exact"/>
        <w:rPr>
          <w:sz w:val="24"/>
          <w:szCs w:val="24"/>
          <w:color w:val="auto"/>
        </w:rPr>
      </w:pPr>
    </w:p>
    <w:p>
      <w:pPr>
        <w:ind w:left="280" w:hanging="274"/>
        <w:spacing w:after="0"/>
        <w:tabs>
          <w:tab w:leader="none" w:pos="2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0" w:lineRule="exact"/>
        <w:rPr>
          <w:rFonts w:ascii="MS PGothic" w:cs="MS PGothic" w:eastAsia="MS PGothic" w:hAnsi="MS PGothic"/>
          <w:sz w:val="14"/>
          <w:szCs w:val="14"/>
          <w:color w:val="auto"/>
        </w:rPr>
      </w:pPr>
    </w:p>
    <w:p>
      <w:pPr>
        <w:ind w:left="280" w:hanging="274"/>
        <w:spacing w:after="0"/>
        <w:tabs>
          <w:tab w:leader="none" w:pos="2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1475740</wp:posOffset>
            </wp:positionH>
            <wp:positionV relativeFrom="page">
              <wp:posOffset>1795145</wp:posOffset>
            </wp:positionV>
            <wp:extent cx="4596765" cy="714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596765"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00A5B5"/>
        </w:rPr>
        <w:t>Notice of 2026</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00A5B5"/>
        </w:rPr>
        <w:t>Annual Meeting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00A5B5"/>
        </w:rPr>
        <w:t>of Stockholders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00A5B5"/>
        </w:rPr>
        <w:t>and Proxy Statement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A5B5"/>
        </w:rPr>
        <w:t>July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855980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1252855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668655</wp:posOffset>
            </wp:positionV>
            <wp:extent cx="1369695" cy="210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69695" cy="210185"/>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6"/>
          <w:szCs w:val="16"/>
          <w:color w:val="auto"/>
        </w:rPr>
        <w:t>Booz Allen Hamilton Holding Corporation</w:t>
      </w:r>
    </w:p>
    <w:p>
      <w:pPr>
        <w:spacing w:after="0" w:line="1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8283 Greensboro Drive</w:t>
      </w:r>
    </w:p>
    <w:p>
      <w:pPr>
        <w:spacing w:after="0" w:line="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McLean, Virginia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142240</wp:posOffset>
            </wp:positionV>
            <wp:extent cx="69335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3565" cy="16510"/>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5691505</wp:posOffset>
            </wp:positionH>
            <wp:positionV relativeFrom="paragraph">
              <wp:posOffset>47625</wp:posOffset>
            </wp:positionV>
            <wp:extent cx="1042035" cy="1042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2035" cy="104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Dear Fellow Stockholder:</w:t>
      </w:r>
    </w:p>
    <w:p>
      <w:pPr>
        <w:spacing w:after="0" w:line="217" w:lineRule="exact"/>
        <w:rPr>
          <w:sz w:val="20"/>
          <w:szCs w:val="20"/>
          <w:color w:val="auto"/>
        </w:rPr>
      </w:pPr>
    </w:p>
    <w:p>
      <w:pPr>
        <w:ind w:left="80" w:right="2560" w:firstLine="318"/>
        <w:spacing w:after="0" w:line="223" w:lineRule="auto"/>
        <w:rPr>
          <w:sz w:val="20"/>
          <w:szCs w:val="20"/>
          <w:color w:val="auto"/>
        </w:rPr>
      </w:pPr>
      <w:r>
        <w:rPr>
          <w:rFonts w:ascii="Arial" w:cs="Arial" w:eastAsia="Arial" w:hAnsi="Arial"/>
          <w:sz w:val="17"/>
          <w:szCs w:val="17"/>
          <w:color w:val="auto"/>
        </w:rPr>
        <w:t>I am pleased to invite you to join Booz Allen Hamilton Holding Corporation's ("Booz Allen" or the "Company") Board of Directors, senior leadership, and fellow stockholders at our Annual Meeting of Stockholders to be held at 8:00 a.m. (EDT) on July 22, 2026. Enclosed with this proxy statement are your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proxy card and our 2026 annual report to stockholders.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Items of business to be transacted at our Annual Meeting are:</w:t>
      </w:r>
    </w:p>
    <w:p>
      <w:pPr>
        <w:spacing w:after="0" w:line="164" w:lineRule="exact"/>
        <w:rPr>
          <w:sz w:val="20"/>
          <w:szCs w:val="20"/>
          <w:color w:val="auto"/>
        </w:rPr>
      </w:pPr>
    </w:p>
    <w:p>
      <w:pPr>
        <w:ind w:left="880" w:hanging="24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ten director nominees;</w:t>
      </w:r>
    </w:p>
    <w:p>
      <w:pPr>
        <w:spacing w:after="0" w:line="163" w:lineRule="exact"/>
        <w:rPr>
          <w:rFonts w:ascii="Arial" w:cs="Arial" w:eastAsia="Arial" w:hAnsi="Arial"/>
          <w:sz w:val="18"/>
          <w:szCs w:val="18"/>
          <w:color w:val="auto"/>
        </w:rPr>
      </w:pPr>
    </w:p>
    <w:p>
      <w:pPr>
        <w:ind w:left="880" w:hanging="24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our independent registered public accounting firm for fiscal year 2027;</w:t>
      </w:r>
    </w:p>
    <w:p>
      <w:pPr>
        <w:spacing w:after="0" w:line="175" w:lineRule="exact"/>
        <w:rPr>
          <w:rFonts w:ascii="Arial" w:cs="Arial" w:eastAsia="Arial" w:hAnsi="Arial"/>
          <w:sz w:val="17"/>
          <w:szCs w:val="17"/>
          <w:color w:val="auto"/>
        </w:rPr>
      </w:pPr>
    </w:p>
    <w:p>
      <w:pPr>
        <w:ind w:left="880" w:hanging="242"/>
        <w:spacing w:after="0" w:line="274" w:lineRule="auto"/>
        <w:tabs>
          <w:tab w:leader="none" w:pos="88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non-binding advisory vote on the compensation program for the Company’s named executive officers, as disclosed in the Compensation Discussion and Analysis section of the proxy statement;</w:t>
      </w:r>
    </w:p>
    <w:p>
      <w:pPr>
        <w:spacing w:after="0" w:line="109" w:lineRule="exact"/>
        <w:rPr>
          <w:rFonts w:ascii="Arial" w:cs="Arial" w:eastAsia="Arial" w:hAnsi="Arial"/>
          <w:sz w:val="18"/>
          <w:szCs w:val="18"/>
          <w:color w:val="auto"/>
        </w:rPr>
      </w:pPr>
    </w:p>
    <w:p>
      <w:pPr>
        <w:ind w:left="880" w:hanging="24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properly presented at the Annual Meeting, a non-binding advisory vote on a stockholder proposal; and</w:t>
      </w:r>
    </w:p>
    <w:p>
      <w:pPr>
        <w:spacing w:after="0" w:line="163" w:lineRule="exact"/>
        <w:rPr>
          <w:rFonts w:ascii="Arial" w:cs="Arial" w:eastAsia="Arial" w:hAnsi="Arial"/>
          <w:sz w:val="18"/>
          <w:szCs w:val="18"/>
          <w:color w:val="auto"/>
        </w:rPr>
      </w:pPr>
    </w:p>
    <w:p>
      <w:pPr>
        <w:ind w:left="880" w:hanging="24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Consideration of any other business that may properly be brought before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 and AGAINST Proposal 4.</w:t>
      </w:r>
    </w:p>
    <w:p>
      <w:pPr>
        <w:spacing w:after="0" w:line="166"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Our 2026 Annual Meeting of Stockholders will be a virtual meeting conducted solely online and can be attended by visiting www.virtualshareholdermeeting.com/BAH2026. To participate in the Annual Meeting, you will need the control number located on your proxy card or the instructions that accompanied your proxy materials.</w:t>
      </w:r>
    </w:p>
    <w:p>
      <w:pPr>
        <w:spacing w:after="0" w:line="124"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Your vote is important. Whether or not you plan to virtually attend the Annual Meeting, you may access electronic voting via the Internet or the automated telephone voting feature, both of which are described on your enclosed proxy card. You may also sign, date, and return the proxy card in the envelope provided.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behalf of Booz Allen, thank you for your continued support and investment.</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114300</wp:posOffset>
            </wp:positionV>
            <wp:extent cx="840105" cy="327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0105"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Horacio D. Rozanski</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537210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720" w:top="1440"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1403985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2769870</wp:posOffset>
            </wp:positionH>
            <wp:positionV relativeFrom="page">
              <wp:posOffset>719455</wp:posOffset>
            </wp:positionV>
            <wp:extent cx="2016760" cy="311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16760" cy="311150"/>
                    </a:xfrm>
                    <a:prstGeom prst="rect">
                      <a:avLst/>
                    </a:prstGeom>
                    <a:noFill/>
                  </pic:spPr>
                </pic:pic>
              </a:graphicData>
            </a:graphic>
          </wp:anchor>
        </w:drawing>
      </w:r>
    </w:p>
    <w:p>
      <w:pPr>
        <w:jc w:val="center"/>
        <w:ind w:left="340" w:right="220"/>
        <w:spacing w:after="0" w:line="295" w:lineRule="auto"/>
        <w:rPr>
          <w:sz w:val="20"/>
          <w:szCs w:val="20"/>
          <w:color w:val="auto"/>
        </w:rPr>
      </w:pPr>
      <w:r>
        <w:rPr>
          <w:rFonts w:ascii="Arial" w:cs="Arial" w:eastAsia="Arial" w:hAnsi="Arial"/>
          <w:sz w:val="28"/>
          <w:szCs w:val="28"/>
          <w:b w:val="1"/>
          <w:bCs w:val="1"/>
          <w:color w:val="00A5B5"/>
        </w:rPr>
        <w:t>NOTICE OF BOOZ ALLEN HAMILTON HOLDING CORPORATION'S 2026 ANNUAL MEETING OF STOCKHOLDERS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20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140" w:type="dxa"/>
            <w:vAlign w:val="bottom"/>
            <w:gridSpan w:val="2"/>
          </w:tcPr>
          <w:p>
            <w:pPr>
              <w:ind w:left="320"/>
              <w:spacing w:after="0"/>
              <w:rPr>
                <w:sz w:val="20"/>
                <w:szCs w:val="20"/>
                <w:color w:val="auto"/>
              </w:rPr>
            </w:pPr>
            <w:r>
              <w:rPr>
                <w:rFonts w:ascii="Arial" w:cs="Arial" w:eastAsia="Arial" w:hAnsi="Arial"/>
                <w:sz w:val="18"/>
                <w:szCs w:val="18"/>
                <w:color w:val="auto"/>
              </w:rPr>
              <w:t>8:00 a.m. (EDT), July 22, 2026</w:t>
            </w:r>
          </w:p>
        </w:tc>
      </w:tr>
      <w:tr>
        <w:trPr>
          <w:trHeight w:val="318"/>
        </w:trPr>
        <w:tc>
          <w:tcPr>
            <w:tcW w:w="20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40" w:type="dxa"/>
            <w:vAlign w:val="bottom"/>
            <w:gridSpan w:val="2"/>
          </w:tcPr>
          <w:p>
            <w:pPr>
              <w:ind w:left="320"/>
              <w:spacing w:after="0"/>
              <w:rPr>
                <w:sz w:val="20"/>
                <w:szCs w:val="20"/>
                <w:color w:val="auto"/>
              </w:rPr>
            </w:pPr>
            <w:r>
              <w:rPr>
                <w:rFonts w:ascii="Arial" w:cs="Arial" w:eastAsia="Arial" w:hAnsi="Arial"/>
                <w:sz w:val="18"/>
                <w:szCs w:val="18"/>
                <w:color w:val="auto"/>
              </w:rPr>
              <w:t>Virtual meeting at www.virtualshareholdermeeting.com/BAH2026</w:t>
            </w:r>
          </w:p>
        </w:tc>
      </w:tr>
      <w:tr>
        <w:trPr>
          <w:trHeight w:val="318"/>
        </w:trPr>
        <w:tc>
          <w:tcPr>
            <w:tcW w:w="2020" w:type="dxa"/>
            <w:vAlign w:val="bottom"/>
          </w:tcPr>
          <w:p>
            <w:pPr>
              <w:spacing w:after="0"/>
              <w:rPr>
                <w:sz w:val="20"/>
                <w:szCs w:val="20"/>
                <w:color w:val="auto"/>
              </w:rPr>
            </w:pPr>
            <w:r>
              <w:rPr>
                <w:rFonts w:ascii="Arial" w:cs="Arial" w:eastAsia="Arial" w:hAnsi="Arial"/>
                <w:sz w:val="18"/>
                <w:szCs w:val="18"/>
                <w:b w:val="1"/>
                <w:bCs w:val="1"/>
                <w:color w:val="auto"/>
              </w:rPr>
              <w:t>Agenda:</w:t>
            </w:r>
          </w:p>
        </w:tc>
        <w:tc>
          <w:tcPr>
            <w:tcW w:w="480" w:type="dxa"/>
            <w:vAlign w:val="bottom"/>
          </w:tcPr>
          <w:p>
            <w:pPr>
              <w:ind w:left="320"/>
              <w:spacing w:after="0"/>
              <w:rPr>
                <w:sz w:val="20"/>
                <w:szCs w:val="20"/>
                <w:color w:val="auto"/>
              </w:rPr>
            </w:pPr>
            <w:r>
              <w:rPr>
                <w:rFonts w:ascii="Arial" w:cs="Arial" w:eastAsia="Arial" w:hAnsi="Arial"/>
                <w:sz w:val="18"/>
                <w:szCs w:val="18"/>
                <w:color w:val="auto"/>
                <w:w w:val="92"/>
              </w:rPr>
              <w:t>1.</w:t>
            </w:r>
          </w:p>
        </w:tc>
        <w:tc>
          <w:tcPr>
            <w:tcW w:w="8660" w:type="dxa"/>
            <w:vAlign w:val="bottom"/>
          </w:tcPr>
          <w:p>
            <w:pPr>
              <w:ind w:left="20"/>
              <w:spacing w:after="0"/>
              <w:rPr>
                <w:sz w:val="20"/>
                <w:szCs w:val="20"/>
                <w:color w:val="auto"/>
              </w:rPr>
            </w:pPr>
            <w:r>
              <w:rPr>
                <w:rFonts w:ascii="Arial" w:cs="Arial" w:eastAsia="Arial" w:hAnsi="Arial"/>
                <w:sz w:val="18"/>
                <w:szCs w:val="18"/>
                <w:color w:val="auto"/>
              </w:rPr>
              <w:t>The election of ten director nominees named in the proxy statement;</w:t>
            </w:r>
          </w:p>
        </w:tc>
      </w:tr>
      <w:tr>
        <w:trPr>
          <w:trHeight w:val="252"/>
        </w:trPr>
        <w:tc>
          <w:tcPr>
            <w:tcW w:w="2020" w:type="dxa"/>
            <w:vAlign w:val="bottom"/>
          </w:tcPr>
          <w:p>
            <w:pPr>
              <w:spacing w:after="0"/>
              <w:rPr>
                <w:sz w:val="21"/>
                <w:szCs w:val="21"/>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w w:val="92"/>
              </w:rPr>
              <w:t>2.</w:t>
            </w:r>
          </w:p>
        </w:tc>
        <w:tc>
          <w:tcPr>
            <w:tcW w:w="8660" w:type="dxa"/>
            <w:vAlign w:val="bottom"/>
          </w:tcPr>
          <w:p>
            <w:pPr>
              <w:ind w:left="20"/>
              <w:spacing w:after="0"/>
              <w:rPr>
                <w:sz w:val="20"/>
                <w:szCs w:val="20"/>
                <w:color w:val="auto"/>
              </w:rPr>
            </w:pPr>
            <w:r>
              <w:rPr>
                <w:rFonts w:ascii="Arial" w:cs="Arial" w:eastAsia="Arial" w:hAnsi="Arial"/>
                <w:sz w:val="18"/>
                <w:szCs w:val="18"/>
                <w:color w:val="auto"/>
              </w:rPr>
              <w:t>The ratification of the appointment of Ernst &amp; Young LLP as the Company’s independent registered public</w:t>
            </w:r>
          </w:p>
        </w:tc>
      </w:tr>
      <w:tr>
        <w:trPr>
          <w:trHeight w:val="232"/>
        </w:trPr>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accounting firm for the Company’s fiscal year 2027;</w:t>
            </w:r>
          </w:p>
        </w:tc>
      </w:tr>
      <w:tr>
        <w:trPr>
          <w:trHeight w:val="271"/>
        </w:trPr>
        <w:tc>
          <w:tcPr>
            <w:tcW w:w="2020" w:type="dxa"/>
            <w:vAlign w:val="bottom"/>
          </w:tcPr>
          <w:p>
            <w:pPr>
              <w:spacing w:after="0"/>
              <w:rPr>
                <w:sz w:val="23"/>
                <w:szCs w:val="23"/>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w w:val="92"/>
              </w:rPr>
              <w:t>3.</w:t>
            </w:r>
          </w:p>
        </w:tc>
        <w:tc>
          <w:tcPr>
            <w:tcW w:w="8660" w:type="dxa"/>
            <w:vAlign w:val="bottom"/>
          </w:tcPr>
          <w:p>
            <w:pPr>
              <w:ind w:left="20"/>
              <w:spacing w:after="0"/>
              <w:rPr>
                <w:sz w:val="20"/>
                <w:szCs w:val="20"/>
                <w:color w:val="auto"/>
              </w:rPr>
            </w:pPr>
            <w:r>
              <w:rPr>
                <w:rFonts w:ascii="Arial" w:cs="Arial" w:eastAsia="Arial" w:hAnsi="Arial"/>
                <w:sz w:val="18"/>
                <w:szCs w:val="18"/>
                <w:color w:val="auto"/>
              </w:rPr>
              <w:t>A non-binding advisory vote on the compensation program for the Company’s named executive officers, as</w:t>
            </w:r>
          </w:p>
        </w:tc>
      </w:tr>
      <w:tr>
        <w:trPr>
          <w:trHeight w:val="232"/>
        </w:trPr>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disclosed in the Compensation Discussion and Analysis section of the proxy statement;</w:t>
            </w:r>
          </w:p>
        </w:tc>
      </w:tr>
      <w:tr>
        <w:trPr>
          <w:trHeight w:val="327"/>
        </w:trPr>
        <w:tc>
          <w:tcPr>
            <w:tcW w:w="202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w w:val="92"/>
              </w:rPr>
              <w:t>4.</w:t>
            </w:r>
          </w:p>
        </w:tc>
        <w:tc>
          <w:tcPr>
            <w:tcW w:w="8660" w:type="dxa"/>
            <w:vAlign w:val="bottom"/>
          </w:tcPr>
          <w:p>
            <w:pPr>
              <w:ind w:left="20"/>
              <w:spacing w:after="0"/>
              <w:rPr>
                <w:sz w:val="20"/>
                <w:szCs w:val="20"/>
                <w:color w:val="auto"/>
              </w:rPr>
            </w:pPr>
            <w:r>
              <w:rPr>
                <w:rFonts w:ascii="Arial" w:cs="Arial" w:eastAsia="Arial" w:hAnsi="Arial"/>
                <w:sz w:val="18"/>
                <w:szCs w:val="18"/>
                <w:color w:val="auto"/>
              </w:rPr>
              <w:t>If properly presented at the Annual Meeting, a non-binding advisory vote on a stockholder proposal; and</w:t>
            </w:r>
          </w:p>
        </w:tc>
      </w:tr>
      <w:tr>
        <w:trPr>
          <w:trHeight w:val="318"/>
        </w:trPr>
        <w:tc>
          <w:tcPr>
            <w:tcW w:w="202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w w:val="92"/>
              </w:rPr>
              <w:t>5.</w:t>
            </w:r>
          </w:p>
        </w:tc>
        <w:tc>
          <w:tcPr>
            <w:tcW w:w="8660" w:type="dxa"/>
            <w:vAlign w:val="bottom"/>
          </w:tcPr>
          <w:p>
            <w:pPr>
              <w:ind w:left="20"/>
              <w:spacing w:after="0"/>
              <w:rPr>
                <w:sz w:val="20"/>
                <w:szCs w:val="20"/>
                <w:color w:val="auto"/>
              </w:rPr>
            </w:pPr>
            <w:r>
              <w:rPr>
                <w:rFonts w:ascii="Arial" w:cs="Arial" w:eastAsia="Arial" w:hAnsi="Arial"/>
                <w:sz w:val="18"/>
                <w:szCs w:val="18"/>
                <w:color w:val="auto"/>
              </w:rPr>
              <w:t>The transaction of any other business that may properly be brought before the Annual Meeting.</w:t>
            </w:r>
          </w:p>
        </w:tc>
      </w:tr>
      <w:tr>
        <w:trPr>
          <w:trHeight w:val="486"/>
        </w:trPr>
        <w:tc>
          <w:tcPr>
            <w:tcW w:w="2020" w:type="dxa"/>
            <w:vAlign w:val="bottom"/>
          </w:tcPr>
          <w:p>
            <w:pPr>
              <w:spacing w:after="0"/>
              <w:rPr>
                <w:sz w:val="24"/>
                <w:szCs w:val="24"/>
                <w:color w:val="auto"/>
              </w:rPr>
            </w:pPr>
          </w:p>
        </w:tc>
        <w:tc>
          <w:tcPr>
            <w:tcW w:w="91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The Board of Directors recommends that you vote FOR Proposals 1, 2, and 3 and AGAINST Proposal 4.</w:t>
            </w:r>
          </w:p>
        </w:tc>
      </w:tr>
      <w:tr>
        <w:trPr>
          <w:trHeight w:val="252"/>
        </w:trPr>
        <w:tc>
          <w:tcPr>
            <w:tcW w:w="20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40" w:type="dxa"/>
            <w:vAlign w:val="bottom"/>
            <w:gridSpan w:val="2"/>
          </w:tcPr>
          <w:p>
            <w:pPr>
              <w:ind w:left="320"/>
              <w:spacing w:after="0"/>
              <w:rPr>
                <w:sz w:val="20"/>
                <w:szCs w:val="20"/>
                <w:color w:val="auto"/>
              </w:rPr>
            </w:pPr>
            <w:r>
              <w:rPr>
                <w:rFonts w:ascii="Arial" w:cs="Arial" w:eastAsia="Arial" w:hAnsi="Arial"/>
                <w:sz w:val="18"/>
                <w:szCs w:val="18"/>
                <w:color w:val="auto"/>
              </w:rPr>
              <w:t>Only holders of record of the Company’s Class A common stock on June 1, 2026 will be entitled to vote at the</w:t>
            </w:r>
          </w:p>
        </w:tc>
      </w:tr>
      <w:tr>
        <w:trPr>
          <w:trHeight w:val="232"/>
        </w:trPr>
        <w:tc>
          <w:tcPr>
            <w:tcW w:w="2020" w:type="dxa"/>
            <w:vAlign w:val="bottom"/>
          </w:tcPr>
          <w:p>
            <w:pPr>
              <w:spacing w:after="0"/>
              <w:rPr>
                <w:sz w:val="20"/>
                <w:szCs w:val="20"/>
                <w:color w:val="auto"/>
              </w:rPr>
            </w:pPr>
          </w:p>
        </w:tc>
        <w:tc>
          <w:tcPr>
            <w:tcW w:w="9140" w:type="dxa"/>
            <w:vAlign w:val="bottom"/>
            <w:gridSpan w:val="2"/>
          </w:tcPr>
          <w:p>
            <w:pPr>
              <w:ind w:left="320"/>
              <w:spacing w:after="0"/>
              <w:rPr>
                <w:sz w:val="20"/>
                <w:szCs w:val="20"/>
                <w:color w:val="auto"/>
              </w:rPr>
            </w:pPr>
            <w:r>
              <w:rPr>
                <w:rFonts w:ascii="Arial" w:cs="Arial" w:eastAsia="Arial" w:hAnsi="Arial"/>
                <w:sz w:val="18"/>
                <w:szCs w:val="18"/>
                <w:color w:val="auto"/>
              </w:rPr>
              <w:t>Annual Meeting.</w:t>
            </w:r>
          </w:p>
        </w:tc>
      </w:tr>
      <w:tr>
        <w:trPr>
          <w:trHeight w:val="337"/>
        </w:trPr>
        <w:tc>
          <w:tcPr>
            <w:tcW w:w="2020" w:type="dxa"/>
            <w:vAlign w:val="bottom"/>
          </w:tcPr>
          <w:p>
            <w:pPr>
              <w:spacing w:after="0"/>
              <w:rPr>
                <w:sz w:val="20"/>
                <w:szCs w:val="20"/>
                <w:color w:val="auto"/>
              </w:rPr>
            </w:pPr>
            <w:r>
              <w:rPr>
                <w:rFonts w:ascii="Arial" w:cs="Arial" w:eastAsia="Arial" w:hAnsi="Arial"/>
                <w:sz w:val="18"/>
                <w:szCs w:val="18"/>
                <w:b w:val="1"/>
                <w:bCs w:val="1"/>
                <w:color w:val="auto"/>
              </w:rPr>
              <w:t>Date of Distribution:</w:t>
            </w:r>
          </w:p>
        </w:tc>
        <w:tc>
          <w:tcPr>
            <w:tcW w:w="9140" w:type="dxa"/>
            <w:vAlign w:val="bottom"/>
            <w:gridSpan w:val="2"/>
          </w:tcPr>
          <w:p>
            <w:pPr>
              <w:ind w:left="320"/>
              <w:spacing w:after="0"/>
              <w:rPr>
                <w:sz w:val="20"/>
                <w:szCs w:val="20"/>
                <w:color w:val="auto"/>
              </w:rPr>
            </w:pPr>
            <w:r>
              <w:rPr>
                <w:rFonts w:ascii="Arial" w:cs="Arial" w:eastAsia="Arial" w:hAnsi="Arial"/>
                <w:sz w:val="18"/>
                <w:szCs w:val="18"/>
                <w:color w:val="auto"/>
              </w:rPr>
              <w:t>The proxy materials or a Notice of Internet Availability were sent to stockholders on or about June 11, 2026.</w:t>
            </w:r>
          </w:p>
        </w:tc>
      </w:tr>
    </w:tbl>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Proxy Voting:</w:t>
      </w:r>
    </w:p>
    <w:p>
      <w:pPr>
        <w:ind w:left="2360" w:right="180"/>
        <w:spacing w:after="0" w:line="216"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virtually attend the Annual Meeting, you may access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voting via the Internet or the automated telephone voting feature, both of which are described on your enclosed proxy card, or you may sign, date, and return the proxy card in the envelope provided.</w:t>
      </w:r>
    </w:p>
    <w:p>
      <w:pPr>
        <w:spacing w:after="0" w:line="219" w:lineRule="exact"/>
        <w:rPr>
          <w:sz w:val="20"/>
          <w:szCs w:val="20"/>
          <w:color w:val="auto"/>
        </w:rPr>
      </w:pPr>
    </w:p>
    <w:p>
      <w:pPr>
        <w:jc w:val="both"/>
        <w:ind w:firstLine="6"/>
        <w:spacing w:after="0" w:line="220" w:lineRule="auto"/>
        <w:tabs>
          <w:tab w:leader="none" w:pos="19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2026 Annual Meeting of Stockholders will be a virtual meeting conducted solely online and can be attended by visiting www.virtualshareholdermeeting.com/BAH2026. To participate in the Annual Meeting, you will need the control number located on your proxy card or the instructions that accompanied your proxy materials. If you plan to participate in the virtual meeting, please see “Important Information About Annual Meeting and Proxy Procedures.”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114300</wp:posOffset>
            </wp:positionV>
            <wp:extent cx="1285875" cy="394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Jacob D. Bernstein</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Secretary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June 11, 2026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July 22, 2026: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Notice of Annual Meeting, accompanying Proxy Statement, and our 2026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537210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1403985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Arial" w:cs="Arial" w:eastAsia="Arial" w:hAnsi="Arial"/>
          <w:sz w:val="28"/>
          <w:szCs w:val="28"/>
          <w:b w:val="1"/>
          <w:bCs w:val="1"/>
          <w:color w:val="auto"/>
        </w:rPr>
        <w:t>TABLE OF CONTENTS TO PROXY STATEMENT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PROXY STATEMENT SUMMARY</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6"/>
                <w:szCs w:val="16"/>
                <w:color w:val="auto"/>
              </w:rPr>
            </w:pPr>
          </w:p>
        </w:tc>
      </w:tr>
      <w:tr>
        <w:trPr>
          <w:trHeight w:val="20"/>
        </w:trPr>
        <w:tc>
          <w:tcPr>
            <w:tcW w:w="10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00A5B5"/>
              </w:rPr>
              <w:t>PROPOSAL 1: ELECTION OF DIRECTORS</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A5B5"/>
              </w:rPr>
              <w:t>7</w:t>
            </w:r>
          </w:p>
        </w:tc>
        <w:tc>
          <w:tcPr>
            <w:tcW w:w="200" w:type="dxa"/>
            <w:vAlign w:val="bottom"/>
          </w:tcPr>
          <w:p>
            <w:pPr>
              <w:spacing w:after="0"/>
              <w:rPr>
                <w:sz w:val="24"/>
                <w:szCs w:val="24"/>
                <w:color w:val="auto"/>
              </w:rPr>
            </w:pPr>
          </w:p>
        </w:tc>
      </w:tr>
      <w:tr>
        <w:trPr>
          <w:trHeight w:val="20"/>
        </w:trPr>
        <w:tc>
          <w:tcPr>
            <w:tcW w:w="10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A5B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Election of Directors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4"/>
                <w:szCs w:val="24"/>
                <w:color w:val="auto"/>
              </w:rPr>
            </w:pPr>
          </w:p>
        </w:tc>
      </w:tr>
      <w:tr>
        <w:trPr>
          <w:trHeight w:val="20"/>
        </w:trPr>
        <w:tc>
          <w:tcPr>
            <w:tcW w:w="10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Board Skills and Expertise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4"/>
                <w:szCs w:val="24"/>
                <w:color w:val="auto"/>
              </w:rPr>
            </w:pPr>
          </w:p>
        </w:tc>
      </w:tr>
      <w:tr>
        <w:trPr>
          <w:trHeight w:val="20"/>
        </w:trPr>
        <w:tc>
          <w:tcPr>
            <w:tcW w:w="10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Director Nominees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4"/>
                <w:szCs w:val="24"/>
                <w:color w:val="auto"/>
              </w:rPr>
            </w:pPr>
          </w:p>
        </w:tc>
      </w:tr>
      <w:tr>
        <w:trPr>
          <w:trHeight w:val="20"/>
        </w:trPr>
        <w:tc>
          <w:tcPr>
            <w:tcW w:w="10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NON-CONTINUING DIRECTORS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18</w:t>
            </w:r>
          </w:p>
        </w:tc>
        <w:tc>
          <w:tcPr>
            <w:tcW w:w="200" w:type="dxa"/>
            <w:vAlign w:val="bottom"/>
          </w:tcPr>
          <w:p>
            <w:pPr>
              <w:spacing w:after="0"/>
              <w:rPr>
                <w:sz w:val="24"/>
                <w:szCs w:val="24"/>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CORPORATE GOVERNANCE AND GENERAL INFORMATION CONCERNING THE BOARD OF DIRECTORS AND ITS COMMITTEES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21</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Our Board of Directors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21</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Corporate Governance Guidelines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21</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Board Meetings and Attendance</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21</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Board Independence</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21</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Board Leadership Structure</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22</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Selection of Nominees for Election to the Board</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23</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Risk Oversight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24</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Succession Planning and Talent Reviews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25</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Annual Board Performance Assessment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25</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Director Orientation and Continuing Education</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25</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Communications with the Board</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25</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Board Committees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26</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Director Compensation</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28</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Director Ownership Guidelines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30</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Other Corporate Governance Matters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30</w:t>
            </w:r>
          </w:p>
        </w:tc>
        <w:tc>
          <w:tcPr>
            <w:tcW w:w="200" w:type="dxa"/>
            <w:vAlign w:val="bottom"/>
          </w:tcPr>
          <w:p>
            <w:pPr>
              <w:spacing w:after="0"/>
              <w:rPr>
                <w:sz w:val="24"/>
                <w:szCs w:val="24"/>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COMPENSATION COMMITTEE INTERLOCKS AND INSIDER PARTICIPATION</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31</w:t>
            </w:r>
          </w:p>
        </w:tc>
        <w:tc>
          <w:tcPr>
            <w:tcW w:w="200" w:type="dxa"/>
            <w:vAlign w:val="bottom"/>
          </w:tcPr>
          <w:p>
            <w:pPr>
              <w:spacing w:after="0"/>
              <w:rPr>
                <w:sz w:val="24"/>
                <w:szCs w:val="24"/>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SECURITY OWNERSHIP INFORMATION</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32</w:t>
            </w:r>
          </w:p>
        </w:tc>
        <w:tc>
          <w:tcPr>
            <w:tcW w:w="200" w:type="dxa"/>
            <w:vAlign w:val="bottom"/>
          </w:tcPr>
          <w:p>
            <w:pPr>
              <w:spacing w:after="0"/>
              <w:rPr>
                <w:sz w:val="24"/>
                <w:szCs w:val="24"/>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CERTAIN RELATIONSHIPS AND RELATED PARTY TRANSACTIONS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34</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Policies and Procedures for Related Person Transactions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34</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Related Person Transactions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34</w:t>
            </w:r>
          </w:p>
        </w:tc>
        <w:tc>
          <w:tcPr>
            <w:tcW w:w="200" w:type="dxa"/>
            <w:vAlign w:val="bottom"/>
          </w:tcPr>
          <w:p>
            <w:pPr>
              <w:spacing w:after="0"/>
              <w:rPr>
                <w:sz w:val="24"/>
                <w:szCs w:val="24"/>
                <w:color w:val="auto"/>
              </w:rPr>
            </w:pPr>
          </w:p>
        </w:tc>
      </w:tr>
      <w:tr>
        <w:trPr>
          <w:trHeight w:val="284"/>
        </w:trPr>
        <w:tc>
          <w:tcPr>
            <w:tcW w:w="10860" w:type="dxa"/>
            <w:vAlign w:val="bottom"/>
          </w:tcPr>
          <w:p>
            <w:pPr>
              <w:ind w:left="20"/>
              <w:spacing w:after="0"/>
              <w:rPr>
                <w:sz w:val="20"/>
                <w:szCs w:val="20"/>
                <w:color w:val="auto"/>
              </w:rPr>
            </w:pPr>
            <w:r>
              <w:rPr>
                <w:rFonts w:ascii="Arial" w:cs="Arial" w:eastAsia="Arial" w:hAnsi="Arial"/>
                <w:sz w:val="16"/>
                <w:szCs w:val="16"/>
                <w:b w:val="1"/>
                <w:bCs w:val="1"/>
                <w:color w:val="auto"/>
              </w:rPr>
              <w:t>COMPENSATION DISCUSSION AND ANALYSIS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35</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Executive Summary</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36</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Setting Executive Compensation and Peer Group</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38</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Compensation Elements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39</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Executive Ownership Requirements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Risk Assessment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Advisory Vote to Approve Executive Compensation</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24"/>
                <w:szCs w:val="24"/>
                <w:color w:val="auto"/>
              </w:rPr>
            </w:pPr>
          </w:p>
        </w:tc>
      </w:tr>
      <w:tr>
        <w:trPr>
          <w:trHeight w:val="284"/>
        </w:trPr>
        <w:tc>
          <w:tcPr>
            <w:tcW w:w="10860" w:type="dxa"/>
            <w:vAlign w:val="bottom"/>
          </w:tcPr>
          <w:p>
            <w:pPr>
              <w:ind w:left="140"/>
              <w:spacing w:after="0"/>
              <w:rPr>
                <w:sz w:val="20"/>
                <w:szCs w:val="20"/>
                <w:color w:val="auto"/>
              </w:rPr>
            </w:pPr>
            <w:r>
              <w:rPr>
                <w:rFonts w:ascii="Arial" w:cs="Arial" w:eastAsia="Arial" w:hAnsi="Arial"/>
                <w:sz w:val="16"/>
                <w:szCs w:val="16"/>
                <w:color w:val="auto"/>
              </w:rPr>
              <w:t>Government Limitations on Reimbursement of Compensation Costs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47</w:t>
            </w:r>
          </w:p>
        </w:tc>
        <w:tc>
          <w:tcPr>
            <w:tcW w:w="200" w:type="dxa"/>
            <w:vAlign w:val="bottom"/>
          </w:tcPr>
          <w:p>
            <w:pPr>
              <w:spacing w:after="0"/>
              <w:rPr>
                <w:sz w:val="24"/>
                <w:szCs w:val="24"/>
                <w:color w:val="auto"/>
              </w:rPr>
            </w:pPr>
          </w:p>
        </w:tc>
      </w:tr>
      <w:tr>
        <w:trPr>
          <w:trHeight w:val="979"/>
        </w:trPr>
        <w:tc>
          <w:tcPr>
            <w:tcW w:w="10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0700" w:type="dxa"/>
            <w:vAlign w:val="bottom"/>
          </w:tcPr>
          <w:p>
            <w:pPr>
              <w:ind w:left="140"/>
              <w:spacing w:after="0"/>
              <w:rPr>
                <w:sz w:val="20"/>
                <w:szCs w:val="20"/>
                <w:color w:val="auto"/>
              </w:rPr>
            </w:pPr>
            <w:r>
              <w:rPr>
                <w:rFonts w:ascii="Arial" w:cs="Arial" w:eastAsia="Arial" w:hAnsi="Arial"/>
                <w:sz w:val="16"/>
                <w:szCs w:val="16"/>
                <w:color w:val="auto"/>
              </w:rPr>
              <w:t>Compensation Recovery Provisions (Clawbacks)</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w:t>
            </w:r>
          </w:p>
        </w:tc>
        <w:tc>
          <w:tcPr>
            <w:tcW w:w="200" w:type="dxa"/>
            <w:vAlign w:val="bottom"/>
          </w:tcPr>
          <w:p>
            <w:pPr>
              <w:spacing w:after="0"/>
              <w:rPr>
                <w:sz w:val="16"/>
                <w:szCs w:val="16"/>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Certain Change in Control Provisions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49</w:t>
            </w:r>
          </w:p>
        </w:tc>
        <w:tc>
          <w:tcPr>
            <w:tcW w:w="200" w:type="dxa"/>
            <w:vAlign w:val="bottom"/>
          </w:tcPr>
          <w:p>
            <w:pPr>
              <w:spacing w:after="0"/>
              <w:rPr>
                <w:sz w:val="24"/>
                <w:szCs w:val="24"/>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Policies on Timing of Equity Grants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50</w:t>
            </w:r>
          </w:p>
        </w:tc>
        <w:tc>
          <w:tcPr>
            <w:tcW w:w="200" w:type="dxa"/>
            <w:vAlign w:val="bottom"/>
          </w:tcPr>
          <w:p>
            <w:pPr>
              <w:spacing w:after="0"/>
              <w:rPr>
                <w:sz w:val="24"/>
                <w:szCs w:val="24"/>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Effect on Accounting and Tax Treatment on Compensation Decisions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50</w:t>
            </w:r>
          </w:p>
        </w:tc>
        <w:tc>
          <w:tcPr>
            <w:tcW w:w="200" w:type="dxa"/>
            <w:vAlign w:val="bottom"/>
          </w:tcPr>
          <w:p>
            <w:pPr>
              <w:spacing w:after="0"/>
              <w:rPr>
                <w:sz w:val="24"/>
                <w:szCs w:val="24"/>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Compensation Tables and Disclosures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51</w:t>
            </w:r>
          </w:p>
        </w:tc>
        <w:tc>
          <w:tcPr>
            <w:tcW w:w="200" w:type="dxa"/>
            <w:vAlign w:val="bottom"/>
          </w:tcPr>
          <w:p>
            <w:pPr>
              <w:spacing w:after="0"/>
              <w:rPr>
                <w:sz w:val="24"/>
                <w:szCs w:val="24"/>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Pay Ratio</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63</w:t>
            </w:r>
          </w:p>
        </w:tc>
        <w:tc>
          <w:tcPr>
            <w:tcW w:w="200" w:type="dxa"/>
            <w:vAlign w:val="bottom"/>
          </w:tcPr>
          <w:p>
            <w:pPr>
              <w:spacing w:after="0"/>
              <w:rPr>
                <w:sz w:val="24"/>
                <w:szCs w:val="24"/>
                <w:color w:val="auto"/>
              </w:rPr>
            </w:pPr>
          </w:p>
        </w:tc>
      </w:tr>
      <w:tr>
        <w:trPr>
          <w:trHeight w:val="284"/>
        </w:trPr>
        <w:tc>
          <w:tcPr>
            <w:tcW w:w="10700" w:type="dxa"/>
            <w:vAlign w:val="bottom"/>
          </w:tcPr>
          <w:p>
            <w:pPr>
              <w:ind w:left="140"/>
              <w:spacing w:after="0"/>
              <w:rPr>
                <w:sz w:val="20"/>
                <w:szCs w:val="20"/>
                <w:color w:val="auto"/>
              </w:rPr>
            </w:pPr>
            <w:r>
              <w:rPr>
                <w:rFonts w:ascii="Arial" w:cs="Arial" w:eastAsia="Arial" w:hAnsi="Arial"/>
                <w:sz w:val="16"/>
                <w:szCs w:val="16"/>
                <w:color w:val="auto"/>
              </w:rPr>
              <w:t>Pay Versus Performance</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64</w:t>
            </w:r>
          </w:p>
        </w:tc>
        <w:tc>
          <w:tcPr>
            <w:tcW w:w="200" w:type="dxa"/>
            <w:vAlign w:val="bottom"/>
          </w:tcPr>
          <w:p>
            <w:pPr>
              <w:spacing w:after="0"/>
              <w:rPr>
                <w:sz w:val="24"/>
                <w:szCs w:val="24"/>
                <w:color w:val="auto"/>
              </w:rPr>
            </w:pPr>
          </w:p>
        </w:tc>
      </w:tr>
      <w:tr>
        <w:trPr>
          <w:trHeight w:val="298"/>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COMPENSATION COMMITTEE REPORT</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69</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AUDIT COMMITTEE REPORT</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70</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PRE-APPROVAL OF SERVICES BY INDEPENDENT REGISTERED PUBLIC ACCOUNTING FIRM</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71</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INDEPENDENT REGISTERED PUBLIC ACCOUNTING FIRM FEES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72</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00A5B5"/>
              </w:rPr>
              <w:t>PROPOSAL 2: RATIFICATION OF APPOINTMENT OF ACCOUNTANTS</w:t>
            </w:r>
          </w:p>
        </w:tc>
        <w:tc>
          <w:tcPr>
            <w:tcW w:w="160" w:type="dxa"/>
            <w:vAlign w:val="bottom"/>
          </w:tcPr>
          <w:p>
            <w:pPr>
              <w:spacing w:after="0"/>
              <w:rPr>
                <w:sz w:val="24"/>
                <w:szCs w:val="24"/>
                <w:color w:val="auto"/>
              </w:rPr>
            </w:pPr>
          </w:p>
        </w:tc>
        <w:tc>
          <w:tcPr>
            <w:tcW w:w="180" w:type="dxa"/>
            <w:vAlign w:val="bottom"/>
            <w:tcBorders>
              <w:bottom w:val="single" w:sz="8" w:color="00A5B5"/>
            </w:tcBorders>
          </w:tcPr>
          <w:p>
            <w:pPr>
              <w:jc w:val="right"/>
              <w:spacing w:after="0"/>
              <w:rPr>
                <w:sz w:val="20"/>
                <w:szCs w:val="20"/>
                <w:color w:val="auto"/>
              </w:rPr>
            </w:pPr>
            <w:r>
              <w:rPr>
                <w:rFonts w:ascii="Arial" w:cs="Arial" w:eastAsia="Arial" w:hAnsi="Arial"/>
                <w:sz w:val="16"/>
                <w:szCs w:val="16"/>
                <w:b w:val="1"/>
                <w:bCs w:val="1"/>
                <w:color w:val="00A5B5"/>
                <w:w w:val="89"/>
              </w:rPr>
              <w:t>73</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00A5B5"/>
              </w:rPr>
              <w:t>PROPOSAL 3: ADVISORY VOTE ON COMPANY'S EXECUTIVE COMPENSATION</w:t>
            </w:r>
          </w:p>
        </w:tc>
        <w:tc>
          <w:tcPr>
            <w:tcW w:w="160" w:type="dxa"/>
            <w:vAlign w:val="bottom"/>
          </w:tcPr>
          <w:p>
            <w:pPr>
              <w:spacing w:after="0"/>
              <w:rPr>
                <w:sz w:val="24"/>
                <w:szCs w:val="24"/>
                <w:color w:val="auto"/>
              </w:rPr>
            </w:pPr>
          </w:p>
        </w:tc>
        <w:tc>
          <w:tcPr>
            <w:tcW w:w="180" w:type="dxa"/>
            <w:vAlign w:val="bottom"/>
            <w:tcBorders>
              <w:bottom w:val="single" w:sz="8" w:color="00A5B5"/>
            </w:tcBorders>
          </w:tcPr>
          <w:p>
            <w:pPr>
              <w:jc w:val="right"/>
              <w:spacing w:after="0"/>
              <w:rPr>
                <w:sz w:val="20"/>
                <w:szCs w:val="20"/>
                <w:color w:val="auto"/>
              </w:rPr>
            </w:pPr>
            <w:r>
              <w:rPr>
                <w:rFonts w:ascii="Arial" w:cs="Arial" w:eastAsia="Arial" w:hAnsi="Arial"/>
                <w:sz w:val="16"/>
                <w:szCs w:val="16"/>
                <w:b w:val="1"/>
                <w:bCs w:val="1"/>
                <w:color w:val="00A5B5"/>
                <w:w w:val="89"/>
              </w:rPr>
              <w:t>74</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00A5B5"/>
              </w:rPr>
              <w:t>PROPOSAL 4: STOCKHOLDER PROPOSAL</w:t>
            </w:r>
          </w:p>
        </w:tc>
        <w:tc>
          <w:tcPr>
            <w:tcW w:w="160" w:type="dxa"/>
            <w:vAlign w:val="bottom"/>
          </w:tcPr>
          <w:p>
            <w:pPr>
              <w:spacing w:after="0"/>
              <w:rPr>
                <w:sz w:val="24"/>
                <w:szCs w:val="24"/>
                <w:color w:val="auto"/>
              </w:rPr>
            </w:pPr>
          </w:p>
        </w:tc>
        <w:tc>
          <w:tcPr>
            <w:tcW w:w="180" w:type="dxa"/>
            <w:vAlign w:val="bottom"/>
            <w:tcBorders>
              <w:bottom w:val="single" w:sz="8" w:color="00A5B5"/>
            </w:tcBorders>
          </w:tcPr>
          <w:p>
            <w:pPr>
              <w:jc w:val="right"/>
              <w:spacing w:after="0"/>
              <w:rPr>
                <w:sz w:val="20"/>
                <w:szCs w:val="20"/>
                <w:color w:val="auto"/>
              </w:rPr>
            </w:pPr>
            <w:r>
              <w:rPr>
                <w:rFonts w:ascii="Arial" w:cs="Arial" w:eastAsia="Arial" w:hAnsi="Arial"/>
                <w:sz w:val="16"/>
                <w:szCs w:val="16"/>
                <w:b w:val="1"/>
                <w:bCs w:val="1"/>
                <w:color w:val="00A5B5"/>
                <w:w w:val="89"/>
              </w:rPr>
              <w:t>75</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OTHER BUSINESS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77</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IMPORTANT INFORMATION ABOUT ANNUAL MEETING AND PROXY PROCEDURES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78</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WEBSITE REFERENCES</w:t>
            </w:r>
          </w:p>
        </w:tc>
        <w:tc>
          <w:tcPr>
            <w:tcW w:w="1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83</w:t>
            </w:r>
          </w:p>
        </w:tc>
        <w:tc>
          <w:tcPr>
            <w:tcW w:w="200" w:type="dxa"/>
            <w:vAlign w:val="bottom"/>
          </w:tcPr>
          <w:p>
            <w:pPr>
              <w:spacing w:after="0"/>
              <w:rPr>
                <w:sz w:val="24"/>
                <w:szCs w:val="24"/>
                <w:color w:val="auto"/>
              </w:rPr>
            </w:pPr>
          </w:p>
        </w:tc>
      </w:tr>
      <w:tr>
        <w:trPr>
          <w:trHeight w:val="284"/>
        </w:trPr>
        <w:tc>
          <w:tcPr>
            <w:tcW w:w="10700" w:type="dxa"/>
            <w:vAlign w:val="bottom"/>
          </w:tcPr>
          <w:p>
            <w:pPr>
              <w:ind w:left="20"/>
              <w:spacing w:after="0"/>
              <w:rPr>
                <w:sz w:val="20"/>
                <w:szCs w:val="20"/>
                <w:color w:val="auto"/>
              </w:rPr>
            </w:pPr>
            <w:r>
              <w:rPr>
                <w:rFonts w:ascii="Arial" w:cs="Arial" w:eastAsia="Arial" w:hAnsi="Arial"/>
                <w:sz w:val="16"/>
                <w:szCs w:val="16"/>
                <w:b w:val="1"/>
                <w:bCs w:val="1"/>
                <w:color w:val="auto"/>
              </w:rPr>
              <w:t>APPENDIX A</w:t>
            </w:r>
          </w:p>
        </w:tc>
        <w:tc>
          <w:tcPr>
            <w:tcW w:w="5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2"/>
              </w:rPr>
              <w:t>A - 1</w:t>
            </w:r>
          </w:p>
        </w:tc>
      </w:tr>
      <w:tr>
        <w:trPr>
          <w:trHeight w:val="1442"/>
        </w:trPr>
        <w:tc>
          <w:tcPr>
            <w:tcW w:w="10700" w:type="dxa"/>
            <w:vAlign w:val="bottom"/>
            <w:tcBorders>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8"/>
          <w:szCs w:val="28"/>
          <w:b w:val="1"/>
          <w:bCs w:val="1"/>
          <w:color w:val="auto"/>
        </w:rPr>
        <w:t>PROXY STATEMENT SUMMARY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summary highlights certain information contained elsewhere in this proxy statement. The summary does not contain all of the information that you should consider, and you should review our Annual Report on Form 10-K for the year ended March 31, 2026 and the entire proxy statement carefully before voting.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Unless the context otherwise indicates or requires, as used in this proxy statement, references to: (i) the “Company,” “we,” “us,” “our,” or our “company” refer to Booz Allen Hamilton Holding Corporation, its consolidated subsidiaries and predecessors; (ii) "Booz Allen" refers to Booz Allen Hamilton Holding Corporation exclusive of its subsidiaries; (iii) “Booz Allen Hamilton” refers to Booz Allen Hamilton Inc., our primary operating company and a wholly-owned subsidiary of Booz Allen; (iv) “our Board” or “the Board” means the Board of Directors of the Company;</w:t>
      </w:r>
    </w:p>
    <w:p>
      <w:pPr>
        <w:spacing w:after="0" w:line="3" w:lineRule="exact"/>
        <w:rPr>
          <w:sz w:val="20"/>
          <w:szCs w:val="20"/>
          <w:color w:val="auto"/>
        </w:rPr>
      </w:pPr>
    </w:p>
    <w:p>
      <w:pPr>
        <w:jc w:val="both"/>
        <w:ind w:firstLine="6"/>
        <w:spacing w:after="0" w:line="250" w:lineRule="auto"/>
        <w:tabs>
          <w:tab w:leader="none" w:pos="25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“stockholder” means holders of our Class A common stock; (vi) “fiscal year,” refers to our fiscal years ended March 31; and (vii) “you,” “your,” “yours,” or other words of similar import in this proxy statement refers to stockholders entitled to vote on the matters to be presented at the 2026 Annual Meeting of Stockholders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2026 Annual Meeting of Stockholders</w:t>
      </w:r>
    </w:p>
    <w:p>
      <w:pPr>
        <w:spacing w:after="0" w:line="16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7"/>
          <w:szCs w:val="17"/>
          <w:color w:val="auto"/>
        </w:rPr>
        <w:t>July 22, 2026 at 8:00 a.m. (EDT)</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Virtual meeting at www.virtualshareholdermeeting.com/BAH2026</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7"/>
          <w:szCs w:val="17"/>
          <w:color w:val="auto"/>
        </w:rPr>
        <w:t>June 1, 2026</w:t>
      </w:r>
    </w:p>
    <w:p>
      <w:pPr>
        <w:spacing w:after="0" w:line="164" w:lineRule="exact"/>
        <w:rPr>
          <w:sz w:val="20"/>
          <w:szCs w:val="20"/>
          <w:color w:val="auto"/>
        </w:rPr>
      </w:pPr>
    </w:p>
    <w:p>
      <w:pPr>
        <w:jc w:val="both"/>
        <w:ind w:left="1260" w:hanging="1905"/>
        <w:spacing w:after="0" w:line="255" w:lineRule="auto"/>
        <w:tabs>
          <w:tab w:leader="none" w:pos="1240" w:val="left"/>
        </w:tabs>
        <w:rPr>
          <w:sz w:val="20"/>
          <w:szCs w:val="20"/>
          <w:color w:val="auto"/>
        </w:rPr>
      </w:pPr>
      <w:r>
        <w:rPr>
          <w:rFonts w:ascii="Arial" w:cs="Arial" w:eastAsia="Arial" w:hAnsi="Arial"/>
          <w:sz w:val="18"/>
          <w:szCs w:val="18"/>
          <w:b w:val="1"/>
          <w:bCs w:val="1"/>
          <w:color w:val="auto"/>
        </w:rPr>
        <w:t>Admission:</w:t>
      </w:r>
      <w:r>
        <w:rPr>
          <w:sz w:val="20"/>
          <w:szCs w:val="20"/>
          <w:color w:val="auto"/>
        </w:rPr>
        <w:tab/>
      </w:r>
      <w:r>
        <w:rPr>
          <w:rFonts w:ascii="Arial" w:cs="Arial" w:eastAsia="Arial" w:hAnsi="Arial"/>
          <w:sz w:val="18"/>
          <w:szCs w:val="18"/>
          <w:color w:val="auto"/>
        </w:rPr>
        <w:t>Our 2026 Annual Meeting of Stockholders will be a virtual meeting conducted solely online and can be attended by visiting www.virtualshareholdermeeting.com/BAH2026. To participate in the Annual Meeting, you will need the control number located on your proxy card or the instructions that accompanied your proxy materials. If you plan to participate in the virtual meeting, please see "Important Information about Annual Meeting and Proxy Procedures."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Voting Matters and Board Recommendations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being asked to vote on the following matters at the 2026 Annual Meeting of Stockholders: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shd w:val="clear" w:color="auto" w:fill="00A5B5"/>
          </w:tcPr>
          <w:p>
            <w:pPr>
              <w:jc w:val="center"/>
              <w:spacing w:after="0"/>
              <w:rPr>
                <w:sz w:val="20"/>
                <w:szCs w:val="20"/>
                <w:color w:val="auto"/>
              </w:rPr>
            </w:pPr>
            <w:r>
              <w:rPr>
                <w:rFonts w:ascii="Arial" w:cs="Arial" w:eastAsia="Arial" w:hAnsi="Arial"/>
                <w:sz w:val="18"/>
                <w:szCs w:val="18"/>
                <w:b w:val="1"/>
                <w:bCs w:val="1"/>
                <w:color w:val="FFFFFF"/>
                <w:w w:val="96"/>
              </w:rPr>
              <w:t>Proposal</w:t>
            </w:r>
          </w:p>
        </w:tc>
        <w:tc>
          <w:tcPr>
            <w:tcW w:w="6880" w:type="dxa"/>
            <w:vAlign w:val="bottom"/>
            <w:vMerge w:val="restart"/>
            <w:shd w:val="clear" w:color="auto" w:fill="00A5B5"/>
          </w:tcPr>
          <w:p>
            <w:pPr>
              <w:ind w:left="3020"/>
              <w:spacing w:after="0"/>
              <w:rPr>
                <w:sz w:val="20"/>
                <w:szCs w:val="20"/>
                <w:color w:val="auto"/>
              </w:rPr>
            </w:pPr>
            <w:r>
              <w:rPr>
                <w:rFonts w:ascii="Arial" w:cs="Arial" w:eastAsia="Arial" w:hAnsi="Arial"/>
                <w:sz w:val="18"/>
                <w:szCs w:val="18"/>
                <w:b w:val="1"/>
                <w:bCs w:val="1"/>
                <w:color w:val="FFFFFF"/>
              </w:rPr>
              <w:t>Description</w:t>
            </w:r>
          </w:p>
        </w:tc>
        <w:tc>
          <w:tcPr>
            <w:tcW w:w="1860" w:type="dxa"/>
            <w:vAlign w:val="bottom"/>
            <w:shd w:val="clear" w:color="auto" w:fill="00A5B5"/>
          </w:tcPr>
          <w:p>
            <w:pPr>
              <w:jc w:val="center"/>
              <w:spacing w:after="0"/>
              <w:rPr>
                <w:sz w:val="20"/>
                <w:szCs w:val="20"/>
                <w:color w:val="auto"/>
              </w:rPr>
            </w:pPr>
            <w:r>
              <w:rPr>
                <w:rFonts w:ascii="Arial" w:cs="Arial" w:eastAsia="Arial" w:hAnsi="Arial"/>
                <w:sz w:val="18"/>
                <w:szCs w:val="18"/>
                <w:b w:val="1"/>
                <w:bCs w:val="1"/>
                <w:color w:val="FFFFFF"/>
                <w:w w:val="97"/>
              </w:rPr>
              <w:t>Board's Voting</w:t>
            </w:r>
          </w:p>
        </w:tc>
        <w:tc>
          <w:tcPr>
            <w:tcW w:w="1480" w:type="dxa"/>
            <w:vAlign w:val="bottom"/>
            <w:vMerge w:val="restart"/>
            <w:shd w:val="clear" w:color="auto" w:fill="00A5B5"/>
          </w:tcPr>
          <w:p>
            <w:pPr>
              <w:ind w:left="80"/>
              <w:spacing w:after="0"/>
              <w:rPr>
                <w:sz w:val="20"/>
                <w:szCs w:val="20"/>
                <w:color w:val="auto"/>
              </w:rPr>
            </w:pPr>
            <w:r>
              <w:rPr>
                <w:rFonts w:ascii="Arial" w:cs="Arial" w:eastAsia="Arial" w:hAnsi="Arial"/>
                <w:sz w:val="18"/>
                <w:szCs w:val="18"/>
                <w:b w:val="1"/>
                <w:bCs w:val="1"/>
                <w:color w:val="FFFFFF"/>
              </w:rPr>
              <w:t>Page Reference</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auto"/>
            </w:tcBorders>
            <w:vMerge w:val="continue"/>
            <w:shd w:val="clear" w:color="auto" w:fill="00A5B5"/>
          </w:tcPr>
          <w:p>
            <w:pPr>
              <w:spacing w:after="0"/>
              <w:rPr>
                <w:sz w:val="20"/>
                <w:szCs w:val="20"/>
                <w:color w:val="auto"/>
              </w:rPr>
            </w:pPr>
          </w:p>
        </w:tc>
        <w:tc>
          <w:tcPr>
            <w:tcW w:w="6880" w:type="dxa"/>
            <w:vAlign w:val="bottom"/>
            <w:tcBorders>
              <w:bottom w:val="single" w:sz="8" w:color="auto"/>
            </w:tcBorders>
            <w:vMerge w:val="continue"/>
            <w:shd w:val="clear" w:color="auto" w:fill="00A5B5"/>
          </w:tcPr>
          <w:p>
            <w:pPr>
              <w:spacing w:after="0"/>
              <w:rPr>
                <w:sz w:val="20"/>
                <w:szCs w:val="20"/>
                <w:color w:val="auto"/>
              </w:rPr>
            </w:pPr>
          </w:p>
        </w:tc>
        <w:tc>
          <w:tcPr>
            <w:tcW w:w="186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8"/>
                <w:szCs w:val="18"/>
                <w:b w:val="1"/>
                <w:bCs w:val="1"/>
                <w:color w:val="FFFFFF"/>
                <w:w w:val="97"/>
              </w:rPr>
              <w:t>Recommendation</w:t>
            </w:r>
          </w:p>
        </w:tc>
        <w:tc>
          <w:tcPr>
            <w:tcW w:w="1480" w:type="dxa"/>
            <w:vAlign w:val="bottom"/>
            <w:tcBorders>
              <w:bottom w:val="single" w:sz="8" w:color="auto"/>
            </w:tcBorders>
            <w:vMerge w:val="continue"/>
            <w:shd w:val="clear" w:color="auto" w:fill="00A5B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8"/>
                <w:szCs w:val="18"/>
                <w:color w:val="auto"/>
                <w:w w:val="97"/>
              </w:rPr>
              <w:t>No. 1</w:t>
            </w:r>
          </w:p>
        </w:tc>
        <w:tc>
          <w:tcPr>
            <w:tcW w:w="6880" w:type="dxa"/>
            <w:vAlign w:val="bottom"/>
            <w:tcBorders>
              <w:bottom w:val="single" w:sz="8" w:color="auto"/>
            </w:tcBorders>
            <w:shd w:val="clear" w:color="auto" w:fill="CCEEF0"/>
          </w:tcPr>
          <w:p>
            <w:pPr>
              <w:ind w:left="80"/>
              <w:spacing w:after="0"/>
              <w:rPr>
                <w:sz w:val="20"/>
                <w:szCs w:val="20"/>
                <w:color w:val="auto"/>
              </w:rPr>
            </w:pPr>
            <w:r>
              <w:rPr>
                <w:rFonts w:ascii="Arial" w:cs="Arial" w:eastAsia="Arial" w:hAnsi="Arial"/>
                <w:sz w:val="18"/>
                <w:szCs w:val="18"/>
                <w:color w:val="auto"/>
              </w:rPr>
              <w:t>Election of ten director nominees</w:t>
            </w:r>
          </w:p>
        </w:tc>
        <w:tc>
          <w:tcPr>
            <w:tcW w:w="186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8"/>
                <w:szCs w:val="18"/>
                <w:b w:val="1"/>
                <w:bCs w:val="1"/>
                <w:color w:val="auto"/>
                <w:w w:val="98"/>
              </w:rPr>
              <w:t>FOR each nominee</w:t>
            </w:r>
          </w:p>
        </w:tc>
        <w:tc>
          <w:tcPr>
            <w:tcW w:w="148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65"/>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No. 2</w:t>
            </w:r>
          </w:p>
        </w:tc>
        <w:tc>
          <w:tcPr>
            <w:tcW w:w="6880" w:type="dxa"/>
            <w:vAlign w:val="bottom"/>
          </w:tcPr>
          <w:p>
            <w:pPr>
              <w:ind w:left="80"/>
              <w:spacing w:after="0" w:line="165" w:lineRule="exact"/>
              <w:rPr>
                <w:sz w:val="20"/>
                <w:szCs w:val="20"/>
                <w:color w:val="auto"/>
              </w:rPr>
            </w:pPr>
            <w:r>
              <w:rPr>
                <w:rFonts w:ascii="Arial" w:cs="Arial" w:eastAsia="Arial" w:hAnsi="Arial"/>
                <w:sz w:val="18"/>
                <w:szCs w:val="18"/>
                <w:color w:val="auto"/>
              </w:rPr>
              <w:t>Ratification of appointment of Ernst &amp; Young LLP ("E&amp;Y") as the Company's</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FOR</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6880" w:type="dxa"/>
            <w:vAlign w:val="bottom"/>
            <w:vMerge w:val="restart"/>
          </w:tcPr>
          <w:p>
            <w:pPr>
              <w:ind w:left="80"/>
              <w:spacing w:after="0"/>
              <w:rPr>
                <w:sz w:val="20"/>
                <w:szCs w:val="20"/>
                <w:color w:val="auto"/>
              </w:rPr>
            </w:pPr>
            <w:r>
              <w:rPr>
                <w:rFonts w:ascii="Arial" w:cs="Arial" w:eastAsia="Arial" w:hAnsi="Arial"/>
                <w:sz w:val="18"/>
                <w:szCs w:val="18"/>
                <w:color w:val="auto"/>
              </w:rPr>
              <w:t>independent registered accounting firm for fiscal year 2027</w:t>
            </w:r>
          </w:p>
        </w:tc>
        <w:tc>
          <w:tcPr>
            <w:tcW w:w="18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020" w:type="dxa"/>
            <w:vAlign w:val="bottom"/>
            <w:tcBorders>
              <w:bottom w:val="single" w:sz="8" w:color="auto"/>
            </w:tcBorders>
          </w:tcPr>
          <w:p>
            <w:pPr>
              <w:spacing w:after="0"/>
              <w:rPr>
                <w:sz w:val="6"/>
                <w:szCs w:val="6"/>
                <w:color w:val="auto"/>
              </w:rPr>
            </w:pPr>
          </w:p>
        </w:tc>
        <w:tc>
          <w:tcPr>
            <w:tcW w:w="6880" w:type="dxa"/>
            <w:vAlign w:val="bottom"/>
            <w:tcBorders>
              <w:bottom w:val="single" w:sz="8" w:color="auto"/>
            </w:tcBorders>
            <w:vMerge w:val="continue"/>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shd w:val="clear" w:color="auto" w:fill="CCEEF0"/>
          </w:tcPr>
          <w:p>
            <w:pPr>
              <w:jc w:val="center"/>
              <w:spacing w:after="0"/>
              <w:rPr>
                <w:sz w:val="20"/>
                <w:szCs w:val="20"/>
                <w:color w:val="auto"/>
              </w:rPr>
            </w:pPr>
            <w:r>
              <w:rPr>
                <w:rFonts w:ascii="Arial" w:cs="Arial" w:eastAsia="Arial" w:hAnsi="Arial"/>
                <w:sz w:val="18"/>
                <w:szCs w:val="18"/>
                <w:color w:val="auto"/>
                <w:w w:val="97"/>
              </w:rPr>
              <w:t>No. 3</w:t>
            </w:r>
          </w:p>
        </w:tc>
        <w:tc>
          <w:tcPr>
            <w:tcW w:w="6880" w:type="dxa"/>
            <w:vAlign w:val="bottom"/>
            <w:shd w:val="clear" w:color="auto" w:fill="CCEEF0"/>
          </w:tcPr>
          <w:p>
            <w:pPr>
              <w:ind w:left="80"/>
              <w:spacing w:after="0" w:line="169" w:lineRule="exact"/>
              <w:rPr>
                <w:sz w:val="20"/>
                <w:szCs w:val="20"/>
                <w:color w:val="auto"/>
              </w:rPr>
            </w:pPr>
            <w:r>
              <w:rPr>
                <w:rFonts w:ascii="Arial" w:cs="Arial" w:eastAsia="Arial" w:hAnsi="Arial"/>
                <w:sz w:val="18"/>
                <w:szCs w:val="18"/>
                <w:color w:val="auto"/>
              </w:rPr>
              <w:t>A non-binding advisory vote on the compensation program for the Company’s named</w:t>
            </w:r>
          </w:p>
        </w:tc>
        <w:tc>
          <w:tcPr>
            <w:tcW w:w="1860" w:type="dxa"/>
            <w:vAlign w:val="bottom"/>
            <w:vMerge w:val="restart"/>
            <w:shd w:val="clear" w:color="auto" w:fill="CCEEF0"/>
          </w:tcPr>
          <w:p>
            <w:pPr>
              <w:jc w:val="center"/>
              <w:spacing w:after="0"/>
              <w:rPr>
                <w:sz w:val="20"/>
                <w:szCs w:val="20"/>
                <w:color w:val="auto"/>
              </w:rPr>
            </w:pPr>
            <w:r>
              <w:rPr>
                <w:rFonts w:ascii="Arial" w:cs="Arial" w:eastAsia="Arial" w:hAnsi="Arial"/>
                <w:sz w:val="18"/>
                <w:szCs w:val="18"/>
                <w:b w:val="1"/>
                <w:bCs w:val="1"/>
                <w:color w:val="auto"/>
                <w:w w:val="94"/>
              </w:rPr>
              <w:t>FOR</w:t>
            </w:r>
          </w:p>
        </w:tc>
        <w:tc>
          <w:tcPr>
            <w:tcW w:w="1480" w:type="dxa"/>
            <w:vAlign w:val="bottom"/>
            <w:vMerge w:val="restart"/>
            <w:shd w:val="clear" w:color="auto" w:fill="CCEEF0"/>
          </w:tcPr>
          <w:p>
            <w:pPr>
              <w:jc w:val="center"/>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172"/>
        </w:trPr>
        <w:tc>
          <w:tcPr>
            <w:tcW w:w="1020" w:type="dxa"/>
            <w:vAlign w:val="bottom"/>
            <w:vMerge w:val="continue"/>
            <w:shd w:val="clear" w:color="auto" w:fill="CCEEF0"/>
          </w:tcPr>
          <w:p>
            <w:pPr>
              <w:spacing w:after="0"/>
              <w:rPr>
                <w:sz w:val="14"/>
                <w:szCs w:val="14"/>
                <w:color w:val="auto"/>
              </w:rPr>
            </w:pPr>
          </w:p>
        </w:tc>
        <w:tc>
          <w:tcPr>
            <w:tcW w:w="6880" w:type="dxa"/>
            <w:vAlign w:val="bottom"/>
            <w:shd w:val="clear" w:color="auto" w:fill="CCEEF0"/>
          </w:tcPr>
          <w:p>
            <w:pPr>
              <w:ind w:left="80"/>
              <w:spacing w:after="0" w:line="172" w:lineRule="exact"/>
              <w:rPr>
                <w:sz w:val="20"/>
                <w:szCs w:val="20"/>
                <w:color w:val="auto"/>
              </w:rPr>
            </w:pPr>
            <w:r>
              <w:rPr>
                <w:rFonts w:ascii="Arial" w:cs="Arial" w:eastAsia="Arial" w:hAnsi="Arial"/>
                <w:sz w:val="18"/>
                <w:szCs w:val="18"/>
                <w:color w:val="auto"/>
              </w:rPr>
              <w:t>executive officers, as disclosed in the Compensation Discussion and Analysis</w:t>
            </w:r>
          </w:p>
        </w:tc>
        <w:tc>
          <w:tcPr>
            <w:tcW w:w="1860" w:type="dxa"/>
            <w:vAlign w:val="bottom"/>
            <w:vMerge w:val="continue"/>
            <w:shd w:val="clear" w:color="auto" w:fill="CCEEF0"/>
          </w:tcPr>
          <w:p>
            <w:pPr>
              <w:spacing w:after="0"/>
              <w:rPr>
                <w:sz w:val="14"/>
                <w:szCs w:val="14"/>
                <w:color w:val="auto"/>
              </w:rPr>
            </w:pPr>
          </w:p>
        </w:tc>
        <w:tc>
          <w:tcPr>
            <w:tcW w:w="1480" w:type="dxa"/>
            <w:vAlign w:val="bottom"/>
            <w:vMerge w:val="continue"/>
            <w:shd w:val="clear" w:color="auto" w:fill="CCEEF0"/>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Borders>
              <w:bottom w:val="single" w:sz="8" w:color="auto"/>
            </w:tcBorders>
            <w:shd w:val="clear" w:color="auto" w:fill="CCEEF0"/>
          </w:tcPr>
          <w:p>
            <w:pPr>
              <w:spacing w:after="0"/>
              <w:rPr>
                <w:sz w:val="20"/>
                <w:szCs w:val="20"/>
                <w:color w:val="auto"/>
              </w:rPr>
            </w:pPr>
          </w:p>
        </w:tc>
        <w:tc>
          <w:tcPr>
            <w:tcW w:w="6880" w:type="dxa"/>
            <w:vAlign w:val="bottom"/>
            <w:tcBorders>
              <w:bottom w:val="single" w:sz="8" w:color="auto"/>
            </w:tcBorders>
            <w:shd w:val="clear" w:color="auto" w:fill="CCEEF0"/>
          </w:tcPr>
          <w:p>
            <w:pPr>
              <w:ind w:left="80"/>
              <w:spacing w:after="0"/>
              <w:rPr>
                <w:sz w:val="20"/>
                <w:szCs w:val="20"/>
                <w:color w:val="auto"/>
              </w:rPr>
            </w:pPr>
            <w:r>
              <w:rPr>
                <w:rFonts w:ascii="Arial" w:cs="Arial" w:eastAsia="Arial" w:hAnsi="Arial"/>
                <w:sz w:val="18"/>
                <w:szCs w:val="18"/>
                <w:color w:val="auto"/>
              </w:rPr>
              <w:t>("CD&amp;A") of the proxy statement</w:t>
            </w:r>
          </w:p>
        </w:tc>
        <w:tc>
          <w:tcPr>
            <w:tcW w:w="1860" w:type="dxa"/>
            <w:vAlign w:val="bottom"/>
            <w:tcBorders>
              <w:bottom w:val="single" w:sz="8" w:color="auto"/>
            </w:tcBorders>
            <w:shd w:val="clear" w:color="auto" w:fill="CCEEF0"/>
          </w:tcPr>
          <w:p>
            <w:pPr>
              <w:spacing w:after="0"/>
              <w:rPr>
                <w:sz w:val="20"/>
                <w:szCs w:val="20"/>
                <w:color w:val="auto"/>
              </w:rPr>
            </w:pPr>
          </w:p>
        </w:tc>
        <w:tc>
          <w:tcPr>
            <w:tcW w:w="1480" w:type="dxa"/>
            <w:vAlign w:val="bottom"/>
            <w:tcBorders>
              <w:bottom w:val="single" w:sz="8" w:color="auto"/>
            </w:tcBorders>
            <w:shd w:val="clear" w:color="auto" w:fill="CCEEF0"/>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No. 4</w:t>
            </w:r>
          </w:p>
        </w:tc>
        <w:tc>
          <w:tcPr>
            <w:tcW w:w="6880" w:type="dxa"/>
            <w:vAlign w:val="bottom"/>
          </w:tcPr>
          <w:p>
            <w:pPr>
              <w:ind w:left="80"/>
              <w:spacing w:after="0" w:line="169" w:lineRule="exact"/>
              <w:rPr>
                <w:sz w:val="20"/>
                <w:szCs w:val="20"/>
                <w:color w:val="auto"/>
              </w:rPr>
            </w:pPr>
            <w:r>
              <w:rPr>
                <w:rFonts w:ascii="Arial" w:cs="Arial" w:eastAsia="Arial" w:hAnsi="Arial"/>
                <w:sz w:val="18"/>
                <w:szCs w:val="18"/>
                <w:color w:val="auto"/>
              </w:rPr>
              <w:t>If properly presented at the Annual Meeting, a non-binding advisory vote on a</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6880" w:type="dxa"/>
            <w:vAlign w:val="bottom"/>
            <w:vMerge w:val="restart"/>
          </w:tcPr>
          <w:p>
            <w:pPr>
              <w:ind w:left="80"/>
              <w:spacing w:after="0"/>
              <w:rPr>
                <w:sz w:val="20"/>
                <w:szCs w:val="20"/>
                <w:color w:val="auto"/>
              </w:rPr>
            </w:pPr>
            <w:r>
              <w:rPr>
                <w:rFonts w:ascii="Arial" w:cs="Arial" w:eastAsia="Arial" w:hAnsi="Arial"/>
                <w:sz w:val="18"/>
                <w:szCs w:val="18"/>
                <w:color w:val="auto"/>
              </w:rPr>
              <w:t>stockholder proposal</w:t>
            </w:r>
          </w:p>
        </w:tc>
        <w:tc>
          <w:tcPr>
            <w:tcW w:w="18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020" w:type="dxa"/>
            <w:vAlign w:val="bottom"/>
            <w:tcBorders>
              <w:bottom w:val="single" w:sz="8" w:color="auto"/>
            </w:tcBorders>
          </w:tcPr>
          <w:p>
            <w:pPr>
              <w:spacing w:after="0"/>
              <w:rPr>
                <w:sz w:val="6"/>
                <w:szCs w:val="6"/>
                <w:color w:val="auto"/>
              </w:rPr>
            </w:pPr>
          </w:p>
        </w:tc>
        <w:tc>
          <w:tcPr>
            <w:tcW w:w="6880" w:type="dxa"/>
            <w:vAlign w:val="bottom"/>
            <w:tcBorders>
              <w:bottom w:val="single" w:sz="8" w:color="auto"/>
            </w:tcBorders>
            <w:vMerge w:val="continue"/>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u w:val="single" w:color="auto"/>
          <w:color w:val="00A5B5"/>
        </w:rPr>
        <w:t>How to Vote</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Stockholders as of the record date may vote electronically at the virtual meeting or vote in advance by submitting a proxy by Internet, telephone, or mail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172720</wp:posOffset>
            </wp:positionV>
            <wp:extent cx="563245" cy="563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3245" cy="56324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172720</wp:posOffset>
            </wp:positionV>
            <wp:extent cx="563245" cy="563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245" cy="56324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172720</wp:posOffset>
            </wp:positionV>
            <wp:extent cx="563245" cy="563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245" cy="56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14"/>
        </w:trPr>
        <w:tc>
          <w:tcPr>
            <w:tcW w:w="1920" w:type="dxa"/>
            <w:vAlign w:val="bottom"/>
          </w:tcPr>
          <w:p>
            <w:pPr>
              <w:jc w:val="center"/>
              <w:ind w:right="481"/>
              <w:spacing w:after="0"/>
              <w:rPr>
                <w:sz w:val="20"/>
                <w:szCs w:val="20"/>
                <w:color w:val="auto"/>
              </w:rPr>
            </w:pPr>
            <w:r>
              <w:rPr>
                <w:rFonts w:ascii="Arial" w:cs="Arial" w:eastAsia="Arial" w:hAnsi="Arial"/>
                <w:sz w:val="16"/>
                <w:szCs w:val="16"/>
                <w:b w:val="1"/>
                <w:bCs w:val="1"/>
                <w:color w:val="auto"/>
                <w:w w:val="99"/>
              </w:rPr>
              <w:t>Vote by Internet</w:t>
            </w:r>
          </w:p>
        </w:tc>
        <w:tc>
          <w:tcPr>
            <w:tcW w:w="4020" w:type="dxa"/>
            <w:vAlign w:val="bottom"/>
          </w:tcPr>
          <w:p>
            <w:pPr>
              <w:jc w:val="center"/>
              <w:ind w:left="421"/>
              <w:spacing w:after="0"/>
              <w:rPr>
                <w:sz w:val="20"/>
                <w:szCs w:val="20"/>
                <w:color w:val="auto"/>
              </w:rPr>
            </w:pPr>
            <w:r>
              <w:rPr>
                <w:rFonts w:ascii="Arial" w:cs="Arial" w:eastAsia="Arial" w:hAnsi="Arial"/>
                <w:sz w:val="16"/>
                <w:szCs w:val="16"/>
                <w:b w:val="1"/>
                <w:bCs w:val="1"/>
                <w:color w:val="auto"/>
                <w:w w:val="98"/>
              </w:rPr>
              <w:t>Vote by Telephone</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8"/>
              </w:rPr>
              <w:t>Vote by Mail</w:t>
            </w:r>
          </w:p>
        </w:tc>
      </w:tr>
      <w:tr>
        <w:trPr>
          <w:trHeight w:val="159"/>
        </w:trPr>
        <w:tc>
          <w:tcPr>
            <w:tcW w:w="1920" w:type="dxa"/>
            <w:vAlign w:val="bottom"/>
          </w:tcPr>
          <w:p>
            <w:pPr>
              <w:jc w:val="center"/>
              <w:ind w:right="481"/>
              <w:spacing w:after="0" w:line="159" w:lineRule="exact"/>
              <w:rPr>
                <w:sz w:val="20"/>
                <w:szCs w:val="20"/>
                <w:color w:val="auto"/>
              </w:rPr>
            </w:pPr>
            <w:r>
              <w:rPr>
                <w:rFonts w:ascii="Arial" w:cs="Arial" w:eastAsia="Arial" w:hAnsi="Arial"/>
                <w:sz w:val="16"/>
                <w:szCs w:val="16"/>
                <w:i w:val="1"/>
                <w:iCs w:val="1"/>
                <w:color w:val="auto"/>
                <w:w w:val="98"/>
              </w:rPr>
              <w:t>Visit proxyvote.com</w:t>
            </w:r>
          </w:p>
        </w:tc>
        <w:tc>
          <w:tcPr>
            <w:tcW w:w="4020" w:type="dxa"/>
            <w:vAlign w:val="bottom"/>
          </w:tcPr>
          <w:p>
            <w:pPr>
              <w:jc w:val="center"/>
              <w:ind w:left="421"/>
              <w:spacing w:after="0" w:line="159" w:lineRule="exact"/>
              <w:rPr>
                <w:sz w:val="20"/>
                <w:szCs w:val="20"/>
                <w:color w:val="auto"/>
              </w:rPr>
            </w:pPr>
            <w:r>
              <w:rPr>
                <w:rFonts w:ascii="Arial" w:cs="Arial" w:eastAsia="Arial" w:hAnsi="Arial"/>
                <w:sz w:val="16"/>
                <w:szCs w:val="16"/>
                <w:i w:val="1"/>
                <w:iCs w:val="1"/>
                <w:color w:val="auto"/>
                <w:w w:val="99"/>
              </w:rPr>
              <w:t>Call the phone number located on the top of your</w:t>
            </w:r>
          </w:p>
        </w:tc>
        <w:tc>
          <w:tcPr>
            <w:tcW w:w="3420" w:type="dxa"/>
            <w:vAlign w:val="bottom"/>
          </w:tcPr>
          <w:p>
            <w:pPr>
              <w:jc w:val="center"/>
              <w:spacing w:after="0" w:line="159" w:lineRule="exact"/>
              <w:rPr>
                <w:sz w:val="20"/>
                <w:szCs w:val="20"/>
                <w:color w:val="auto"/>
              </w:rPr>
            </w:pPr>
            <w:r>
              <w:rPr>
                <w:rFonts w:ascii="Arial" w:cs="Arial" w:eastAsia="Arial" w:hAnsi="Arial"/>
                <w:sz w:val="16"/>
                <w:szCs w:val="16"/>
                <w:i w:val="1"/>
                <w:iCs w:val="1"/>
                <w:color w:val="auto"/>
                <w:w w:val="99"/>
              </w:rPr>
              <w:t>Complete, sign, date and return your proxy card</w:t>
            </w:r>
          </w:p>
        </w:tc>
      </w:tr>
      <w:tr>
        <w:trPr>
          <w:trHeight w:val="208"/>
        </w:trPr>
        <w:tc>
          <w:tcPr>
            <w:tcW w:w="1920" w:type="dxa"/>
            <w:vAlign w:val="bottom"/>
          </w:tcPr>
          <w:p>
            <w:pPr>
              <w:spacing w:after="0"/>
              <w:rPr>
                <w:sz w:val="18"/>
                <w:szCs w:val="18"/>
                <w:color w:val="auto"/>
              </w:rPr>
            </w:pPr>
          </w:p>
        </w:tc>
        <w:tc>
          <w:tcPr>
            <w:tcW w:w="4020" w:type="dxa"/>
            <w:vAlign w:val="bottom"/>
          </w:tcPr>
          <w:p>
            <w:pPr>
              <w:jc w:val="center"/>
              <w:ind w:left="421"/>
              <w:spacing w:after="0"/>
              <w:rPr>
                <w:sz w:val="20"/>
                <w:szCs w:val="20"/>
                <w:color w:val="auto"/>
              </w:rPr>
            </w:pPr>
            <w:r>
              <w:rPr>
                <w:rFonts w:ascii="Arial" w:cs="Arial" w:eastAsia="Arial" w:hAnsi="Arial"/>
                <w:sz w:val="16"/>
                <w:szCs w:val="16"/>
                <w:i w:val="1"/>
                <w:iCs w:val="1"/>
                <w:color w:val="auto"/>
              </w:rPr>
              <w:t>proxy card</w:t>
            </w:r>
          </w:p>
        </w:tc>
        <w:tc>
          <w:tcPr>
            <w:tcW w:w="3420" w:type="dxa"/>
            <w:vAlign w:val="bottom"/>
          </w:tcPr>
          <w:p>
            <w:pPr>
              <w:jc w:val="center"/>
              <w:spacing w:after="0"/>
              <w:rPr>
                <w:sz w:val="20"/>
                <w:szCs w:val="20"/>
                <w:color w:val="auto"/>
              </w:rPr>
            </w:pPr>
            <w:r>
              <w:rPr>
                <w:rFonts w:ascii="Arial" w:cs="Arial" w:eastAsia="Arial" w:hAnsi="Arial"/>
                <w:sz w:val="16"/>
                <w:szCs w:val="16"/>
                <w:i w:val="1"/>
                <w:iCs w:val="1"/>
                <w:color w:val="auto"/>
                <w:w w:val="98"/>
              </w:rPr>
              <w:t>in envelope provided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u w:val="single" w:color="auto"/>
          <w:color w:val="00A5B5"/>
        </w:rPr>
        <w:t>Our Board of Directors</w:t>
      </w:r>
    </w:p>
    <w:p>
      <w:pPr>
        <w:spacing w:after="0" w:line="16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our directors is elected by our stockholders on an annual basis to serve until the next annual meeting and until their respective successors are elected. Each of our current directors, with the exception of Ms. Amble and Messrs. Johnson and Rossotti, has been nominated for election to the Board, and you can find additional information regarding our Board nominees under "Proposal 1: Election of Directors" beginning on page 7. Ms. Amble and Messrs. Johnson and Rossotti are not standing for re-election due to the Company's recent adoption of a board retirement policy, as described in more detail in “Selection of Nominees for Election to the Board—Board Retirement Policy."</w:t>
      </w:r>
    </w:p>
    <w:p>
      <w:pPr>
        <w:spacing w:after="0" w:line="200" w:lineRule="exact"/>
        <w:rPr>
          <w:sz w:val="20"/>
          <w:szCs w:val="20"/>
          <w:color w:val="auto"/>
        </w:rPr>
      </w:pP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Nominating &amp;</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Corporate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42"/>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8"/>
              </w:rPr>
              <w:t>Age</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Director Since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Independent</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Audit Committee</w:t>
            </w:r>
          </w:p>
        </w:tc>
        <w:tc>
          <w:tcPr>
            <w:tcW w:w="1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Culture &amp; People</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Governance</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Committee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99"/>
        </w:trPr>
        <w:tc>
          <w:tcPr>
            <w:tcW w:w="1980" w:type="dxa"/>
            <w:vAlign w:val="bottom"/>
            <w:shd w:val="clear" w:color="auto" w:fill="00A5B5"/>
          </w:tcPr>
          <w:p>
            <w:pPr>
              <w:ind w:left="20"/>
              <w:spacing w:after="0"/>
              <w:rPr>
                <w:sz w:val="20"/>
                <w:szCs w:val="20"/>
                <w:color w:val="auto"/>
              </w:rPr>
            </w:pPr>
            <w:r>
              <w:rPr>
                <w:rFonts w:ascii="Arial" w:cs="Arial" w:eastAsia="Arial" w:hAnsi="Arial"/>
                <w:sz w:val="14"/>
                <w:szCs w:val="14"/>
                <w:b w:val="1"/>
                <w:bCs w:val="1"/>
                <w:color w:val="FFFFFF"/>
              </w:rPr>
              <w:t>2026 Director Nominees</w:t>
            </w:r>
          </w:p>
        </w:tc>
        <w:tc>
          <w:tcPr>
            <w:tcW w:w="840" w:type="dxa"/>
            <w:vAlign w:val="bottom"/>
            <w:shd w:val="clear" w:color="auto" w:fill="00A5B5"/>
          </w:tcPr>
          <w:p>
            <w:pPr>
              <w:spacing w:after="0"/>
              <w:rPr>
                <w:sz w:val="17"/>
                <w:szCs w:val="17"/>
                <w:color w:val="auto"/>
              </w:rPr>
            </w:pPr>
          </w:p>
        </w:tc>
        <w:tc>
          <w:tcPr>
            <w:tcW w:w="1280" w:type="dxa"/>
            <w:vAlign w:val="bottom"/>
            <w:shd w:val="clear" w:color="auto" w:fill="00A5B5"/>
          </w:tcPr>
          <w:p>
            <w:pPr>
              <w:spacing w:after="0"/>
              <w:rPr>
                <w:sz w:val="17"/>
                <w:szCs w:val="17"/>
                <w:color w:val="auto"/>
              </w:rPr>
            </w:pPr>
          </w:p>
        </w:tc>
        <w:tc>
          <w:tcPr>
            <w:tcW w:w="1160" w:type="dxa"/>
            <w:vAlign w:val="bottom"/>
            <w:shd w:val="clear" w:color="auto" w:fill="00A5B5"/>
          </w:tcPr>
          <w:p>
            <w:pPr>
              <w:spacing w:after="0"/>
              <w:rPr>
                <w:sz w:val="17"/>
                <w:szCs w:val="17"/>
                <w:color w:val="auto"/>
              </w:rPr>
            </w:pPr>
          </w:p>
        </w:tc>
        <w:tc>
          <w:tcPr>
            <w:tcW w:w="1440" w:type="dxa"/>
            <w:vAlign w:val="bottom"/>
            <w:shd w:val="clear" w:color="auto" w:fill="00A5B5"/>
          </w:tcPr>
          <w:p>
            <w:pPr>
              <w:spacing w:after="0"/>
              <w:rPr>
                <w:sz w:val="17"/>
                <w:szCs w:val="17"/>
                <w:color w:val="auto"/>
              </w:rPr>
            </w:pPr>
          </w:p>
        </w:tc>
        <w:tc>
          <w:tcPr>
            <w:tcW w:w="1460" w:type="dxa"/>
            <w:vAlign w:val="bottom"/>
            <w:shd w:val="clear" w:color="auto" w:fill="00A5B5"/>
          </w:tcPr>
          <w:p>
            <w:pPr>
              <w:spacing w:after="0"/>
              <w:rPr>
                <w:sz w:val="17"/>
                <w:szCs w:val="17"/>
                <w:color w:val="auto"/>
              </w:rPr>
            </w:pPr>
          </w:p>
        </w:tc>
        <w:tc>
          <w:tcPr>
            <w:tcW w:w="1380" w:type="dxa"/>
            <w:vAlign w:val="bottom"/>
            <w:shd w:val="clear" w:color="auto" w:fill="00A5B5"/>
          </w:tcPr>
          <w:p>
            <w:pPr>
              <w:spacing w:after="0"/>
              <w:rPr>
                <w:sz w:val="17"/>
                <w:szCs w:val="17"/>
                <w:color w:val="auto"/>
              </w:rPr>
            </w:pPr>
          </w:p>
        </w:tc>
        <w:tc>
          <w:tcPr>
            <w:tcW w:w="1300" w:type="dxa"/>
            <w:vAlign w:val="bottom"/>
            <w:shd w:val="clear" w:color="auto" w:fill="00A5B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8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 xml:space="preserve">Horacio D. Rozanski </w:t>
            </w:r>
            <w:r>
              <w:rPr>
                <w:rFonts w:ascii="Wingdings" w:cs="Wingdings" w:eastAsia="Wingdings" w:hAnsi="Wingdings"/>
                <w:sz w:val="14"/>
                <w:szCs w:val="14"/>
                <w:b w:val="1"/>
                <w:bCs w:val="1"/>
                <w:color w:val="auto"/>
                <w:highlight w:val="black"/>
              </w:rPr>
              <w:t>«</w:t>
            </w:r>
          </w:p>
        </w:tc>
        <w:tc>
          <w:tcPr>
            <w:tcW w:w="840" w:type="dxa"/>
            <w:vAlign w:val="bottom"/>
            <w:shd w:val="clear" w:color="auto" w:fill="CCEEF0"/>
          </w:tcPr>
          <w:p>
            <w:pPr>
              <w:jc w:val="center"/>
              <w:ind w:left="89"/>
              <w:spacing w:after="0"/>
              <w:rPr>
                <w:sz w:val="20"/>
                <w:szCs w:val="20"/>
                <w:color w:val="auto"/>
              </w:rPr>
            </w:pPr>
            <w:r>
              <w:rPr>
                <w:rFonts w:ascii="Arial" w:cs="Arial" w:eastAsia="Arial" w:hAnsi="Arial"/>
                <w:sz w:val="14"/>
                <w:szCs w:val="14"/>
                <w:b w:val="1"/>
                <w:bCs w:val="1"/>
                <w:color w:val="auto"/>
              </w:rPr>
              <w:t>58</w:t>
            </w:r>
          </w:p>
        </w:tc>
        <w:tc>
          <w:tcPr>
            <w:tcW w:w="128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w w:val="96"/>
              </w:rPr>
              <w:t>2014</w:t>
            </w:r>
          </w:p>
        </w:tc>
        <w:tc>
          <w:tcPr>
            <w:tcW w:w="1160" w:type="dxa"/>
            <w:vAlign w:val="bottom"/>
            <w:shd w:val="clear" w:color="auto" w:fill="CCEEF0"/>
          </w:tcPr>
          <w:p>
            <w:pPr>
              <w:spacing w:after="0"/>
              <w:rPr>
                <w:sz w:val="19"/>
                <w:szCs w:val="19"/>
                <w:color w:val="auto"/>
              </w:rPr>
            </w:pPr>
          </w:p>
        </w:tc>
        <w:tc>
          <w:tcPr>
            <w:tcW w:w="1440" w:type="dxa"/>
            <w:vAlign w:val="bottom"/>
            <w:shd w:val="clear" w:color="auto" w:fill="CCEEF0"/>
          </w:tcPr>
          <w:p>
            <w:pPr>
              <w:spacing w:after="0"/>
              <w:rPr>
                <w:sz w:val="19"/>
                <w:szCs w:val="19"/>
                <w:color w:val="auto"/>
              </w:rPr>
            </w:pPr>
          </w:p>
        </w:tc>
        <w:tc>
          <w:tcPr>
            <w:tcW w:w="1460" w:type="dxa"/>
            <w:vAlign w:val="bottom"/>
            <w:shd w:val="clear" w:color="auto" w:fill="CCEEF0"/>
          </w:tcPr>
          <w:p>
            <w:pPr>
              <w:spacing w:after="0"/>
              <w:rPr>
                <w:sz w:val="19"/>
                <w:szCs w:val="19"/>
                <w:color w:val="auto"/>
              </w:rPr>
            </w:pPr>
          </w:p>
        </w:tc>
        <w:tc>
          <w:tcPr>
            <w:tcW w:w="1380" w:type="dxa"/>
            <w:vAlign w:val="bottom"/>
            <w:shd w:val="clear" w:color="auto" w:fill="CCEEF0"/>
          </w:tcPr>
          <w:p>
            <w:pPr>
              <w:spacing w:after="0"/>
              <w:rPr>
                <w:sz w:val="19"/>
                <w:szCs w:val="19"/>
                <w:color w:val="auto"/>
              </w:rPr>
            </w:pPr>
          </w:p>
        </w:tc>
        <w:tc>
          <w:tcPr>
            <w:tcW w:w="130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µ</w:t>
            </w:r>
          </w:p>
        </w:tc>
        <w:tc>
          <w:tcPr>
            <w:tcW w:w="0" w:type="dxa"/>
            <w:vAlign w:val="bottom"/>
          </w:tcPr>
          <w:p>
            <w:pPr>
              <w:spacing w:after="0"/>
              <w:rPr>
                <w:sz w:val="1"/>
                <w:szCs w:val="1"/>
                <w:color w:val="auto"/>
              </w:rPr>
            </w:pPr>
          </w:p>
        </w:tc>
      </w:tr>
      <w:tr>
        <w:trPr>
          <w:trHeight w:val="218"/>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Debra L. Dial</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rPr>
              <w:t>65</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2025</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8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Michèle A. Flournoy</w:t>
            </w:r>
          </w:p>
        </w:tc>
        <w:tc>
          <w:tcPr>
            <w:tcW w:w="840" w:type="dxa"/>
            <w:vAlign w:val="bottom"/>
            <w:shd w:val="clear" w:color="auto" w:fill="CCEEF0"/>
          </w:tcPr>
          <w:p>
            <w:pPr>
              <w:jc w:val="center"/>
              <w:ind w:left="89"/>
              <w:spacing w:after="0"/>
              <w:rPr>
                <w:sz w:val="20"/>
                <w:szCs w:val="20"/>
                <w:color w:val="auto"/>
              </w:rPr>
            </w:pPr>
            <w:r>
              <w:rPr>
                <w:rFonts w:ascii="Arial" w:cs="Arial" w:eastAsia="Arial" w:hAnsi="Arial"/>
                <w:sz w:val="14"/>
                <w:szCs w:val="14"/>
                <w:b w:val="1"/>
                <w:bCs w:val="1"/>
                <w:color w:val="auto"/>
              </w:rPr>
              <w:t>65</w:t>
            </w:r>
          </w:p>
        </w:tc>
        <w:tc>
          <w:tcPr>
            <w:tcW w:w="128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shd w:val="clear" w:color="auto" w:fill="CCEEF0"/>
          </w:tcPr>
          <w:p>
            <w:pPr>
              <w:spacing w:after="0"/>
              <w:rPr>
                <w:sz w:val="20"/>
                <w:szCs w:val="20"/>
                <w:color w:val="auto"/>
              </w:rPr>
            </w:pPr>
          </w:p>
        </w:tc>
        <w:tc>
          <w:tcPr>
            <w:tcW w:w="146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138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µ</w:t>
            </w:r>
          </w:p>
        </w:tc>
        <w:tc>
          <w:tcPr>
            <w:tcW w:w="1300" w:type="dxa"/>
            <w:vAlign w:val="bottom"/>
            <w:shd w:val="clear" w:color="auto" w:fill="CCEEF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Mark E. Gaumond</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w:t>
            </w:r>
            <w:r>
              <w:rPr>
                <w:rFonts w:ascii="Wingdings" w:cs="Wingdings" w:eastAsia="Wingdings" w:hAnsi="Wingdings"/>
                <w:sz w:val="14"/>
                <w:szCs w:val="14"/>
                <w:b w:val="1"/>
                <w:bCs w:val="1"/>
                <w:color w:val="auto"/>
                <w:highlight w:val="black"/>
              </w:rPr>
              <w:t>t</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rPr>
              <w:t>75</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2011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0" w:type="dxa"/>
            <w:vAlign w:val="bottom"/>
          </w:tcPr>
          <w:p>
            <w:pPr>
              <w:spacing w:after="0"/>
              <w:rPr>
                <w:sz w:val="1"/>
                <w:szCs w:val="1"/>
                <w:color w:val="auto"/>
              </w:rPr>
            </w:pPr>
          </w:p>
        </w:tc>
      </w:tr>
      <w:tr>
        <w:trPr>
          <w:trHeight w:val="225"/>
        </w:trPr>
        <w:tc>
          <w:tcPr>
            <w:tcW w:w="198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Ellen Jewett</w:t>
            </w:r>
          </w:p>
        </w:tc>
        <w:tc>
          <w:tcPr>
            <w:tcW w:w="840" w:type="dxa"/>
            <w:vAlign w:val="bottom"/>
            <w:shd w:val="clear" w:color="auto" w:fill="CCEEF0"/>
          </w:tcPr>
          <w:p>
            <w:pPr>
              <w:jc w:val="center"/>
              <w:ind w:left="89"/>
              <w:spacing w:after="0"/>
              <w:rPr>
                <w:sz w:val="20"/>
                <w:szCs w:val="20"/>
                <w:color w:val="auto"/>
              </w:rPr>
            </w:pPr>
            <w:r>
              <w:rPr>
                <w:rFonts w:ascii="Arial" w:cs="Arial" w:eastAsia="Arial" w:hAnsi="Arial"/>
                <w:sz w:val="14"/>
                <w:szCs w:val="14"/>
                <w:b w:val="1"/>
                <w:bCs w:val="1"/>
                <w:color w:val="auto"/>
              </w:rPr>
              <w:t>67</w:t>
            </w:r>
          </w:p>
        </w:tc>
        <w:tc>
          <w:tcPr>
            <w:tcW w:w="128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µ</w:t>
            </w:r>
          </w:p>
        </w:tc>
        <w:tc>
          <w:tcPr>
            <w:tcW w:w="1460" w:type="dxa"/>
            <w:vAlign w:val="bottom"/>
            <w:shd w:val="clear" w:color="auto" w:fill="CCEEF0"/>
          </w:tcPr>
          <w:p>
            <w:pPr>
              <w:spacing w:after="0"/>
              <w:rPr>
                <w:sz w:val="19"/>
                <w:szCs w:val="19"/>
                <w:color w:val="auto"/>
              </w:rPr>
            </w:pPr>
          </w:p>
        </w:tc>
        <w:tc>
          <w:tcPr>
            <w:tcW w:w="1380" w:type="dxa"/>
            <w:vAlign w:val="bottom"/>
            <w:shd w:val="clear" w:color="auto" w:fill="CCEEF0"/>
          </w:tcPr>
          <w:p>
            <w:pPr>
              <w:spacing w:after="0"/>
              <w:rPr>
                <w:sz w:val="19"/>
                <w:szCs w:val="19"/>
                <w:color w:val="auto"/>
              </w:rPr>
            </w:pPr>
          </w:p>
        </w:tc>
        <w:tc>
          <w:tcPr>
            <w:tcW w:w="130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0" w:type="dxa"/>
            <w:vAlign w:val="bottom"/>
          </w:tcPr>
          <w:p>
            <w:pPr>
              <w:spacing w:after="0"/>
              <w:rPr>
                <w:sz w:val="1"/>
                <w:szCs w:val="1"/>
                <w:color w:val="auto"/>
              </w:rPr>
            </w:pPr>
          </w:p>
        </w:tc>
      </w:tr>
      <w:tr>
        <w:trPr>
          <w:trHeight w:val="218"/>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Gretchen W. McClain</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rPr>
              <w:t>63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µ</w:t>
            </w:r>
          </w:p>
        </w:tc>
        <w:tc>
          <w:tcPr>
            <w:tcW w:w="138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3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0" w:type="dxa"/>
            <w:vAlign w:val="bottom"/>
          </w:tcPr>
          <w:p>
            <w:pPr>
              <w:spacing w:after="0"/>
              <w:rPr>
                <w:sz w:val="1"/>
                <w:szCs w:val="1"/>
                <w:color w:val="auto"/>
              </w:rPr>
            </w:pPr>
          </w:p>
        </w:tc>
      </w:tr>
      <w:tr>
        <w:trPr>
          <w:trHeight w:val="232"/>
        </w:trPr>
        <w:tc>
          <w:tcPr>
            <w:tcW w:w="198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Ryan P. Nolan</w:t>
            </w:r>
          </w:p>
        </w:tc>
        <w:tc>
          <w:tcPr>
            <w:tcW w:w="840" w:type="dxa"/>
            <w:vAlign w:val="bottom"/>
            <w:shd w:val="clear" w:color="auto" w:fill="CCEEF0"/>
          </w:tcPr>
          <w:p>
            <w:pPr>
              <w:jc w:val="center"/>
              <w:ind w:left="89"/>
              <w:spacing w:after="0"/>
              <w:rPr>
                <w:sz w:val="20"/>
                <w:szCs w:val="20"/>
                <w:color w:val="auto"/>
              </w:rPr>
            </w:pPr>
            <w:r>
              <w:rPr>
                <w:rFonts w:ascii="Arial" w:cs="Arial" w:eastAsia="Arial" w:hAnsi="Arial"/>
                <w:sz w:val="14"/>
                <w:szCs w:val="14"/>
                <w:b w:val="1"/>
                <w:bCs w:val="1"/>
                <w:color w:val="auto"/>
              </w:rPr>
              <w:t>46</w:t>
            </w:r>
          </w:p>
        </w:tc>
        <w:tc>
          <w:tcPr>
            <w:tcW w:w="128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w w:val="96"/>
              </w:rPr>
              <w:t>2026</w:t>
            </w:r>
          </w:p>
        </w:tc>
        <w:tc>
          <w:tcPr>
            <w:tcW w:w="116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460" w:type="dxa"/>
            <w:vAlign w:val="bottom"/>
            <w:shd w:val="clear" w:color="auto" w:fill="CCEEF0"/>
          </w:tcPr>
          <w:p>
            <w:pPr>
              <w:spacing w:after="0"/>
              <w:rPr>
                <w:sz w:val="20"/>
                <w:szCs w:val="20"/>
                <w:color w:val="auto"/>
              </w:rPr>
            </w:pPr>
          </w:p>
        </w:tc>
        <w:tc>
          <w:tcPr>
            <w:tcW w:w="1380" w:type="dxa"/>
            <w:vAlign w:val="bottom"/>
            <w:shd w:val="clear" w:color="auto" w:fill="CCEEF0"/>
          </w:tcPr>
          <w:p>
            <w:pPr>
              <w:spacing w:after="0"/>
              <w:rPr>
                <w:sz w:val="20"/>
                <w:szCs w:val="20"/>
                <w:color w:val="auto"/>
              </w:rPr>
            </w:pPr>
          </w:p>
        </w:tc>
        <w:tc>
          <w:tcPr>
            <w:tcW w:w="1300" w:type="dxa"/>
            <w:vAlign w:val="bottom"/>
            <w:shd w:val="clear" w:color="auto" w:fill="CCEEF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Robert C. O'Brien</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rPr>
              <w:t>59</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2025</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138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8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Rory P. Read</w:t>
            </w:r>
          </w:p>
        </w:tc>
        <w:tc>
          <w:tcPr>
            <w:tcW w:w="840" w:type="dxa"/>
            <w:vAlign w:val="bottom"/>
            <w:shd w:val="clear" w:color="auto" w:fill="CCEEF0"/>
          </w:tcPr>
          <w:p>
            <w:pPr>
              <w:jc w:val="center"/>
              <w:ind w:left="89"/>
              <w:spacing w:after="0"/>
              <w:rPr>
                <w:sz w:val="20"/>
                <w:szCs w:val="20"/>
                <w:color w:val="auto"/>
              </w:rPr>
            </w:pPr>
            <w:r>
              <w:rPr>
                <w:rFonts w:ascii="Arial" w:cs="Arial" w:eastAsia="Arial" w:hAnsi="Arial"/>
                <w:sz w:val="14"/>
                <w:szCs w:val="14"/>
                <w:b w:val="1"/>
                <w:bCs w:val="1"/>
                <w:color w:val="auto"/>
              </w:rPr>
              <w:t>64</w:t>
            </w:r>
          </w:p>
        </w:tc>
        <w:tc>
          <w:tcPr>
            <w:tcW w:w="128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w w:val="96"/>
              </w:rPr>
              <w:t>2023</w:t>
            </w:r>
          </w:p>
        </w:tc>
        <w:tc>
          <w:tcPr>
            <w:tcW w:w="1160" w:type="dxa"/>
            <w:vAlign w:val="bottom"/>
            <w:shd w:val="clear" w:color="auto" w:fill="CCEEF0"/>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shd w:val="clear" w:color="auto" w:fill="CCEEF0"/>
          </w:tcPr>
          <w:p>
            <w:pPr>
              <w:spacing w:after="0"/>
              <w:rPr>
                <w:sz w:val="20"/>
                <w:szCs w:val="20"/>
                <w:color w:val="auto"/>
              </w:rPr>
            </w:pPr>
          </w:p>
        </w:tc>
        <w:tc>
          <w:tcPr>
            <w:tcW w:w="146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138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300" w:type="dxa"/>
            <w:vAlign w:val="bottom"/>
            <w:shd w:val="clear" w:color="auto" w:fill="CCEEF0"/>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William M. Thornberry</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rPr>
              <w:t>67</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rPr>
              <w:t>l</w:t>
            </w:r>
          </w:p>
        </w:tc>
        <w:tc>
          <w:tcPr>
            <w:tcW w:w="138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8890</wp:posOffset>
            </wp:positionV>
            <wp:extent cx="6882765" cy="260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2765" cy="260350"/>
                    </a:xfrm>
                    <a:prstGeom prst="rect">
                      <a:avLst/>
                    </a:prstGeom>
                    <a:noFill/>
                  </pic:spPr>
                </pic:pic>
              </a:graphicData>
            </a:graphic>
          </wp:anchor>
        </w:drawing>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Chair of the Board </w:t>
      </w:r>
      <w:r>
        <w:rPr>
          <w:rFonts w:ascii="Wingdings" w:cs="Wingdings" w:eastAsia="Wingdings" w:hAnsi="Wingdings"/>
          <w:sz w:val="14"/>
          <w:szCs w:val="14"/>
          <w:b w:val="1"/>
          <w:bCs w:val="1"/>
          <w:color w:val="000000"/>
          <w:highlight w:val="white"/>
        </w:rPr>
        <w:t>«</w:t>
      </w:r>
      <w:r>
        <w:rPr>
          <w:rFonts w:ascii="Arial" w:cs="Arial" w:eastAsia="Arial" w:hAnsi="Arial"/>
          <w:sz w:val="14"/>
          <w:szCs w:val="14"/>
          <w:b w:val="1"/>
          <w:bCs w:val="1"/>
          <w:color w:val="FFFFFF"/>
        </w:rPr>
        <w:t xml:space="preserve"> Lead Independent Director </w:t>
      </w:r>
      <w:r>
        <w:rPr>
          <w:rFonts w:ascii="Wingdings" w:cs="Wingdings" w:eastAsia="Wingdings" w:hAnsi="Wingdings"/>
          <w:sz w:val="14"/>
          <w:szCs w:val="14"/>
          <w:b w:val="1"/>
          <w:bCs w:val="1"/>
          <w:color w:val="000000"/>
          <w:highlight w:val="white"/>
        </w:rPr>
        <w:t>t</w:t>
      </w:r>
      <w:r>
        <w:rPr>
          <w:rFonts w:ascii="Arial" w:cs="Arial" w:eastAsia="Arial" w:hAnsi="Arial"/>
          <w:sz w:val="14"/>
          <w:szCs w:val="14"/>
          <w:b w:val="1"/>
          <w:bCs w:val="1"/>
          <w:color w:val="FFFFFF"/>
        </w:rPr>
        <w:t xml:space="preserve"> Chair </w:t>
      </w:r>
      <w:r>
        <w:rPr>
          <w:rFonts w:ascii="Wingdings" w:cs="Wingdings" w:eastAsia="Wingdings" w:hAnsi="Wingdings"/>
          <w:sz w:val="14"/>
          <w:szCs w:val="14"/>
          <w:b w:val="1"/>
          <w:bCs w:val="1"/>
          <w:color w:val="000000"/>
          <w:highlight w:val="white"/>
        </w:rPr>
        <w:t>µ</w:t>
      </w:r>
      <w:r>
        <w:rPr>
          <w:rFonts w:ascii="Arial" w:cs="Arial" w:eastAsia="Arial" w:hAnsi="Arial"/>
          <w:sz w:val="14"/>
          <w:szCs w:val="14"/>
          <w:b w:val="1"/>
          <w:bCs w:val="1"/>
          <w:color w:val="FFFFFF"/>
        </w:rPr>
        <w:t xml:space="preserve"> Member </w:t>
      </w:r>
      <w:r>
        <w:rPr>
          <w:rFonts w:ascii="Wingdings" w:cs="Wingdings" w:eastAsia="Wingdings" w:hAnsi="Wingdings"/>
          <w:sz w:val="14"/>
          <w:szCs w:val="14"/>
          <w:b w:val="1"/>
          <w:bCs w:val="1"/>
          <w:color w:val="000000"/>
          <w:highlight w:val="white"/>
        </w:rPr>
        <w:t>l</w:t>
      </w:r>
      <w:r>
        <w:rPr>
          <w:rFonts w:ascii="Arial" w:cs="Arial" w:eastAsia="Arial" w:hAnsi="Arial"/>
          <w:sz w:val="14"/>
          <w:szCs w:val="14"/>
          <w:b w:val="1"/>
          <w:bCs w:val="1"/>
          <w:color w:val="FFFFFF"/>
        </w:rPr>
        <w:t xml:space="preserve"> Independent I</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Effective July 21, 2026, Mr. Gaumond will serve on the Audit Committee in addition to his roles as Lead Independent Director and a member of the Executive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00A5B5"/>
        </w:rPr>
        <w:t>Current Board Composition</w:t>
      </w:r>
      <w:r>
        <w:rPr>
          <w:rFonts w:ascii="Arial" w:cs="Arial" w:eastAsia="Arial" w:hAnsi="Arial"/>
          <w:sz w:val="25"/>
          <w:szCs w:val="25"/>
          <w:color w:val="00A5B5"/>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5723255" cy="6151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3255" cy="615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*Charts include directors not standing for re-election.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u w:val="single" w:color="auto"/>
          <w:color w:val="00A5B5"/>
        </w:rPr>
        <w:t>Corporate Governance Highlights</w:t>
      </w:r>
    </w:p>
    <w:p>
      <w:pPr>
        <w:spacing w:after="0" w:line="154" w:lineRule="exact"/>
        <w:rPr>
          <w:sz w:val="20"/>
          <w:szCs w:val="20"/>
          <w:color w:val="auto"/>
        </w:rPr>
      </w:pPr>
    </w:p>
    <w:p>
      <w:pPr>
        <w:ind w:left="640" w:right="20" w:hanging="316"/>
        <w:spacing w:after="0" w:line="274"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Twelve of our thirteen current directors are independent, and each of the Audit, Compensation, Culture and People, and Nominating and Corporate Governance Committees are fully independent.</w:t>
      </w:r>
    </w:p>
    <w:p>
      <w:pPr>
        <w:spacing w:after="0" w:line="96" w:lineRule="exact"/>
        <w:rPr>
          <w:rFonts w:ascii="Arial" w:cs="Arial" w:eastAsia="Arial" w:hAnsi="Arial"/>
          <w:sz w:val="18"/>
          <w:szCs w:val="18"/>
          <w:color w:val="auto"/>
        </w:rPr>
      </w:pPr>
    </w:p>
    <w:p>
      <w:pPr>
        <w:jc w:val="both"/>
        <w:ind w:left="640" w:hanging="316"/>
        <w:spacing w:after="0" w:line="259"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provide for a majority voting standard in our bylaws for the election of directors in uncontested elections, with the requirement that any incumbent director nominee who does not receive a majority of the votes validly cast in an uncontested election tender his or her resignation, subject to acceptance by the Board of Directors.</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election of all of our directors.</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directors attended 98% of the total aggregate number of Board of Directors and committee meetings in fiscal year 2026.</w:t>
      </w:r>
    </w:p>
    <w:p>
      <w:pPr>
        <w:spacing w:after="0" w:line="137"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holds regular executive sessions of non-management directors.</w:t>
      </w:r>
    </w:p>
    <w:p>
      <w:pPr>
        <w:spacing w:after="0" w:line="150"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conducts an annual discussion on management succession planning, with support provided by the Compensation, Culture and People Committee.</w:t>
      </w:r>
    </w:p>
    <w:p>
      <w:pPr>
        <w:spacing w:after="0" w:line="96"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prohibit short sales and derivative transactions in our equity, and hedging and pledging of our equity.</w:t>
      </w:r>
    </w:p>
    <w:p>
      <w:pPr>
        <w:spacing w:after="0" w:line="137"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equity awards include a provision for the recoupment of equity-based compensation in the event of misconduct leading to a financial restatement.</w:t>
      </w:r>
    </w:p>
    <w:p>
      <w:pPr>
        <w:spacing w:after="0" w:line="96"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Investor Relations team and management regularly engage with current and potential stockholders.</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have a poison pill in place.</w:t>
      </w:r>
    </w:p>
    <w:p>
      <w:pPr>
        <w:spacing w:after="0" w:line="137"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adhere to robust executive officer and director stock ownership guidelines.</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conduct annual Board and committee evaluations and self-assessments.</w:t>
      </w:r>
    </w:p>
    <w:p>
      <w:pPr>
        <w:spacing w:after="0" w:line="150"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adhere to a sound policy on public company board service to ensure a director's ability to devote necessary time to serve on our Board.</w:t>
      </w:r>
    </w:p>
    <w:p>
      <w:pPr>
        <w:spacing w:after="0" w:line="83" w:lineRule="exact"/>
        <w:rPr>
          <w:rFonts w:ascii="Arial" w:cs="Arial" w:eastAsia="Arial" w:hAnsi="Arial"/>
          <w:sz w:val="18"/>
          <w:szCs w:val="18"/>
          <w:color w:val="auto"/>
        </w:rPr>
      </w:pPr>
    </w:p>
    <w:p>
      <w:pPr>
        <w:ind w:left="640" w:right="20" w:hanging="316"/>
        <w:spacing w:after="0" w:line="274" w:lineRule="auto"/>
        <w:tabs>
          <w:tab w:leader="none" w:pos="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Stockholders who hold at least 25% of the outstanding shares of common stock of the Company have the right to request that the Company call a special meeting of stockholders, subject to the requirements and procedures set forth in our bylaws.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Executive Compensation Highlights</w:t>
      </w:r>
    </w:p>
    <w:p>
      <w:pPr>
        <w:spacing w:after="0" w:line="154" w:lineRule="exact"/>
        <w:rPr>
          <w:sz w:val="20"/>
          <w:szCs w:val="20"/>
          <w:color w:val="auto"/>
        </w:rPr>
      </w:pPr>
    </w:p>
    <w:p>
      <w:pPr>
        <w:jc w:val="both"/>
        <w:ind w:left="640" w:hanging="316"/>
        <w:spacing w:after="0" w:line="259" w:lineRule="auto"/>
        <w:tabs>
          <w:tab w:leader="none" w:pos="60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values-driven organization with a guiding purpose to empower people to change the world. Our executives are committed to advancing technology, innovation, and holding themselves and those around them accountable to achieving our customers’ priorities with differentiation, integrity, and speed.</w:t>
      </w:r>
    </w:p>
    <w:p>
      <w:pPr>
        <w:spacing w:after="0" w:line="110" w:lineRule="exact"/>
        <w:rPr>
          <w:rFonts w:ascii="Arial" w:cs="Arial" w:eastAsia="Arial" w:hAnsi="Arial"/>
          <w:sz w:val="18"/>
          <w:szCs w:val="18"/>
          <w:color w:val="auto"/>
        </w:rPr>
      </w:pPr>
    </w:p>
    <w:p>
      <w:pPr>
        <w:jc w:val="both"/>
        <w:ind w:left="640" w:hanging="316"/>
        <w:spacing w:after="0" w:line="255" w:lineRule="auto"/>
        <w:tabs>
          <w:tab w:leader="none" w:pos="60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executive compensation strategy is designed to align leadership incentives with the Company’s mission of delivering impactful technology solutions and advancing critical national security and defense priorities. We emphasize rewarding performance for driving innovation, accelerating transformation, and achieving measurable outcomes, while maintaining a focus on integrity, collaboration, and accountability to meet the complex needs of government and commercial customers.</w:t>
      </w:r>
    </w:p>
    <w:p>
      <w:pPr>
        <w:spacing w:after="0" w:line="112" w:lineRule="exact"/>
        <w:rPr>
          <w:rFonts w:ascii="Arial" w:cs="Arial" w:eastAsia="Arial" w:hAnsi="Arial"/>
          <w:sz w:val="18"/>
          <w:szCs w:val="18"/>
          <w:color w:val="auto"/>
        </w:rPr>
      </w:pPr>
    </w:p>
    <w:p>
      <w:pPr>
        <w:jc w:val="both"/>
        <w:ind w:left="640" w:hanging="316"/>
        <w:spacing w:after="0" w:line="252" w:lineRule="auto"/>
        <w:tabs>
          <w:tab w:leader="none" w:pos="6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our Compensation, Culture and People Committee, we are committed to designing a compensation program that aligns the interests of our executives with the long-term interests of our stockholders. This is achieved in part through an executive rewards package that includes a long-term performance-based component where a portion of executives' compensation is tied to the achievement of multi-year performance goals. For more details on our compensation program, please see our discussion in the CD&amp;A beginning on page 35.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u w:val="single" w:color="auto"/>
          <w:color w:val="00A5B5"/>
        </w:rPr>
        <w:t>Governance &amp; Oversight of Enterprise Responsibility &amp; Sustainability</w:t>
      </w:r>
    </w:p>
    <w:p>
      <w:pPr>
        <w:spacing w:after="0" w:line="1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utilize our Enterprise Responsibility &amp; Sustainability (ERS) strategy to enhance resilience, modernize operations, and drive sustainable shareholder value, while continuously supporting our employees, customers, and communities. ERS governance is integrated into our operations, with oversight provided by the Board of Directors through its Nominating and Corporate Governance Committee and the Compensation, Culture and People Committee, which manage key risks, operational priorities, and human capital matters. The day-to -day execution is overseen by an executive-led ERS Committee, chaired by the Corporate Secretary, and supported by an ERS Function that provides data-driven guidance and insights. These bodies ensure a unified, transparent, and collaborative approach to advancing our enterprise responsibility and sustainability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8"/>
          <w:szCs w:val="28"/>
          <w:b w:val="1"/>
          <w:bCs w:val="1"/>
          <w:color w:val="auto"/>
        </w:rPr>
        <w:t>PROPOSAL 1: ELECTION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Election of Directors</w:t>
      </w:r>
    </w:p>
    <w:p>
      <w:pPr>
        <w:spacing w:after="0" w:line="16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Each of our directors, with the exception of Ms. Amble and Messrs. Johnson and Rossotti, has been nominated for election to the Board for a one-year term, expiring at the 2027 Annual Meeting of Stockholders and until their successors are duly elected and qualified. To be elected in an uncontested election, a nominee must receive a majority of the votes validly cast with respect to that nominee’s election at the annual meeting represented either in person or by proxy at the annual meeting. To be elected in a contested election, a nominee must receive the vote of a plurality of the votes validly cast at the annual meeting represented either in person or by proxy at the annual meeting. Any nominee who is an incumbent director and does not receive a majority of the votes cast in an uncontested election must promptly tender his or her resignation, contingent on the acceptance of that resignation by the Board, to the chair of the Board following certification of the election results.</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Board Skills and Expertise</w:t>
      </w:r>
    </w:p>
    <w:p>
      <w:pPr>
        <w:spacing w:after="0" w:line="24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The Nominating and Corporate Governance Committee and the Board believe that each director nominee brings a strong and diverse set of skills and expertise to the Company, as reflected in the chart below, including significant government, public company, financial, and strategic experience, that will strengthen our Board's independent leadership and effectiveness with respect to our business and long-term strategy.</w:t>
      </w:r>
    </w:p>
    <w:p>
      <w:pPr>
        <w:spacing w:after="0" w:line="208" w:lineRule="exact"/>
        <w:rPr>
          <w:sz w:val="20"/>
          <w:szCs w:val="20"/>
          <w:color w:val="auto"/>
        </w:rPr>
      </w:pPr>
    </w:p>
    <w:tbl>
      <w:tblPr>
        <w:tblLayout w:type="fixed"/>
        <w:tblInd w:w="830" w:type="dxa"/>
        <w:tblCellMar>
          <w:top w:w="0" w:type="dxa"/>
          <w:left w:w="0" w:type="dxa"/>
          <w:bottom w:w="0" w:type="dxa"/>
          <w:right w:w="0" w:type="dxa"/>
        </w:tblCellMar>
      </w:tblPr>
      <w:tr>
        <w:trPr>
          <w:trHeight w:val="211"/>
        </w:trPr>
        <w:tc>
          <w:tcPr>
            <w:tcW w:w="2960" w:type="dxa"/>
            <w:vAlign w:val="bottom"/>
            <w:tcBorders>
              <w:top w:val="single" w:sz="8" w:color="00A5B5"/>
              <w:left w:val="single" w:sz="8" w:color="00A5B5"/>
              <w:right w:val="single" w:sz="8" w:color="00A5B5"/>
            </w:tcBorders>
            <w:shd w:val="clear" w:color="auto" w:fill="CFDB44"/>
          </w:tcPr>
          <w:p>
            <w:pPr>
              <w:ind w:left="20"/>
              <w:spacing w:after="0"/>
              <w:rPr>
                <w:sz w:val="20"/>
                <w:szCs w:val="20"/>
                <w:color w:val="auto"/>
              </w:rPr>
            </w:pPr>
            <w:r>
              <w:rPr>
                <w:rFonts w:ascii="Arial" w:cs="Arial" w:eastAsia="Arial" w:hAnsi="Arial"/>
                <w:sz w:val="14"/>
                <w:szCs w:val="14"/>
                <w:b w:val="1"/>
                <w:bCs w:val="1"/>
                <w:color w:val="007481"/>
              </w:rPr>
              <w:t>Name</w:t>
            </w:r>
          </w:p>
        </w:tc>
        <w:tc>
          <w:tcPr>
            <w:tcW w:w="62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Dial</w:t>
            </w:r>
          </w:p>
        </w:tc>
        <w:tc>
          <w:tcPr>
            <w:tcW w:w="66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Flournoy</w:t>
            </w:r>
          </w:p>
        </w:tc>
        <w:tc>
          <w:tcPr>
            <w:tcW w:w="72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w w:val="97"/>
              </w:rPr>
              <w:t>Gaumond</w:t>
            </w:r>
          </w:p>
        </w:tc>
        <w:tc>
          <w:tcPr>
            <w:tcW w:w="64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Jewett</w:t>
            </w:r>
          </w:p>
        </w:tc>
        <w:tc>
          <w:tcPr>
            <w:tcW w:w="64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McClain</w:t>
            </w:r>
          </w:p>
        </w:tc>
        <w:tc>
          <w:tcPr>
            <w:tcW w:w="64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Nolan</w:t>
            </w:r>
          </w:p>
        </w:tc>
        <w:tc>
          <w:tcPr>
            <w:tcW w:w="66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w w:val="99"/>
              </w:rPr>
              <w:t>O'Brien</w:t>
            </w:r>
          </w:p>
        </w:tc>
        <w:tc>
          <w:tcPr>
            <w:tcW w:w="62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w w:val="99"/>
              </w:rPr>
              <w:t>Read</w:t>
            </w:r>
          </w:p>
        </w:tc>
        <w:tc>
          <w:tcPr>
            <w:tcW w:w="68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Rozanski</w:t>
            </w:r>
          </w:p>
        </w:tc>
        <w:tc>
          <w:tcPr>
            <w:tcW w:w="800" w:type="dxa"/>
            <w:vAlign w:val="bottom"/>
            <w:tcBorders>
              <w:top w:val="single" w:sz="8" w:color="00A5B5"/>
              <w:right w:val="single" w:sz="8" w:color="00A5B5"/>
            </w:tcBorders>
            <w:shd w:val="clear" w:color="auto" w:fill="CFDB44"/>
          </w:tcPr>
          <w:p>
            <w:pPr>
              <w:jc w:val="center"/>
              <w:spacing w:after="0"/>
              <w:rPr>
                <w:sz w:val="20"/>
                <w:szCs w:val="20"/>
                <w:color w:val="auto"/>
              </w:rPr>
            </w:pPr>
            <w:r>
              <w:rPr>
                <w:rFonts w:ascii="Arial" w:cs="Arial" w:eastAsia="Arial" w:hAnsi="Arial"/>
                <w:sz w:val="14"/>
                <w:szCs w:val="14"/>
                <w:b w:val="1"/>
                <w:bCs w:val="1"/>
                <w:color w:val="007481"/>
              </w:rPr>
              <w:t>Thornberry</w:t>
            </w:r>
          </w:p>
        </w:tc>
        <w:tc>
          <w:tcPr>
            <w:tcW w:w="0" w:type="dxa"/>
            <w:vAlign w:val="bottom"/>
          </w:tcPr>
          <w:p>
            <w:pPr>
              <w:spacing w:after="0"/>
              <w:rPr>
                <w:sz w:val="1"/>
                <w:szCs w:val="1"/>
                <w:color w:val="auto"/>
              </w:rPr>
            </w:pPr>
          </w:p>
        </w:tc>
      </w:tr>
      <w:tr>
        <w:trPr>
          <w:trHeight w:val="225"/>
        </w:trPr>
        <w:tc>
          <w:tcPr>
            <w:tcW w:w="2960" w:type="dxa"/>
            <w:vAlign w:val="bottom"/>
            <w:tcBorders>
              <w:left w:val="single" w:sz="8" w:color="00A5B5"/>
              <w:right w:val="single" w:sz="8" w:color="00A5B5"/>
            </w:tcBorders>
            <w:shd w:val="clear" w:color="auto" w:fill="00A5B5"/>
          </w:tcPr>
          <w:p>
            <w:pPr>
              <w:ind w:left="20"/>
              <w:spacing w:after="0"/>
              <w:rPr>
                <w:sz w:val="20"/>
                <w:szCs w:val="20"/>
                <w:color w:val="auto"/>
              </w:rPr>
            </w:pPr>
            <w:r>
              <w:rPr>
                <w:rFonts w:ascii="Arial" w:cs="Arial" w:eastAsia="Arial" w:hAnsi="Arial"/>
                <w:sz w:val="14"/>
                <w:szCs w:val="14"/>
                <w:b w:val="1"/>
                <w:bCs w:val="1"/>
                <w:color w:val="FFFFFF"/>
              </w:rPr>
              <w:t>Qualifications and Expertise</w:t>
            </w:r>
          </w:p>
        </w:tc>
        <w:tc>
          <w:tcPr>
            <w:tcW w:w="620" w:type="dxa"/>
            <w:vAlign w:val="bottom"/>
            <w:tcBorders>
              <w:right w:val="single" w:sz="8" w:color="00A5B5"/>
            </w:tcBorders>
            <w:shd w:val="clear" w:color="auto" w:fill="00A5B5"/>
          </w:tcPr>
          <w:p>
            <w:pPr>
              <w:spacing w:after="0"/>
              <w:rPr>
                <w:sz w:val="19"/>
                <w:szCs w:val="19"/>
                <w:color w:val="auto"/>
              </w:rPr>
            </w:pPr>
          </w:p>
        </w:tc>
        <w:tc>
          <w:tcPr>
            <w:tcW w:w="660" w:type="dxa"/>
            <w:vAlign w:val="bottom"/>
            <w:tcBorders>
              <w:right w:val="single" w:sz="8" w:color="00A5B5"/>
            </w:tcBorders>
            <w:shd w:val="clear" w:color="auto" w:fill="00A5B5"/>
          </w:tcPr>
          <w:p>
            <w:pPr>
              <w:spacing w:after="0"/>
              <w:rPr>
                <w:sz w:val="19"/>
                <w:szCs w:val="19"/>
                <w:color w:val="auto"/>
              </w:rPr>
            </w:pPr>
          </w:p>
        </w:tc>
        <w:tc>
          <w:tcPr>
            <w:tcW w:w="720" w:type="dxa"/>
            <w:vAlign w:val="bottom"/>
            <w:tcBorders>
              <w:right w:val="single" w:sz="8" w:color="00A5B5"/>
            </w:tcBorders>
            <w:shd w:val="clear" w:color="auto" w:fill="00A5B5"/>
          </w:tcPr>
          <w:p>
            <w:pPr>
              <w:spacing w:after="0"/>
              <w:rPr>
                <w:sz w:val="19"/>
                <w:szCs w:val="19"/>
                <w:color w:val="auto"/>
              </w:rPr>
            </w:pPr>
          </w:p>
        </w:tc>
        <w:tc>
          <w:tcPr>
            <w:tcW w:w="640" w:type="dxa"/>
            <w:vAlign w:val="bottom"/>
            <w:tcBorders>
              <w:right w:val="single" w:sz="8" w:color="00A5B5"/>
            </w:tcBorders>
            <w:shd w:val="clear" w:color="auto" w:fill="00A5B5"/>
          </w:tcPr>
          <w:p>
            <w:pPr>
              <w:spacing w:after="0"/>
              <w:rPr>
                <w:sz w:val="19"/>
                <w:szCs w:val="19"/>
                <w:color w:val="auto"/>
              </w:rPr>
            </w:pPr>
          </w:p>
        </w:tc>
        <w:tc>
          <w:tcPr>
            <w:tcW w:w="640" w:type="dxa"/>
            <w:vAlign w:val="bottom"/>
            <w:tcBorders>
              <w:right w:val="single" w:sz="8" w:color="00A5B5"/>
            </w:tcBorders>
            <w:shd w:val="clear" w:color="auto" w:fill="00A5B5"/>
          </w:tcPr>
          <w:p>
            <w:pPr>
              <w:spacing w:after="0"/>
              <w:rPr>
                <w:sz w:val="19"/>
                <w:szCs w:val="19"/>
                <w:color w:val="auto"/>
              </w:rPr>
            </w:pPr>
          </w:p>
        </w:tc>
        <w:tc>
          <w:tcPr>
            <w:tcW w:w="640" w:type="dxa"/>
            <w:vAlign w:val="bottom"/>
            <w:tcBorders>
              <w:right w:val="single" w:sz="8" w:color="00A5B5"/>
            </w:tcBorders>
            <w:shd w:val="clear" w:color="auto" w:fill="00A5B5"/>
          </w:tcPr>
          <w:p>
            <w:pPr>
              <w:spacing w:after="0"/>
              <w:rPr>
                <w:sz w:val="19"/>
                <w:szCs w:val="19"/>
                <w:color w:val="auto"/>
              </w:rPr>
            </w:pPr>
          </w:p>
        </w:tc>
        <w:tc>
          <w:tcPr>
            <w:tcW w:w="660" w:type="dxa"/>
            <w:vAlign w:val="bottom"/>
            <w:tcBorders>
              <w:right w:val="single" w:sz="8" w:color="00A5B5"/>
            </w:tcBorders>
            <w:shd w:val="clear" w:color="auto" w:fill="00A5B5"/>
          </w:tcPr>
          <w:p>
            <w:pPr>
              <w:spacing w:after="0"/>
              <w:rPr>
                <w:sz w:val="19"/>
                <w:szCs w:val="19"/>
                <w:color w:val="auto"/>
              </w:rPr>
            </w:pPr>
          </w:p>
        </w:tc>
        <w:tc>
          <w:tcPr>
            <w:tcW w:w="620" w:type="dxa"/>
            <w:vAlign w:val="bottom"/>
            <w:tcBorders>
              <w:right w:val="single" w:sz="8" w:color="00A5B5"/>
            </w:tcBorders>
            <w:shd w:val="clear" w:color="auto" w:fill="00A5B5"/>
          </w:tcPr>
          <w:p>
            <w:pPr>
              <w:spacing w:after="0"/>
              <w:rPr>
                <w:sz w:val="19"/>
                <w:szCs w:val="19"/>
                <w:color w:val="auto"/>
              </w:rPr>
            </w:pPr>
          </w:p>
        </w:tc>
        <w:tc>
          <w:tcPr>
            <w:tcW w:w="680" w:type="dxa"/>
            <w:vAlign w:val="bottom"/>
            <w:tcBorders>
              <w:right w:val="single" w:sz="8" w:color="00A5B5"/>
            </w:tcBorders>
            <w:shd w:val="clear" w:color="auto" w:fill="00A5B5"/>
          </w:tcPr>
          <w:p>
            <w:pPr>
              <w:spacing w:after="0"/>
              <w:rPr>
                <w:sz w:val="19"/>
                <w:szCs w:val="19"/>
                <w:color w:val="auto"/>
              </w:rPr>
            </w:pPr>
          </w:p>
        </w:tc>
        <w:tc>
          <w:tcPr>
            <w:tcW w:w="800" w:type="dxa"/>
            <w:vAlign w:val="bottom"/>
            <w:tcBorders>
              <w:right w:val="single" w:sz="8" w:color="00A5B5"/>
            </w:tcBorders>
            <w:shd w:val="clear" w:color="auto" w:fill="00A5B5"/>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Public Company Board Experience</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spacing w:after="0"/>
              <w:rPr>
                <w:sz w:val="20"/>
                <w:szCs w:val="20"/>
                <w:color w:val="auto"/>
              </w:rPr>
            </w:pPr>
          </w:p>
        </w:tc>
        <w:tc>
          <w:tcPr>
            <w:tcW w:w="660" w:type="dxa"/>
            <w:vAlign w:val="bottom"/>
            <w:tcBorders>
              <w:bottom w:val="single" w:sz="8" w:color="00A5B5"/>
              <w:right w:val="single" w:sz="8" w:color="00A5B5"/>
            </w:tcBorders>
            <w:shd w:val="clear" w:color="auto" w:fill="DBDBDB"/>
          </w:tcPr>
          <w:p>
            <w:pPr>
              <w:spacing w:after="0"/>
              <w:rPr>
                <w:sz w:val="20"/>
                <w:szCs w:val="20"/>
                <w:color w:val="auto"/>
              </w:rPr>
            </w:pP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tcPr>
          <w:p>
            <w:pPr>
              <w:ind w:left="20"/>
              <w:spacing w:after="0"/>
              <w:rPr>
                <w:sz w:val="20"/>
                <w:szCs w:val="20"/>
                <w:color w:val="auto"/>
              </w:rPr>
            </w:pPr>
            <w:r>
              <w:rPr>
                <w:rFonts w:ascii="Arial" w:cs="Arial" w:eastAsia="Arial" w:hAnsi="Arial"/>
                <w:sz w:val="14"/>
                <w:szCs w:val="14"/>
                <w:color w:val="auto"/>
              </w:rPr>
              <w:t>Current or Former CEO</w:t>
            </w:r>
          </w:p>
        </w:tc>
        <w:tc>
          <w:tcPr>
            <w:tcW w:w="620" w:type="dxa"/>
            <w:vAlign w:val="bottom"/>
            <w:tcBorders>
              <w:bottom w:val="single" w:sz="8" w:color="00A5B5"/>
              <w:right w:val="single" w:sz="8" w:color="00A5B5"/>
            </w:tcBorders>
          </w:tcPr>
          <w:p>
            <w:pPr>
              <w:spacing w:after="0"/>
              <w:rPr>
                <w:sz w:val="16"/>
                <w:szCs w:val="16"/>
                <w:color w:val="auto"/>
              </w:rPr>
            </w:pPr>
          </w:p>
        </w:tc>
        <w:tc>
          <w:tcPr>
            <w:tcW w:w="660" w:type="dxa"/>
            <w:vAlign w:val="bottom"/>
            <w:tcBorders>
              <w:bottom w:val="single" w:sz="8" w:color="00A5B5"/>
              <w:right w:val="single" w:sz="8" w:color="00A5B5"/>
            </w:tcBorders>
          </w:tcPr>
          <w:p>
            <w:pPr>
              <w:spacing w:after="0"/>
              <w:rPr>
                <w:sz w:val="16"/>
                <w:szCs w:val="16"/>
                <w:color w:val="auto"/>
              </w:rPr>
            </w:pPr>
          </w:p>
        </w:tc>
        <w:tc>
          <w:tcPr>
            <w:tcW w:w="72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spacing w:after="0"/>
              <w:rPr>
                <w:sz w:val="16"/>
                <w:szCs w:val="16"/>
                <w:color w:val="auto"/>
              </w:rPr>
            </w:pPr>
          </w:p>
        </w:tc>
        <w:tc>
          <w:tcPr>
            <w:tcW w:w="660" w:type="dxa"/>
            <w:vAlign w:val="bottom"/>
            <w:tcBorders>
              <w:bottom w:val="single" w:sz="8" w:color="00A5B5"/>
              <w:right w:val="single" w:sz="8" w:color="00A5B5"/>
            </w:tcBorders>
          </w:tcPr>
          <w:p>
            <w:pPr>
              <w:spacing w:after="0"/>
              <w:rPr>
                <w:sz w:val="16"/>
                <w:szCs w:val="16"/>
                <w:color w:val="auto"/>
              </w:rPr>
            </w:pP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Executive Leadership Experience</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tcPr>
          <w:p>
            <w:pPr>
              <w:ind w:left="20"/>
              <w:spacing w:after="0"/>
              <w:rPr>
                <w:sz w:val="20"/>
                <w:szCs w:val="20"/>
                <w:color w:val="auto"/>
              </w:rPr>
            </w:pPr>
            <w:r>
              <w:rPr>
                <w:rFonts w:ascii="Arial" w:cs="Arial" w:eastAsia="Arial" w:hAnsi="Arial"/>
                <w:sz w:val="14"/>
                <w:szCs w:val="14"/>
                <w:color w:val="auto"/>
              </w:rPr>
              <w:t>Global / International Business</w:t>
            </w: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Finance / Accounting</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spacing w:after="0"/>
              <w:rPr>
                <w:sz w:val="16"/>
                <w:szCs w:val="16"/>
                <w:color w:val="auto"/>
              </w:rPr>
            </w:pPr>
          </w:p>
        </w:tc>
        <w:tc>
          <w:tcPr>
            <w:tcW w:w="7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shd w:val="clear" w:color="auto" w:fill="DBDBDB"/>
          </w:tcPr>
          <w:p>
            <w:pPr>
              <w:spacing w:after="0"/>
              <w:rPr>
                <w:sz w:val="16"/>
                <w:szCs w:val="16"/>
                <w:color w:val="auto"/>
              </w:rPr>
            </w:pP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tcPr>
          <w:p>
            <w:pPr>
              <w:ind w:left="20"/>
              <w:spacing w:after="0"/>
              <w:rPr>
                <w:sz w:val="20"/>
                <w:szCs w:val="20"/>
                <w:color w:val="auto"/>
              </w:rPr>
            </w:pPr>
            <w:r>
              <w:rPr>
                <w:rFonts w:ascii="Arial" w:cs="Arial" w:eastAsia="Arial" w:hAnsi="Arial"/>
                <w:sz w:val="14"/>
                <w:szCs w:val="14"/>
                <w:color w:val="auto"/>
              </w:rPr>
              <w:t>Government Contracting</w:t>
            </w: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tcPr>
          <w:p>
            <w:pPr>
              <w:spacing w:after="0"/>
              <w:rPr>
                <w:sz w:val="16"/>
                <w:szCs w:val="16"/>
                <w:color w:val="auto"/>
              </w:rPr>
            </w:pPr>
          </w:p>
        </w:tc>
        <w:tc>
          <w:tcPr>
            <w:tcW w:w="72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spacing w:after="0"/>
              <w:rPr>
                <w:sz w:val="16"/>
                <w:szCs w:val="16"/>
                <w:color w:val="auto"/>
              </w:rPr>
            </w:pP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spacing w:after="0"/>
              <w:rPr>
                <w:sz w:val="16"/>
                <w:szCs w:val="16"/>
                <w:color w:val="auto"/>
              </w:rPr>
            </w:pPr>
          </w:p>
        </w:tc>
        <w:tc>
          <w:tcPr>
            <w:tcW w:w="660" w:type="dxa"/>
            <w:vAlign w:val="bottom"/>
            <w:tcBorders>
              <w:bottom w:val="single" w:sz="8" w:color="00A5B5"/>
              <w:right w:val="single" w:sz="8" w:color="00A5B5"/>
            </w:tcBorders>
          </w:tcPr>
          <w:p>
            <w:pPr>
              <w:spacing w:after="0"/>
              <w:rPr>
                <w:sz w:val="16"/>
                <w:szCs w:val="16"/>
                <w:color w:val="auto"/>
              </w:rPr>
            </w:pPr>
          </w:p>
        </w:tc>
        <w:tc>
          <w:tcPr>
            <w:tcW w:w="620" w:type="dxa"/>
            <w:vAlign w:val="bottom"/>
            <w:tcBorders>
              <w:bottom w:val="single" w:sz="8" w:color="00A5B5"/>
              <w:right w:val="single" w:sz="8" w:color="00A5B5"/>
            </w:tcBorders>
          </w:tcPr>
          <w:p>
            <w:pPr>
              <w:spacing w:after="0"/>
              <w:rPr>
                <w:sz w:val="16"/>
                <w:szCs w:val="16"/>
                <w:color w:val="auto"/>
              </w:rPr>
            </w:pPr>
          </w:p>
        </w:tc>
        <w:tc>
          <w:tcPr>
            <w:tcW w:w="68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Enterprise Risk Management</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spacing w:after="0"/>
              <w:rPr>
                <w:sz w:val="16"/>
                <w:szCs w:val="16"/>
                <w:color w:val="auto"/>
              </w:rPr>
            </w:pP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tcPr>
          <w:p>
            <w:pPr>
              <w:ind w:left="20"/>
              <w:spacing w:after="0"/>
              <w:rPr>
                <w:sz w:val="20"/>
                <w:szCs w:val="20"/>
                <w:color w:val="auto"/>
              </w:rPr>
            </w:pPr>
            <w:r>
              <w:rPr>
                <w:rFonts w:ascii="Arial" w:cs="Arial" w:eastAsia="Arial" w:hAnsi="Arial"/>
                <w:sz w:val="14"/>
                <w:szCs w:val="14"/>
                <w:color w:val="auto"/>
              </w:rPr>
              <w:t>Mergers and Acquisitions</w:t>
            </w: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92"/>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Human Capital / Compensation Management</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shd w:val="clear" w:color="auto" w:fill="DBDBDB"/>
          </w:tcPr>
          <w:p>
            <w:pPr>
              <w:spacing w:after="0"/>
              <w:rPr>
                <w:sz w:val="16"/>
                <w:szCs w:val="16"/>
                <w:color w:val="auto"/>
              </w:rPr>
            </w:pPr>
          </w:p>
        </w:tc>
        <w:tc>
          <w:tcPr>
            <w:tcW w:w="640" w:type="dxa"/>
            <w:vAlign w:val="bottom"/>
            <w:tcBorders>
              <w:bottom w:val="single" w:sz="8" w:color="00A5B5"/>
              <w:right w:val="single" w:sz="8" w:color="00A5B5"/>
            </w:tcBorders>
            <w:shd w:val="clear" w:color="auto" w:fill="DBDBDB"/>
          </w:tcPr>
          <w:p>
            <w:pPr>
              <w:spacing w:after="0"/>
              <w:rPr>
                <w:sz w:val="16"/>
                <w:szCs w:val="16"/>
                <w:color w:val="auto"/>
              </w:rPr>
            </w:pP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147"/>
        </w:trPr>
        <w:tc>
          <w:tcPr>
            <w:tcW w:w="2960" w:type="dxa"/>
            <w:vAlign w:val="bottom"/>
            <w:tcBorders>
              <w:left w:val="single" w:sz="8" w:color="00A5B5"/>
              <w:right w:val="single" w:sz="8" w:color="00A5B5"/>
            </w:tcBorders>
          </w:tcPr>
          <w:p>
            <w:pPr>
              <w:ind w:left="20"/>
              <w:spacing w:after="0" w:line="147" w:lineRule="exact"/>
              <w:rPr>
                <w:sz w:val="20"/>
                <w:szCs w:val="20"/>
                <w:color w:val="auto"/>
              </w:rPr>
            </w:pPr>
            <w:r>
              <w:rPr>
                <w:rFonts w:ascii="Arial" w:cs="Arial" w:eastAsia="Arial" w:hAnsi="Arial"/>
                <w:sz w:val="14"/>
                <w:szCs w:val="14"/>
                <w:color w:val="auto"/>
              </w:rPr>
              <w:t>Cybersecurity / Information Security /</w:t>
            </w:r>
          </w:p>
        </w:tc>
        <w:tc>
          <w:tcPr>
            <w:tcW w:w="62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right w:val="single" w:sz="8" w:color="00A5B5"/>
            </w:tcBorders>
          </w:tcPr>
          <w:p>
            <w:pPr>
              <w:spacing w:after="0"/>
              <w:rPr>
                <w:sz w:val="12"/>
                <w:szCs w:val="12"/>
                <w:color w:val="auto"/>
              </w:rPr>
            </w:pPr>
          </w:p>
        </w:tc>
        <w:tc>
          <w:tcPr>
            <w:tcW w:w="720" w:type="dxa"/>
            <w:vAlign w:val="bottom"/>
            <w:tcBorders>
              <w:right w:val="single" w:sz="8" w:color="00A5B5"/>
            </w:tcBorders>
          </w:tcPr>
          <w:p>
            <w:pPr>
              <w:spacing w:after="0"/>
              <w:rPr>
                <w:sz w:val="12"/>
                <w:szCs w:val="12"/>
                <w:color w:val="auto"/>
              </w:rPr>
            </w:pPr>
          </w:p>
        </w:tc>
        <w:tc>
          <w:tcPr>
            <w:tcW w:w="64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right w:val="single" w:sz="8" w:color="00A5B5"/>
            </w:tcBorders>
          </w:tcPr>
          <w:p>
            <w:pPr>
              <w:spacing w:after="0"/>
              <w:rPr>
                <w:sz w:val="12"/>
                <w:szCs w:val="12"/>
                <w:color w:val="auto"/>
              </w:rPr>
            </w:pPr>
          </w:p>
        </w:tc>
        <w:tc>
          <w:tcPr>
            <w:tcW w:w="62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right w:val="single" w:sz="8" w:color="00A5B5"/>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90"/>
        </w:trPr>
        <w:tc>
          <w:tcPr>
            <w:tcW w:w="2960" w:type="dxa"/>
            <w:vAlign w:val="bottom"/>
            <w:tcBorders>
              <w:left w:val="single" w:sz="8" w:color="00A5B5"/>
              <w:right w:val="single" w:sz="8" w:color="00A5B5"/>
            </w:tcBorders>
            <w:vMerge w:val="restart"/>
          </w:tcPr>
          <w:p>
            <w:pPr>
              <w:ind w:left="20"/>
              <w:spacing w:after="0"/>
              <w:rPr>
                <w:sz w:val="20"/>
                <w:szCs w:val="20"/>
                <w:color w:val="auto"/>
              </w:rPr>
            </w:pPr>
            <w:r>
              <w:rPr>
                <w:rFonts w:ascii="Arial" w:cs="Arial" w:eastAsia="Arial" w:hAnsi="Arial"/>
                <w:sz w:val="14"/>
                <w:szCs w:val="14"/>
                <w:color w:val="auto"/>
              </w:rPr>
              <w:t>Information Tech</w:t>
            </w:r>
          </w:p>
        </w:tc>
        <w:tc>
          <w:tcPr>
            <w:tcW w:w="620" w:type="dxa"/>
            <w:vAlign w:val="bottom"/>
            <w:tcBorders>
              <w:right w:val="single" w:sz="8" w:color="00A5B5"/>
            </w:tcBorders>
            <w:vMerge w:val="continue"/>
          </w:tcPr>
          <w:p>
            <w:pPr>
              <w:spacing w:after="0"/>
              <w:rPr>
                <w:sz w:val="7"/>
                <w:szCs w:val="7"/>
                <w:color w:val="auto"/>
              </w:rPr>
            </w:pPr>
          </w:p>
        </w:tc>
        <w:tc>
          <w:tcPr>
            <w:tcW w:w="660" w:type="dxa"/>
            <w:vAlign w:val="bottom"/>
            <w:tcBorders>
              <w:right w:val="single" w:sz="8" w:color="00A5B5"/>
            </w:tcBorders>
          </w:tcPr>
          <w:p>
            <w:pPr>
              <w:spacing w:after="0"/>
              <w:rPr>
                <w:sz w:val="7"/>
                <w:szCs w:val="7"/>
                <w:color w:val="auto"/>
              </w:rPr>
            </w:pPr>
          </w:p>
        </w:tc>
        <w:tc>
          <w:tcPr>
            <w:tcW w:w="720" w:type="dxa"/>
            <w:vAlign w:val="bottom"/>
            <w:tcBorders>
              <w:right w:val="single" w:sz="8" w:color="00A5B5"/>
            </w:tcBorders>
          </w:tcPr>
          <w:p>
            <w:pPr>
              <w:spacing w:after="0"/>
              <w:rPr>
                <w:sz w:val="7"/>
                <w:szCs w:val="7"/>
                <w:color w:val="auto"/>
              </w:rPr>
            </w:pPr>
          </w:p>
        </w:tc>
        <w:tc>
          <w:tcPr>
            <w:tcW w:w="640" w:type="dxa"/>
            <w:vAlign w:val="bottom"/>
            <w:tcBorders>
              <w:right w:val="single" w:sz="8" w:color="00A5B5"/>
            </w:tcBorders>
            <w:vMerge w:val="continue"/>
          </w:tcPr>
          <w:p>
            <w:pPr>
              <w:spacing w:after="0"/>
              <w:rPr>
                <w:sz w:val="7"/>
                <w:szCs w:val="7"/>
                <w:color w:val="auto"/>
              </w:rPr>
            </w:pPr>
          </w:p>
        </w:tc>
        <w:tc>
          <w:tcPr>
            <w:tcW w:w="640" w:type="dxa"/>
            <w:vAlign w:val="bottom"/>
            <w:tcBorders>
              <w:right w:val="single" w:sz="8" w:color="00A5B5"/>
            </w:tcBorders>
            <w:vMerge w:val="continue"/>
          </w:tcPr>
          <w:p>
            <w:pPr>
              <w:spacing w:after="0"/>
              <w:rPr>
                <w:sz w:val="7"/>
                <w:szCs w:val="7"/>
                <w:color w:val="auto"/>
              </w:rPr>
            </w:pPr>
          </w:p>
        </w:tc>
        <w:tc>
          <w:tcPr>
            <w:tcW w:w="640" w:type="dxa"/>
            <w:vAlign w:val="bottom"/>
            <w:tcBorders>
              <w:right w:val="single" w:sz="8" w:color="00A5B5"/>
            </w:tcBorders>
            <w:vMerge w:val="continue"/>
          </w:tcPr>
          <w:p>
            <w:pPr>
              <w:spacing w:after="0"/>
              <w:rPr>
                <w:sz w:val="7"/>
                <w:szCs w:val="7"/>
                <w:color w:val="auto"/>
              </w:rPr>
            </w:pPr>
          </w:p>
        </w:tc>
        <w:tc>
          <w:tcPr>
            <w:tcW w:w="660" w:type="dxa"/>
            <w:vAlign w:val="bottom"/>
            <w:tcBorders>
              <w:right w:val="single" w:sz="8" w:color="00A5B5"/>
            </w:tcBorders>
          </w:tcPr>
          <w:p>
            <w:pPr>
              <w:spacing w:after="0"/>
              <w:rPr>
                <w:sz w:val="7"/>
                <w:szCs w:val="7"/>
                <w:color w:val="auto"/>
              </w:rPr>
            </w:pPr>
          </w:p>
        </w:tc>
        <w:tc>
          <w:tcPr>
            <w:tcW w:w="620" w:type="dxa"/>
            <w:vAlign w:val="bottom"/>
            <w:tcBorders>
              <w:right w:val="single" w:sz="8" w:color="00A5B5"/>
            </w:tcBorders>
            <w:vMerge w:val="continue"/>
          </w:tcPr>
          <w:p>
            <w:pPr>
              <w:spacing w:after="0"/>
              <w:rPr>
                <w:sz w:val="7"/>
                <w:szCs w:val="7"/>
                <w:color w:val="auto"/>
              </w:rPr>
            </w:pPr>
          </w:p>
        </w:tc>
        <w:tc>
          <w:tcPr>
            <w:tcW w:w="680" w:type="dxa"/>
            <w:vAlign w:val="bottom"/>
            <w:tcBorders>
              <w:right w:val="single" w:sz="8" w:color="00A5B5"/>
            </w:tcBorders>
            <w:vMerge w:val="continue"/>
          </w:tcPr>
          <w:p>
            <w:pPr>
              <w:spacing w:after="0"/>
              <w:rPr>
                <w:sz w:val="7"/>
                <w:szCs w:val="7"/>
                <w:color w:val="auto"/>
              </w:rPr>
            </w:pPr>
          </w:p>
        </w:tc>
        <w:tc>
          <w:tcPr>
            <w:tcW w:w="800" w:type="dxa"/>
            <w:vAlign w:val="bottom"/>
            <w:tcBorders>
              <w:right w:val="single" w:sz="8" w:color="00A5B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960" w:type="dxa"/>
            <w:vAlign w:val="bottom"/>
            <w:tcBorders>
              <w:left w:val="single" w:sz="8" w:color="00A5B5"/>
              <w:bottom w:val="single" w:sz="8" w:color="00A5B5"/>
              <w:right w:val="single" w:sz="8" w:color="00A5B5"/>
            </w:tcBorders>
            <w:vMerge w:val="continue"/>
          </w:tcPr>
          <w:p>
            <w:pPr>
              <w:spacing w:after="0"/>
              <w:rPr>
                <w:sz w:val="7"/>
                <w:szCs w:val="7"/>
                <w:color w:val="auto"/>
              </w:rPr>
            </w:pPr>
          </w:p>
        </w:tc>
        <w:tc>
          <w:tcPr>
            <w:tcW w:w="620" w:type="dxa"/>
            <w:vAlign w:val="bottom"/>
            <w:tcBorders>
              <w:bottom w:val="single" w:sz="8" w:color="00A5B5"/>
              <w:right w:val="single" w:sz="8" w:color="00A5B5"/>
            </w:tcBorders>
          </w:tcPr>
          <w:p>
            <w:pPr>
              <w:spacing w:after="0"/>
              <w:rPr>
                <w:sz w:val="7"/>
                <w:szCs w:val="7"/>
                <w:color w:val="auto"/>
              </w:rPr>
            </w:pPr>
          </w:p>
        </w:tc>
        <w:tc>
          <w:tcPr>
            <w:tcW w:w="660" w:type="dxa"/>
            <w:vAlign w:val="bottom"/>
            <w:tcBorders>
              <w:bottom w:val="single" w:sz="8" w:color="00A5B5"/>
              <w:right w:val="single" w:sz="8" w:color="00A5B5"/>
            </w:tcBorders>
          </w:tcPr>
          <w:p>
            <w:pPr>
              <w:spacing w:after="0"/>
              <w:rPr>
                <w:sz w:val="7"/>
                <w:szCs w:val="7"/>
                <w:color w:val="auto"/>
              </w:rPr>
            </w:pPr>
          </w:p>
        </w:tc>
        <w:tc>
          <w:tcPr>
            <w:tcW w:w="720" w:type="dxa"/>
            <w:vAlign w:val="bottom"/>
            <w:tcBorders>
              <w:bottom w:val="single" w:sz="8" w:color="00A5B5"/>
              <w:right w:val="single" w:sz="8" w:color="00A5B5"/>
            </w:tcBorders>
          </w:tcPr>
          <w:p>
            <w:pPr>
              <w:spacing w:after="0"/>
              <w:rPr>
                <w:sz w:val="7"/>
                <w:szCs w:val="7"/>
                <w:color w:val="auto"/>
              </w:rPr>
            </w:pPr>
          </w:p>
        </w:tc>
        <w:tc>
          <w:tcPr>
            <w:tcW w:w="640" w:type="dxa"/>
            <w:vAlign w:val="bottom"/>
            <w:tcBorders>
              <w:bottom w:val="single" w:sz="8" w:color="00A5B5"/>
              <w:right w:val="single" w:sz="8" w:color="00A5B5"/>
            </w:tcBorders>
          </w:tcPr>
          <w:p>
            <w:pPr>
              <w:spacing w:after="0"/>
              <w:rPr>
                <w:sz w:val="7"/>
                <w:szCs w:val="7"/>
                <w:color w:val="auto"/>
              </w:rPr>
            </w:pPr>
          </w:p>
        </w:tc>
        <w:tc>
          <w:tcPr>
            <w:tcW w:w="640" w:type="dxa"/>
            <w:vAlign w:val="bottom"/>
            <w:tcBorders>
              <w:bottom w:val="single" w:sz="8" w:color="00A5B5"/>
              <w:right w:val="single" w:sz="8" w:color="00A5B5"/>
            </w:tcBorders>
          </w:tcPr>
          <w:p>
            <w:pPr>
              <w:spacing w:after="0"/>
              <w:rPr>
                <w:sz w:val="7"/>
                <w:szCs w:val="7"/>
                <w:color w:val="auto"/>
              </w:rPr>
            </w:pPr>
          </w:p>
        </w:tc>
        <w:tc>
          <w:tcPr>
            <w:tcW w:w="640" w:type="dxa"/>
            <w:vAlign w:val="bottom"/>
            <w:tcBorders>
              <w:bottom w:val="single" w:sz="8" w:color="00A5B5"/>
              <w:right w:val="single" w:sz="8" w:color="00A5B5"/>
            </w:tcBorders>
          </w:tcPr>
          <w:p>
            <w:pPr>
              <w:spacing w:after="0"/>
              <w:rPr>
                <w:sz w:val="7"/>
                <w:szCs w:val="7"/>
                <w:color w:val="auto"/>
              </w:rPr>
            </w:pPr>
          </w:p>
        </w:tc>
        <w:tc>
          <w:tcPr>
            <w:tcW w:w="660" w:type="dxa"/>
            <w:vAlign w:val="bottom"/>
            <w:tcBorders>
              <w:bottom w:val="single" w:sz="8" w:color="00A5B5"/>
              <w:right w:val="single" w:sz="8" w:color="00A5B5"/>
            </w:tcBorders>
          </w:tcPr>
          <w:p>
            <w:pPr>
              <w:spacing w:after="0"/>
              <w:rPr>
                <w:sz w:val="7"/>
                <w:szCs w:val="7"/>
                <w:color w:val="auto"/>
              </w:rPr>
            </w:pPr>
          </w:p>
        </w:tc>
        <w:tc>
          <w:tcPr>
            <w:tcW w:w="620" w:type="dxa"/>
            <w:vAlign w:val="bottom"/>
            <w:tcBorders>
              <w:bottom w:val="single" w:sz="8" w:color="00A5B5"/>
              <w:right w:val="single" w:sz="8" w:color="00A5B5"/>
            </w:tcBorders>
          </w:tcPr>
          <w:p>
            <w:pPr>
              <w:spacing w:after="0"/>
              <w:rPr>
                <w:sz w:val="7"/>
                <w:szCs w:val="7"/>
                <w:color w:val="auto"/>
              </w:rPr>
            </w:pPr>
          </w:p>
        </w:tc>
        <w:tc>
          <w:tcPr>
            <w:tcW w:w="680" w:type="dxa"/>
            <w:vAlign w:val="bottom"/>
            <w:tcBorders>
              <w:bottom w:val="single" w:sz="8" w:color="00A5B5"/>
              <w:right w:val="single" w:sz="8" w:color="00A5B5"/>
            </w:tcBorders>
          </w:tcPr>
          <w:p>
            <w:pPr>
              <w:spacing w:after="0"/>
              <w:rPr>
                <w:sz w:val="7"/>
                <w:szCs w:val="7"/>
                <w:color w:val="auto"/>
              </w:rPr>
            </w:pPr>
          </w:p>
        </w:tc>
        <w:tc>
          <w:tcPr>
            <w:tcW w:w="800" w:type="dxa"/>
            <w:vAlign w:val="bottom"/>
            <w:tcBorders>
              <w:bottom w:val="single" w:sz="8" w:color="00A5B5"/>
              <w:right w:val="single" w:sz="8" w:color="00A5B5"/>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960" w:type="dxa"/>
            <w:vAlign w:val="bottom"/>
            <w:tcBorders>
              <w:left w:val="single" w:sz="8" w:color="00A5B5"/>
              <w:bottom w:val="single" w:sz="8" w:color="00A5B5"/>
              <w:right w:val="single" w:sz="8" w:color="00A5B5"/>
            </w:tcBorders>
            <w:shd w:val="clear" w:color="auto" w:fill="DBDBDB"/>
          </w:tcPr>
          <w:p>
            <w:pPr>
              <w:ind w:left="20"/>
              <w:spacing w:after="0"/>
              <w:rPr>
                <w:sz w:val="20"/>
                <w:szCs w:val="20"/>
                <w:color w:val="auto"/>
              </w:rPr>
            </w:pPr>
            <w:r>
              <w:rPr>
                <w:rFonts w:ascii="Arial" w:cs="Arial" w:eastAsia="Arial" w:hAnsi="Arial"/>
                <w:sz w:val="14"/>
                <w:szCs w:val="14"/>
                <w:color w:val="auto"/>
              </w:rPr>
              <w:t>Operations Management</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7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spacing w:after="0"/>
              <w:rPr>
                <w:sz w:val="16"/>
                <w:szCs w:val="16"/>
                <w:color w:val="auto"/>
              </w:rPr>
            </w:pP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rPr>
              <w:t>l</w:t>
            </w:r>
          </w:p>
        </w:tc>
        <w:tc>
          <w:tcPr>
            <w:tcW w:w="64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6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2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68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800" w:type="dxa"/>
            <w:vAlign w:val="bottom"/>
            <w:tcBorders>
              <w:bottom w:val="single" w:sz="8" w:color="00A5B5"/>
              <w:right w:val="single" w:sz="8" w:color="00A5B5"/>
            </w:tcBorders>
            <w:shd w:val="clear" w:color="auto" w:fill="DBDBDB"/>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p>
      <w:pPr>
        <w:spacing w:after="0"/>
        <w:rPr>
          <w:sz w:val="20"/>
          <w:szCs w:val="20"/>
          <w:color w:val="auto"/>
        </w:rPr>
      </w:pPr>
      <w:r>
        <w:rPr>
          <w:rFonts w:ascii="Arial" w:cs="Arial" w:eastAsia="Arial" w:hAnsi="Arial"/>
          <w:sz w:val="21"/>
          <w:szCs w:val="21"/>
          <w:b w:val="1"/>
          <w:bCs w:val="1"/>
          <w:u w:val="single" w:color="auto"/>
          <w:color w:val="00A5B5"/>
        </w:rPr>
        <w:t>Director Nominees</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ten nominees for election as directors are listed below. If elected, the nominees for election as directors will serve for one-year terms and until their successors are elected and qualify. Unless you instruct us on the proxy card to vote differently, we will vote signed, returned proxies FOR the election of such nominees. If for any reason any nominee cannot or will not serve as a director, we may vote such proxies for the election of a substitute nominee designated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7126605" cy="499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6605" cy="499173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A5B5"/>
        </w:rPr>
        <w:t>Debra L. Dial</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Age: 65</w:t>
      </w:r>
    </w:p>
    <w:p>
      <w:pPr>
        <w:spacing w:after="0" w:line="44" w:lineRule="exact"/>
        <w:rPr>
          <w:sz w:val="20"/>
          <w:szCs w:val="20"/>
          <w:color w:val="auto"/>
        </w:rPr>
      </w:pPr>
    </w:p>
    <w:p>
      <w:pPr>
        <w:ind w:left="40"/>
        <w:spacing w:after="0" w:line="334" w:lineRule="auto"/>
        <w:rPr>
          <w:sz w:val="20"/>
          <w:szCs w:val="20"/>
          <w:color w:val="auto"/>
        </w:rPr>
      </w:pPr>
      <w:r>
        <w:rPr>
          <w:rFonts w:ascii="Arial" w:cs="Arial" w:eastAsia="Arial" w:hAnsi="Arial"/>
          <w:sz w:val="18"/>
          <w:szCs w:val="18"/>
          <w:b w:val="1"/>
          <w:bCs w:val="1"/>
          <w:color w:val="FFFFFF"/>
        </w:rPr>
        <w:t>Director since: 2025 Independent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400" w:hanging="28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Ms. Dial served as the senior vice president, chief accounting officer, and controller of AT&amp;T Inc. (“AT&amp;T”), a</w:t>
      </w:r>
    </w:p>
    <w:p>
      <w:pPr>
        <w:jc w:val="both"/>
        <w:ind w:right="40"/>
        <w:spacing w:after="0" w:line="216" w:lineRule="auto"/>
        <w:rPr>
          <w:sz w:val="20"/>
          <w:szCs w:val="20"/>
          <w:color w:val="auto"/>
        </w:rPr>
      </w:pPr>
      <w:r>
        <w:rPr>
          <w:rFonts w:ascii="Arial" w:cs="Arial" w:eastAsia="Arial" w:hAnsi="Arial"/>
          <w:sz w:val="17"/>
          <w:szCs w:val="17"/>
          <w:color w:val="auto"/>
        </w:rPr>
        <w:t>global telecommunications company, from 2022 to 2023 and as AT&amp;T’s senior vice president and controller from 2016 to 2023. Previously, she served as vice president of finance for AT&amp;T Capital Management, where she led capital allocation, budgeting, and governance, and as chief financial officer for the AT&amp;T Chief Information and</w:t>
      </w:r>
    </w:p>
    <w:p>
      <w:pPr>
        <w:spacing w:after="0" w:line="2"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Technology Office. Prior to joining AT&amp;T in 1996, Ms. Dial spent 10 years with KPMG’s audit practice, where she held roles of increasing responsibility.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Ms. Dial serves on the Center for Audit Quality, Audit Committee Council and is a Certified Public Accountant.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Ms. Dial brings deep expertise in long-term financial and business planning, digital transformation, organizational</w:t>
      </w:r>
    </w:p>
    <w:p>
      <w:pPr>
        <w:jc w:val="both"/>
        <w:ind w:right="40"/>
        <w:spacing w:after="0" w:line="216" w:lineRule="auto"/>
        <w:rPr>
          <w:sz w:val="20"/>
          <w:szCs w:val="20"/>
          <w:color w:val="auto"/>
        </w:rPr>
      </w:pPr>
      <w:r>
        <w:rPr>
          <w:rFonts w:ascii="Arial" w:cs="Arial" w:eastAsia="Arial" w:hAnsi="Arial"/>
          <w:sz w:val="17"/>
          <w:szCs w:val="17"/>
          <w:color w:val="auto"/>
        </w:rPr>
        <w:t>dynamics, and operational efficiency developed through her prior executive roles have equipped her to provide our Board with strategic decision-making insights, enabling us to navigate complex market environments. Ms. Dial’s over 25 years of experience in financial reporting, accounting policy and capital allocation with a Fortune 50</w:t>
      </w:r>
    </w:p>
    <w:p>
      <w:pPr>
        <w:spacing w:after="0" w:line="2" w:lineRule="exact"/>
        <w:rPr>
          <w:sz w:val="20"/>
          <w:szCs w:val="20"/>
          <w:color w:val="auto"/>
        </w:rPr>
      </w:pPr>
    </w:p>
    <w:p>
      <w:pPr>
        <w:jc w:val="both"/>
        <w:ind w:right="60"/>
        <w:spacing w:after="0" w:line="216" w:lineRule="auto"/>
        <w:rPr>
          <w:sz w:val="20"/>
          <w:szCs w:val="20"/>
          <w:color w:val="auto"/>
        </w:rPr>
      </w:pPr>
      <w:r>
        <w:rPr>
          <w:rFonts w:ascii="Arial" w:cs="Arial" w:eastAsia="Arial" w:hAnsi="Arial"/>
          <w:sz w:val="18"/>
          <w:szCs w:val="18"/>
          <w:color w:val="auto"/>
        </w:rPr>
        <w:t>global telecommunications company and service on other public company boards enable her to offer invaluable insights into the Company’s financial management, reporting, compliance, risk oversight and governance, particularly as a member of the Audit Committee.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60"/>
        <w:spacing w:after="0"/>
        <w:tabs>
          <w:tab w:leader="none" w:pos="348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Dow Inc. (NYSE: DOW) (since</w:t>
      </w:r>
    </w:p>
    <w:p>
      <w:pPr>
        <w:ind w:left="260"/>
        <w:spacing w:after="0" w:line="199" w:lineRule="auto"/>
        <w:rPr>
          <w:sz w:val="20"/>
          <w:szCs w:val="20"/>
          <w:color w:val="auto"/>
        </w:rPr>
      </w:pPr>
      <w:r>
        <w:rPr>
          <w:rFonts w:ascii="Arial" w:cs="Arial" w:eastAsia="Arial" w:hAnsi="Arial"/>
          <w:sz w:val="18"/>
          <w:szCs w:val="18"/>
          <w:color w:val="auto"/>
        </w:rPr>
        <w:t>April 2021) — Audit Committee</w:t>
      </w:r>
    </w:p>
    <w:p>
      <w:pPr>
        <w:ind w:left="1200"/>
        <w:spacing w:after="0" w:line="199" w:lineRule="auto"/>
        <w:tabs>
          <w:tab w:leader="none" w:pos="404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None</w:t>
      </w:r>
    </w:p>
    <w:p>
      <w:pPr>
        <w:jc w:val="center"/>
        <w:ind w:right="5980"/>
        <w:spacing w:after="0" w:line="215" w:lineRule="auto"/>
        <w:rPr>
          <w:sz w:val="20"/>
          <w:szCs w:val="20"/>
          <w:color w:val="auto"/>
        </w:rPr>
      </w:pPr>
      <w:r>
        <w:rPr>
          <w:rFonts w:ascii="Arial" w:cs="Arial" w:eastAsia="Arial" w:hAnsi="Arial"/>
          <w:sz w:val="18"/>
          <w:szCs w:val="18"/>
          <w:color w:val="auto"/>
        </w:rPr>
        <w:t>Hubbell Inc. (NYSE: HUBB)</w:t>
      </w:r>
    </w:p>
    <w:p>
      <w:pPr>
        <w:spacing w:after="0" w:line="1"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(since July 2023)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Ms. Dial brings deep financial, accounting, and operational expertise to the Board, grounded in decades of senior</w:t>
      </w:r>
    </w:p>
    <w:p>
      <w:pPr>
        <w:jc w:val="both"/>
        <w:ind w:right="40"/>
        <w:spacing w:after="0" w:line="216" w:lineRule="auto"/>
        <w:rPr>
          <w:sz w:val="20"/>
          <w:szCs w:val="20"/>
          <w:color w:val="auto"/>
        </w:rPr>
      </w:pPr>
      <w:r>
        <w:rPr>
          <w:rFonts w:ascii="Arial" w:cs="Arial" w:eastAsia="Arial" w:hAnsi="Arial"/>
          <w:sz w:val="18"/>
          <w:szCs w:val="18"/>
          <w:color w:val="auto"/>
        </w:rPr>
        <w:t>leadership at a global telecommunications company. The Board believes her experience overseeing complex financial systems, capital allocation, and enterprise-wide governance strengthens the Board’s oversight of financial integrity, risk management, and compliance.</w:t>
      </w:r>
    </w:p>
    <w:p>
      <w:pPr>
        <w:spacing w:after="0" w:line="127" w:lineRule="exact"/>
        <w:rPr>
          <w:sz w:val="20"/>
          <w:szCs w:val="20"/>
          <w:color w:val="auto"/>
        </w:rPr>
      </w:pPr>
    </w:p>
    <w:p>
      <w:pPr>
        <w:jc w:val="both"/>
        <w:ind w:right="40"/>
        <w:spacing w:after="0" w:line="222" w:lineRule="auto"/>
        <w:rPr>
          <w:sz w:val="20"/>
          <w:szCs w:val="20"/>
          <w:color w:val="auto"/>
        </w:rPr>
      </w:pPr>
      <w:r>
        <w:rPr>
          <w:rFonts w:ascii="Arial" w:cs="Arial" w:eastAsia="Arial" w:hAnsi="Arial"/>
          <w:sz w:val="18"/>
          <w:szCs w:val="18"/>
          <w:color w:val="auto"/>
        </w:rPr>
        <w:t>Her background in digital transformation, long-term financial planning, and public company audit committee service provides valuable perspective as Booz Allen continues to navigate evolving regulatory, technological, and operational environments.</w:t>
      </w:r>
    </w:p>
    <w:p>
      <w:pPr>
        <w:spacing w:after="0" w:line="200" w:lineRule="exact"/>
        <w:rPr>
          <w:sz w:val="20"/>
          <w:szCs w:val="20"/>
          <w:color w:val="auto"/>
        </w:rPr>
      </w:pPr>
    </w:p>
    <w:p>
      <w:pPr>
        <w:sectPr>
          <w:pgSz w:w="11900" w:h="16838" w:orient="portrait"/>
          <w:cols w:equalWidth="0" w:num="2">
            <w:col w:w="1720" w:space="600"/>
            <w:col w:w="8920"/>
          </w:cols>
          <w:pgMar w:left="320" w:top="12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44"/>
        </w:trPr>
        <w:tc>
          <w:tcPr>
            <w:tcW w:w="2300" w:type="dxa"/>
            <w:vAlign w:val="bottom"/>
          </w:tcPr>
          <w:p>
            <w:pPr>
              <w:spacing w:after="0"/>
              <w:rPr>
                <w:sz w:val="21"/>
                <w:szCs w:val="21"/>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16"/>
                <w:szCs w:val="16"/>
                <w:color w:val="auto"/>
              </w:rPr>
            </w:pPr>
          </w:p>
        </w:tc>
        <w:tc>
          <w:tcPr>
            <w:tcW w:w="8900" w:type="dxa"/>
            <w:vAlign w:val="bottom"/>
          </w:tcPr>
          <w:p>
            <w:pPr>
              <w:ind w:left="20"/>
              <w:spacing w:after="0" w:line="186" w:lineRule="exact"/>
              <w:rPr>
                <w:sz w:val="20"/>
                <w:szCs w:val="20"/>
                <w:color w:val="auto"/>
              </w:rPr>
            </w:pPr>
            <w:r>
              <w:rPr>
                <w:rFonts w:ascii="Arial" w:cs="Arial" w:eastAsia="Arial" w:hAnsi="Arial"/>
                <w:sz w:val="18"/>
                <w:szCs w:val="18"/>
                <w:color w:val="auto"/>
                <w:w w:val="99"/>
              </w:rPr>
              <w:t>Ms. Flournoy is the co-founder and managing partner of WestExec Advisors, a strategic advisory firm founded in</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8900" w:type="dxa"/>
            <w:vAlign w:val="bottom"/>
          </w:tcPr>
          <w:p>
            <w:pPr>
              <w:ind w:left="20"/>
              <w:spacing w:after="0" w:line="182" w:lineRule="exact"/>
              <w:rPr>
                <w:sz w:val="20"/>
                <w:szCs w:val="20"/>
                <w:color w:val="auto"/>
              </w:rPr>
            </w:pPr>
            <w:r>
              <w:rPr>
                <w:rFonts w:ascii="Arial" w:cs="Arial" w:eastAsia="Arial" w:hAnsi="Arial"/>
                <w:sz w:val="18"/>
                <w:szCs w:val="18"/>
                <w:color w:val="auto"/>
              </w:rPr>
              <w:t>2018. Ms. Flournoy formerly served as the Under Secretary of Defense for Policy from 2009 to 2012, acting as</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8900" w:type="dxa"/>
            <w:vAlign w:val="bottom"/>
          </w:tcPr>
          <w:p>
            <w:pPr>
              <w:ind w:left="20"/>
              <w:spacing w:after="0" w:line="176" w:lineRule="exact"/>
              <w:rPr>
                <w:sz w:val="20"/>
                <w:szCs w:val="20"/>
                <w:color w:val="auto"/>
              </w:rPr>
            </w:pPr>
            <w:r>
              <w:rPr>
                <w:rFonts w:ascii="Arial" w:cs="Arial" w:eastAsia="Arial" w:hAnsi="Arial"/>
                <w:sz w:val="18"/>
                <w:szCs w:val="18"/>
                <w:color w:val="auto"/>
              </w:rPr>
              <w:t>the principal advisor to the Secretary of Defense in the formulation of national security and defense policy,</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900" w:type="dxa"/>
            <w:vAlign w:val="bottom"/>
          </w:tcPr>
          <w:p>
            <w:pPr>
              <w:ind w:left="20"/>
              <w:spacing w:after="0" w:line="172" w:lineRule="exact"/>
              <w:rPr>
                <w:sz w:val="20"/>
                <w:szCs w:val="20"/>
                <w:color w:val="auto"/>
              </w:rPr>
            </w:pPr>
            <w:r>
              <w:rPr>
                <w:rFonts w:ascii="Arial" w:cs="Arial" w:eastAsia="Arial" w:hAnsi="Arial"/>
                <w:sz w:val="18"/>
                <w:szCs w:val="18"/>
                <w:color w:val="auto"/>
              </w:rPr>
              <w:t>oversight of military plans and operations, and in National Security Council deliberations. Ms. Flournoy also co-</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8900" w:type="dxa"/>
            <w:vAlign w:val="bottom"/>
          </w:tcPr>
          <w:p>
            <w:pPr>
              <w:ind w:left="20"/>
              <w:spacing w:after="0" w:line="182" w:lineRule="exact"/>
              <w:rPr>
                <w:sz w:val="20"/>
                <w:szCs w:val="20"/>
                <w:color w:val="auto"/>
              </w:rPr>
            </w:pPr>
            <w:r>
              <w:rPr>
                <w:rFonts w:ascii="Arial" w:cs="Arial" w:eastAsia="Arial" w:hAnsi="Arial"/>
                <w:sz w:val="18"/>
                <w:szCs w:val="18"/>
                <w:color w:val="auto"/>
              </w:rPr>
              <w:t>founded the bipartisan national security think tank, Center for New American Security (CNAS), in 2007, and</w:t>
            </w: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served as its president from 2007 to 2009 before returning as its chief executive officer from 2014 to 2017.</w:t>
            </w:r>
          </w:p>
        </w:tc>
        <w:tc>
          <w:tcPr>
            <w:tcW w:w="0" w:type="dxa"/>
            <w:vAlign w:val="bottom"/>
          </w:tcPr>
          <w:p>
            <w:pPr>
              <w:spacing w:after="0"/>
              <w:rPr>
                <w:sz w:val="1"/>
                <w:szCs w:val="1"/>
                <w:color w:val="auto"/>
              </w:rPr>
            </w:pPr>
          </w:p>
        </w:tc>
      </w:tr>
      <w:tr>
        <w:trPr>
          <w:trHeight w:val="288"/>
        </w:trPr>
        <w:tc>
          <w:tcPr>
            <w:tcW w:w="23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Ms. Flournoy is a member of the Council on Foreign Relations, the Aspen Strategy Group, Microsoft Advisory</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8900" w:type="dxa"/>
            <w:vAlign w:val="bottom"/>
          </w:tcPr>
          <w:p>
            <w:pPr>
              <w:ind w:left="20"/>
              <w:spacing w:after="0" w:line="182" w:lineRule="exact"/>
              <w:rPr>
                <w:sz w:val="20"/>
                <w:szCs w:val="20"/>
                <w:color w:val="auto"/>
              </w:rPr>
            </w:pPr>
            <w:r>
              <w:rPr>
                <w:rFonts w:ascii="Arial" w:cs="Arial" w:eastAsia="Arial" w:hAnsi="Arial"/>
                <w:sz w:val="18"/>
                <w:szCs w:val="18"/>
                <w:color w:val="auto"/>
              </w:rPr>
              <w:t>Board, and a non-resident Senior Fellow at the Nunn School at Georgia Tech. Ms. Flournoy was formerly a</w:t>
            </w:r>
          </w:p>
        </w:tc>
        <w:tc>
          <w:tcPr>
            <w:tcW w:w="0" w:type="dxa"/>
            <w:vAlign w:val="bottom"/>
          </w:tcPr>
          <w:p>
            <w:pPr>
              <w:spacing w:after="0"/>
              <w:rPr>
                <w:sz w:val="1"/>
                <w:szCs w:val="1"/>
                <w:color w:val="auto"/>
              </w:rPr>
            </w:pPr>
          </w:p>
        </w:tc>
      </w:tr>
      <w:tr>
        <w:trPr>
          <w:trHeight w:val="176"/>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00A5B5"/>
              </w:rPr>
              <w:t>Michèle A. Flournoy</w:t>
            </w:r>
          </w:p>
        </w:tc>
        <w:tc>
          <w:tcPr>
            <w:tcW w:w="8900" w:type="dxa"/>
            <w:vAlign w:val="bottom"/>
          </w:tcPr>
          <w:p>
            <w:pPr>
              <w:ind w:left="20"/>
              <w:spacing w:after="0" w:line="176" w:lineRule="exact"/>
              <w:rPr>
                <w:sz w:val="20"/>
                <w:szCs w:val="20"/>
                <w:color w:val="auto"/>
              </w:rPr>
            </w:pPr>
            <w:r>
              <w:rPr>
                <w:rFonts w:ascii="Arial" w:cs="Arial" w:eastAsia="Arial" w:hAnsi="Arial"/>
                <w:sz w:val="18"/>
                <w:szCs w:val="18"/>
                <w:color w:val="auto"/>
                <w:w w:val="98"/>
              </w:rPr>
              <w:t>member of the National Security Agency Advisory Board, and previously served on the Defense Policy Board, the</w:t>
            </w:r>
          </w:p>
        </w:tc>
        <w:tc>
          <w:tcPr>
            <w:tcW w:w="0" w:type="dxa"/>
            <w:vAlign w:val="bottom"/>
          </w:tcPr>
          <w:p>
            <w:pPr>
              <w:spacing w:after="0"/>
              <w:rPr>
                <w:sz w:val="1"/>
                <w:szCs w:val="1"/>
                <w:color w:val="auto"/>
              </w:rPr>
            </w:pPr>
          </w:p>
        </w:tc>
      </w:tr>
      <w:tr>
        <w:trPr>
          <w:trHeight w:val="172"/>
        </w:trPr>
        <w:tc>
          <w:tcPr>
            <w:tcW w:w="2300" w:type="dxa"/>
            <w:vAlign w:val="bottom"/>
            <w:vMerge w:val="continue"/>
          </w:tcPr>
          <w:p>
            <w:pPr>
              <w:spacing w:after="0"/>
              <w:rPr>
                <w:sz w:val="14"/>
                <w:szCs w:val="14"/>
                <w:color w:val="auto"/>
              </w:rPr>
            </w:pPr>
          </w:p>
        </w:tc>
        <w:tc>
          <w:tcPr>
            <w:tcW w:w="8900" w:type="dxa"/>
            <w:vAlign w:val="bottom"/>
          </w:tcPr>
          <w:p>
            <w:pPr>
              <w:ind w:left="20"/>
              <w:spacing w:after="0" w:line="152" w:lineRule="exact"/>
              <w:rPr>
                <w:sz w:val="20"/>
                <w:szCs w:val="20"/>
                <w:color w:val="auto"/>
              </w:rPr>
            </w:pPr>
            <w:r>
              <w:rPr>
                <w:rFonts w:ascii="Arial" w:cs="Arial" w:eastAsia="Arial" w:hAnsi="Arial"/>
                <w:sz w:val="17"/>
                <w:szCs w:val="17"/>
                <w:color w:val="auto"/>
              </w:rPr>
              <w:t>President’s Intelligence Advisory Board and the CIA Director’s External Advisory Board.</w:t>
            </w:r>
          </w:p>
        </w:tc>
        <w:tc>
          <w:tcPr>
            <w:tcW w:w="0" w:type="dxa"/>
            <w:vAlign w:val="bottom"/>
          </w:tcPr>
          <w:p>
            <w:pPr>
              <w:spacing w:after="0"/>
              <w:rPr>
                <w:sz w:val="1"/>
                <w:szCs w:val="1"/>
                <w:color w:val="auto"/>
              </w:rPr>
            </w:pPr>
          </w:p>
        </w:tc>
      </w:tr>
      <w:tr>
        <w:trPr>
          <w:trHeight w:val="251"/>
        </w:trPr>
        <w:tc>
          <w:tcPr>
            <w:tcW w:w="2300" w:type="dxa"/>
            <w:vAlign w:val="bottom"/>
            <w:shd w:val="clear" w:color="auto" w:fill="00A5B5"/>
          </w:tcPr>
          <w:p>
            <w:pPr>
              <w:ind w:left="40"/>
              <w:spacing w:after="0"/>
              <w:rPr>
                <w:sz w:val="20"/>
                <w:szCs w:val="20"/>
                <w:color w:val="auto"/>
              </w:rPr>
            </w:pPr>
            <w:r>
              <w:rPr>
                <w:rFonts w:ascii="Arial" w:cs="Arial" w:eastAsia="Arial" w:hAnsi="Arial"/>
                <w:sz w:val="18"/>
                <w:szCs w:val="18"/>
                <w:b w:val="1"/>
                <w:bCs w:val="1"/>
                <w:color w:val="FFFFFF"/>
              </w:rPr>
              <w:t>Age: 65</w:t>
            </w: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300" w:type="dxa"/>
            <w:vAlign w:val="bottom"/>
            <w:shd w:val="clear" w:color="auto" w:fill="00A5B5"/>
          </w:tcPr>
          <w:p>
            <w:pPr>
              <w:ind w:left="40"/>
              <w:spacing w:after="0"/>
              <w:rPr>
                <w:sz w:val="20"/>
                <w:szCs w:val="20"/>
                <w:color w:val="auto"/>
              </w:rPr>
            </w:pPr>
            <w:r>
              <w:rPr>
                <w:rFonts w:ascii="Arial" w:cs="Arial" w:eastAsia="Arial" w:hAnsi="Arial"/>
                <w:sz w:val="18"/>
                <w:szCs w:val="18"/>
                <w:b w:val="1"/>
                <w:bCs w:val="1"/>
                <w:color w:val="FFFFFF"/>
              </w:rPr>
              <w:t>Director since: 2018</w:t>
            </w: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300" w:type="dxa"/>
            <w:vAlign w:val="bottom"/>
            <w:shd w:val="clear" w:color="auto" w:fill="00A5B5"/>
          </w:tcPr>
          <w:p>
            <w:pPr>
              <w:ind w:left="40"/>
              <w:spacing w:after="0"/>
              <w:rPr>
                <w:sz w:val="20"/>
                <w:szCs w:val="20"/>
                <w:color w:val="auto"/>
              </w:rPr>
            </w:pPr>
            <w:r>
              <w:rPr>
                <w:rFonts w:ascii="Arial" w:cs="Arial" w:eastAsia="Arial" w:hAnsi="Arial"/>
                <w:sz w:val="18"/>
                <w:szCs w:val="18"/>
                <w:b w:val="1"/>
                <w:bCs w:val="1"/>
                <w:color w:val="FFFFFF"/>
              </w:rPr>
              <w:t>Independent</w:t>
            </w: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Key Expertise</w:t>
            </w:r>
          </w:p>
        </w:tc>
        <w:tc>
          <w:tcPr>
            <w:tcW w:w="0" w:type="dxa"/>
            <w:vAlign w:val="bottom"/>
          </w:tcPr>
          <w:p>
            <w:pPr>
              <w:spacing w:after="0"/>
              <w:rPr>
                <w:sz w:val="1"/>
                <w:szCs w:val="1"/>
                <w:color w:val="auto"/>
              </w:rPr>
            </w:pPr>
          </w:p>
        </w:tc>
      </w:tr>
      <w:tr>
        <w:trPr>
          <w:trHeight w:val="172"/>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00A5B5"/>
              </w:rPr>
              <w:t>Committees</w:t>
            </w:r>
          </w:p>
        </w:tc>
        <w:tc>
          <w:tcPr>
            <w:tcW w:w="8900" w:type="dxa"/>
            <w:vAlign w:val="bottom"/>
          </w:tcPr>
          <w:p>
            <w:pPr>
              <w:ind w:left="20"/>
              <w:spacing w:after="0" w:line="172" w:lineRule="exact"/>
              <w:rPr>
                <w:sz w:val="20"/>
                <w:szCs w:val="20"/>
                <w:color w:val="auto"/>
              </w:rPr>
            </w:pPr>
            <w:r>
              <w:rPr>
                <w:rFonts w:ascii="Arial" w:cs="Arial" w:eastAsia="Arial" w:hAnsi="Arial"/>
                <w:sz w:val="18"/>
                <w:szCs w:val="18"/>
                <w:color w:val="auto"/>
              </w:rPr>
              <w:t>Ms. Flournoy is a seasoned defense leader whose extensive knowledge in strategic advisory, governance, and</w:t>
            </w:r>
          </w:p>
        </w:tc>
        <w:tc>
          <w:tcPr>
            <w:tcW w:w="0" w:type="dxa"/>
            <w:vAlign w:val="bottom"/>
          </w:tcPr>
          <w:p>
            <w:pPr>
              <w:spacing w:after="0"/>
              <w:rPr>
                <w:sz w:val="1"/>
                <w:szCs w:val="1"/>
                <w:color w:val="auto"/>
              </w:rPr>
            </w:pPr>
          </w:p>
        </w:tc>
      </w:tr>
      <w:tr>
        <w:trPr>
          <w:trHeight w:val="198"/>
        </w:trPr>
        <w:tc>
          <w:tcPr>
            <w:tcW w:w="2300" w:type="dxa"/>
            <w:vAlign w:val="bottom"/>
            <w:vMerge w:val="continue"/>
          </w:tcPr>
          <w:p>
            <w:pPr>
              <w:spacing w:after="0"/>
              <w:rPr>
                <w:sz w:val="17"/>
                <w:szCs w:val="17"/>
                <w:color w:val="auto"/>
              </w:rPr>
            </w:pPr>
          </w:p>
        </w:tc>
        <w:tc>
          <w:tcPr>
            <w:tcW w:w="8900" w:type="dxa"/>
            <w:vAlign w:val="bottom"/>
          </w:tcPr>
          <w:p>
            <w:pPr>
              <w:ind w:left="20"/>
              <w:spacing w:after="0" w:line="198" w:lineRule="exact"/>
              <w:rPr>
                <w:sz w:val="20"/>
                <w:szCs w:val="20"/>
                <w:color w:val="auto"/>
              </w:rPr>
            </w:pPr>
            <w:r>
              <w:rPr>
                <w:rFonts w:ascii="Arial" w:cs="Arial" w:eastAsia="Arial" w:hAnsi="Arial"/>
                <w:sz w:val="18"/>
                <w:szCs w:val="18"/>
                <w:color w:val="auto"/>
              </w:rPr>
              <w:t>national security significantly contributes to the company’s strategy and direction. Ms. Flournoy provides the</w:t>
            </w:r>
          </w:p>
        </w:tc>
        <w:tc>
          <w:tcPr>
            <w:tcW w:w="0" w:type="dxa"/>
            <w:vAlign w:val="bottom"/>
          </w:tcPr>
          <w:p>
            <w:pPr>
              <w:spacing w:after="0"/>
              <w:rPr>
                <w:sz w:val="1"/>
                <w:szCs w:val="1"/>
                <w:color w:val="auto"/>
              </w:rPr>
            </w:pPr>
          </w:p>
        </w:tc>
      </w:tr>
    </w:tbl>
    <w:p>
      <w:pPr>
        <w:ind w:left="400" w:hanging="284"/>
        <w:spacing w:after="0" w:line="188" w:lineRule="auto"/>
        <w:tabs>
          <w:tab w:leader="none" w:pos="400" w:val="left"/>
        </w:tabs>
        <w:numPr>
          <w:ilvl w:val="0"/>
          <w:numId w:val="10"/>
        </w:numPr>
        <w:rPr>
          <w:rFonts w:ascii="Arial" w:cs="Arial" w:eastAsia="Arial" w:hAnsi="Arial"/>
          <w:sz w:val="19"/>
          <w:szCs w:val="19"/>
          <w:color w:val="auto"/>
          <w:vertAlign w:val="subscript"/>
        </w:rPr>
      </w:pPr>
      <w:r>
        <w:rPr>
          <w:rFonts w:ascii="Arial" w:cs="Arial" w:eastAsia="Arial" w:hAnsi="Arial"/>
          <w:sz w:val="19"/>
          <w:szCs w:val="19"/>
          <w:color w:val="auto"/>
          <w:vertAlign w:val="subscript"/>
        </w:rPr>
        <w:drawing>
          <wp:anchor simplePos="0" relativeHeight="251657728" behindDoc="1" locked="0" layoutInCell="0" allowOverlap="1">
            <wp:simplePos x="0" y="0"/>
            <wp:positionH relativeFrom="page">
              <wp:posOffset>207010</wp:posOffset>
            </wp:positionH>
            <wp:positionV relativeFrom="page">
              <wp:posOffset>652145</wp:posOffset>
            </wp:positionV>
            <wp:extent cx="7126605" cy="4664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6605" cy="4664075"/>
                    </a:xfrm>
                    <a:prstGeom prst="rect">
                      <a:avLst/>
                    </a:prstGeom>
                    <a:noFill/>
                  </pic:spPr>
                </pic:pic>
              </a:graphicData>
            </a:graphic>
          </wp:anchor>
        </w:drawing>
        <w:t>Compensation, Culture</w:t>
      </w:r>
      <w:r>
        <w:rPr>
          <w:rFonts w:ascii="Arial" w:cs="Arial" w:eastAsia="Arial" w:hAnsi="Arial"/>
          <w:sz w:val="12"/>
          <w:szCs w:val="12"/>
          <w:color w:val="auto"/>
        </w:rPr>
        <w:t xml:space="preserve">  Board with national security and defense policy expertise and a deep understanding of government and military</w:t>
      </w:r>
    </w:p>
    <w:p>
      <w:pPr>
        <w:ind w:left="440"/>
        <w:spacing w:after="0"/>
        <w:rPr>
          <w:rFonts w:ascii="Arial" w:cs="Arial" w:eastAsia="Arial" w:hAnsi="Arial"/>
          <w:sz w:val="19"/>
          <w:szCs w:val="19"/>
          <w:color w:val="auto"/>
          <w:vertAlign w:val="subscript"/>
        </w:rPr>
      </w:pPr>
      <w:r>
        <w:rPr>
          <w:rFonts w:ascii="Arial" w:cs="Arial" w:eastAsia="Arial" w:hAnsi="Arial"/>
          <w:sz w:val="24"/>
          <w:szCs w:val="24"/>
          <w:color w:val="auto"/>
          <w:vertAlign w:val="subscript"/>
        </w:rPr>
        <w:t>and People</w:t>
      </w:r>
      <w:r>
        <w:rPr>
          <w:rFonts w:ascii="Arial" w:cs="Arial" w:eastAsia="Arial" w:hAnsi="Arial"/>
          <w:sz w:val="18"/>
          <w:szCs w:val="18"/>
          <w:color w:val="auto"/>
        </w:rPr>
        <w:t>operations. Ms. Flournoy’s expertise, strengthened through her prior positions on the boards of CSRA Inc., The</w:t>
      </w:r>
    </w:p>
    <w:tbl>
      <w:tblPr>
        <w:tblLayout w:type="fixed"/>
        <w:tblInd w:w="40" w:type="dxa"/>
        <w:tblCellMar>
          <w:top w:w="0" w:type="dxa"/>
          <w:left w:w="0" w:type="dxa"/>
          <w:bottom w:w="0" w:type="dxa"/>
          <w:right w:w="0" w:type="dxa"/>
        </w:tblCellMar>
      </w:tblPr>
      <w:tr>
        <w:trPr>
          <w:trHeight w:val="186"/>
        </w:trPr>
        <w:tc>
          <w:tcPr>
            <w:tcW w:w="220" w:type="dxa"/>
            <w:vAlign w:val="bottom"/>
          </w:tcPr>
          <w:p>
            <w:pPr>
              <w:spacing w:after="0" w:line="187" w:lineRule="exact"/>
              <w:rPr>
                <w:sz w:val="20"/>
                <w:szCs w:val="20"/>
                <w:color w:val="auto"/>
              </w:rPr>
            </w:pPr>
            <w:r>
              <w:rPr>
                <w:rFonts w:ascii="Arial" w:cs="Arial" w:eastAsia="Arial" w:hAnsi="Arial"/>
                <w:sz w:val="18"/>
                <w:szCs w:val="18"/>
                <w:color w:val="auto"/>
              </w:rPr>
              <w:t>•</w:t>
            </w:r>
          </w:p>
        </w:tc>
        <w:tc>
          <w:tcPr>
            <w:tcW w:w="2020" w:type="dxa"/>
            <w:vAlign w:val="bottom"/>
          </w:tcPr>
          <w:p>
            <w:pPr>
              <w:ind w:left="140"/>
              <w:spacing w:after="0" w:line="187" w:lineRule="exact"/>
              <w:rPr>
                <w:sz w:val="20"/>
                <w:szCs w:val="20"/>
                <w:color w:val="auto"/>
              </w:rPr>
            </w:pPr>
            <w:r>
              <w:rPr>
                <w:rFonts w:ascii="Arial" w:cs="Arial" w:eastAsia="Arial" w:hAnsi="Arial"/>
                <w:sz w:val="18"/>
                <w:szCs w:val="18"/>
                <w:color w:val="auto"/>
              </w:rPr>
              <w:t>Nominating and</w:t>
            </w:r>
          </w:p>
        </w:tc>
        <w:tc>
          <w:tcPr>
            <w:tcW w:w="8920" w:type="dxa"/>
            <w:vAlign w:val="bottom"/>
            <w:gridSpan w:val="2"/>
          </w:tcPr>
          <w:p>
            <w:pPr>
              <w:ind w:left="40"/>
              <w:spacing w:after="0" w:line="187" w:lineRule="exact"/>
              <w:rPr>
                <w:sz w:val="20"/>
                <w:szCs w:val="20"/>
                <w:color w:val="auto"/>
              </w:rPr>
            </w:pPr>
            <w:r>
              <w:rPr>
                <w:rFonts w:ascii="Arial" w:cs="Arial" w:eastAsia="Arial" w:hAnsi="Arial"/>
                <w:sz w:val="18"/>
                <w:szCs w:val="18"/>
                <w:color w:val="auto"/>
              </w:rPr>
              <w:t>MITRE Corporation, and Rolls Royce North America, Inc., and as senior advisor at Boston Consulting Group,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2020" w:type="dxa"/>
            <w:vAlign w:val="bottom"/>
          </w:tcPr>
          <w:p>
            <w:pPr>
              <w:ind w:left="180"/>
              <w:spacing w:after="0" w:line="172" w:lineRule="exact"/>
              <w:rPr>
                <w:sz w:val="20"/>
                <w:szCs w:val="20"/>
                <w:color w:val="auto"/>
              </w:rPr>
            </w:pPr>
            <w:r>
              <w:rPr>
                <w:rFonts w:ascii="Arial" w:cs="Arial" w:eastAsia="Arial" w:hAnsi="Arial"/>
                <w:sz w:val="18"/>
                <w:szCs w:val="18"/>
                <w:color w:val="auto"/>
                <w:w w:val="99"/>
              </w:rPr>
              <w:t>Corporate Governance</w:t>
            </w:r>
          </w:p>
        </w:tc>
        <w:tc>
          <w:tcPr>
            <w:tcW w:w="8920" w:type="dxa"/>
            <w:vAlign w:val="bottom"/>
            <w:gridSpan w:val="2"/>
          </w:tcPr>
          <w:p>
            <w:pPr>
              <w:ind w:left="40"/>
              <w:spacing w:after="0" w:line="172" w:lineRule="exact"/>
              <w:rPr>
                <w:sz w:val="20"/>
                <w:szCs w:val="20"/>
                <w:color w:val="auto"/>
              </w:rPr>
            </w:pPr>
            <w:r>
              <w:rPr>
                <w:rFonts w:ascii="Arial" w:cs="Arial" w:eastAsia="Arial" w:hAnsi="Arial"/>
                <w:sz w:val="18"/>
                <w:szCs w:val="18"/>
                <w:color w:val="auto"/>
              </w:rPr>
              <w:t>significantly enhances her roles as the Chair of the Nominating and Corporate Governance Committee, and</w:t>
            </w: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(Chair)</w:t>
            </w:r>
          </w:p>
        </w:tc>
        <w:tc>
          <w:tcPr>
            <w:tcW w:w="8920" w:type="dxa"/>
            <w:vAlign w:val="bottom"/>
            <w:gridSpan w:val="2"/>
          </w:tcPr>
          <w:p>
            <w:pPr>
              <w:ind w:left="40"/>
              <w:spacing w:after="0"/>
              <w:rPr>
                <w:sz w:val="20"/>
                <w:szCs w:val="20"/>
                <w:color w:val="auto"/>
              </w:rPr>
            </w:pPr>
            <w:r>
              <w:rPr>
                <w:rFonts w:ascii="Arial" w:cs="Arial" w:eastAsia="Arial" w:hAnsi="Arial"/>
                <w:sz w:val="18"/>
                <w:szCs w:val="18"/>
                <w:color w:val="auto"/>
              </w:rPr>
              <w:t>member of the Compensation, Culture and People Committee, and benefits our Board’s oversight.</w:t>
            </w:r>
          </w:p>
        </w:tc>
        <w:tc>
          <w:tcPr>
            <w:tcW w:w="0" w:type="dxa"/>
            <w:vAlign w:val="bottom"/>
          </w:tcPr>
          <w:p>
            <w:pPr>
              <w:spacing w:after="0"/>
              <w:rPr>
                <w:sz w:val="1"/>
                <w:szCs w:val="1"/>
                <w:color w:val="auto"/>
              </w:rPr>
            </w:pPr>
          </w:p>
        </w:tc>
      </w:tr>
      <w:tr>
        <w:trPr>
          <w:trHeight w:val="7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Other Public Company Boards</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60" w:type="dxa"/>
            <w:vAlign w:val="bottom"/>
          </w:tcPr>
          <w:p>
            <w:pPr>
              <w:ind w:left="1180"/>
              <w:spacing w:after="0"/>
              <w:rPr>
                <w:sz w:val="20"/>
                <w:szCs w:val="20"/>
                <w:color w:val="auto"/>
              </w:rPr>
            </w:pPr>
            <w:r>
              <w:rPr>
                <w:rFonts w:ascii="Arial" w:cs="Arial" w:eastAsia="Arial" w:hAnsi="Arial"/>
                <w:sz w:val="18"/>
                <w:szCs w:val="18"/>
                <w:b w:val="1"/>
                <w:bCs w:val="1"/>
                <w:color w:val="00A5B5"/>
              </w:rPr>
              <w:t>Current</w:t>
            </w:r>
          </w:p>
        </w:tc>
        <w:tc>
          <w:tcPr>
            <w:tcW w:w="6160" w:type="dxa"/>
            <w:vAlign w:val="bottom"/>
          </w:tcPr>
          <w:p>
            <w:pPr>
              <w:jc w:val="center"/>
              <w:ind w:right="267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60" w:type="dxa"/>
            <w:vAlign w:val="bottom"/>
            <w:vMerge w:val="restart"/>
          </w:tcPr>
          <w:p>
            <w:pPr>
              <w:ind w:left="1300"/>
              <w:spacing w:after="0"/>
              <w:rPr>
                <w:sz w:val="20"/>
                <w:szCs w:val="20"/>
                <w:color w:val="auto"/>
              </w:rPr>
            </w:pPr>
            <w:r>
              <w:rPr>
                <w:rFonts w:ascii="Arial" w:cs="Arial" w:eastAsia="Arial" w:hAnsi="Arial"/>
                <w:sz w:val="18"/>
                <w:szCs w:val="18"/>
                <w:color w:val="auto"/>
              </w:rPr>
              <w:t>None</w:t>
            </w:r>
          </w:p>
        </w:tc>
        <w:tc>
          <w:tcPr>
            <w:tcW w:w="6160" w:type="dxa"/>
            <w:vAlign w:val="bottom"/>
          </w:tcPr>
          <w:p>
            <w:pPr>
              <w:ind w:left="140"/>
              <w:spacing w:after="0" w:line="176" w:lineRule="exact"/>
              <w:rPr>
                <w:sz w:val="20"/>
                <w:szCs w:val="20"/>
                <w:color w:val="auto"/>
              </w:rPr>
            </w:pPr>
            <w:r>
              <w:rPr>
                <w:rFonts w:ascii="Arial" w:cs="Arial" w:eastAsia="Arial" w:hAnsi="Arial"/>
                <w:sz w:val="18"/>
                <w:szCs w:val="18"/>
                <w:color w:val="auto"/>
              </w:rPr>
              <w:t>Astra Space, Inc. (NASDAQ: ASTR)</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6160" w:type="dxa"/>
            <w:vAlign w:val="bottom"/>
            <w:vMerge w:val="restart"/>
          </w:tcPr>
          <w:p>
            <w:pPr>
              <w:jc w:val="center"/>
              <w:ind w:right="2652"/>
              <w:spacing w:after="0"/>
              <w:rPr>
                <w:sz w:val="20"/>
                <w:szCs w:val="20"/>
                <w:color w:val="auto"/>
              </w:rPr>
            </w:pPr>
            <w:r>
              <w:rPr>
                <w:rFonts w:ascii="Arial" w:cs="Arial" w:eastAsia="Arial" w:hAnsi="Arial"/>
                <w:sz w:val="18"/>
                <w:szCs w:val="18"/>
                <w:color w:val="auto"/>
                <w:w w:val="98"/>
              </w:rPr>
              <w:t>(August 2021 – 2024)</w:t>
            </w:r>
          </w:p>
        </w:tc>
        <w:tc>
          <w:tcPr>
            <w:tcW w:w="0" w:type="dxa"/>
            <w:vAlign w:val="bottom"/>
          </w:tcPr>
          <w:p>
            <w:pPr>
              <w:spacing w:after="0"/>
              <w:rPr>
                <w:sz w:val="1"/>
                <w:szCs w:val="1"/>
                <w:color w:val="auto"/>
              </w:rPr>
            </w:pPr>
          </w:p>
        </w:tc>
      </w:tr>
      <w:tr>
        <w:trPr>
          <w:trHeight w:val="83"/>
        </w:trPr>
        <w:tc>
          <w:tcPr>
            <w:tcW w:w="2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left="2320"/>
        <w:spacing w:after="0" w:line="219" w:lineRule="auto"/>
        <w:rPr>
          <w:sz w:val="20"/>
          <w:szCs w:val="20"/>
          <w:color w:val="auto"/>
        </w:rPr>
      </w:pPr>
      <w:r>
        <w:rPr>
          <w:rFonts w:ascii="Arial" w:cs="Arial" w:eastAsia="Arial" w:hAnsi="Arial"/>
          <w:sz w:val="17"/>
          <w:szCs w:val="17"/>
          <w:color w:val="auto"/>
        </w:rPr>
        <w:t>Ms. Flournoy is a recognized national security expert, strategic leader, and advisor whose thorough experience in government, defense policy, and corporate governance delivers valuable perspective to the Board. The Board</w:t>
      </w:r>
    </w:p>
    <w:p>
      <w:pPr>
        <w:spacing w:after="0" w:line="1" w:lineRule="exact"/>
        <w:rPr>
          <w:sz w:val="20"/>
          <w:szCs w:val="20"/>
          <w:color w:val="auto"/>
        </w:rPr>
      </w:pPr>
    </w:p>
    <w:p>
      <w:pPr>
        <w:ind w:left="2320" w:right="20"/>
        <w:spacing w:after="0" w:line="238" w:lineRule="auto"/>
        <w:rPr>
          <w:sz w:val="20"/>
          <w:szCs w:val="20"/>
          <w:color w:val="auto"/>
        </w:rPr>
      </w:pPr>
      <w:r>
        <w:rPr>
          <w:rFonts w:ascii="Arial" w:cs="Arial" w:eastAsia="Arial" w:hAnsi="Arial"/>
          <w:sz w:val="17"/>
          <w:szCs w:val="17"/>
          <w:color w:val="auto"/>
        </w:rPr>
        <w:t>believes her keen aptitude in both policy leadership and operational oversight directly complements Booz Allen’s core client base and provides vital perspectives to enhance the Board’s insight on global defense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13" w:right="37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Mark E. Gaumond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75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Lead 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28" w:lineRule="exact"/>
        <w:rPr>
          <w:sz w:val="20"/>
          <w:szCs w:val="20"/>
          <w:color w:val="auto"/>
        </w:rPr>
      </w:pPr>
    </w:p>
    <w:p>
      <w:pPr>
        <w:ind w:left="360" w:hanging="28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w:t>
      </w:r>
    </w:p>
    <w:p>
      <w:pPr>
        <w:ind w:left="360" w:hanging="284"/>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w:t>
      </w:r>
    </w:p>
    <w:p>
      <w:pPr>
        <w:spacing w:after="0" w:line="200" w:lineRule="exact"/>
        <w:rPr>
          <w:sz w:val="20"/>
          <w:szCs w:val="20"/>
          <w:color w:val="auto"/>
        </w:rPr>
      </w:pPr>
    </w:p>
    <w:p>
      <w:pPr>
        <w:spacing w:after="0" w:line="212"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*Effective as of July 21,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4840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6605" cy="4840605"/>
                    </a:xfrm>
                    <a:prstGeom prst="rect">
                      <a:avLst/>
                    </a:prstGeom>
                    <a:noFill/>
                  </pic:spPr>
                </pic:pic>
              </a:graphicData>
            </a:graphic>
          </wp:anchor>
        </w:drawing>
      </w:r>
    </w:p>
    <w:p>
      <w:pPr>
        <w:spacing w:after="0" w:line="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Mr. Gaumond previously held senior positions with Ernst &amp; Young LLP from 2002 to 2010, retiring from the firm as senior vice chair for the Americas. Prior to joining Ernst &amp; Young, Mr. Gaumond was a partner with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distinguished 27-year career at Andersen LLP. Mr. Gaumond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jc w:val="both"/>
        <w:ind w:right="20"/>
        <w:spacing w:after="0" w:line="207" w:lineRule="auto"/>
        <w:rPr>
          <w:sz w:val="20"/>
          <w:szCs w:val="20"/>
          <w:color w:val="auto"/>
        </w:rPr>
      </w:pPr>
      <w:r>
        <w:rPr>
          <w:rFonts w:ascii="Arial" w:cs="Arial" w:eastAsia="Arial" w:hAnsi="Arial"/>
          <w:sz w:val="18"/>
          <w:szCs w:val="18"/>
          <w:color w:val="auto"/>
        </w:rPr>
        <w:t>Mr. Gaumond provides the Board with more than 35 years of experience working with senior management and the audit committees of public and privately held companies with a proven track record of deep expertise in</w:t>
      </w:r>
    </w:p>
    <w:p>
      <w:pPr>
        <w:jc w:val="both"/>
        <w:spacing w:after="0" w:line="204" w:lineRule="auto"/>
        <w:rPr>
          <w:sz w:val="20"/>
          <w:szCs w:val="20"/>
          <w:color w:val="auto"/>
        </w:rPr>
      </w:pPr>
      <w:r>
        <w:rPr>
          <w:rFonts w:ascii="Arial" w:cs="Arial" w:eastAsia="Arial" w:hAnsi="Arial"/>
          <w:sz w:val="18"/>
          <w:szCs w:val="18"/>
          <w:color w:val="auto"/>
        </w:rPr>
        <w:t>finance, financial planning, and compliance and controls. As our lead independent director, his extensive background as a CPA and deep understanding of financial mechanisms and risk management enhances our Board’s role in ensuring financial integrity and regulatory adherence to drive growth, while his strategic planning</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acumen supports the Company’s long-term objectives. In addition, in his capacity as lead independent director and member of the Executive Committee, Mr. Gaumond serves as a key link between the Board and executive management, fostering transparent communication and independent judgment.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8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780" w:type="dxa"/>
            <w:vAlign w:val="bottom"/>
          </w:tcPr>
          <w:p>
            <w:pPr>
              <w:jc w:val="center"/>
              <w:ind w:left="52"/>
              <w:spacing w:after="0"/>
              <w:rPr>
                <w:sz w:val="20"/>
                <w:szCs w:val="20"/>
                <w:color w:val="auto"/>
              </w:rPr>
            </w:pPr>
            <w:r>
              <w:rPr>
                <w:rFonts w:ascii="Arial" w:cs="Arial" w:eastAsia="Arial" w:hAnsi="Arial"/>
                <w:sz w:val="18"/>
                <w:szCs w:val="18"/>
                <w:b w:val="1"/>
                <w:bCs w:val="1"/>
                <w:color w:val="00A5B5"/>
                <w:w w:val="98"/>
              </w:rPr>
              <w:t>Current</w:t>
            </w:r>
          </w:p>
        </w:tc>
        <w:tc>
          <w:tcPr>
            <w:tcW w:w="3080" w:type="dxa"/>
            <w:vAlign w:val="bottom"/>
          </w:tcPr>
          <w:p>
            <w:pPr>
              <w:jc w:val="center"/>
              <w:ind w:left="11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2780" w:type="dxa"/>
            <w:vAlign w:val="bottom"/>
            <w:vMerge w:val="restart"/>
          </w:tcPr>
          <w:p>
            <w:pPr>
              <w:jc w:val="center"/>
              <w:ind w:left="72"/>
              <w:spacing w:after="0"/>
              <w:rPr>
                <w:sz w:val="20"/>
                <w:szCs w:val="20"/>
                <w:color w:val="auto"/>
              </w:rPr>
            </w:pPr>
            <w:r>
              <w:rPr>
                <w:rFonts w:ascii="Arial" w:cs="Arial" w:eastAsia="Arial" w:hAnsi="Arial"/>
                <w:sz w:val="18"/>
                <w:szCs w:val="18"/>
                <w:color w:val="auto"/>
                <w:w w:val="97"/>
              </w:rPr>
              <w:t>None</w:t>
            </w:r>
          </w:p>
        </w:tc>
        <w:tc>
          <w:tcPr>
            <w:tcW w:w="3080" w:type="dxa"/>
            <w:vAlign w:val="bottom"/>
          </w:tcPr>
          <w:p>
            <w:pPr>
              <w:jc w:val="center"/>
              <w:ind w:left="132"/>
              <w:spacing w:after="0" w:line="176" w:lineRule="exact"/>
              <w:rPr>
                <w:sz w:val="20"/>
                <w:szCs w:val="20"/>
                <w:color w:val="auto"/>
              </w:rPr>
            </w:pPr>
            <w:r>
              <w:rPr>
                <w:rFonts w:ascii="Arial" w:cs="Arial" w:eastAsia="Arial" w:hAnsi="Arial"/>
                <w:sz w:val="18"/>
                <w:szCs w:val="18"/>
                <w:color w:val="auto"/>
                <w:w w:val="98"/>
              </w:rPr>
              <w:t>First American Funds (January 2016</w:t>
            </w:r>
          </w:p>
        </w:tc>
        <w:tc>
          <w:tcPr>
            <w:tcW w:w="0" w:type="dxa"/>
            <w:vAlign w:val="bottom"/>
          </w:tcPr>
          <w:p>
            <w:pPr>
              <w:spacing w:after="0"/>
              <w:rPr>
                <w:sz w:val="1"/>
                <w:szCs w:val="1"/>
                <w:color w:val="auto"/>
              </w:rPr>
            </w:pPr>
          </w:p>
        </w:tc>
      </w:tr>
      <w:tr>
        <w:trPr>
          <w:trHeight w:val="149"/>
        </w:trPr>
        <w:tc>
          <w:tcPr>
            <w:tcW w:w="2780" w:type="dxa"/>
            <w:vAlign w:val="bottom"/>
            <w:vMerge w:val="continue"/>
          </w:tcPr>
          <w:p>
            <w:pPr>
              <w:spacing w:after="0"/>
              <w:rPr>
                <w:sz w:val="12"/>
                <w:szCs w:val="12"/>
                <w:color w:val="auto"/>
              </w:rPr>
            </w:pPr>
          </w:p>
        </w:tc>
        <w:tc>
          <w:tcPr>
            <w:tcW w:w="3080" w:type="dxa"/>
            <w:vAlign w:val="bottom"/>
            <w:vMerge w:val="restart"/>
          </w:tcPr>
          <w:p>
            <w:pPr>
              <w:jc w:val="center"/>
              <w:ind w:left="132"/>
              <w:spacing w:after="0"/>
              <w:rPr>
                <w:sz w:val="20"/>
                <w:szCs w:val="20"/>
                <w:color w:val="auto"/>
              </w:rPr>
            </w:pPr>
            <w:r>
              <w:rPr>
                <w:rFonts w:ascii="Arial" w:cs="Arial" w:eastAsia="Arial" w:hAnsi="Arial"/>
                <w:sz w:val="18"/>
                <w:szCs w:val="18"/>
                <w:color w:val="auto"/>
                <w:w w:val="98"/>
              </w:rPr>
              <w:t>– March 2024)</w:t>
            </w:r>
          </w:p>
        </w:tc>
        <w:tc>
          <w:tcPr>
            <w:tcW w:w="0" w:type="dxa"/>
            <w:vAlign w:val="bottom"/>
          </w:tcPr>
          <w:p>
            <w:pPr>
              <w:spacing w:after="0"/>
              <w:rPr>
                <w:sz w:val="1"/>
                <w:szCs w:val="1"/>
                <w:color w:val="auto"/>
              </w:rPr>
            </w:pPr>
          </w:p>
        </w:tc>
      </w:tr>
      <w:tr>
        <w:trPr>
          <w:trHeight w:val="83"/>
        </w:trPr>
        <w:tc>
          <w:tcPr>
            <w:tcW w:w="27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Mr. Gaumond contributes more than three decades of experience advising senior leadership and audit committees of public and private companies, bringing exceptional financial, governance, and risk oversight to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Board. The Board believes his extensive background as a CPA and senior leader at global professional services firms enhances the Board’s effectiveness in financial accountability and regulatory compliance.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As Lead Independent Director, his role in fostering independent judgment, transparent communication, and strong</w:t>
      </w:r>
    </w:p>
    <w:p>
      <w:pPr>
        <w:spacing w:after="0" w:line="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governance practices supports the Board’s ability to provide rigorous oversight and guide long-term strategic objectives.</w:t>
      </w:r>
    </w:p>
    <w:p>
      <w:pPr>
        <w:spacing w:after="0" w:line="200" w:lineRule="exact"/>
        <w:rPr>
          <w:sz w:val="20"/>
          <w:szCs w:val="20"/>
          <w:color w:val="auto"/>
        </w:rPr>
      </w:pPr>
    </w:p>
    <w:p>
      <w:pPr>
        <w:sectPr>
          <w:pgSz w:w="11900" w:h="16838" w:orient="portrait"/>
          <w:cols w:equalWidth="0" w:num="2">
            <w:col w:w="2240" w:space="40"/>
            <w:col w:w="8880"/>
          </w:cols>
          <w:pgMar w:left="360" w:top="11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13" w:right="37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Ellen Jewett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67</w:t>
      </w:r>
    </w:p>
    <w:p>
      <w:pPr>
        <w:spacing w:after="0" w:line="44"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FFFFFF"/>
        </w:rPr>
        <w:t>Director since: 2018 Independent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28" w:lineRule="exact"/>
        <w:rPr>
          <w:sz w:val="20"/>
          <w:szCs w:val="20"/>
          <w:color w:val="auto"/>
        </w:rPr>
      </w:pPr>
    </w:p>
    <w:p>
      <w:pPr>
        <w:ind w:left="360" w:hanging="284"/>
        <w:spacing w:after="0"/>
        <w:tabs>
          <w:tab w:leader="none" w:pos="3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Audit (Chair)</w:t>
      </w:r>
    </w:p>
    <w:p>
      <w:pPr>
        <w:ind w:left="360" w:hanging="284"/>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4596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6605" cy="4596765"/>
                    </a:xfrm>
                    <a:prstGeom prst="rect">
                      <a:avLst/>
                    </a:prstGeom>
                    <a:noFill/>
                  </pic:spPr>
                </pic:pic>
              </a:graphicData>
            </a:graphic>
          </wp:anchor>
        </w:drawing>
      </w:r>
    </w:p>
    <w:p>
      <w:pPr>
        <w:spacing w:after="0" w:line="26"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Ms. Jewett has served as a managing partner of Canoe Point Capital, LLC, an investment firm focusing on early-stage social ventures, since 2015. From 2010 to 2015, Ms. Jewett served as the managing director and head of</w:t>
      </w:r>
    </w:p>
    <w:p>
      <w:pPr>
        <w:jc w:val="both"/>
        <w:spacing w:after="0" w:line="204" w:lineRule="auto"/>
        <w:rPr>
          <w:sz w:val="20"/>
          <w:szCs w:val="20"/>
          <w:color w:val="auto"/>
        </w:rPr>
      </w:pPr>
      <w:r>
        <w:rPr>
          <w:rFonts w:ascii="Arial" w:cs="Arial" w:eastAsia="Arial" w:hAnsi="Arial"/>
          <w:sz w:val="18"/>
          <w:szCs w:val="18"/>
          <w:color w:val="auto"/>
        </w:rPr>
        <w:t>U.S. Government and Infrastructure for BMO Capital Markets covering airports and infrastructure banking. Prior to that, she spent more than 20 years at Goldman Sachs specializing in airport infrastructure financing, most recently serving as head of the public sector transportation group, and previously as head of the airport finance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Ms. Jewett provides the Board with senior leadership experience and extensive expertise in both domestic and international finance and investment management, capital deployment, financial management, risk management,</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reputation management, and governance skills she developed over her career in key strategic roles at BMO and Goldman Sachs. As the Chair of our Audit Committee and member of the Executive Committee, Ms. Jewett is able to leverage her deep financial background and her experience on other public company boards, including at</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JetBlue where she is the Chair of the Governance and Nominating Committee, to strengthen our Board’s oversight capability.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2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3120" w:type="dxa"/>
            <w:vAlign w:val="bottom"/>
          </w:tcPr>
          <w:p>
            <w:pPr>
              <w:jc w:val="center"/>
              <w:ind w:right="112"/>
              <w:spacing w:after="0"/>
              <w:rPr>
                <w:sz w:val="20"/>
                <w:szCs w:val="20"/>
                <w:color w:val="auto"/>
              </w:rPr>
            </w:pPr>
            <w:r>
              <w:rPr>
                <w:rFonts w:ascii="Arial" w:cs="Arial" w:eastAsia="Arial" w:hAnsi="Arial"/>
                <w:sz w:val="18"/>
                <w:szCs w:val="18"/>
                <w:b w:val="1"/>
                <w:bCs w:val="1"/>
                <w:color w:val="00A5B5"/>
                <w:w w:val="98"/>
              </w:rPr>
              <w:t>Current</w:t>
            </w:r>
          </w:p>
        </w:tc>
        <w:tc>
          <w:tcPr>
            <w:tcW w:w="2240" w:type="dxa"/>
            <w:vAlign w:val="bottom"/>
          </w:tcPr>
          <w:p>
            <w:pPr>
              <w:jc w:val="center"/>
              <w:ind w:left="27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312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97"/>
              </w:rPr>
              <w:t>JetBlue (NASDAQ: JBLU) (since</w:t>
            </w:r>
          </w:p>
        </w:tc>
        <w:tc>
          <w:tcPr>
            <w:tcW w:w="2240" w:type="dxa"/>
            <w:vAlign w:val="bottom"/>
            <w:vMerge w:val="restart"/>
          </w:tcPr>
          <w:p>
            <w:pPr>
              <w:jc w:val="center"/>
              <w:ind w:left="292"/>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182"/>
        </w:trPr>
        <w:tc>
          <w:tcPr>
            <w:tcW w:w="3120" w:type="dxa"/>
            <w:vAlign w:val="bottom"/>
          </w:tcPr>
          <w:p>
            <w:pPr>
              <w:jc w:val="center"/>
              <w:ind w:right="92"/>
              <w:spacing w:after="0" w:line="182" w:lineRule="exact"/>
              <w:rPr>
                <w:sz w:val="20"/>
                <w:szCs w:val="20"/>
                <w:color w:val="auto"/>
              </w:rPr>
            </w:pPr>
            <w:r>
              <w:rPr>
                <w:rFonts w:ascii="Arial" w:cs="Arial" w:eastAsia="Arial" w:hAnsi="Arial"/>
                <w:sz w:val="18"/>
                <w:szCs w:val="18"/>
                <w:color w:val="auto"/>
                <w:w w:val="97"/>
              </w:rPr>
              <w:t>2011) — Governance and</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20" w:type="dxa"/>
            <w:vAlign w:val="bottom"/>
          </w:tcPr>
          <w:p>
            <w:pPr>
              <w:jc w:val="center"/>
              <w:ind w:right="92"/>
              <w:spacing w:after="0"/>
              <w:rPr>
                <w:sz w:val="20"/>
                <w:szCs w:val="20"/>
                <w:color w:val="auto"/>
              </w:rPr>
            </w:pPr>
            <w:r>
              <w:rPr>
                <w:rFonts w:ascii="Arial" w:cs="Arial" w:eastAsia="Arial" w:hAnsi="Arial"/>
                <w:sz w:val="18"/>
                <w:szCs w:val="18"/>
                <w:color w:val="auto"/>
                <w:w w:val="97"/>
              </w:rPr>
              <w:t>Nominating Committee (Chair)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Ms. Jewett contributes deep global expertise in financial and capital markets across both the public and private sector. The Board believes her background strengthens the Board’s oversight of Booz Allen’s risk posture,</w:t>
      </w:r>
    </w:p>
    <w:p>
      <w:pPr>
        <w:spacing w:after="0"/>
        <w:rPr>
          <w:sz w:val="20"/>
          <w:szCs w:val="20"/>
          <w:color w:val="auto"/>
        </w:rPr>
      </w:pPr>
      <w:r>
        <w:rPr>
          <w:rFonts w:ascii="Arial" w:cs="Arial" w:eastAsia="Arial" w:hAnsi="Arial"/>
          <w:sz w:val="18"/>
          <w:szCs w:val="18"/>
          <w:color w:val="auto"/>
        </w:rPr>
        <w:t>financial stewardship, and governance.</w:t>
      </w:r>
    </w:p>
    <w:p>
      <w:pPr>
        <w:spacing w:after="0" w:line="12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Her extensive repertoire serves to align financial strategy with growth priorities, providing opportunities to expand across defense, civil, and commercial markets.</w:t>
      </w:r>
    </w:p>
    <w:p>
      <w:pPr>
        <w:spacing w:after="0" w:line="200" w:lineRule="exact"/>
        <w:rPr>
          <w:sz w:val="20"/>
          <w:szCs w:val="20"/>
          <w:color w:val="auto"/>
        </w:rPr>
      </w:pPr>
    </w:p>
    <w:p>
      <w:pPr>
        <w:sectPr>
          <w:pgSz w:w="11900" w:h="16838" w:orient="portrait"/>
          <w:cols w:equalWidth="0" w:num="2">
            <w:col w:w="1680" w:space="600"/>
            <w:col w:w="8880"/>
          </w:cols>
          <w:pgMar w:left="360" w:top="11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66666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90170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13" w:right="37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44"/>
        </w:trPr>
        <w:tc>
          <w:tcPr>
            <w:tcW w:w="2300" w:type="dxa"/>
            <w:vAlign w:val="bottom"/>
          </w:tcPr>
          <w:p>
            <w:pPr>
              <w:spacing w:after="0"/>
              <w:rPr>
                <w:sz w:val="21"/>
                <w:szCs w:val="21"/>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16"/>
                <w:szCs w:val="16"/>
                <w:color w:val="auto"/>
              </w:rPr>
            </w:pPr>
          </w:p>
        </w:tc>
        <w:tc>
          <w:tcPr>
            <w:tcW w:w="8900" w:type="dxa"/>
            <w:vAlign w:val="bottom"/>
          </w:tcPr>
          <w:p>
            <w:pPr>
              <w:ind w:left="20"/>
              <w:spacing w:after="0" w:line="186" w:lineRule="exact"/>
              <w:rPr>
                <w:sz w:val="20"/>
                <w:szCs w:val="20"/>
                <w:color w:val="auto"/>
              </w:rPr>
            </w:pPr>
            <w:r>
              <w:rPr>
                <w:rFonts w:ascii="Arial" w:cs="Arial" w:eastAsia="Arial" w:hAnsi="Arial"/>
                <w:sz w:val="18"/>
                <w:szCs w:val="18"/>
                <w:color w:val="auto"/>
              </w:rPr>
              <w:t>Ms. McClain’s distinguished career has spanned across various industries, leveraging her leadership expertise</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8900" w:type="dxa"/>
            <w:vAlign w:val="bottom"/>
          </w:tcPr>
          <w:p>
            <w:pPr>
              <w:ind w:left="20"/>
              <w:spacing w:after="0" w:line="182" w:lineRule="exact"/>
              <w:rPr>
                <w:sz w:val="20"/>
                <w:szCs w:val="20"/>
                <w:color w:val="auto"/>
              </w:rPr>
            </w:pPr>
            <w:r>
              <w:rPr>
                <w:rFonts w:ascii="Arial" w:cs="Arial" w:eastAsia="Arial" w:hAnsi="Arial"/>
                <w:sz w:val="18"/>
                <w:szCs w:val="18"/>
                <w:color w:val="auto"/>
                <w:w w:val="98"/>
              </w:rPr>
              <w:t>and engineering background. Most recently, she served as the chief executive officer and president of J.M. Huber</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8900" w:type="dxa"/>
            <w:vAlign w:val="bottom"/>
          </w:tcPr>
          <w:p>
            <w:pPr>
              <w:ind w:left="20"/>
              <w:spacing w:after="0" w:line="176" w:lineRule="exact"/>
              <w:rPr>
                <w:sz w:val="20"/>
                <w:szCs w:val="20"/>
                <w:color w:val="auto"/>
              </w:rPr>
            </w:pPr>
            <w:r>
              <w:rPr>
                <w:rFonts w:ascii="Arial" w:cs="Arial" w:eastAsia="Arial" w:hAnsi="Arial"/>
                <w:sz w:val="18"/>
                <w:szCs w:val="18"/>
                <w:color w:val="auto"/>
                <w:w w:val="99"/>
              </w:rPr>
              <w:t>Corporation, a private company managing a portfolio of companies providing industrial products and engineered</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900" w:type="dxa"/>
            <w:vAlign w:val="bottom"/>
          </w:tcPr>
          <w:p>
            <w:pPr>
              <w:ind w:left="20"/>
              <w:spacing w:after="0" w:line="172" w:lineRule="exact"/>
              <w:rPr>
                <w:sz w:val="20"/>
                <w:szCs w:val="20"/>
                <w:color w:val="auto"/>
              </w:rPr>
            </w:pPr>
            <w:r>
              <w:rPr>
                <w:rFonts w:ascii="Arial" w:cs="Arial" w:eastAsia="Arial" w:hAnsi="Arial"/>
                <w:sz w:val="18"/>
                <w:szCs w:val="18"/>
                <w:color w:val="auto"/>
                <w:w w:val="98"/>
              </w:rPr>
              <w:t>material solutions, from April 2022 until December 2025. Previously, she served as an operating executive for the</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8900" w:type="dxa"/>
            <w:vAlign w:val="bottom"/>
          </w:tcPr>
          <w:p>
            <w:pPr>
              <w:ind w:left="20"/>
              <w:spacing w:after="0" w:line="182" w:lineRule="exact"/>
              <w:rPr>
                <w:sz w:val="20"/>
                <w:szCs w:val="20"/>
                <w:color w:val="auto"/>
              </w:rPr>
            </w:pPr>
            <w:r>
              <w:rPr>
                <w:rFonts w:ascii="Arial" w:cs="Arial" w:eastAsia="Arial" w:hAnsi="Arial"/>
                <w:sz w:val="18"/>
                <w:szCs w:val="18"/>
                <w:color w:val="auto"/>
                <w:w w:val="97"/>
              </w:rPr>
              <w:t>Carlyle Group from July 2019 to March 2022. She was the founding president and chief executive officer of Xylem</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8900" w:type="dxa"/>
            <w:vAlign w:val="bottom"/>
          </w:tcPr>
          <w:p>
            <w:pPr>
              <w:ind w:left="20"/>
              <w:spacing w:after="0" w:line="176" w:lineRule="exact"/>
              <w:rPr>
                <w:sz w:val="20"/>
                <w:szCs w:val="20"/>
                <w:color w:val="auto"/>
              </w:rPr>
            </w:pPr>
            <w:r>
              <w:rPr>
                <w:rFonts w:ascii="Arial" w:cs="Arial" w:eastAsia="Arial" w:hAnsi="Arial"/>
                <w:sz w:val="18"/>
                <w:szCs w:val="18"/>
                <w:color w:val="auto"/>
              </w:rPr>
              <w:t>Inc. from October 2011, when it was formed and taken public from the spinoff of ITT Corporation’s water</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8900" w:type="dxa"/>
            <w:vAlign w:val="bottom"/>
          </w:tcPr>
          <w:p>
            <w:pPr>
              <w:ind w:left="20"/>
              <w:spacing w:after="0" w:line="172" w:lineRule="exact"/>
              <w:rPr>
                <w:sz w:val="20"/>
                <w:szCs w:val="20"/>
                <w:color w:val="auto"/>
              </w:rPr>
            </w:pPr>
            <w:r>
              <w:rPr>
                <w:rFonts w:ascii="Arial" w:cs="Arial" w:eastAsia="Arial" w:hAnsi="Arial"/>
                <w:sz w:val="18"/>
                <w:szCs w:val="18"/>
                <w:color w:val="auto"/>
              </w:rPr>
              <w:t>business, until September 2013, having joined ITT in 2005 as the president of the company’s residential and</w:t>
            </w: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commercial water business.</w:t>
            </w:r>
          </w:p>
        </w:tc>
        <w:tc>
          <w:tcPr>
            <w:tcW w:w="0" w:type="dxa"/>
            <w:vAlign w:val="bottom"/>
          </w:tcPr>
          <w:p>
            <w:pPr>
              <w:spacing w:after="0"/>
              <w:rPr>
                <w:sz w:val="1"/>
                <w:szCs w:val="1"/>
                <w:color w:val="auto"/>
              </w:rPr>
            </w:pPr>
          </w:p>
        </w:tc>
      </w:tr>
      <w:tr>
        <w:trPr>
          <w:trHeight w:val="298"/>
        </w:trPr>
        <w:tc>
          <w:tcPr>
            <w:tcW w:w="23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Earlier in her career, Ms. McClain held senior executive positions at Honeywell Aerospace, in the company’s</w:t>
            </w:r>
          </w:p>
        </w:tc>
        <w:tc>
          <w:tcPr>
            <w:tcW w:w="0" w:type="dxa"/>
            <w:vAlign w:val="bottom"/>
          </w:tcPr>
          <w:p>
            <w:pPr>
              <w:spacing w:after="0"/>
              <w:rPr>
                <w:sz w:val="1"/>
                <w:szCs w:val="1"/>
                <w:color w:val="auto"/>
              </w:rPr>
            </w:pPr>
          </w:p>
        </w:tc>
      </w:tr>
      <w:tr>
        <w:trPr>
          <w:trHeight w:val="172"/>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00A5B5"/>
              </w:rPr>
              <w:t>Gretchen W. McClain</w:t>
            </w:r>
          </w:p>
        </w:tc>
        <w:tc>
          <w:tcPr>
            <w:tcW w:w="8900" w:type="dxa"/>
            <w:vAlign w:val="bottom"/>
          </w:tcPr>
          <w:p>
            <w:pPr>
              <w:ind w:left="20"/>
              <w:spacing w:after="0" w:line="172" w:lineRule="exact"/>
              <w:rPr>
                <w:sz w:val="20"/>
                <w:szCs w:val="20"/>
                <w:color w:val="auto"/>
              </w:rPr>
            </w:pPr>
            <w:r>
              <w:rPr>
                <w:rFonts w:ascii="Arial" w:cs="Arial" w:eastAsia="Arial" w:hAnsi="Arial"/>
                <w:sz w:val="18"/>
                <w:szCs w:val="18"/>
                <w:color w:val="auto"/>
                <w:w w:val="98"/>
              </w:rPr>
              <w:t>Business, General Aviation, and Helicopters Electronics as well as the Engines, Systems, and Services divisions.</w:t>
            </w:r>
          </w:p>
        </w:tc>
        <w:tc>
          <w:tcPr>
            <w:tcW w:w="0" w:type="dxa"/>
            <w:vAlign w:val="bottom"/>
          </w:tcPr>
          <w:p>
            <w:pPr>
              <w:spacing w:after="0"/>
              <w:rPr>
                <w:sz w:val="1"/>
                <w:szCs w:val="1"/>
                <w:color w:val="auto"/>
              </w:rPr>
            </w:pPr>
          </w:p>
        </w:tc>
      </w:tr>
      <w:tr>
        <w:trPr>
          <w:trHeight w:val="119"/>
        </w:trPr>
        <w:tc>
          <w:tcPr>
            <w:tcW w:w="2300" w:type="dxa"/>
            <w:vAlign w:val="bottom"/>
            <w:vMerge w:val="continue"/>
          </w:tcPr>
          <w:p>
            <w:pPr>
              <w:spacing w:after="0"/>
              <w:rPr>
                <w:sz w:val="10"/>
                <w:szCs w:val="10"/>
                <w:color w:val="auto"/>
              </w:rPr>
            </w:pPr>
          </w:p>
        </w:tc>
        <w:tc>
          <w:tcPr>
            <w:tcW w:w="8900" w:type="dxa"/>
            <w:vAlign w:val="bottom"/>
            <w:vMerge w:val="restart"/>
          </w:tcPr>
          <w:p>
            <w:pPr>
              <w:ind w:left="20"/>
              <w:spacing w:after="0" w:line="182" w:lineRule="exact"/>
              <w:rPr>
                <w:sz w:val="20"/>
                <w:szCs w:val="20"/>
                <w:color w:val="auto"/>
              </w:rPr>
            </w:pPr>
            <w:r>
              <w:rPr>
                <w:rFonts w:ascii="Arial" w:cs="Arial" w:eastAsia="Arial" w:hAnsi="Arial"/>
                <w:sz w:val="18"/>
                <w:szCs w:val="18"/>
                <w:color w:val="auto"/>
                <w:w w:val="99"/>
              </w:rPr>
              <w:t>Ms. McClain also spent nine years with NASA serving as deputy associate administrator for space development,</w:t>
            </w:r>
          </w:p>
        </w:tc>
        <w:tc>
          <w:tcPr>
            <w:tcW w:w="0" w:type="dxa"/>
            <w:vAlign w:val="bottom"/>
          </w:tcPr>
          <w:p>
            <w:pPr>
              <w:spacing w:after="0"/>
              <w:rPr>
                <w:sz w:val="1"/>
                <w:szCs w:val="1"/>
                <w:color w:val="auto"/>
              </w:rPr>
            </w:pPr>
          </w:p>
        </w:tc>
      </w:tr>
      <w:tr>
        <w:trPr>
          <w:trHeight w:val="63"/>
        </w:trPr>
        <w:tc>
          <w:tcPr>
            <w:tcW w:w="2300" w:type="dxa"/>
            <w:vAlign w:val="bottom"/>
            <w:vMerge w:val="restart"/>
            <w:shd w:val="clear" w:color="auto" w:fill="00A5B5"/>
          </w:tcPr>
          <w:p>
            <w:pPr>
              <w:ind w:left="40"/>
              <w:spacing w:after="0"/>
              <w:rPr>
                <w:sz w:val="20"/>
                <w:szCs w:val="20"/>
                <w:color w:val="auto"/>
              </w:rPr>
            </w:pPr>
            <w:r>
              <w:rPr>
                <w:rFonts w:ascii="Arial" w:cs="Arial" w:eastAsia="Arial" w:hAnsi="Arial"/>
                <w:sz w:val="18"/>
                <w:szCs w:val="18"/>
                <w:b w:val="1"/>
                <w:bCs w:val="1"/>
                <w:color w:val="FFFFFF"/>
              </w:rPr>
              <w:t>Age: 63</w:t>
            </w:r>
          </w:p>
        </w:tc>
        <w:tc>
          <w:tcPr>
            <w:tcW w:w="8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300" w:type="dxa"/>
            <w:vAlign w:val="bottom"/>
            <w:vMerge w:val="continue"/>
            <w:shd w:val="clear" w:color="auto" w:fill="00A5B5"/>
          </w:tcPr>
          <w:p>
            <w:pPr>
              <w:spacing w:after="0"/>
              <w:rPr>
                <w:sz w:val="16"/>
                <w:szCs w:val="16"/>
                <w:color w:val="auto"/>
              </w:rPr>
            </w:pPr>
          </w:p>
        </w:tc>
        <w:tc>
          <w:tcPr>
            <w:tcW w:w="8900" w:type="dxa"/>
            <w:vAlign w:val="bottom"/>
          </w:tcPr>
          <w:p>
            <w:pPr>
              <w:ind w:left="20"/>
              <w:spacing w:after="0" w:line="176" w:lineRule="exact"/>
              <w:rPr>
                <w:sz w:val="20"/>
                <w:szCs w:val="20"/>
                <w:color w:val="auto"/>
              </w:rPr>
            </w:pPr>
            <w:r>
              <w:rPr>
                <w:rFonts w:ascii="Arial" w:cs="Arial" w:eastAsia="Arial" w:hAnsi="Arial"/>
                <w:sz w:val="18"/>
                <w:szCs w:val="18"/>
                <w:color w:val="auto"/>
              </w:rPr>
              <w:t>where she played a pivotal role in the successful development and launch of the International Space Station</w:t>
            </w:r>
          </w:p>
        </w:tc>
        <w:tc>
          <w:tcPr>
            <w:tcW w:w="0" w:type="dxa"/>
            <w:vAlign w:val="bottom"/>
          </w:tcPr>
          <w:p>
            <w:pPr>
              <w:spacing w:after="0"/>
              <w:rPr>
                <w:sz w:val="1"/>
                <w:szCs w:val="1"/>
                <w:color w:val="auto"/>
              </w:rPr>
            </w:pPr>
          </w:p>
        </w:tc>
      </w:tr>
      <w:tr>
        <w:trPr>
          <w:trHeight w:val="265"/>
        </w:trPr>
        <w:tc>
          <w:tcPr>
            <w:tcW w:w="2300" w:type="dxa"/>
            <w:vAlign w:val="bottom"/>
            <w:shd w:val="clear" w:color="auto" w:fill="00A5B5"/>
          </w:tcPr>
          <w:p>
            <w:pPr>
              <w:ind w:left="40"/>
              <w:spacing w:after="0"/>
              <w:rPr>
                <w:sz w:val="20"/>
                <w:szCs w:val="20"/>
                <w:color w:val="auto"/>
              </w:rPr>
            </w:pPr>
            <w:r>
              <w:rPr>
                <w:rFonts w:ascii="Arial" w:cs="Arial" w:eastAsia="Arial" w:hAnsi="Arial"/>
                <w:sz w:val="18"/>
                <w:szCs w:val="18"/>
                <w:b w:val="1"/>
                <w:bCs w:val="1"/>
                <w:color w:val="FFFFFF"/>
              </w:rPr>
              <w:t>Director since: 2014</w:t>
            </w:r>
          </w:p>
        </w:tc>
        <w:tc>
          <w:tcPr>
            <w:tcW w:w="8900" w:type="dxa"/>
            <w:vAlign w:val="bottom"/>
          </w:tcPr>
          <w:p>
            <w:pPr>
              <w:ind w:left="20"/>
              <w:spacing w:after="0"/>
              <w:rPr>
                <w:sz w:val="20"/>
                <w:szCs w:val="20"/>
                <w:color w:val="auto"/>
              </w:rPr>
            </w:pPr>
            <w:r>
              <w:rPr>
                <w:rFonts w:ascii="Arial" w:cs="Arial" w:eastAsia="Arial" w:hAnsi="Arial"/>
                <w:sz w:val="18"/>
                <w:szCs w:val="18"/>
                <w:color w:val="auto"/>
              </w:rPr>
              <w:t>Program as chief director of the space station and deputy director for space flight.</w:t>
            </w:r>
          </w:p>
        </w:tc>
        <w:tc>
          <w:tcPr>
            <w:tcW w:w="0" w:type="dxa"/>
            <w:vAlign w:val="bottom"/>
          </w:tcPr>
          <w:p>
            <w:pPr>
              <w:spacing w:after="0"/>
              <w:rPr>
                <w:sz w:val="1"/>
                <w:szCs w:val="1"/>
                <w:color w:val="auto"/>
              </w:rPr>
            </w:pPr>
          </w:p>
        </w:tc>
      </w:tr>
      <w:tr>
        <w:trPr>
          <w:trHeight w:val="238"/>
        </w:trPr>
        <w:tc>
          <w:tcPr>
            <w:tcW w:w="2300" w:type="dxa"/>
            <w:vAlign w:val="bottom"/>
            <w:shd w:val="clear" w:color="auto" w:fill="00A5B5"/>
          </w:tcPr>
          <w:p>
            <w:pPr>
              <w:ind w:left="40"/>
              <w:spacing w:after="0"/>
              <w:rPr>
                <w:sz w:val="20"/>
                <w:szCs w:val="20"/>
                <w:color w:val="auto"/>
              </w:rPr>
            </w:pPr>
            <w:r>
              <w:rPr>
                <w:rFonts w:ascii="Arial" w:cs="Arial" w:eastAsia="Arial" w:hAnsi="Arial"/>
                <w:sz w:val="18"/>
                <w:szCs w:val="18"/>
                <w:b w:val="1"/>
                <w:bCs w:val="1"/>
                <w:color w:val="FFFFFF"/>
              </w:rPr>
              <w:t>Independent</w:t>
            </w: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2300" w:type="dxa"/>
            <w:vAlign w:val="bottom"/>
          </w:tcPr>
          <w:p>
            <w:pPr>
              <w:ind w:left="40"/>
              <w:spacing w:after="0"/>
              <w:rPr>
                <w:sz w:val="20"/>
                <w:szCs w:val="20"/>
                <w:color w:val="auto"/>
              </w:rPr>
            </w:pPr>
            <w:r>
              <w:rPr>
                <w:rFonts w:ascii="Arial" w:cs="Arial" w:eastAsia="Arial" w:hAnsi="Arial"/>
                <w:sz w:val="18"/>
                <w:szCs w:val="18"/>
                <w:b w:val="1"/>
                <w:bCs w:val="1"/>
                <w:color w:val="00A5B5"/>
              </w:rPr>
              <w:t>Committees</w:t>
            </w: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Key Expertise</w:t>
            </w:r>
          </w:p>
        </w:tc>
        <w:tc>
          <w:tcPr>
            <w:tcW w:w="0" w:type="dxa"/>
            <w:vAlign w:val="bottom"/>
          </w:tcPr>
          <w:p>
            <w:pPr>
              <w:spacing w:after="0"/>
              <w:rPr>
                <w:sz w:val="1"/>
                <w:szCs w:val="1"/>
                <w:color w:val="auto"/>
              </w:rPr>
            </w:pPr>
          </w:p>
        </w:tc>
      </w:tr>
    </w:tbl>
    <w:p>
      <w:pPr>
        <w:ind w:left="400" w:hanging="284"/>
        <w:spacing w:after="0" w:line="199"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652145</wp:posOffset>
            </wp:positionV>
            <wp:extent cx="7126605" cy="5588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6605" cy="5588635"/>
                    </a:xfrm>
                    <a:prstGeom prst="rect">
                      <a:avLst/>
                    </a:prstGeom>
                    <a:noFill/>
                  </pic:spPr>
                </pic:pic>
              </a:graphicData>
            </a:graphic>
          </wp:anchor>
        </w:drawing>
        <w:t>Compensation, Culture  Ms. McClain is a seasoned executive business leader with deep expertise in leading organizations through</w:t>
      </w:r>
    </w:p>
    <w:tbl>
      <w:tblPr>
        <w:tblLayout w:type="fixed"/>
        <w:tblInd w:w="120" w:type="dxa"/>
        <w:tblCellMar>
          <w:top w:w="0" w:type="dxa"/>
          <w:left w:w="0" w:type="dxa"/>
          <w:bottom w:w="0" w:type="dxa"/>
          <w:right w:w="0" w:type="dxa"/>
        </w:tblCellMar>
      </w:tblPr>
      <w:tr>
        <w:trPr>
          <w:trHeight w:val="170"/>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980" w:type="dxa"/>
            <w:vAlign w:val="bottom"/>
          </w:tcPr>
          <w:p>
            <w:pPr>
              <w:ind w:left="140"/>
              <w:spacing w:after="0" w:line="170" w:lineRule="exact"/>
              <w:rPr>
                <w:sz w:val="20"/>
                <w:szCs w:val="20"/>
                <w:color w:val="auto"/>
              </w:rPr>
            </w:pPr>
            <w:r>
              <w:rPr>
                <w:rFonts w:ascii="Arial" w:cs="Arial" w:eastAsia="Arial" w:hAnsi="Arial"/>
                <w:sz w:val="18"/>
                <w:szCs w:val="18"/>
                <w:color w:val="auto"/>
              </w:rPr>
              <w:t>and People (Chair)</w:t>
            </w:r>
          </w:p>
        </w:tc>
        <w:tc>
          <w:tcPr>
            <w:tcW w:w="8920" w:type="dxa"/>
            <w:vAlign w:val="bottom"/>
            <w:gridSpan w:val="2"/>
          </w:tcPr>
          <w:p>
            <w:pPr>
              <w:ind w:left="40"/>
              <w:spacing w:after="0" w:line="170" w:lineRule="exact"/>
              <w:rPr>
                <w:sz w:val="20"/>
                <w:szCs w:val="20"/>
                <w:color w:val="auto"/>
              </w:rPr>
            </w:pPr>
            <w:r>
              <w:rPr>
                <w:rFonts w:ascii="Arial" w:cs="Arial" w:eastAsia="Arial" w:hAnsi="Arial"/>
                <w:sz w:val="18"/>
                <w:szCs w:val="18"/>
                <w:color w:val="auto"/>
                <w:w w:val="98"/>
              </w:rPr>
              <w:t>significant transformations and creating value during periods of growth and contracting markets. She provides the</w:t>
            </w:r>
          </w:p>
        </w:tc>
        <w:tc>
          <w:tcPr>
            <w:tcW w:w="0" w:type="dxa"/>
            <w:vAlign w:val="bottom"/>
          </w:tcPr>
          <w:p>
            <w:pPr>
              <w:spacing w:after="0"/>
              <w:rPr>
                <w:sz w:val="1"/>
                <w:szCs w:val="1"/>
                <w:color w:val="auto"/>
              </w:rPr>
            </w:pPr>
          </w:p>
        </w:tc>
      </w:tr>
      <w:tr>
        <w:trPr>
          <w:trHeight w:val="176"/>
        </w:trPr>
        <w:tc>
          <w:tcPr>
            <w:tcW w:w="180" w:type="dxa"/>
            <w:vAlign w:val="bottom"/>
            <w:vMerge w:val="continue"/>
          </w:tcPr>
          <w:p>
            <w:pPr>
              <w:spacing w:after="0"/>
              <w:rPr>
                <w:sz w:val="15"/>
                <w:szCs w:val="15"/>
                <w:color w:val="auto"/>
              </w:rPr>
            </w:pPr>
          </w:p>
        </w:tc>
        <w:tc>
          <w:tcPr>
            <w:tcW w:w="1980" w:type="dxa"/>
            <w:vAlign w:val="bottom"/>
          </w:tcPr>
          <w:p>
            <w:pPr>
              <w:ind w:left="100"/>
              <w:spacing w:after="0" w:line="176" w:lineRule="exact"/>
              <w:rPr>
                <w:sz w:val="20"/>
                <w:szCs w:val="20"/>
                <w:color w:val="auto"/>
              </w:rPr>
            </w:pPr>
            <w:r>
              <w:rPr>
                <w:rFonts w:ascii="Arial" w:cs="Arial" w:eastAsia="Arial" w:hAnsi="Arial"/>
                <w:sz w:val="18"/>
                <w:szCs w:val="18"/>
                <w:color w:val="auto"/>
              </w:rPr>
              <w:t>Nominating and</w:t>
            </w:r>
          </w:p>
        </w:tc>
        <w:tc>
          <w:tcPr>
            <w:tcW w:w="8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Board with senior strategic leadership experience, including complex engineering and technical expertise, in-</w:t>
            </w:r>
          </w:p>
        </w:tc>
        <w:tc>
          <w:tcPr>
            <w:tcW w:w="0" w:type="dxa"/>
            <w:vAlign w:val="bottom"/>
          </w:tcPr>
          <w:p>
            <w:pPr>
              <w:spacing w:after="0"/>
              <w:rPr>
                <w:sz w:val="1"/>
                <w:szCs w:val="1"/>
                <w:color w:val="auto"/>
              </w:rPr>
            </w:pPr>
          </w:p>
        </w:tc>
      </w:tr>
      <w:tr>
        <w:trPr>
          <w:trHeight w:val="172"/>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980" w:type="dxa"/>
            <w:vAlign w:val="bottom"/>
          </w:tcPr>
          <w:p>
            <w:pPr>
              <w:ind w:left="140"/>
              <w:spacing w:after="0" w:line="172" w:lineRule="exact"/>
              <w:rPr>
                <w:sz w:val="20"/>
                <w:szCs w:val="20"/>
                <w:color w:val="auto"/>
              </w:rPr>
            </w:pPr>
            <w:r>
              <w:rPr>
                <w:rFonts w:ascii="Arial" w:cs="Arial" w:eastAsia="Arial" w:hAnsi="Arial"/>
                <w:sz w:val="18"/>
                <w:szCs w:val="18"/>
                <w:color w:val="auto"/>
                <w:w w:val="99"/>
              </w:rPr>
              <w:t>Corporate Governance</w:t>
            </w:r>
          </w:p>
        </w:tc>
        <w:tc>
          <w:tcPr>
            <w:tcW w:w="8920" w:type="dxa"/>
            <w:vAlign w:val="bottom"/>
            <w:gridSpan w:val="2"/>
          </w:tcPr>
          <w:p>
            <w:pPr>
              <w:ind w:left="40"/>
              <w:spacing w:after="0" w:line="172" w:lineRule="exact"/>
              <w:rPr>
                <w:sz w:val="20"/>
                <w:szCs w:val="20"/>
                <w:color w:val="auto"/>
              </w:rPr>
            </w:pPr>
            <w:r>
              <w:rPr>
                <w:rFonts w:ascii="Arial" w:cs="Arial" w:eastAsia="Arial" w:hAnsi="Arial"/>
                <w:sz w:val="18"/>
                <w:szCs w:val="18"/>
                <w:color w:val="auto"/>
              </w:rPr>
              <w:t>depth merger and acquisition experience, large scale program management, and global shareholder relations.</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1980" w:type="dxa"/>
            <w:vAlign w:val="bottom"/>
          </w:tcPr>
          <w:p>
            <w:pPr>
              <w:ind w:left="100"/>
              <w:spacing w:after="0" w:line="182" w:lineRule="exact"/>
              <w:rPr>
                <w:sz w:val="20"/>
                <w:szCs w:val="20"/>
                <w:color w:val="auto"/>
              </w:rPr>
            </w:pPr>
            <w:r>
              <w:rPr>
                <w:rFonts w:ascii="Arial" w:cs="Arial" w:eastAsia="Arial" w:hAnsi="Arial"/>
                <w:sz w:val="18"/>
                <w:szCs w:val="18"/>
                <w:color w:val="auto"/>
              </w:rPr>
              <w:t>Executive</w:t>
            </w:r>
          </w:p>
        </w:tc>
        <w:tc>
          <w:tcPr>
            <w:tcW w:w="8920" w:type="dxa"/>
            <w:vAlign w:val="bottom"/>
            <w:gridSpan w:val="2"/>
          </w:tcPr>
          <w:p>
            <w:pPr>
              <w:ind w:left="40"/>
              <w:spacing w:after="0" w:line="182" w:lineRule="exact"/>
              <w:rPr>
                <w:sz w:val="20"/>
                <w:szCs w:val="20"/>
                <w:color w:val="auto"/>
              </w:rPr>
            </w:pPr>
            <w:r>
              <w:rPr>
                <w:rFonts w:ascii="Arial" w:cs="Arial" w:eastAsia="Arial" w:hAnsi="Arial"/>
                <w:sz w:val="18"/>
                <w:szCs w:val="18"/>
                <w:color w:val="auto"/>
                <w:w w:val="98"/>
              </w:rPr>
              <w:t>Her extensive experience managing global operations, hands-on roles in aerospace, space development and the</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9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8"/>
              </w:rPr>
              <w:t>commercial sectors and service on other public company boards enable her to provide unique insights on various</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920" w:type="dxa"/>
            <w:vAlign w:val="bottom"/>
            <w:gridSpan w:val="2"/>
          </w:tcPr>
          <w:p>
            <w:pPr>
              <w:ind w:left="40"/>
              <w:spacing w:after="0" w:line="172" w:lineRule="exact"/>
              <w:rPr>
                <w:sz w:val="20"/>
                <w:szCs w:val="20"/>
                <w:color w:val="auto"/>
              </w:rPr>
            </w:pPr>
            <w:r>
              <w:rPr>
                <w:rFonts w:ascii="Arial" w:cs="Arial" w:eastAsia="Arial" w:hAnsi="Arial"/>
                <w:sz w:val="18"/>
                <w:szCs w:val="18"/>
                <w:color w:val="auto"/>
              </w:rPr>
              <w:t>aspects of the Company’s strategy, business, operations, risk management and governance, amplifying her</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920" w:type="dxa"/>
            <w:vAlign w:val="bottom"/>
            <w:gridSpan w:val="2"/>
          </w:tcPr>
          <w:p>
            <w:pPr>
              <w:ind w:left="40"/>
              <w:spacing w:after="0" w:line="182" w:lineRule="exact"/>
              <w:rPr>
                <w:sz w:val="20"/>
                <w:szCs w:val="20"/>
                <w:color w:val="auto"/>
              </w:rPr>
            </w:pPr>
            <w:r>
              <w:rPr>
                <w:rFonts w:ascii="Arial" w:cs="Arial" w:eastAsia="Arial" w:hAnsi="Arial"/>
                <w:sz w:val="18"/>
                <w:szCs w:val="18"/>
                <w:color w:val="auto"/>
                <w:w w:val="99"/>
              </w:rPr>
              <w:t>impact as the Chair of our Compensation, Culture and People Committee, and a member of the Nominating and</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20" w:type="dxa"/>
            <w:vAlign w:val="bottom"/>
            <w:gridSpan w:val="2"/>
          </w:tcPr>
          <w:p>
            <w:pPr>
              <w:ind w:left="40"/>
              <w:spacing w:after="0"/>
              <w:rPr>
                <w:sz w:val="20"/>
                <w:szCs w:val="20"/>
                <w:color w:val="auto"/>
              </w:rPr>
            </w:pPr>
            <w:r>
              <w:rPr>
                <w:rFonts w:ascii="Arial" w:cs="Arial" w:eastAsia="Arial" w:hAnsi="Arial"/>
                <w:sz w:val="18"/>
                <w:szCs w:val="18"/>
                <w:color w:val="auto"/>
              </w:rPr>
              <w:t>Corporate Governance Committee and the Executive Committee.</w:t>
            </w:r>
          </w:p>
        </w:tc>
        <w:tc>
          <w:tcPr>
            <w:tcW w:w="0" w:type="dxa"/>
            <w:vAlign w:val="bottom"/>
          </w:tcPr>
          <w:p>
            <w:pPr>
              <w:spacing w:after="0"/>
              <w:rPr>
                <w:sz w:val="1"/>
                <w:szCs w:val="1"/>
                <w:color w:val="auto"/>
              </w:rPr>
            </w:pPr>
          </w:p>
        </w:tc>
      </w:tr>
      <w:tr>
        <w:trPr>
          <w:trHeight w:val="592"/>
        </w:trPr>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Public Company Boards</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0" w:type="dxa"/>
            <w:vAlign w:val="bottom"/>
          </w:tcPr>
          <w:p>
            <w:pPr>
              <w:jc w:val="center"/>
              <w:ind w:right="112"/>
              <w:spacing w:after="0"/>
              <w:rPr>
                <w:sz w:val="20"/>
                <w:szCs w:val="20"/>
                <w:color w:val="auto"/>
              </w:rPr>
            </w:pPr>
            <w:r>
              <w:rPr>
                <w:rFonts w:ascii="Arial" w:cs="Arial" w:eastAsia="Arial" w:hAnsi="Arial"/>
                <w:sz w:val="18"/>
                <w:szCs w:val="18"/>
                <w:b w:val="1"/>
                <w:bCs w:val="1"/>
                <w:color w:val="00A5B5"/>
                <w:w w:val="98"/>
              </w:rPr>
              <w:t>Current</w:t>
            </w:r>
          </w:p>
        </w:tc>
        <w:tc>
          <w:tcPr>
            <w:tcW w:w="5720" w:type="dxa"/>
            <w:vAlign w:val="bottom"/>
          </w:tcPr>
          <w:p>
            <w:pPr>
              <w:jc w:val="center"/>
              <w:ind w:right="311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00" w:type="dxa"/>
            <w:vAlign w:val="bottom"/>
          </w:tcPr>
          <w:p>
            <w:pPr>
              <w:jc w:val="center"/>
              <w:ind w:right="112"/>
              <w:spacing w:after="0" w:line="176" w:lineRule="exact"/>
              <w:rPr>
                <w:sz w:val="20"/>
                <w:szCs w:val="20"/>
                <w:color w:val="auto"/>
              </w:rPr>
            </w:pPr>
            <w:r>
              <w:rPr>
                <w:rFonts w:ascii="Arial" w:cs="Arial" w:eastAsia="Arial" w:hAnsi="Arial"/>
                <w:sz w:val="18"/>
                <w:szCs w:val="18"/>
                <w:color w:val="auto"/>
                <w:w w:val="98"/>
              </w:rPr>
              <w:t>AMETEK, Inc. (NYSE: AME) (since</w:t>
            </w:r>
          </w:p>
        </w:tc>
        <w:tc>
          <w:tcPr>
            <w:tcW w:w="5720" w:type="dxa"/>
            <w:vAlign w:val="bottom"/>
            <w:vMerge w:val="restart"/>
          </w:tcPr>
          <w:p>
            <w:pPr>
              <w:jc w:val="center"/>
              <w:ind w:right="3092"/>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00" w:type="dxa"/>
            <w:vAlign w:val="bottom"/>
            <w:vMerge w:val="restart"/>
          </w:tcPr>
          <w:p>
            <w:pPr>
              <w:jc w:val="center"/>
              <w:ind w:right="112"/>
              <w:spacing w:after="0"/>
              <w:rPr>
                <w:sz w:val="20"/>
                <w:szCs w:val="20"/>
                <w:color w:val="auto"/>
              </w:rPr>
            </w:pPr>
            <w:r>
              <w:rPr>
                <w:rFonts w:ascii="Arial" w:cs="Arial" w:eastAsia="Arial" w:hAnsi="Arial"/>
                <w:sz w:val="18"/>
                <w:szCs w:val="18"/>
                <w:color w:val="auto"/>
                <w:w w:val="97"/>
              </w:rPr>
              <w:t>August 2014)</w:t>
            </w:r>
          </w:p>
        </w:tc>
        <w:tc>
          <w:tcPr>
            <w:tcW w:w="5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5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left="2320"/>
        <w:spacing w:after="0" w:line="219" w:lineRule="auto"/>
        <w:rPr>
          <w:sz w:val="20"/>
          <w:szCs w:val="20"/>
          <w:color w:val="auto"/>
        </w:rPr>
      </w:pPr>
      <w:r>
        <w:rPr>
          <w:rFonts w:ascii="Arial" w:cs="Arial" w:eastAsia="Arial" w:hAnsi="Arial"/>
          <w:sz w:val="17"/>
          <w:szCs w:val="17"/>
          <w:color w:val="auto"/>
        </w:rPr>
        <w:t>Ms. McClain is a highly accomplished global executive whose extensive leadership across diverse industries, including aerospace and industrial technology, uniquely positions her to contribute highly technical and strategic</w:t>
      </w:r>
    </w:p>
    <w:p>
      <w:pPr>
        <w:spacing w:after="0" w:line="1" w:lineRule="exact"/>
        <w:rPr>
          <w:sz w:val="20"/>
          <w:szCs w:val="20"/>
          <w:color w:val="auto"/>
        </w:rPr>
      </w:pPr>
    </w:p>
    <w:p>
      <w:pPr>
        <w:ind w:left="2320" w:right="20"/>
        <w:spacing w:after="0" w:line="224" w:lineRule="auto"/>
        <w:rPr>
          <w:sz w:val="20"/>
          <w:szCs w:val="20"/>
          <w:color w:val="auto"/>
        </w:rPr>
      </w:pPr>
      <w:r>
        <w:rPr>
          <w:rFonts w:ascii="Arial" w:cs="Arial" w:eastAsia="Arial" w:hAnsi="Arial"/>
          <w:sz w:val="18"/>
          <w:szCs w:val="18"/>
          <w:color w:val="auto"/>
        </w:rPr>
        <w:t>insight to the Board. Her engineering expertise coupled with her business acumen advances Booz Allen’s mission to accelerate into more clear and proven growth vectors.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believes her leadership experience successfully navigating through corporate moments of change,</w:t>
      </w:r>
    </w:p>
    <w:p>
      <w:pPr>
        <w:ind w:left="2320" w:right="20"/>
        <w:spacing w:after="0" w:line="224" w:lineRule="auto"/>
        <w:rPr>
          <w:sz w:val="20"/>
          <w:szCs w:val="20"/>
          <w:color w:val="auto"/>
        </w:rPr>
      </w:pPr>
      <w:r>
        <w:rPr>
          <w:rFonts w:ascii="Arial" w:cs="Arial" w:eastAsia="Arial" w:hAnsi="Arial"/>
          <w:sz w:val="18"/>
          <w:szCs w:val="18"/>
          <w:color w:val="auto"/>
        </w:rPr>
        <w:t>such as spin-offs and organizational transformation - both public and private ownership - provides critical perspectives to the Board’s oversight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13" w:right="37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Ryan P. Nolan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46</w:t>
      </w:r>
    </w:p>
    <w:p>
      <w:pPr>
        <w:spacing w:after="0" w:line="217"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FFFFFF"/>
        </w:rPr>
        <w:t>Director since: June 2026 Independent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360" w:hanging="284"/>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4630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6605" cy="4630420"/>
                    </a:xfrm>
                    <a:prstGeom prst="rect">
                      <a:avLst/>
                    </a:prstGeom>
                    <a:noFill/>
                  </pic:spPr>
                </pic:pic>
              </a:graphicData>
            </a:graphic>
          </wp:anchor>
        </w:drawing>
      </w:r>
    </w:p>
    <w:p>
      <w:pPr>
        <w:spacing w:after="0" w:line="26"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Mr. Nolan has served as partner and co-head of global technology at BDT &amp; MSD Partners, LLC ("BDT &amp; MSD"), a merchant bank with an advisory and investment platform, since September 2025 and serves on the firm's</w:t>
      </w:r>
    </w:p>
    <w:p>
      <w:pPr>
        <w:spacing w:after="0" w:line="216" w:lineRule="auto"/>
        <w:rPr>
          <w:sz w:val="20"/>
          <w:szCs w:val="20"/>
          <w:color w:val="auto"/>
        </w:rPr>
      </w:pPr>
      <w:r>
        <w:rPr>
          <w:rFonts w:ascii="Arial" w:cs="Arial" w:eastAsia="Arial" w:hAnsi="Arial"/>
          <w:sz w:val="17"/>
          <w:szCs w:val="17"/>
          <w:color w:val="auto"/>
        </w:rPr>
        <w:t>Technology lnvestment Committee. Prior to joining BDT &amp; MSD, Mr. Nolan was a partner from 2012 to 2025 in the Technology, Media and Telecommunications Group of Goldman Sachs &amp; Co. LLC (“Goldman Sachs”) where he advised on capital markets transactions that raised more than $ 50 billion and on merger and acquisition</w:t>
      </w:r>
    </w:p>
    <w:p>
      <w:pPr>
        <w:spacing w:after="0" w:line="2" w:lineRule="exact"/>
        <w:rPr>
          <w:sz w:val="20"/>
          <w:szCs w:val="20"/>
          <w:color w:val="auto"/>
        </w:rPr>
      </w:pPr>
    </w:p>
    <w:p>
      <w:pPr>
        <w:ind w:right="260"/>
        <w:spacing w:after="0" w:line="216" w:lineRule="auto"/>
        <w:rPr>
          <w:sz w:val="20"/>
          <w:szCs w:val="20"/>
          <w:color w:val="auto"/>
        </w:rPr>
      </w:pPr>
      <w:r>
        <w:rPr>
          <w:rFonts w:ascii="Arial" w:cs="Arial" w:eastAsia="Arial" w:hAnsi="Arial"/>
          <w:sz w:val="17"/>
          <w:szCs w:val="17"/>
          <w:color w:val="auto"/>
        </w:rPr>
        <w:t>transactions that totaled more than $150 billion in deal value, including the largest technology acquisition in history. Additionally, he served as the global co-head of software investment banking. Prior to Goldman Sachs, Mr. Nolan was a senior associate at Simpson Thacher &amp; Bartlett LLP and worked in the antitrust division of the</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United States Department of Justice. Mr. Nolan is currently a senior research fellow at Harvard Kennedy School and is a member of the Council on Foreign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Mr. Nolan is an accomplished technology advisor and investor whose experience advising leading technology companies, founders, and long-term investors brings strategic, financial, and innovation expertise to Booz Allen's</w:t>
      </w:r>
    </w:p>
    <w:p>
      <w:pPr>
        <w:spacing w:after="0" w:line="1" w:lineRule="exact"/>
        <w:rPr>
          <w:sz w:val="20"/>
          <w:szCs w:val="20"/>
          <w:color w:val="auto"/>
        </w:rPr>
      </w:pPr>
    </w:p>
    <w:p>
      <w:pPr>
        <w:ind w:right="420"/>
        <w:spacing w:after="0" w:line="224" w:lineRule="auto"/>
        <w:rPr>
          <w:sz w:val="20"/>
          <w:szCs w:val="20"/>
          <w:color w:val="auto"/>
        </w:rPr>
      </w:pPr>
      <w:r>
        <w:rPr>
          <w:rFonts w:ascii="Arial" w:cs="Arial" w:eastAsia="Arial" w:hAnsi="Arial"/>
          <w:sz w:val="18"/>
          <w:szCs w:val="18"/>
          <w:color w:val="auto"/>
        </w:rPr>
        <w:t>Board. His breadth of experience serves to bolster Booz Allen’s mergers and acquisitions and capital market capabilities, and provide forward-looking solutions in technology-driven areas.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40"/>
        <w:spacing w:after="0"/>
        <w:tabs>
          <w:tab w:leader="none" w:pos="346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36" w:lineRule="exact"/>
        <w:rPr>
          <w:sz w:val="20"/>
          <w:szCs w:val="20"/>
          <w:color w:val="auto"/>
        </w:rPr>
      </w:pPr>
    </w:p>
    <w:p>
      <w:pPr>
        <w:ind w:left="1260"/>
        <w:spacing w:after="0"/>
        <w:tabs>
          <w:tab w:leader="none" w:pos="42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right="320"/>
        <w:spacing w:after="0" w:line="219" w:lineRule="auto"/>
        <w:rPr>
          <w:sz w:val="20"/>
          <w:szCs w:val="20"/>
          <w:color w:val="auto"/>
        </w:rPr>
      </w:pPr>
      <w:r>
        <w:rPr>
          <w:rFonts w:ascii="Arial" w:cs="Arial" w:eastAsia="Arial" w:hAnsi="Arial"/>
          <w:sz w:val="17"/>
          <w:szCs w:val="17"/>
          <w:color w:val="auto"/>
        </w:rPr>
        <w:t>With deep expertise in technology, financial oversight, and large-scale organizational management, Mr. Nolan enhances the Board’s ability to drive long-term value creation in technology-enabled markets. Mr. Nolan’s</w:t>
      </w:r>
    </w:p>
    <w:p>
      <w:pPr>
        <w:spacing w:after="0" w:line="1"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investment banking background brings further strategic, financial, technology, and innovation expertise to the Board. Additionally, the Board believes his experience managing complex transactions and fostering technology-driven growth strengthens the Board's oversight of the Company's strategic priorities of delivering advanced,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mission-driven innovation and technologies to the Company's customers.</w:t>
      </w:r>
    </w:p>
    <w:p>
      <w:pPr>
        <w:spacing w:after="0" w:line="200" w:lineRule="exact"/>
        <w:rPr>
          <w:sz w:val="20"/>
          <w:szCs w:val="20"/>
          <w:color w:val="auto"/>
        </w:rPr>
      </w:pPr>
    </w:p>
    <w:p>
      <w:pPr>
        <w:sectPr>
          <w:pgSz w:w="11900" w:h="16838" w:orient="portrait"/>
          <w:cols w:equalWidth="0" w:num="2">
            <w:col w:w="2140" w:space="140"/>
            <w:col w:w="8860"/>
          </w:cols>
          <w:pgMar w:left="360" w:top="11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60" w:top="1113" w:right="39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Robert C. O’Brien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59</w:t>
      </w:r>
    </w:p>
    <w:p>
      <w:pPr>
        <w:spacing w:after="0" w:line="58"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FFFFFF"/>
        </w:rPr>
        <w:t>Director since: 2025 Independent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400" w:right="20" w:hanging="324"/>
        <w:spacing w:after="0" w:line="216" w:lineRule="auto"/>
        <w:tabs>
          <w:tab w:leader="none" w:pos="3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Culture and People</w:t>
      </w:r>
    </w:p>
    <w:p>
      <w:pPr>
        <w:ind w:left="400" w:hanging="324"/>
        <w:spacing w:after="0" w:line="238" w:lineRule="auto"/>
        <w:tabs>
          <w:tab w:leader="none" w:pos="3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4966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6605" cy="4966970"/>
                    </a:xfrm>
                    <a:prstGeom prst="rect">
                      <a:avLst/>
                    </a:prstGeom>
                    <a:noFill/>
                  </pic:spPr>
                </pic:pic>
              </a:graphicData>
            </a:graphic>
          </wp:anchor>
        </w:drawing>
      </w:r>
    </w:p>
    <w:p>
      <w:pPr>
        <w:spacing w:after="0" w:line="26"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Ambassador O’Brien is the co-founder and chairman of American Global Strategies LLC, a position he has held since 2021, and a member of the President’s Intelligence Advisory Board and the chair of the Commission on the</w:t>
      </w:r>
    </w:p>
    <w:p>
      <w:pPr>
        <w:ind w:right="120"/>
        <w:spacing w:after="0" w:line="216" w:lineRule="auto"/>
        <w:rPr>
          <w:sz w:val="20"/>
          <w:szCs w:val="20"/>
          <w:color w:val="auto"/>
        </w:rPr>
      </w:pPr>
      <w:r>
        <w:rPr>
          <w:rFonts w:ascii="Arial" w:cs="Arial" w:eastAsia="Arial" w:hAnsi="Arial"/>
          <w:sz w:val="17"/>
          <w:szCs w:val="17"/>
          <w:color w:val="auto"/>
        </w:rPr>
        <w:t>National Defense Strategy in the second Trump administration, following his service as U.S. national security advisor from 2019 to 2021. Before serving as U.S. national security advisor, Ambassador O’Brien was special presidential envoy for hostage affairs with the personal rank of ambassador from May 2018 to October 2019, co-</w:t>
      </w:r>
    </w:p>
    <w:p>
      <w:pPr>
        <w:spacing w:after="0" w:line="2" w:lineRule="exact"/>
        <w:rPr>
          <w:sz w:val="20"/>
          <w:szCs w:val="20"/>
          <w:color w:val="auto"/>
        </w:rPr>
      </w:pPr>
    </w:p>
    <w:p>
      <w:pPr>
        <w:ind w:right="60"/>
        <w:spacing w:after="0" w:line="216" w:lineRule="auto"/>
        <w:rPr>
          <w:sz w:val="20"/>
          <w:szCs w:val="20"/>
          <w:color w:val="auto"/>
        </w:rPr>
      </w:pPr>
      <w:r>
        <w:rPr>
          <w:rFonts w:ascii="Arial" w:cs="Arial" w:eastAsia="Arial" w:hAnsi="Arial"/>
          <w:sz w:val="17"/>
          <w:szCs w:val="17"/>
          <w:color w:val="auto"/>
        </w:rPr>
        <w:t>chairman of the U.S. Department of State Public-Private Partnership for Justice Reform in Afghanistan from 2005 to 2009 under both Secretaries of State Rice and Clinton, and a presidentially appointed member of the U.S. Cultural Property Advisory Committee from 2008 to 2011. In 2005, Ambassador O’Brien was nominated by</w:t>
      </w:r>
    </w:p>
    <w:p>
      <w:pPr>
        <w:spacing w:after="0" w:line="2" w:lineRule="exact"/>
        <w:rPr>
          <w:sz w:val="20"/>
          <w:szCs w:val="20"/>
          <w:color w:val="auto"/>
        </w:rPr>
      </w:pPr>
    </w:p>
    <w:p>
      <w:pPr>
        <w:ind w:right="40"/>
        <w:spacing w:after="0" w:line="216" w:lineRule="auto"/>
        <w:rPr>
          <w:sz w:val="20"/>
          <w:szCs w:val="20"/>
          <w:color w:val="auto"/>
        </w:rPr>
      </w:pPr>
      <w:r>
        <w:rPr>
          <w:rFonts w:ascii="Arial" w:cs="Arial" w:eastAsia="Arial" w:hAnsi="Arial"/>
          <w:sz w:val="17"/>
          <w:szCs w:val="17"/>
          <w:color w:val="auto"/>
        </w:rPr>
        <w:t>President George W. Bush and unanimously confirmed by the U.S. Senate to serve as a U.S. representative to the 60th session of the United Nations General Assembly. Earlier in his career, Ambassador O’Brien was a senior legal officer for the UN Security Council commission and a major in the Judge Advocate General’s Corps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 Army Reserve.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260"/>
        <w:spacing w:after="0" w:line="219" w:lineRule="auto"/>
        <w:rPr>
          <w:sz w:val="20"/>
          <w:szCs w:val="20"/>
          <w:color w:val="auto"/>
        </w:rPr>
      </w:pPr>
      <w:r>
        <w:rPr>
          <w:rFonts w:ascii="Arial" w:cs="Arial" w:eastAsia="Arial" w:hAnsi="Arial"/>
          <w:sz w:val="17"/>
          <w:szCs w:val="17"/>
          <w:color w:val="auto"/>
        </w:rPr>
        <w:t>Ambassador O’Brien has deep expertise in U.S. national security, policy, and the defense industrial base. He brings extensive government experience and public policy skills to our Board, providing invaluable insights into</w:t>
      </w:r>
    </w:p>
    <w:p>
      <w:pPr>
        <w:spacing w:after="0" w:line="1" w:lineRule="exact"/>
        <w:rPr>
          <w:sz w:val="20"/>
          <w:szCs w:val="20"/>
          <w:color w:val="auto"/>
        </w:rPr>
      </w:pPr>
    </w:p>
    <w:p>
      <w:pPr>
        <w:jc w:val="both"/>
        <w:ind w:right="200"/>
        <w:spacing w:after="0" w:line="216" w:lineRule="auto"/>
        <w:rPr>
          <w:sz w:val="20"/>
          <w:szCs w:val="20"/>
          <w:color w:val="auto"/>
        </w:rPr>
      </w:pPr>
      <w:r>
        <w:rPr>
          <w:rFonts w:ascii="Arial" w:cs="Arial" w:eastAsia="Arial" w:hAnsi="Arial"/>
          <w:sz w:val="17"/>
          <w:szCs w:val="17"/>
          <w:color w:val="auto"/>
        </w:rPr>
        <w:t>government operations and strategic planning. Ambassador O’Brien’s expertise in national security and various advisory roles makes him a strategic asset in navigating the U.S. government and global defense, intelligence, technology and business landscapes. His experience in high-level advisory positions further augments the</w:t>
      </w:r>
    </w:p>
    <w:p>
      <w:pPr>
        <w:spacing w:after="0" w:line="2" w:lineRule="exact"/>
        <w:rPr>
          <w:sz w:val="20"/>
          <w:szCs w:val="20"/>
          <w:color w:val="auto"/>
        </w:rPr>
      </w:pPr>
    </w:p>
    <w:p>
      <w:pPr>
        <w:ind w:right="420"/>
        <w:spacing w:after="0" w:line="216" w:lineRule="auto"/>
        <w:rPr>
          <w:sz w:val="20"/>
          <w:szCs w:val="20"/>
          <w:color w:val="auto"/>
        </w:rPr>
      </w:pPr>
      <w:r>
        <w:rPr>
          <w:rFonts w:ascii="Arial" w:cs="Arial" w:eastAsia="Arial" w:hAnsi="Arial"/>
          <w:sz w:val="17"/>
          <w:szCs w:val="17"/>
          <w:color w:val="auto"/>
        </w:rPr>
        <w:t>Board’s capabilities to address complex security challenges and influence policy at the highest levels. As a member of our Compensation, Culture and People and Nominating and Corporate Governance Committees, Ambassador O’Brien’s corporate governance skills and leadership skills contribute to our Board’s strategic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oversight.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40"/>
        <w:spacing w:after="0"/>
        <w:tabs>
          <w:tab w:leader="none" w:pos="346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36" w:lineRule="exact"/>
        <w:rPr>
          <w:sz w:val="20"/>
          <w:szCs w:val="20"/>
          <w:color w:val="auto"/>
        </w:rPr>
      </w:pPr>
    </w:p>
    <w:p>
      <w:pPr>
        <w:ind w:left="1260"/>
        <w:spacing w:after="0"/>
        <w:tabs>
          <w:tab w:leader="none" w:pos="42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Ambassador O’Brien brings extensive national security, policy, and government operations expertise to the Board. His senior advisory roles at the highest levels of U.S. government provide critical insight into defense,</w:t>
      </w:r>
    </w:p>
    <w:p>
      <w:pPr>
        <w:spacing w:after="0"/>
        <w:rPr>
          <w:sz w:val="20"/>
          <w:szCs w:val="20"/>
          <w:color w:val="auto"/>
        </w:rPr>
      </w:pPr>
      <w:r>
        <w:rPr>
          <w:rFonts w:ascii="Arial" w:cs="Arial" w:eastAsia="Arial" w:hAnsi="Arial"/>
          <w:sz w:val="18"/>
          <w:szCs w:val="18"/>
          <w:color w:val="auto"/>
        </w:rPr>
        <w:t>intelligence, and global security environments central to Booz Allen’s mission.</w:t>
      </w:r>
    </w:p>
    <w:p>
      <w:pPr>
        <w:spacing w:after="0" w:line="12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Board believes his experience navigating complex geopolitical, policy, and institutional landscapes enhances the Board’s strategic oversight and governance capabilities.</w:t>
      </w:r>
    </w:p>
    <w:p>
      <w:pPr>
        <w:spacing w:after="0" w:line="200" w:lineRule="exact"/>
        <w:rPr>
          <w:sz w:val="20"/>
          <w:szCs w:val="20"/>
          <w:color w:val="auto"/>
        </w:rPr>
      </w:pPr>
    </w:p>
    <w:p>
      <w:pPr>
        <w:sectPr>
          <w:pgSz w:w="11900" w:h="16838" w:orient="portrait"/>
          <w:cols w:equalWidth="0" w:num="2">
            <w:col w:w="2180" w:space="100"/>
            <w:col w:w="8880"/>
          </w:cols>
          <w:pgMar w:left="360" w:top="11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13" w:right="37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Rory P. Read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64</w:t>
      </w:r>
    </w:p>
    <w:p>
      <w:pPr>
        <w:spacing w:after="0" w:line="44"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FFFFFF"/>
        </w:rPr>
        <w:t>Director since: 2023 Independent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400" w:right="20" w:hanging="324"/>
        <w:spacing w:after="0" w:line="216" w:lineRule="auto"/>
        <w:tabs>
          <w:tab w:leader="none" w:pos="3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Culture and People</w:t>
      </w:r>
    </w:p>
    <w:p>
      <w:pPr>
        <w:ind w:left="400" w:hanging="324"/>
        <w:spacing w:after="0" w:line="238" w:lineRule="auto"/>
        <w:tabs>
          <w:tab w:leader="none" w:pos="3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517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6605" cy="5177155"/>
                    </a:xfrm>
                    <a:prstGeom prst="rect">
                      <a:avLst/>
                    </a:prstGeom>
                    <a:noFill/>
                  </pic:spPr>
                </pic:pic>
              </a:graphicData>
            </a:graphic>
          </wp:anchor>
        </w:drawing>
      </w:r>
    </w:p>
    <w:p>
      <w:pPr>
        <w:spacing w:after="0" w:line="26"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Mr. Read has served as the president and chief executive officer of Sprinklr, a customer experience management (CXM) platform that provides businesses with tools and technologies to manage customer interactions and</w:t>
      </w:r>
    </w:p>
    <w:p>
      <w:pPr>
        <w:spacing w:after="0" w:line="216" w:lineRule="auto"/>
        <w:rPr>
          <w:sz w:val="20"/>
          <w:szCs w:val="20"/>
          <w:color w:val="auto"/>
        </w:rPr>
      </w:pPr>
      <w:r>
        <w:rPr>
          <w:rFonts w:ascii="Arial" w:cs="Arial" w:eastAsia="Arial" w:hAnsi="Arial"/>
          <w:sz w:val="17"/>
          <w:szCs w:val="17"/>
          <w:color w:val="auto"/>
        </w:rPr>
        <w:t>engagement across various digital channels, since November 2024. Mr. Read has more than three decades of expertise leading global technology organizations, including previous roles as senior vice president at Ericsson, a global information and communication technology company from July 2022 to March 2024; as president and chief</w:t>
      </w:r>
    </w:p>
    <w:p>
      <w:pPr>
        <w:spacing w:after="0" w:line="2" w:lineRule="exact"/>
        <w:rPr>
          <w:sz w:val="20"/>
          <w:szCs w:val="20"/>
          <w:color w:val="auto"/>
        </w:rPr>
      </w:pPr>
    </w:p>
    <w:p>
      <w:pPr>
        <w:ind w:right="160"/>
        <w:spacing w:after="0" w:line="216" w:lineRule="auto"/>
        <w:rPr>
          <w:sz w:val="20"/>
          <w:szCs w:val="20"/>
          <w:color w:val="auto"/>
        </w:rPr>
      </w:pPr>
      <w:r>
        <w:rPr>
          <w:rFonts w:ascii="Arial" w:cs="Arial" w:eastAsia="Arial" w:hAnsi="Arial"/>
          <w:sz w:val="17"/>
          <w:szCs w:val="17"/>
          <w:color w:val="auto"/>
        </w:rPr>
        <w:t>executive officer of Vonage, a global provider of cloud communications solutions from July 2020 to March 2024; chief operating executive of Dell Technologies; chief executive officer and president of Dell Virtustream; and executive vice president of Dell Boomi. As chief integration officer at Dell, Mr. Read played a lead role in the</w:t>
      </w:r>
    </w:p>
    <w:p>
      <w:pPr>
        <w:spacing w:after="0" w:line="2"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historic $67 billion merger of Dell and EMC Corporation. Before that, he served as chief executive officer, president, and board member of Advanced Micro Devices, and chief operating officer and president of Lenovo. Earlier, Mr. Read spent 23 years at IBM, serving in various leadership roles.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80"/>
        <w:spacing w:after="0" w:line="219" w:lineRule="auto"/>
        <w:rPr>
          <w:sz w:val="20"/>
          <w:szCs w:val="20"/>
          <w:color w:val="auto"/>
        </w:rPr>
      </w:pPr>
      <w:r>
        <w:rPr>
          <w:rFonts w:ascii="Arial" w:cs="Arial" w:eastAsia="Arial" w:hAnsi="Arial"/>
          <w:sz w:val="17"/>
          <w:szCs w:val="17"/>
          <w:color w:val="auto"/>
        </w:rPr>
        <w:t>Mr. Read is a seasoned strategic leader in the advanced technology space and provides the Board with decades of experience in leading global technology organizations, and extensive skills in strategic oversight and</w:t>
      </w:r>
    </w:p>
    <w:p>
      <w:pPr>
        <w:spacing w:after="0" w:line="1" w:lineRule="exact"/>
        <w:rPr>
          <w:sz w:val="20"/>
          <w:szCs w:val="20"/>
          <w:color w:val="auto"/>
        </w:rPr>
      </w:pPr>
    </w:p>
    <w:p>
      <w:pPr>
        <w:ind w:right="140"/>
        <w:spacing w:after="0" w:line="216" w:lineRule="auto"/>
        <w:rPr>
          <w:sz w:val="20"/>
          <w:szCs w:val="20"/>
          <w:color w:val="auto"/>
        </w:rPr>
      </w:pPr>
      <w:r>
        <w:rPr>
          <w:rFonts w:ascii="Arial" w:cs="Arial" w:eastAsia="Arial" w:hAnsi="Arial"/>
          <w:sz w:val="17"/>
          <w:szCs w:val="17"/>
          <w:color w:val="auto"/>
        </w:rPr>
        <w:t>management. Mr. Read’s involvement in executing one of the largest tech mergers in history and leadership within prominent tech firms demonstrate his strategic vision and financial oversight expertise. Mr. Read’s extensive background in technology and management and other public company board experience enables him</w:t>
      </w:r>
    </w:p>
    <w:p>
      <w:pPr>
        <w:spacing w:after="0" w:line="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to provide critical insights into the Company’s operational efficiency and strategic initiatives in tech-driven sectors. Mr. Read is a member of the Compensation, Culture and People Committee and the Nominating and Corporate Governance Committee.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6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2960" w:type="dxa"/>
            <w:vAlign w:val="bottom"/>
          </w:tcPr>
          <w:p>
            <w:pPr>
              <w:jc w:val="center"/>
              <w:spacing w:after="0"/>
              <w:rPr>
                <w:sz w:val="20"/>
                <w:szCs w:val="20"/>
                <w:color w:val="auto"/>
              </w:rPr>
            </w:pPr>
            <w:r>
              <w:rPr>
                <w:rFonts w:ascii="Arial" w:cs="Arial" w:eastAsia="Arial" w:hAnsi="Arial"/>
                <w:sz w:val="18"/>
                <w:szCs w:val="18"/>
                <w:b w:val="1"/>
                <w:bCs w:val="1"/>
                <w:color w:val="00A5B5"/>
                <w:w w:val="98"/>
              </w:rPr>
              <w:t>Current</w:t>
            </w:r>
          </w:p>
        </w:tc>
        <w:tc>
          <w:tcPr>
            <w:tcW w:w="2820" w:type="dxa"/>
            <w:vAlign w:val="bottom"/>
          </w:tcPr>
          <w:p>
            <w:pPr>
              <w:jc w:val="center"/>
              <w:ind w:left="1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2960" w:type="dxa"/>
            <w:vAlign w:val="bottom"/>
          </w:tcPr>
          <w:p>
            <w:pPr>
              <w:jc w:val="center"/>
              <w:spacing w:after="0" w:line="176" w:lineRule="exact"/>
              <w:rPr>
                <w:sz w:val="20"/>
                <w:szCs w:val="20"/>
                <w:color w:val="auto"/>
              </w:rPr>
            </w:pPr>
            <w:r>
              <w:rPr>
                <w:rFonts w:ascii="Arial" w:cs="Arial" w:eastAsia="Arial" w:hAnsi="Arial"/>
                <w:sz w:val="18"/>
                <w:szCs w:val="18"/>
                <w:color w:val="auto"/>
                <w:w w:val="98"/>
              </w:rPr>
              <w:t>Sprinklr Corp. (NYSE: CXM) (since</w:t>
            </w:r>
          </w:p>
        </w:tc>
        <w:tc>
          <w:tcPr>
            <w:tcW w:w="2820" w:type="dxa"/>
            <w:vAlign w:val="bottom"/>
            <w:vMerge w:val="restart"/>
          </w:tcPr>
          <w:p>
            <w:pPr>
              <w:jc w:val="center"/>
              <w:ind w:left="32"/>
              <w:spacing w:after="0"/>
              <w:rPr>
                <w:sz w:val="20"/>
                <w:szCs w:val="20"/>
                <w:color w:val="auto"/>
              </w:rPr>
            </w:pPr>
            <w:r>
              <w:rPr>
                <w:rFonts w:ascii="Arial" w:cs="Arial" w:eastAsia="Arial" w:hAnsi="Arial"/>
                <w:sz w:val="18"/>
                <w:szCs w:val="18"/>
                <w:color w:val="auto"/>
                <w:w w:val="97"/>
              </w:rPr>
              <w:t>Vonage Corp (until February 2022)</w:t>
            </w:r>
          </w:p>
        </w:tc>
        <w:tc>
          <w:tcPr>
            <w:tcW w:w="0" w:type="dxa"/>
            <w:vAlign w:val="bottom"/>
          </w:tcPr>
          <w:p>
            <w:pPr>
              <w:spacing w:after="0"/>
              <w:rPr>
                <w:sz w:val="1"/>
                <w:szCs w:val="1"/>
                <w:color w:val="auto"/>
              </w:rPr>
            </w:pPr>
          </w:p>
        </w:tc>
      </w:tr>
      <w:tr>
        <w:trPr>
          <w:trHeight w:val="149"/>
        </w:trPr>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8"/>
              </w:rPr>
              <w:t>November 2024)</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9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auto"/>
        </w:rPr>
        <w:t>Mr. Read is a seasoned global technology executive whose leadership across major technology and enterprise organizations brings significant operational and strategic insight to the Board. His experience guiding large-scale</w:t>
      </w:r>
    </w:p>
    <w:p>
      <w:pPr>
        <w:spacing w:after="0" w:line="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transformations, including the largest tech merger in history between Dell and EMC Corporation, managing complex integrations, and leading technology-driven growth strengthens Booz Allen’s oversight of innovation and digital strategy.</w:t>
      </w:r>
    </w:p>
    <w:p>
      <w:pPr>
        <w:spacing w:after="0" w:line="12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With deep expertise in enterprise technology, financial oversight, and large-scale organizational management, the Board believes that Mr. Read supports the Board’s ability to drive long-term value creation in technology-enabled markets.</w:t>
      </w:r>
    </w:p>
    <w:p>
      <w:pPr>
        <w:spacing w:after="0" w:line="200" w:lineRule="exact"/>
        <w:rPr>
          <w:sz w:val="20"/>
          <w:szCs w:val="20"/>
          <w:color w:val="auto"/>
        </w:rPr>
      </w:pPr>
    </w:p>
    <w:p>
      <w:pPr>
        <w:sectPr>
          <w:pgSz w:w="11900" w:h="16838" w:orient="portrait"/>
          <w:cols w:equalWidth="0" w:num="2">
            <w:col w:w="2180" w:space="100"/>
            <w:col w:w="8860"/>
          </w:cols>
          <w:pgMar w:left="360" w:top="11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60" w:top="1113" w:right="39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A5B5"/>
        </w:rPr>
        <w:t>Horacio D. Rozanski</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58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360" w:hanging="284"/>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Executive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4664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6605" cy="4664075"/>
                    </a:xfrm>
                    <a:prstGeom prst="rect">
                      <a:avLst/>
                    </a:prstGeom>
                    <a:noFill/>
                  </pic:spPr>
                </pic:pic>
              </a:graphicData>
            </a:graphic>
          </wp:anchor>
        </w:drawing>
      </w:r>
    </w:p>
    <w:p>
      <w:pPr>
        <w:spacing w:after="0" w:line="26"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Mr. Rozanski is the Chairman and Chief Executive Officer of Booz Allen. He began as a summer intern in 1991 and re-joined the company in 1992 as a consultant serving commercial customers. During his tenure, Mr.</w:t>
      </w:r>
    </w:p>
    <w:p>
      <w:pPr>
        <w:ind w:right="160"/>
        <w:spacing w:after="0" w:line="216" w:lineRule="auto"/>
        <w:rPr>
          <w:sz w:val="20"/>
          <w:szCs w:val="20"/>
          <w:color w:val="auto"/>
        </w:rPr>
      </w:pPr>
      <w:r>
        <w:rPr>
          <w:rFonts w:ascii="Arial" w:cs="Arial" w:eastAsia="Arial" w:hAnsi="Arial"/>
          <w:sz w:val="18"/>
          <w:szCs w:val="18"/>
          <w:color w:val="auto"/>
        </w:rPr>
        <w:t>Rozanski has held a number of leadership roles, including Chief Personnel Officer, Chief Talent and Strategy Officer, Chief Operating Officer, and President. He became Chief Executive Officer in 2015 and Chairman of the Board of Directors in 2024.</w:t>
      </w:r>
    </w:p>
    <w:p>
      <w:pPr>
        <w:spacing w:after="0" w:line="127"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Mr. Rozanski has played an integral role in many of Booz Allen’s major strategic initiatives, including the spin-off of the commercial consulting business in 2008 and the successful 2010 initial public offering. Most importantly, for</w:t>
      </w:r>
    </w:p>
    <w:p>
      <w:pPr>
        <w:ind w:right="60"/>
        <w:spacing w:after="0" w:line="224" w:lineRule="auto"/>
        <w:rPr>
          <w:sz w:val="20"/>
          <w:szCs w:val="20"/>
          <w:color w:val="auto"/>
        </w:rPr>
      </w:pPr>
      <w:r>
        <w:rPr>
          <w:rFonts w:ascii="Arial" w:cs="Arial" w:eastAsia="Arial" w:hAnsi="Arial"/>
          <w:sz w:val="18"/>
          <w:szCs w:val="18"/>
          <w:color w:val="auto"/>
        </w:rPr>
        <w:t>more than a decade, he has led Booz Allen’s evolution into the vibrant technology company it is today, which has led to significant growth and shareholder value creation.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120"/>
        <w:spacing w:after="0" w:line="219" w:lineRule="auto"/>
        <w:rPr>
          <w:sz w:val="20"/>
          <w:szCs w:val="20"/>
          <w:color w:val="auto"/>
        </w:rPr>
      </w:pPr>
      <w:r>
        <w:rPr>
          <w:rFonts w:ascii="Arial" w:cs="Arial" w:eastAsia="Arial" w:hAnsi="Arial"/>
          <w:sz w:val="17"/>
          <w:szCs w:val="17"/>
          <w:color w:val="auto"/>
        </w:rPr>
        <w:t>In addition to his unparalleled institutional knowledge of Booz Allen, Mr. Rozanski brings extensive management and operating experience, strong core business capabilities such as financial management and strategic</w:t>
      </w:r>
    </w:p>
    <w:p>
      <w:pPr>
        <w:spacing w:after="0" w:line="1"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planning, and a deep understanding of the technology landscape, government missions and procurement processes. Together, this enables him to guide Booz Allen’s long-term growth strategy while adjusting to market and technology trends, risks, and opportunities.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60"/>
        <w:spacing w:after="0"/>
        <w:tabs>
          <w:tab w:leader="none" w:pos="348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1" w:lineRule="exact"/>
        <w:rPr>
          <w:sz w:val="20"/>
          <w:szCs w:val="20"/>
          <w:color w:val="auto"/>
        </w:rPr>
      </w:pPr>
    </w:p>
    <w:p>
      <w:pPr>
        <w:ind w:left="460" w:hanging="29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Marriott International, Inc.</w:t>
      </w:r>
    </w:p>
    <w:p>
      <w:pPr>
        <w:ind w:left="260"/>
        <w:spacing w:after="0" w:line="227" w:lineRule="auto"/>
        <w:tabs>
          <w:tab w:leader="none" w:pos="4200" w:val="left"/>
        </w:tabs>
        <w:rPr>
          <w:sz w:val="20"/>
          <w:szCs w:val="20"/>
          <w:color w:val="auto"/>
        </w:rPr>
      </w:pPr>
      <w:r>
        <w:rPr>
          <w:rFonts w:ascii="Arial" w:cs="Arial" w:eastAsia="Arial" w:hAnsi="Arial"/>
          <w:sz w:val="18"/>
          <w:szCs w:val="18"/>
          <w:color w:val="auto"/>
        </w:rPr>
        <w:t>(NASDAQ: MAR) (since March</w:t>
      </w:r>
      <w:r>
        <w:rPr>
          <w:sz w:val="20"/>
          <w:szCs w:val="20"/>
          <w:color w:val="auto"/>
        </w:rPr>
        <w:tab/>
      </w:r>
      <w:r>
        <w:rPr>
          <w:rFonts w:ascii="Arial" w:cs="Arial" w:eastAsia="Arial" w:hAnsi="Arial"/>
          <w:sz w:val="17"/>
          <w:szCs w:val="17"/>
          <w:color w:val="auto"/>
        </w:rPr>
        <w:t>None</w:t>
      </w:r>
    </w:p>
    <w:p>
      <w:pPr>
        <w:ind w:left="1240"/>
        <w:spacing w:after="0"/>
        <w:rPr>
          <w:sz w:val="20"/>
          <w:szCs w:val="20"/>
          <w:color w:val="auto"/>
        </w:rPr>
      </w:pPr>
      <w:r>
        <w:rPr>
          <w:rFonts w:ascii="Arial" w:cs="Arial" w:eastAsia="Arial" w:hAnsi="Arial"/>
          <w:sz w:val="18"/>
          <w:szCs w:val="18"/>
          <w:color w:val="auto"/>
        </w:rPr>
        <w:t>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auto"/>
        </w:rPr>
        <w:t>Mr. Rozanski’s 35-year tenure with Booz Allen and current role as Chairman and Chief Executive Officer provide him with a unique perspective on the Company’s history, culture, values, and long-term strategic direction. As an</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industry-leading global executive, Mr. Rozanski has a proven track record of leading Booz Allen through periods of significant change and transformation. Most recently, Mr. Rozanski has focused on accelerating the Company’s evolution as an advanced technology company, building differentiated technologies to support our nation’s most</w:t>
      </w:r>
    </w:p>
    <w:p>
      <w:pPr>
        <w:spacing w:after="0" w:line="2"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critical missions. The Board believes, given the Company’s unique culture and business model, a Chair that is intimately connected to the firm is essential.</w:t>
      </w:r>
    </w:p>
    <w:p>
      <w:pPr>
        <w:spacing w:after="0" w:line="200" w:lineRule="exact"/>
        <w:rPr>
          <w:sz w:val="20"/>
          <w:szCs w:val="20"/>
          <w:color w:val="auto"/>
        </w:rPr>
      </w:pPr>
    </w:p>
    <w:p>
      <w:pPr>
        <w:sectPr>
          <w:pgSz w:w="11900" w:h="16838" w:orient="portrait"/>
          <w:cols w:equalWidth="0" w:num="2">
            <w:col w:w="1720" w:space="560"/>
            <w:col w:w="8860"/>
          </w:cols>
          <w:pgMar w:left="360" w:top="11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60" w:top="1113" w:right="39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William M. Thornberry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67</w:t>
      </w:r>
    </w:p>
    <w:p>
      <w:pPr>
        <w:spacing w:after="0" w:line="44"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FFFFFF"/>
        </w:rPr>
        <w:t>Director since: 2024 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400" w:right="20" w:hanging="324"/>
        <w:spacing w:after="0" w:line="216" w:lineRule="auto"/>
        <w:tabs>
          <w:tab w:leader="none" w:pos="3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Culture and People</w:t>
      </w:r>
    </w:p>
    <w:p>
      <w:pPr>
        <w:ind w:left="400" w:hanging="324"/>
        <w:spacing w:after="0" w:line="238" w:lineRule="auto"/>
        <w:tabs>
          <w:tab w:leader="none" w:pos="3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510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6605" cy="5100955"/>
                    </a:xfrm>
                    <a:prstGeom prst="rect">
                      <a:avLst/>
                    </a:prstGeom>
                    <a:noFill/>
                  </pic:spPr>
                </pic:pic>
              </a:graphicData>
            </a:graphic>
          </wp:anchor>
        </w:drawing>
      </w:r>
    </w:p>
    <w:p>
      <w:pPr>
        <w:spacing w:after="0" w:line="26"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Mr. Thornberry represented the 13th district of Texas in the U.S. House of Representatives from January 1995 to January 2021. Throughout his time in Congress, he was on the Armed Services Committee, serving as chairman</w:t>
      </w:r>
    </w:p>
    <w:p>
      <w:pPr>
        <w:spacing w:after="0" w:line="216" w:lineRule="auto"/>
        <w:rPr>
          <w:sz w:val="20"/>
          <w:szCs w:val="20"/>
          <w:color w:val="auto"/>
        </w:rPr>
      </w:pPr>
      <w:r>
        <w:rPr>
          <w:rFonts w:ascii="Arial" w:cs="Arial" w:eastAsia="Arial" w:hAnsi="Arial"/>
          <w:sz w:val="17"/>
          <w:szCs w:val="17"/>
          <w:color w:val="auto"/>
        </w:rPr>
        <w:t>from January 2015 to January 2019 and becoming its ranking member in January 2019. Mr. Thornberry also served on the House Intelligence Committee for 14 years and chaired the Cyber Task Force in 2011. Earlier in his career, Mr. Thornberry served in the State Department during the Reagan Administration, as staff on Capitol Hill,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practiced law in Amarillo, Texas.</w:t>
      </w:r>
    </w:p>
    <w:p>
      <w:pPr>
        <w:spacing w:after="0" w:line="121"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Since leaving government, Mr. Thornberry continues to work at the intersection of national security, technology, and policy with several companies, think tanks, and non-profit organizations. He is a member of the Council on</w:t>
      </w:r>
    </w:p>
    <w:p>
      <w:pPr>
        <w:spacing w:after="0"/>
        <w:rPr>
          <w:sz w:val="20"/>
          <w:szCs w:val="20"/>
          <w:color w:val="auto"/>
        </w:rPr>
      </w:pPr>
      <w:r>
        <w:rPr>
          <w:rFonts w:ascii="Arial" w:cs="Arial" w:eastAsia="Arial" w:hAnsi="Arial"/>
          <w:sz w:val="18"/>
          <w:szCs w:val="18"/>
          <w:color w:val="auto"/>
        </w:rPr>
        <w:t>Foreign Relations and previously served on the Defense Innovation Board.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320"/>
        <w:spacing w:after="0" w:line="219" w:lineRule="auto"/>
        <w:rPr>
          <w:sz w:val="20"/>
          <w:szCs w:val="20"/>
          <w:color w:val="auto"/>
        </w:rPr>
      </w:pPr>
      <w:r>
        <w:rPr>
          <w:rFonts w:ascii="Arial" w:cs="Arial" w:eastAsia="Arial" w:hAnsi="Arial"/>
          <w:sz w:val="17"/>
          <w:szCs w:val="17"/>
          <w:color w:val="auto"/>
        </w:rPr>
        <w:t>Mr. Thornberry brings exceptional government and national security expertise to our Board, strengthening the Company’s ability to address complex challenges. His distinguished tenure in Congress, coupled with deep</w:t>
      </w:r>
    </w:p>
    <w:p>
      <w:pPr>
        <w:spacing w:after="0" w:line="1" w:lineRule="exact"/>
        <w:rPr>
          <w:sz w:val="20"/>
          <w:szCs w:val="20"/>
          <w:color w:val="auto"/>
        </w:rPr>
      </w:pPr>
    </w:p>
    <w:p>
      <w:pPr>
        <w:jc w:val="both"/>
        <w:ind w:right="440"/>
        <w:spacing w:after="0" w:line="216" w:lineRule="auto"/>
        <w:rPr>
          <w:sz w:val="20"/>
          <w:szCs w:val="20"/>
          <w:color w:val="auto"/>
        </w:rPr>
      </w:pPr>
      <w:r>
        <w:rPr>
          <w:rFonts w:ascii="Arial" w:cs="Arial" w:eastAsia="Arial" w:hAnsi="Arial"/>
          <w:sz w:val="17"/>
          <w:szCs w:val="17"/>
          <w:color w:val="auto"/>
        </w:rPr>
        <w:t>knowledge of defense policies, government operations, and procurement processes equips him with unique insights for navigating governmental landscapes. Mr. Thornberry’s involvement and expertise in oversight of cybersecurity-related risks at the Departments of Defense and Homeland Security, and in the intelligence</w:t>
      </w:r>
    </w:p>
    <w:p>
      <w:pPr>
        <w:spacing w:after="0" w:line="2"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community, and his strategic vision and experience in public company directorship amplify his governance abilities and elevate the Board’s capacity to oversee delivery of innovative solutions in support of national security objectives. Mr. Thornberry is a member of the Compensation, Culture and People Committee and the Nominating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Corporate Governance Committee.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2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3020" w:type="dxa"/>
            <w:vAlign w:val="bottom"/>
          </w:tcPr>
          <w:p>
            <w:pPr>
              <w:jc w:val="center"/>
              <w:ind w:right="12"/>
              <w:spacing w:after="0"/>
              <w:rPr>
                <w:sz w:val="20"/>
                <w:szCs w:val="20"/>
                <w:color w:val="auto"/>
              </w:rPr>
            </w:pPr>
            <w:r>
              <w:rPr>
                <w:rFonts w:ascii="Arial" w:cs="Arial" w:eastAsia="Arial" w:hAnsi="Arial"/>
                <w:sz w:val="18"/>
                <w:szCs w:val="18"/>
                <w:b w:val="1"/>
                <w:bCs w:val="1"/>
                <w:color w:val="00A5B5"/>
                <w:w w:val="98"/>
              </w:rPr>
              <w:t>Current</w:t>
            </w:r>
          </w:p>
        </w:tc>
        <w:tc>
          <w:tcPr>
            <w:tcW w:w="2340" w:type="dxa"/>
            <w:vAlign w:val="bottom"/>
          </w:tcPr>
          <w:p>
            <w:pPr>
              <w:jc w:val="center"/>
              <w:ind w:left="372"/>
              <w:spacing w:after="0"/>
              <w:rPr>
                <w:sz w:val="20"/>
                <w:szCs w:val="20"/>
                <w:color w:val="auto"/>
              </w:rPr>
            </w:pPr>
            <w:r>
              <w:rPr>
                <w:rFonts w:ascii="Arial" w:cs="Arial" w:eastAsia="Arial" w:hAnsi="Arial"/>
                <w:sz w:val="18"/>
                <w:szCs w:val="18"/>
                <w:b w:val="1"/>
                <w:bCs w:val="1"/>
                <w:color w:val="00A5B5"/>
                <w:w w:val="97"/>
              </w:rPr>
              <w:t>Within Past Five Years</w:t>
            </w:r>
          </w:p>
        </w:tc>
        <w:tc>
          <w:tcPr>
            <w:tcW w:w="0" w:type="dxa"/>
            <w:vAlign w:val="bottom"/>
          </w:tcPr>
          <w:p>
            <w:pPr>
              <w:spacing w:after="0"/>
              <w:rPr>
                <w:sz w:val="1"/>
                <w:szCs w:val="1"/>
                <w:color w:val="auto"/>
              </w:rPr>
            </w:pPr>
          </w:p>
        </w:tc>
      </w:tr>
      <w:tr>
        <w:trPr>
          <w:trHeight w:val="176"/>
        </w:trPr>
        <w:tc>
          <w:tcPr>
            <w:tcW w:w="3020" w:type="dxa"/>
            <w:vAlign w:val="bottom"/>
          </w:tcPr>
          <w:p>
            <w:pPr>
              <w:jc w:val="center"/>
              <w:spacing w:after="0" w:line="176" w:lineRule="exact"/>
              <w:rPr>
                <w:sz w:val="20"/>
                <w:szCs w:val="20"/>
                <w:color w:val="auto"/>
              </w:rPr>
            </w:pPr>
            <w:r>
              <w:rPr>
                <w:rFonts w:ascii="Arial" w:cs="Arial" w:eastAsia="Arial" w:hAnsi="Arial"/>
                <w:sz w:val="18"/>
                <w:szCs w:val="18"/>
                <w:color w:val="auto"/>
                <w:w w:val="98"/>
              </w:rPr>
              <w:t>Fortinet Federal, Inc</w:t>
            </w:r>
          </w:p>
        </w:tc>
        <w:tc>
          <w:tcPr>
            <w:tcW w:w="2340" w:type="dxa"/>
            <w:vAlign w:val="bottom"/>
            <w:vMerge w:val="restart"/>
          </w:tcPr>
          <w:p>
            <w:pPr>
              <w:jc w:val="center"/>
              <w:ind w:left="392"/>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149"/>
        </w:trPr>
        <w:tc>
          <w:tcPr>
            <w:tcW w:w="3020" w:type="dxa"/>
            <w:vAlign w:val="bottom"/>
            <w:vMerge w:val="restart"/>
          </w:tcPr>
          <w:p>
            <w:pPr>
              <w:jc w:val="center"/>
              <w:spacing w:after="0"/>
              <w:rPr>
                <w:sz w:val="20"/>
                <w:szCs w:val="20"/>
                <w:color w:val="auto"/>
              </w:rPr>
            </w:pPr>
            <w:r>
              <w:rPr>
                <w:rFonts w:ascii="Arial" w:cs="Arial" w:eastAsia="Arial" w:hAnsi="Arial"/>
                <w:sz w:val="18"/>
                <w:szCs w:val="18"/>
                <w:color w:val="auto"/>
                <w:w w:val="98"/>
              </w:rPr>
              <w:t>CAE USA</w:t>
            </w: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2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Nomination</w:t>
      </w:r>
    </w:p>
    <w:p>
      <w:pPr>
        <w:spacing w:after="0" w:line="36"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Mr. Thornberry offers extensive government, defense, and national security expertise shaped by more than two decades of service in the U.S. Congress. His leadership on the Armed Services and Intelligence Committees and</w:t>
      </w:r>
    </w:p>
    <w:p>
      <w:pPr>
        <w:spacing w:after="0" w:line="1" w:lineRule="exact"/>
        <w:rPr>
          <w:sz w:val="20"/>
          <w:szCs w:val="20"/>
          <w:color w:val="auto"/>
        </w:rPr>
      </w:pPr>
    </w:p>
    <w:p>
      <w:pPr>
        <w:ind w:right="240"/>
        <w:spacing w:after="0" w:line="199" w:lineRule="auto"/>
        <w:rPr>
          <w:sz w:val="20"/>
          <w:szCs w:val="20"/>
          <w:color w:val="auto"/>
        </w:rPr>
      </w:pPr>
      <w:r>
        <w:rPr>
          <w:rFonts w:ascii="Arial" w:cs="Arial" w:eastAsia="Arial" w:hAnsi="Arial"/>
          <w:sz w:val="18"/>
          <w:szCs w:val="18"/>
          <w:color w:val="auto"/>
        </w:rPr>
        <w:t>continuing involvement with a number of organizations provides deep insight into defense policy, procurement, cybersecurity, and government oversight.</w:t>
      </w:r>
    </w:p>
    <w:p>
      <w:pPr>
        <w:spacing w:after="0" w:line="215" w:lineRule="auto"/>
        <w:rPr>
          <w:sz w:val="20"/>
          <w:szCs w:val="20"/>
          <w:color w:val="auto"/>
        </w:rPr>
      </w:pPr>
      <w:r>
        <w:rPr>
          <w:rFonts w:ascii="Arial" w:cs="Arial" w:eastAsia="Arial" w:hAnsi="Arial"/>
          <w:sz w:val="18"/>
          <w:szCs w:val="18"/>
          <w:color w:val="auto"/>
        </w:rPr>
        <w:t>The Board believes his experience in legislative oversight, coupled with public company board service,</w:t>
      </w:r>
    </w:p>
    <w:p>
      <w:pPr>
        <w:spacing w:after="0" w:line="1"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strengthens the Board’s governance capabilities and enhances its ability to oversee delivery of mission-critical solutions supporting national security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797560</wp:posOffset>
            </wp:positionV>
            <wp:extent cx="5563235" cy="773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3235" cy="773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100"/>
            <w:col w:w="8840"/>
          </w:cols>
          <w:pgMar w:left="360" w:top="11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00A5B5"/>
        </w:rPr>
        <w:t>The Board of Directors recommends a vote FOR</w:t>
      </w:r>
    </w:p>
    <w:p>
      <w:pPr>
        <w:jc w:val="center"/>
        <w:ind w:right="-59"/>
        <w:spacing w:after="0"/>
        <w:rPr>
          <w:sz w:val="20"/>
          <w:szCs w:val="20"/>
          <w:color w:val="auto"/>
        </w:rPr>
      </w:pPr>
      <w:r>
        <w:rPr>
          <w:rFonts w:ascii="Arial" w:cs="Arial" w:eastAsia="Arial" w:hAnsi="Arial"/>
          <w:sz w:val="21"/>
          <w:szCs w:val="21"/>
          <w:b w:val="1"/>
          <w:bCs w:val="1"/>
          <w:color w:val="00A5B5"/>
        </w:rPr>
        <w:t>each of the director nominees.</w:t>
      </w:r>
    </w:p>
    <w:p>
      <w:pPr>
        <w:sectPr>
          <w:pgSz w:w="11900" w:h="16838" w:orient="portrait"/>
          <w:cols w:equalWidth="0" w:num="1">
            <w:col w:w="11120"/>
          </w:cols>
          <w:pgMar w:left="360" w:top="111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66666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60" w:top="1113" w:right="419" w:bottom="1440" w:gutter="0" w:footer="0" w:header="0"/>
          <w:type w:val="continuous"/>
        </w:sectPr>
      </w:pPr>
    </w:p>
    <w:bookmarkStart w:id="26" w:name="page27"/>
    <w:bookmarkEnd w:id="26"/>
    <w:p>
      <w:pPr>
        <w:jc w:val="right"/>
        <w:ind w:right="3600"/>
        <w:spacing w:after="0"/>
        <w:rPr>
          <w:sz w:val="20"/>
          <w:szCs w:val="20"/>
          <w:color w:val="auto"/>
        </w:rPr>
      </w:pPr>
      <w:r>
        <w:rPr>
          <w:rFonts w:ascii="Arial" w:cs="Arial" w:eastAsia="Arial" w:hAnsi="Arial"/>
          <w:sz w:val="28"/>
          <w:szCs w:val="28"/>
          <w:b w:val="1"/>
          <w:bCs w:val="1"/>
          <w:color w:val="auto"/>
        </w:rPr>
        <w:t>NON-CONTINUING DIRECTORS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whose term will not continue after the Annual Meeting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6995160" cy="1504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504315"/>
                    </a:xfrm>
                    <a:prstGeom prst="rect">
                      <a:avLst/>
                    </a:prstGeom>
                    <a:noFill/>
                  </pic:spPr>
                </pic:pic>
              </a:graphicData>
            </a:graphic>
          </wp:anchor>
        </w:drawing>
      </w:r>
    </w:p>
    <w:p>
      <w:pPr>
        <w:sectPr>
          <w:pgSz w:w="11900" w:h="16838" w:orient="portrait"/>
          <w:cols w:equalWidth="0" w:num="1">
            <w:col w:w="11020"/>
          </w:cols>
          <w:pgMar w:left="640" w:top="10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A5B5"/>
        </w:rPr>
        <w:t>Joan Lordi C. Amble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Age: 73</w:t>
      </w:r>
    </w:p>
    <w:p>
      <w:pPr>
        <w:spacing w:after="0" w:line="44" w:lineRule="exact"/>
        <w:rPr>
          <w:sz w:val="20"/>
          <w:szCs w:val="20"/>
          <w:color w:val="auto"/>
        </w:rPr>
      </w:pPr>
    </w:p>
    <w:p>
      <w:pPr>
        <w:ind w:left="40" w:right="20"/>
        <w:spacing w:after="0" w:line="334" w:lineRule="auto"/>
        <w:rPr>
          <w:sz w:val="20"/>
          <w:szCs w:val="20"/>
          <w:color w:val="auto"/>
        </w:rPr>
      </w:pPr>
      <w:r>
        <w:rPr>
          <w:rFonts w:ascii="Arial" w:cs="Arial" w:eastAsia="Arial" w:hAnsi="Arial"/>
          <w:sz w:val="18"/>
          <w:szCs w:val="18"/>
          <w:b w:val="1"/>
          <w:bCs w:val="1"/>
          <w:color w:val="FFFFFF"/>
        </w:rPr>
        <w:t>Director since: 2012 Independent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400" w:hanging="286"/>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46"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Ms. Amble is the president of JCA Consulting, LLC, a position she has held since January 2011. Previously, s served as the executive vice president, finance for the American Express Company from May to December 201 and as its executive vice president and corporate comptroller from December 2003 until May 2011. Prior to joini</w:t>
      </w:r>
    </w:p>
    <w:p>
      <w:pPr>
        <w:spacing w:after="0" w:line="1"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American Express, Ms. Amble served as chief operating officer and chief financial officer of GE Capital Marke overseeing securitizations, debt placement, and syndication, as well as structured equity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15240</wp:posOffset>
            </wp:positionV>
            <wp:extent cx="6995160" cy="2058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058670"/>
                    </a:xfrm>
                    <a:prstGeom prst="rect">
                      <a:avLst/>
                    </a:prstGeom>
                    <a:noFill/>
                  </pic:spPr>
                </pic:pic>
              </a:graphicData>
            </a:graphic>
          </wp:anchor>
        </w:drawing>
      </w:r>
    </w:p>
    <w:p>
      <w:pPr>
        <w:spacing w:after="0" w:line="16"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Ms. Amble provides the Board with senior leadership and extensive expertise in financial reporting, accounti policy, and financial management, compliance and controls and corporate governance, developed through h prior executive roles, membership on public and private company boards and audit committees, and adviso</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roles with organizations such as the Public Company Accounting Oversight Board (PCAOB) where Ms. Amb currently serves on the Standard and Emerging Issues Advisory Group. She also brings comprehensi operational and management experience, along with a deep understanding of risk management, which furth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amplifies her impact as a member of the Audit Committee.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40"/>
        <w:spacing w:after="0"/>
        <w:tabs>
          <w:tab w:leader="none" w:pos="346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1" w:lineRule="exact"/>
        <w:rPr>
          <w:sz w:val="20"/>
          <w:szCs w:val="20"/>
          <w:color w:val="auto"/>
        </w:rPr>
      </w:pPr>
    </w:p>
    <w:p>
      <w:pPr>
        <w:ind w:left="100"/>
        <w:spacing w:after="0"/>
        <w:tabs>
          <w:tab w:leader="none" w:pos="2940" w:val="left"/>
        </w:tabs>
        <w:rPr>
          <w:sz w:val="20"/>
          <w:szCs w:val="20"/>
          <w:color w:val="auto"/>
        </w:rPr>
      </w:pPr>
      <w:r>
        <w:rPr>
          <w:rFonts w:ascii="Arial" w:cs="Arial" w:eastAsia="Arial" w:hAnsi="Arial"/>
          <w:sz w:val="18"/>
          <w:szCs w:val="18"/>
          <w:color w:val="auto"/>
        </w:rPr>
        <w:t>Spire Global, Inc. (NYSE: SPIR)</w:t>
      </w:r>
      <w:r>
        <w:rPr>
          <w:sz w:val="20"/>
          <w:szCs w:val="20"/>
          <w:color w:val="auto"/>
        </w:rPr>
        <w:tab/>
      </w:r>
      <w:r>
        <w:rPr>
          <w:rFonts w:ascii="Arial" w:cs="Arial" w:eastAsia="Arial" w:hAnsi="Arial"/>
          <w:sz w:val="17"/>
          <w:szCs w:val="17"/>
          <w:color w:val="auto"/>
        </w:rPr>
        <w:t>BuzzFeed, Inc. (NASDAQ: BZFD)</w:t>
      </w:r>
    </w:p>
    <w:p>
      <w:pPr>
        <w:ind w:left="680"/>
        <w:spacing w:after="0" w:line="211" w:lineRule="auto"/>
        <w:tabs>
          <w:tab w:leader="none" w:pos="3360" w:val="left"/>
        </w:tabs>
        <w:rPr>
          <w:sz w:val="20"/>
          <w:szCs w:val="20"/>
          <w:color w:val="auto"/>
        </w:rPr>
      </w:pPr>
      <w:r>
        <w:rPr>
          <w:rFonts w:ascii="Arial" w:cs="Arial" w:eastAsia="Arial" w:hAnsi="Arial"/>
          <w:sz w:val="18"/>
          <w:szCs w:val="18"/>
          <w:color w:val="auto"/>
        </w:rPr>
        <w:t>(since August 2022)</w:t>
      </w:r>
      <w:r>
        <w:rPr>
          <w:sz w:val="20"/>
          <w:szCs w:val="20"/>
          <w:color w:val="auto"/>
        </w:rPr>
        <w:tab/>
      </w:r>
      <w:r>
        <w:rPr>
          <w:rFonts w:ascii="Arial" w:cs="Arial" w:eastAsia="Arial" w:hAnsi="Arial"/>
          <w:sz w:val="17"/>
          <w:szCs w:val="17"/>
          <w:color w:val="auto"/>
        </w:rPr>
        <w:t>(August 2021 – May 2023)</w:t>
      </w:r>
    </w:p>
    <w:p>
      <w:pPr>
        <w:ind w:left="40"/>
        <w:spacing w:after="0" w:line="227" w:lineRule="auto"/>
        <w:tabs>
          <w:tab w:leader="none" w:pos="2880" w:val="left"/>
        </w:tabs>
        <w:rPr>
          <w:sz w:val="20"/>
          <w:szCs w:val="20"/>
          <w:color w:val="auto"/>
        </w:rPr>
      </w:pPr>
      <w:r>
        <w:rPr>
          <w:rFonts w:ascii="Arial" w:cs="Arial" w:eastAsia="Arial" w:hAnsi="Arial"/>
          <w:sz w:val="18"/>
          <w:szCs w:val="18"/>
          <w:color w:val="auto"/>
        </w:rPr>
        <w:t>Zurich Insurance Group (XSWX:</w:t>
      </w:r>
      <w:r>
        <w:rPr>
          <w:sz w:val="20"/>
          <w:szCs w:val="20"/>
          <w:color w:val="auto"/>
        </w:rPr>
        <w:tab/>
      </w:r>
      <w:r>
        <w:rPr>
          <w:rFonts w:ascii="Arial" w:cs="Arial" w:eastAsia="Arial" w:hAnsi="Arial"/>
          <w:sz w:val="17"/>
          <w:szCs w:val="17"/>
          <w:color w:val="auto"/>
        </w:rPr>
        <w:t>Sirius XM Holdings Inc. (NASDAQ:</w:t>
      </w:r>
    </w:p>
    <w:p>
      <w:pPr>
        <w:ind w:left="480"/>
        <w:spacing w:after="0"/>
        <w:tabs>
          <w:tab w:leader="none" w:pos="3420" w:val="left"/>
        </w:tabs>
        <w:rPr>
          <w:sz w:val="20"/>
          <w:szCs w:val="20"/>
          <w:color w:val="auto"/>
        </w:rPr>
      </w:pPr>
      <w:r>
        <w:rPr>
          <w:rFonts w:ascii="Arial" w:cs="Arial" w:eastAsia="Arial" w:hAnsi="Arial"/>
          <w:sz w:val="18"/>
          <w:szCs w:val="18"/>
          <w:color w:val="auto"/>
        </w:rPr>
        <w:t>ZURN) (since April 2015)</w:t>
      </w:r>
      <w:r>
        <w:rPr>
          <w:sz w:val="20"/>
          <w:szCs w:val="20"/>
          <w:color w:val="auto"/>
        </w:rPr>
        <w:tab/>
      </w:r>
      <w:r>
        <w:rPr>
          <w:rFonts w:ascii="Arial" w:cs="Arial" w:eastAsia="Arial" w:hAnsi="Arial"/>
          <w:sz w:val="17"/>
          <w:szCs w:val="17"/>
          <w:color w:val="auto"/>
        </w:rPr>
        <w:t>SIRI) (2008 – June 2021)</w:t>
      </w:r>
    </w:p>
    <w:p>
      <w:pPr>
        <w:spacing w:after="0" w:line="200" w:lineRule="exact"/>
        <w:rPr>
          <w:sz w:val="20"/>
          <w:szCs w:val="20"/>
          <w:color w:val="auto"/>
        </w:rPr>
      </w:pPr>
    </w:p>
    <w:p>
      <w:pPr>
        <w:sectPr>
          <w:pgSz w:w="11900" w:h="16838" w:orient="portrait"/>
          <w:cols w:equalWidth="0" w:num="2">
            <w:col w:w="1740" w:space="580"/>
            <w:col w:w="8700"/>
          </w:cols>
          <w:pgMar w:left="640" w:top="10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66666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75565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1021" w:right="23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Arthur E. Johnson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79</w:t>
      </w:r>
    </w:p>
    <w:p>
      <w:pPr>
        <w:spacing w:after="0" w:line="44"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FFFFFF"/>
        </w:rPr>
        <w:t>Director since: 2011 Independent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360" w:hanging="286"/>
        <w:spacing w:after="0"/>
        <w:tabs>
          <w:tab w:leader="none" w:pos="3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-186055</wp:posOffset>
            </wp:positionV>
            <wp:extent cx="6995160" cy="1470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470660"/>
                    </a:xfrm>
                    <a:prstGeom prst="rect">
                      <a:avLst/>
                    </a:prstGeom>
                    <a:noFill/>
                  </pic:spPr>
                </pic:pic>
              </a:graphicData>
            </a:graphic>
          </wp:anchor>
        </w:drawing>
      </w:r>
    </w:p>
    <w:p>
      <w:pPr>
        <w:spacing w:after="0" w:line="26"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Mr. Johnson retired from Lockheed Martin in 2009 as senior vice president of corporate strategic developme after serving as the president and chief operating officer of Lockheed Martin's Information and Services sect</w:t>
      </w:r>
    </w:p>
    <w:p>
      <w:pPr>
        <w:spacing w:after="0" w:line="1"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Prior to his service at Lockheed Martin, Mr. Johnson was the President of IBM's Federal System's division a President of Loral Corporation's Federal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15240</wp:posOffset>
            </wp:positionV>
            <wp:extent cx="6995160" cy="1520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520825"/>
                    </a:xfrm>
                    <a:prstGeom prst="rect">
                      <a:avLst/>
                    </a:prstGeom>
                    <a:noFill/>
                  </pic:spPr>
                </pic:pic>
              </a:graphicData>
            </a:graphic>
          </wp:anchor>
        </w:drawing>
      </w:r>
    </w:p>
    <w:p>
      <w:pPr>
        <w:spacing w:after="0" w:line="16"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Mr. Johnson brings a unique technology lens in areas of corporate strategic development and plannin information and technology management, financial analysis, and operating oversight. With a deep understandi</w:t>
      </w:r>
    </w:p>
    <w:p>
      <w:pPr>
        <w:spacing w:after="0" w:line="1"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of the defense and government industries, Mr. Johnson assists the Board in guiding the Company throu regulatory complexities. His extensive experience enhances our Board’s financial and corporate governan posture.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40"/>
        <w:spacing w:after="0"/>
        <w:tabs>
          <w:tab w:leader="none" w:pos="346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36" w:lineRule="exact"/>
        <w:rPr>
          <w:sz w:val="20"/>
          <w:szCs w:val="20"/>
          <w:color w:val="auto"/>
        </w:rPr>
      </w:pPr>
    </w:p>
    <w:p>
      <w:pPr>
        <w:ind w:left="1260"/>
        <w:spacing w:after="0"/>
        <w:tabs>
          <w:tab w:leader="none" w:pos="42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660" w:space="620"/>
            <w:col w:w="8700"/>
          </w:cols>
          <w:pgMar w:left="68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66666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75565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680" w:top="1440" w:right="23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Charles O. Rossotti</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 85</w:t>
      </w:r>
    </w:p>
    <w:p>
      <w:pPr>
        <w:spacing w:after="0" w:line="44"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FFFFFF"/>
        </w:rPr>
        <w:t>Director since: 2008 Independent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A5B5"/>
        </w:rPr>
        <w:t>Committees</w:t>
      </w:r>
    </w:p>
    <w:p>
      <w:pPr>
        <w:spacing w:after="0" w:line="46" w:lineRule="exact"/>
        <w:rPr>
          <w:sz w:val="20"/>
          <w:szCs w:val="20"/>
          <w:color w:val="auto"/>
        </w:rPr>
      </w:pPr>
    </w:p>
    <w:p>
      <w:pPr>
        <w:ind w:left="360" w:hanging="284"/>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-186055</wp:posOffset>
            </wp:positionV>
            <wp:extent cx="7126605" cy="3151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6605" cy="3151505"/>
                    </a:xfrm>
                    <a:prstGeom prst="rect">
                      <a:avLst/>
                    </a:prstGeom>
                    <a:noFill/>
                  </pic:spPr>
                </pic:pic>
              </a:graphicData>
            </a:graphic>
          </wp:anchor>
        </w:drawing>
      </w:r>
    </w:p>
    <w:p>
      <w:pPr>
        <w:spacing w:after="0" w:line="26" w:lineRule="exact"/>
        <w:rPr>
          <w:sz w:val="20"/>
          <w:szCs w:val="20"/>
          <w:color w:val="auto"/>
        </w:rPr>
      </w:pPr>
    </w:p>
    <w:p>
      <w:pPr>
        <w:ind w:right="640"/>
        <w:spacing w:after="0" w:line="229" w:lineRule="auto"/>
        <w:rPr>
          <w:sz w:val="20"/>
          <w:szCs w:val="20"/>
          <w:color w:val="auto"/>
        </w:rPr>
      </w:pPr>
      <w:r>
        <w:rPr>
          <w:rFonts w:ascii="Arial" w:cs="Arial" w:eastAsia="Arial" w:hAnsi="Arial"/>
          <w:sz w:val="17"/>
          <w:szCs w:val="17"/>
          <w:color w:val="auto"/>
        </w:rPr>
        <w:t>Mr. Rossotti has served as a senior advisor to The Carlyle Group since 2003. He previously served as the commissioner of the Internal Revenue Service from 1997 to 2002. Mr. Rossotti also co-founded American</w:t>
      </w:r>
    </w:p>
    <w:p>
      <w:pPr>
        <w:ind w:right="320"/>
        <w:spacing w:after="0" w:line="224" w:lineRule="auto"/>
        <w:rPr>
          <w:sz w:val="20"/>
          <w:szCs w:val="20"/>
          <w:color w:val="auto"/>
        </w:rPr>
      </w:pPr>
      <w:r>
        <w:rPr>
          <w:rFonts w:ascii="Arial" w:cs="Arial" w:eastAsia="Arial" w:hAnsi="Arial"/>
          <w:sz w:val="18"/>
          <w:szCs w:val="18"/>
          <w:color w:val="auto"/>
        </w:rPr>
        <w:t>Management Systems, Inc., an international business and information technology consulting firm in 1970, and served at various times as president, chief executive officer, and chairman of the board until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Expertise</w:t>
      </w:r>
    </w:p>
    <w:p>
      <w:pPr>
        <w:spacing w:after="0" w:line="36" w:lineRule="exact"/>
        <w:rPr>
          <w:sz w:val="20"/>
          <w:szCs w:val="20"/>
          <w:color w:val="auto"/>
        </w:rPr>
      </w:pPr>
    </w:p>
    <w:p>
      <w:pPr>
        <w:ind w:right="420"/>
        <w:spacing w:after="0" w:line="219" w:lineRule="auto"/>
        <w:rPr>
          <w:sz w:val="20"/>
          <w:szCs w:val="20"/>
          <w:color w:val="auto"/>
        </w:rPr>
      </w:pPr>
      <w:r>
        <w:rPr>
          <w:rFonts w:ascii="Arial" w:cs="Arial" w:eastAsia="Arial" w:hAnsi="Arial"/>
          <w:sz w:val="17"/>
          <w:szCs w:val="17"/>
          <w:color w:val="auto"/>
        </w:rPr>
        <w:t>Mr. Rossotti provides the Board with deep expertise in finance, government operations and policy, financial reporting, and compliance. Notably, Mr. Rossotti’s experience as a founder and leader of a major information</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technology firm underscores his strategic, risk management, governance, operations and technology acumen. Mr. Rossotti’s understanding of both the U.S. government and global business landscape strengthens our Board’s strategic direction-setting and ability to oversee the Company’s financial and operational integrity. Mr. Rossotti is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member of the Audit Committee.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111" w:lineRule="exact"/>
        <w:rPr>
          <w:sz w:val="20"/>
          <w:szCs w:val="20"/>
          <w:color w:val="auto"/>
        </w:rPr>
      </w:pPr>
    </w:p>
    <w:p>
      <w:pPr>
        <w:ind w:left="1140"/>
        <w:spacing w:after="0"/>
        <w:tabs>
          <w:tab w:leader="none" w:pos="3460" w:val="left"/>
        </w:tabs>
        <w:rPr>
          <w:sz w:val="20"/>
          <w:szCs w:val="20"/>
          <w:color w:val="auto"/>
        </w:rPr>
      </w:pPr>
      <w:r>
        <w:rPr>
          <w:rFonts w:ascii="Arial" w:cs="Arial" w:eastAsia="Arial" w:hAnsi="Arial"/>
          <w:sz w:val="18"/>
          <w:szCs w:val="18"/>
          <w:b w:val="1"/>
          <w:bCs w:val="1"/>
          <w:color w:val="00A5B5"/>
        </w:rPr>
        <w:t>Current</w:t>
      </w:r>
      <w:r>
        <w:rPr>
          <w:sz w:val="20"/>
          <w:szCs w:val="20"/>
          <w:color w:val="auto"/>
        </w:rPr>
        <w:tab/>
      </w:r>
      <w:r>
        <w:rPr>
          <w:rFonts w:ascii="Arial" w:cs="Arial" w:eastAsia="Arial" w:hAnsi="Arial"/>
          <w:sz w:val="18"/>
          <w:szCs w:val="18"/>
          <w:b w:val="1"/>
          <w:bCs w:val="1"/>
          <w:color w:val="00A5B5"/>
        </w:rPr>
        <w:t>Within Past Five Years</w:t>
      </w:r>
    </w:p>
    <w:p>
      <w:pPr>
        <w:spacing w:after="0" w:line="36" w:lineRule="exact"/>
        <w:rPr>
          <w:sz w:val="20"/>
          <w:szCs w:val="20"/>
          <w:color w:val="auto"/>
        </w:rPr>
      </w:pPr>
    </w:p>
    <w:p>
      <w:pPr>
        <w:ind w:left="1260"/>
        <w:spacing w:after="0"/>
        <w:tabs>
          <w:tab w:leader="none" w:pos="42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680" w:space="600"/>
            <w:col w:w="8880"/>
          </w:cols>
          <w:pgMar w:left="360" w:top="11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75565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13" w:right="379" w:bottom="1440" w:gutter="0" w:footer="0" w:header="0"/>
          <w:type w:val="continuous"/>
        </w:sectPr>
      </w:pPr>
    </w:p>
    <w:bookmarkStart w:id="29" w:name="page30"/>
    <w:bookmarkEnd w:id="29"/>
    <w:p>
      <w:pPr>
        <w:jc w:val="center"/>
        <w:spacing w:after="0" w:line="305" w:lineRule="auto"/>
        <w:rPr>
          <w:sz w:val="20"/>
          <w:szCs w:val="20"/>
          <w:color w:val="auto"/>
        </w:rPr>
      </w:pPr>
      <w:r>
        <w:rPr>
          <w:rFonts w:ascii="Arial" w:cs="Arial" w:eastAsia="Arial" w:hAnsi="Arial"/>
          <w:sz w:val="28"/>
          <w:szCs w:val="28"/>
          <w:b w:val="1"/>
          <w:bCs w:val="1"/>
          <w:color w:val="auto"/>
        </w:rPr>
        <w:t>CORPORATE GOVERNANCE AND GENERAL INFORMATION CONCERNING THE BOARD OF DIRECTORS AND ITS COMMITTEES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Our Board of Directors</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is responsible for providing governance and oversight over the strategy, risk, operations, and management of the Company. The primary focus of the Board is promoting stockholder value by fostering the long-term success of the Company. The Board is responsible for supporting and overseeing management, to which the Board has delegated the responsibility to manage the day-to-day strategy and operations of the Company.</w:t>
      </w:r>
    </w:p>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Board generally holds four regular meetings per year, and special meetings as necessary. The Board meets in executive session during each regular meeting; non-management directors also typically meet in executive sessions during each regular meeting.</w:t>
      </w:r>
    </w:p>
    <w:p>
      <w:pPr>
        <w:spacing w:after="0" w:line="11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and its committees establish annual calendars of activities to guide the development of their agendas during the year. All directors are invited to propose agenda topics when the annual calendars are established, as well as in advance of each regular Board meeting. In addition, directors are encouraged to raise topics that are not on a meeting agenda or suggest topics for future agendas. Each director is provided written materials in advance of each meeting, and the Board and its committees provide feedback to, and make requests of, management at each of their meetings.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Corporate Governance Guidelines</w:t>
      </w:r>
    </w:p>
    <w:p>
      <w:pPr>
        <w:spacing w:after="0" w:line="18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has adopted Corporate Governance Guidelines. The Board and the Nominating and Corporate Governance Committee are responsible for reviewing and amending these guidelines as they deem necessary and appropriate. The Nominating and Corporate Governance Committee is responsible for overseeing the system of corporate governance of the Company. The Corporate Governance Guidelines are available without charge on the Investor Relations portion of our website at investors.boozallen.com.</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Board Meetings and Attendance</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Directors are expected to attend each Board meeting, each meeting of the committees on which they serve, and the Annual Meeting of Stockholders. During fiscal year 2026, the Board held six meetings and acted by written consent. Each of our incumbent directors who served as a director during fiscal year 2026 attended at least 75 percent of the aggregate total number of Board and committee meetings to which they were assigned, and overall attendance was 98 percent. All directors who served at the time of our 2025 Annual Meeting of Stockholders attended that meeting.</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Board Independence</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Twelve of our thirteen current directors are independent under our Corporate Governance Guidelines and applicable New York Stock Exchange ("NYSE") listing standards. For a director to be considered independent, the Board must determine, after consideration of all relevant facts and circumstances, that the director has no material relationship with the Company directly or as a partner, stockholder, or officer of an organization that has a relationship with the Company. The independence criteria adopted by the Board are set forth in the Company's Corporate Governance Guidelines.</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has determined that Messrs. Gaumond, Johnson, Nolan, O'Brien, Read, Rossotti, and Thornberry, and Mses. Amble, Dial, Flournoy, Jewett, and McClain are independent under the independence criteria for directors established by the NYSE and the independence criteria adopted by the Board. As a result, we currently have a majority of independent directors and satisfy the applicable rule of the NYSE. Mr. Rozanski is an employee of the Company and is not independent under the NYSE listing standards or our Corporate Governance Guidelines, which can be found in the Investor Relations portion of our website at investors.boozallen.com.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b w:val="1"/>
          <w:bCs w:val="1"/>
          <w:u w:val="single" w:color="auto"/>
          <w:color w:val="00A5B5"/>
        </w:rPr>
        <w:t>Board Leadership Structure</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noted in our Corporate Governance Guidelines, the Board has no policy with respect to the separation of the offices of Chair and Chief Executive Officer. The Board believes that it is important to retain its flexibility to allocate the responsibilities of the offices of the Chair and Chief Executive Officer in any way that is in the best interests of the Company at a given point in time. If the individual elected as Chair is not an independent director, our Corporate Governance Guidelines provide that a lead independent director will be appointed annually by a majority of the independent directors upon recommendation of the Nominating and Corporate Governance Committee of the Board.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Lead Independent Director has specifically delineated responsibilities, which include:</w:t>
      </w:r>
    </w:p>
    <w:p>
      <w:pPr>
        <w:spacing w:after="0" w:line="150" w:lineRule="exact"/>
        <w:rPr>
          <w:sz w:val="20"/>
          <w:szCs w:val="20"/>
          <w:color w:val="auto"/>
        </w:rPr>
      </w:pPr>
    </w:p>
    <w:p>
      <w:pPr>
        <w:ind w:left="620" w:hanging="29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presiding over executive sessions of the non-management directors and presiding, if the Chair is absent, at Board meetings;</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collaborating with the Chair to set meeting agendas and the annual schedule of meetings;</w:t>
      </w:r>
    </w:p>
    <w:p>
      <w:pPr>
        <w:spacing w:after="0" w:line="137" w:lineRule="exact"/>
        <w:rPr>
          <w:rFonts w:ascii="Arial" w:cs="Arial" w:eastAsia="Arial" w:hAnsi="Arial"/>
          <w:sz w:val="18"/>
          <w:szCs w:val="18"/>
          <w:color w:val="auto"/>
        </w:rPr>
      </w:pPr>
    </w:p>
    <w:p>
      <w:pPr>
        <w:ind w:left="620" w:hanging="29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input to the Chair on the quantity, quality and timeliness of information provided to the Board;</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calling and chairing meetings of the independent directors and apprising the Chair of the issues considered;</w:t>
      </w:r>
    </w:p>
    <w:p>
      <w:pPr>
        <w:spacing w:after="0" w:line="137" w:lineRule="exact"/>
        <w:rPr>
          <w:rFonts w:ascii="Arial" w:cs="Arial" w:eastAsia="Arial" w:hAnsi="Arial"/>
          <w:sz w:val="18"/>
          <w:szCs w:val="18"/>
          <w:color w:val="auto"/>
        </w:rPr>
      </w:pPr>
    </w:p>
    <w:p>
      <w:pPr>
        <w:ind w:left="620" w:hanging="29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serving as the liaison between the independent directors and the Chair and Chief Executive Officer; and</w:t>
      </w:r>
    </w:p>
    <w:p>
      <w:pPr>
        <w:spacing w:after="0" w:line="150"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collaborating with the Audit, Compensation, Culture and People, and Nominating and Corporate Governance Committees on the performance and structure of the Board and its committees, including the performance of individual directors.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least annually, independent directors also meet in executive session during a regular Board meeting.</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Board regularly reviews the leadership structure to ensure that it continues to meet the needs of the Company and supports the generation of stockholder value, managing risk, and supporting the Company's executive management over the long term. The Board has concluded that it is currently in the best interest of the stockholders for Mr. Rozanski to retain the position of Chairman and Chief Executive Officer. The Board believes that the unified Chair and Chief Executive Officer roles, combined with the robust authority given to the experienced Lead Independent Director, effectively represent the interests of stockholders and enable the Board to discharge appropriate levels of independence, oversight, and responsibility to serve the Company. The Board believes that Mr. Rozanski, with his three decades of experience with the Company and his deep knowledge of the Company’s business and industry, is well qualified for the role of Chairman and that the Board operates effectively and efficiently under his leadership.</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exercises strong, independent oversight through frequent executive sessions, wholly independent Board committees, and an experienced Lead Independent Director with clearly delineated and comprehensive duties. The Board believes, given the Company’s unique culture and business model, a Chair that is intimately connected to the firm is essential. Further, the Board believes that presenting a single face to our customers through the combined role is valuable and that unified Board and management leadership best positions the Company to successfully implement its strategy, particularly in the current dynamic and challenging geopolitical and economic environment.</w:t>
      </w:r>
    </w:p>
    <w:p>
      <w:pPr>
        <w:spacing w:after="0" w:line="13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Consistent with the Company’s Corporate Governance Guidelines, in May 2026, a majority of the independent directors, upon recommendation of the Nominating and Corporate Governance Committee, elected Mark E. Gaumond to serve as the Lead Independent Director. Mr. Gaumond has served as the Company's Lead Independent Director since July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u w:val="single" w:color="auto"/>
          <w:color w:val="00A5B5"/>
        </w:rPr>
        <w:t>Selection of Nominees for Election to the Board</w:t>
      </w:r>
    </w:p>
    <w:p>
      <w:pPr>
        <w:spacing w:after="0" w:line="16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Nominating and Corporate Governance Committee recommends to the Board appropriate criteria for the selection of new directors based on the strategic needs of the Company and the Board, and periodically reviews the criteria adopted by the Board and, if deemed desirable, recommends to the Board changes to such criteria. The Board seeks members from a variety of professional backgrounds who combine a broad spectrum of experience and expertise with a reputation for integrity. Directors should have experience in positions with a high degree of responsibility, be, or have been, leaders in the companies or institutions with which they are, or were, affiliated, and be selected based upon the contributions they can make. Exceptional candidates who meet alternative criteria may also be considered.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Board Retirement Policy</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acknowledges the importance of regular refreshment to ensure an optimal balance of tenure, experience, and diverse perspectives. Long-serving directors contribute invaluable institutional knowledge and deep insight into the Company, while newer directors bring fresh perspectives, fostering a well-rounded and dynamic governance approach. The average tenure for our current Board is approximately 8.37 years. After giving effect to our directors not standing for re-election, our average tenure would be 6.24 years.</w:t>
      </w:r>
    </w:p>
    <w:p>
      <w:pPr>
        <w:spacing w:after="0" w:line="12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Effective May 20, 2026, the Board approved the Company’s revised Corporate Governance Guidelines, which include the Company’s retirement policy. Pursuant to the Corporate Governance Guidelines, non-management directors whose combined age and tenure is 85 years or greater at the time of the filing of the Company’s proxy statement shall not be nominated for re-election at the next annual meeting of stockholders, unless an exemption is granted by resolution of the Board or as otherwise set forth in the Corporate Governance Guidelines. Pursuant to such policy, three of our directors, Joan Amble, Arthur Johnson and Charles Rossotti will not stand for election at the 2026 Annual Meeting of Stockholders.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Process for Stockholders to Recommend Director Nominees</w:t>
      </w:r>
    </w:p>
    <w:p>
      <w:pPr>
        <w:spacing w:after="0" w:line="17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Stockholders wishing to nominate a candidate for director must provide written notice, in care of the Secretary, to 8283 Greensboro Drive, McLean, Virginia 22102, not fewer than 90 days nor more than 120 days prior to the first anniversary of the preceding year's annual meeting. Our bylaws set forth the requirements for direct nomination of an individual by a stockholder for election to the Board.</w:t>
      </w:r>
    </w:p>
    <w:p>
      <w:pPr>
        <w:spacing w:after="0" w:line="12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Nominating and Corporate Governance Committee evaluates candidates recommended by stockholders in the same manner that it considers recommendations from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2" w:name="page33"/>
    <w:bookmarkEnd w:id="32"/>
    <w:p>
      <w:pPr>
        <w:spacing w:after="0"/>
        <w:rPr>
          <w:sz w:val="20"/>
          <w:szCs w:val="20"/>
          <w:color w:val="auto"/>
        </w:rPr>
      </w:pPr>
      <w:r>
        <w:rPr>
          <w:rFonts w:ascii="Arial" w:cs="Arial" w:eastAsia="Arial" w:hAnsi="Arial"/>
          <w:sz w:val="21"/>
          <w:szCs w:val="21"/>
          <w:b w:val="1"/>
          <w:bCs w:val="1"/>
          <w:u w:val="single" w:color="auto"/>
          <w:color w:val="00A5B5"/>
        </w:rPr>
        <w:t>Risk Oversight</w:t>
      </w:r>
    </w:p>
    <w:p>
      <w:pPr>
        <w:spacing w:after="0" w:line="16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Our Board and its committees oversee the Company’s risk management processes, including cybersecurity risks. Through regular briefings from management, the Board remains informed on key risk considerations and mitigation strategies. A cornerstone of this oversight is the Company’s Enterprise Risk Management ("ERM") Program, which systemically identifies and manages enterprise risks that could materially impact operations, reputation, or value.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ERM Program Governance</w:t>
      </w:r>
    </w:p>
    <w:p>
      <w:pPr>
        <w:spacing w:after="0" w:line="183" w:lineRule="exact"/>
        <w:rPr>
          <w:sz w:val="20"/>
          <w:szCs w:val="20"/>
          <w:color w:val="auto"/>
        </w:rPr>
      </w:pPr>
    </w:p>
    <w:p>
      <w:pPr>
        <w:ind w:firstLine="318"/>
        <w:spacing w:after="0" w:line="274" w:lineRule="auto"/>
        <w:rPr>
          <w:sz w:val="20"/>
          <w:szCs w:val="20"/>
          <w:color w:val="auto"/>
        </w:rPr>
      </w:pPr>
      <w:r>
        <w:rPr>
          <w:rFonts w:ascii="Arial" w:cs="Arial" w:eastAsia="Arial" w:hAnsi="Arial"/>
          <w:sz w:val="17"/>
          <w:szCs w:val="17"/>
          <w:color w:val="auto"/>
        </w:rPr>
        <w:t>The ERM Program is overseen by the ERM Steering Committee, which is chaired by our President and Chief Operating Officer. This committee is responsible for managing the ERM Program and ensuring that enterprise risks are identified, assessed, and mitigated effectively. Comprised of senior executives—including the General Counsel, Chief Information Officer, Chief Information Security Officer, Chief Administrative Officer, Chief Ethics and Compliance Officer, and SVP, Corporate Finance and Investor Relations—the ERM Steering Committee:</w:t>
      </w:r>
    </w:p>
    <w:p>
      <w:pPr>
        <w:spacing w:after="0" w:line="87" w:lineRule="exact"/>
        <w:rPr>
          <w:sz w:val="20"/>
          <w:szCs w:val="20"/>
          <w:color w:val="auto"/>
        </w:rPr>
      </w:pPr>
    </w:p>
    <w:p>
      <w:pPr>
        <w:ind w:left="640" w:hanging="316"/>
        <w:spacing w:after="0" w:line="274"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Provides oversight of cybersecurity risk within the broader ERM framework and reviews management’s approach to cybersecurity risk identification, assessment, and response;</w:t>
      </w:r>
    </w:p>
    <w:p>
      <w:pPr>
        <w:spacing w:after="0" w:line="96" w:lineRule="exact"/>
        <w:rPr>
          <w:rFonts w:ascii="Arial" w:cs="Arial" w:eastAsia="Arial" w:hAnsi="Arial"/>
          <w:sz w:val="18"/>
          <w:szCs w:val="18"/>
          <w:color w:val="auto"/>
        </w:rPr>
      </w:pPr>
    </w:p>
    <w:p>
      <w:pPr>
        <w:ind w:left="620" w:hanging="296"/>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management’s alignment of cybersecurity risk management priorities and strategies with business objectives; and</w:t>
      </w:r>
    </w:p>
    <w:p>
      <w:pPr>
        <w:spacing w:after="0" w:line="150"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Receives updates from management regarding cybersecurity assessments, exercises, mitigation activities, and significant cybersecurity risks.</w:t>
      </w:r>
    </w:p>
    <w:p>
      <w:pPr>
        <w:spacing w:after="0" w:line="110"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Through this structured approach, the ERM Steering Committee ensures that the Company’s risk management framework remains proactive, comprehensive, and aligned with business objectives.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Board Oversight &amp; Committee Responsibilities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maintains risk oversight by:</w:t>
      </w:r>
    </w:p>
    <w:p>
      <w:pPr>
        <w:spacing w:after="0" w:line="150" w:lineRule="exact"/>
        <w:rPr>
          <w:sz w:val="20"/>
          <w:szCs w:val="20"/>
          <w:color w:val="auto"/>
        </w:rPr>
      </w:pPr>
    </w:p>
    <w:p>
      <w:pPr>
        <w:ind w:left="620" w:hanging="296"/>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Receiving quarterly risk updates, including cybersecurity risks;</w:t>
      </w:r>
    </w:p>
    <w:p>
      <w:pPr>
        <w:spacing w:after="0" w:line="150" w:lineRule="exact"/>
        <w:rPr>
          <w:rFonts w:ascii="Arial" w:cs="Arial" w:eastAsia="Arial" w:hAnsi="Arial"/>
          <w:sz w:val="18"/>
          <w:szCs w:val="18"/>
          <w:color w:val="auto"/>
        </w:rPr>
      </w:pPr>
    </w:p>
    <w:p>
      <w:pPr>
        <w:ind w:left="620" w:hanging="296"/>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 annual enterprise risk assessment conducted by the ERM Program; and</w:t>
      </w:r>
    </w:p>
    <w:p>
      <w:pPr>
        <w:spacing w:after="0" w:line="137" w:lineRule="exact"/>
        <w:rPr>
          <w:rFonts w:ascii="Arial" w:cs="Arial" w:eastAsia="Arial" w:hAnsi="Arial"/>
          <w:sz w:val="18"/>
          <w:szCs w:val="18"/>
          <w:color w:val="auto"/>
        </w:rPr>
      </w:pPr>
    </w:p>
    <w:p>
      <w:pPr>
        <w:ind w:left="320" w:right="1740" w:firstLine="4"/>
        <w:spacing w:after="0" w:line="428" w:lineRule="auto"/>
        <w:tabs>
          <w:tab w:leader="none" w:pos="6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Engaging in regular briefings from senior management on enterprise and emerging risks and mitigation strategies. To further strengthen governance, Board committees provide focused oversight in key risk areas:</w:t>
      </w:r>
    </w:p>
    <w:p>
      <w:pPr>
        <w:jc w:val="both"/>
        <w:ind w:left="640" w:hanging="316"/>
        <w:spacing w:after="0" w:line="255" w:lineRule="auto"/>
        <w:tabs>
          <w:tab w:leader="none" w:pos="60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 Receives regular updates from the General Counsel, Chief Ethics and Compliance Officer, Director of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Audit, Chief Information Security Officer, and Chief Information Officer on the status of the ethics and compliance program, internal controls over financial reporting, operational compliance areas, and regulatory communications. The Audit Committee also leads the Board’s oversight of cybersecurity risk.</w:t>
      </w:r>
    </w:p>
    <w:p>
      <w:pPr>
        <w:spacing w:after="0" w:line="73" w:lineRule="exact"/>
        <w:rPr>
          <w:rFonts w:ascii="Arial" w:cs="Arial" w:eastAsia="Arial" w:hAnsi="Arial"/>
          <w:sz w:val="18"/>
          <w:szCs w:val="18"/>
          <w:b w:val="1"/>
          <w:bCs w:val="1"/>
          <w:color w:val="auto"/>
        </w:rPr>
      </w:pPr>
    </w:p>
    <w:p>
      <w:pPr>
        <w:ind w:left="640" w:hanging="316"/>
        <w:spacing w:after="0" w:line="276" w:lineRule="auto"/>
        <w:tabs>
          <w:tab w:leader="none" w:pos="60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Culture, and People Committee </w:t>
      </w:r>
      <w:r>
        <w:rPr>
          <w:rFonts w:ascii="Arial" w:cs="Arial" w:eastAsia="Arial" w:hAnsi="Arial"/>
          <w:sz w:val="18"/>
          <w:szCs w:val="18"/>
          <w:color w:val="auto"/>
        </w:rPr>
        <w:t>– Oversees human capital management risks, including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practices, ensuring alignment with the Company’s long-term strategic goals.</w:t>
      </w:r>
    </w:p>
    <w:p>
      <w:pPr>
        <w:spacing w:after="0" w:line="53" w:lineRule="exact"/>
        <w:rPr>
          <w:rFonts w:ascii="Arial" w:cs="Arial" w:eastAsia="Arial" w:hAnsi="Arial"/>
          <w:sz w:val="18"/>
          <w:szCs w:val="18"/>
          <w:color w:val="auto"/>
        </w:rPr>
      </w:pPr>
    </w:p>
    <w:p>
      <w:pPr>
        <w:ind w:left="640" w:hanging="316"/>
        <w:spacing w:after="0" w:line="276" w:lineRule="auto"/>
        <w:tabs>
          <w:tab w:leader="none" w:pos="60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Nominating and Corporate Governance Committee </w:t>
      </w:r>
      <w:r>
        <w:rPr>
          <w:rFonts w:ascii="Arial" w:cs="Arial" w:eastAsia="Arial" w:hAnsi="Arial"/>
          <w:sz w:val="18"/>
          <w:szCs w:val="18"/>
          <w:color w:val="auto"/>
        </w:rPr>
        <w:t>– Oversees risks related to corporate governance and ERS initiatives,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practices align with ethical, regulatory, and sustainability standards.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structured governance framework ensures that risk oversight remains embedded at all levels of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3" w:name="page34"/>
    <w:bookmarkEnd w:id="33"/>
    <w:p>
      <w:pPr>
        <w:spacing w:after="0"/>
        <w:rPr>
          <w:sz w:val="20"/>
          <w:szCs w:val="20"/>
          <w:color w:val="auto"/>
        </w:rPr>
      </w:pPr>
      <w:r>
        <w:rPr>
          <w:rFonts w:ascii="Arial" w:cs="Arial" w:eastAsia="Arial" w:hAnsi="Arial"/>
          <w:sz w:val="21"/>
          <w:szCs w:val="21"/>
          <w:b w:val="1"/>
          <w:bCs w:val="1"/>
          <w:u w:val="single" w:color="auto"/>
          <w:color w:val="00A5B5"/>
        </w:rPr>
        <w:t>Succession Planning and Talent Reviews</w:t>
      </w:r>
    </w:p>
    <w:p>
      <w:pPr>
        <w:spacing w:after="0" w:line="16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Board believes that executive management succession planning is one of its most important responsibilities. Accordingly, the Board regularly undertakes executive management succession planning and talent reviews, with support provided by the Compensation, Culture and People Committee. On an annual basis, the Chair leads the Board in an in-depth discussion concerning Chief Executive Officer succession and the Chief Executive Officer leads the Board in a discussion concerning senior management succession. Chief Executive Officer succession is also discussed by the Board in an executive session outside the presence of any management directors. In addition, management updates the Board on key talent indicators, such as recruiting and retention for the overall employee population, throughout the year.</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Annual Board Performance Assessment</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and each of the Audit, Compensation, Culture and People, and Nominating and Corporate Governance committees perform an annual assessment of their operations and effectiveness, and set goals for the future. The comments of the directors are compiled and presented, as applicable, to the Chair, the Lead Independent Director, the applicable committee Chair, and the full Board, with further discussion with the appropriate committee as needed. The key matters to be addressed are identified, and these matters become part of future agendas for the Board and its committees.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Director Orientation and Continuing Education</w:t>
      </w:r>
    </w:p>
    <w:p>
      <w:pPr>
        <w:spacing w:after="0" w:line="18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New directors are provided a multi-phase orientation generally timed to coincide with our Board meetings as part of our effort to integrate them into their role as directors and familiarize them with the Company. Orientation sessions are led by members of management and are focused on various elements of our business strategy, service offerings, internal business operations, and corporate governance, among other areas. During the course of the year, representatives of management brief the Board on topics designed to provide directors a deeper understanding of various aspects of our business, such as applicable legal developments, ethics and compliance programs, and the evolving regulatory environment. In addition, the Board holds an annual business strategy session with management. Directors are also encouraged to participate in continuing education programs to better understand and execute their duties and responsibilities.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Communications with the Board</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Stockholders, or other interested third parties, who wish to contact our Board may send written correspondence, in care of the Secretary, to 8283 Greensboro Drive, McLean, Virginia 22102. Communications may be addressed to an individual director, to the non-management directors as a group, or to the Board as a whole, marked as confidential or otherwise. Communications not submitted confidentially, which are addressed to directors that discuss business or other matters relevant to the activities of our Board, will be preliminarily reviewed by the office of the Secretary and then distributed either in summary form or by delivering a copy of the communication. Communications marked as confidential will be distributed, without review by the office of the Secretary, to the director, or group of directors, to whom they are addressed. With respect to other correspondence received by the Company that is addressed to one or more directors, the Board has requested that the following items not be distributed to directors because they generally fall into the purview of management, rather than the Board: junk mail and mass mailings, service complaints and inquiries, résumés and other forms of job inquiries, solicitations for charitable donations, surveys, business solicitations, and advertisements.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u w:val="single" w:color="auto"/>
          <w:color w:val="00A5B5"/>
        </w:rPr>
        <w:t>Board Committees</w:t>
      </w:r>
    </w:p>
    <w:p>
      <w:pPr>
        <w:spacing w:after="0" w:line="16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Board has four standing committees: an Executive Committee, an Audit Committee, a Compensation, Culture and People Committee, and a Nominating and Corporate Governance Committee. The charter of each committee is available without charge on the Investor Relations portion of our website at investors.boozallen.com.</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chart identifies the current members and chair of each standing committee, as well as related information.</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420" w:type="dxa"/>
            <w:vAlign w:val="bottom"/>
            <w:vMerge w:val="restart"/>
            <w:shd w:val="clear" w:color="auto" w:fill="00A5B5"/>
          </w:tcPr>
          <w:p>
            <w:pPr>
              <w:ind w:left="20"/>
              <w:spacing w:after="0"/>
              <w:rPr>
                <w:sz w:val="20"/>
                <w:szCs w:val="20"/>
                <w:color w:val="auto"/>
              </w:rPr>
            </w:pPr>
            <w:r>
              <w:rPr>
                <w:rFonts w:ascii="Arial" w:cs="Arial" w:eastAsia="Arial" w:hAnsi="Arial"/>
                <w:sz w:val="14"/>
                <w:szCs w:val="14"/>
                <w:b w:val="1"/>
                <w:bCs w:val="1"/>
                <w:color w:val="FFFFFF"/>
              </w:rPr>
              <w:t>Board Member</w:t>
            </w:r>
          </w:p>
        </w:tc>
        <w:tc>
          <w:tcPr>
            <w:tcW w:w="1180" w:type="dxa"/>
            <w:vAlign w:val="bottom"/>
            <w:vMerge w:val="restart"/>
            <w:shd w:val="clear" w:color="auto" w:fill="00A5B5"/>
          </w:tcPr>
          <w:p>
            <w:pPr>
              <w:jc w:val="center"/>
              <w:ind w:right="109"/>
              <w:spacing w:after="0"/>
              <w:rPr>
                <w:sz w:val="20"/>
                <w:szCs w:val="20"/>
                <w:color w:val="auto"/>
              </w:rPr>
            </w:pPr>
            <w:r>
              <w:rPr>
                <w:rFonts w:ascii="Arial" w:cs="Arial" w:eastAsia="Arial" w:hAnsi="Arial"/>
                <w:sz w:val="14"/>
                <w:szCs w:val="14"/>
                <w:b w:val="1"/>
                <w:bCs w:val="1"/>
                <w:color w:val="FFFFFF"/>
              </w:rPr>
              <w:t>Independent</w:t>
            </w:r>
          </w:p>
        </w:tc>
        <w:tc>
          <w:tcPr>
            <w:tcW w:w="1940" w:type="dxa"/>
            <w:vAlign w:val="bottom"/>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rPr>
              <w:t>Executive Committee</w:t>
            </w:r>
          </w:p>
        </w:tc>
        <w:tc>
          <w:tcPr>
            <w:tcW w:w="1540" w:type="dxa"/>
            <w:vAlign w:val="bottom"/>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w w:val="99"/>
              </w:rPr>
              <w:t>Audit Committee</w:t>
            </w:r>
          </w:p>
        </w:tc>
        <w:tc>
          <w:tcPr>
            <w:tcW w:w="1920" w:type="dxa"/>
            <w:vAlign w:val="bottom"/>
            <w:shd w:val="clear" w:color="auto" w:fill="00A5B5"/>
          </w:tcPr>
          <w:p>
            <w:pPr>
              <w:jc w:val="center"/>
              <w:ind w:left="38"/>
              <w:spacing w:after="0"/>
              <w:rPr>
                <w:sz w:val="20"/>
                <w:szCs w:val="20"/>
                <w:color w:val="auto"/>
              </w:rPr>
            </w:pPr>
            <w:r>
              <w:rPr>
                <w:rFonts w:ascii="Arial" w:cs="Arial" w:eastAsia="Arial" w:hAnsi="Arial"/>
                <w:sz w:val="14"/>
                <w:szCs w:val="14"/>
                <w:b w:val="1"/>
                <w:bCs w:val="1"/>
                <w:color w:val="FFFFFF"/>
                <w:w w:val="99"/>
              </w:rPr>
              <w:t>Compensation, Culture &amp;</w:t>
            </w:r>
          </w:p>
        </w:tc>
        <w:tc>
          <w:tcPr>
            <w:tcW w:w="1740" w:type="dxa"/>
            <w:vAlign w:val="bottom"/>
            <w:shd w:val="clear" w:color="auto" w:fill="00A5B5"/>
          </w:tcPr>
          <w:p>
            <w:pPr>
              <w:jc w:val="center"/>
              <w:spacing w:after="0"/>
              <w:rPr>
                <w:sz w:val="20"/>
                <w:szCs w:val="20"/>
                <w:color w:val="auto"/>
              </w:rPr>
            </w:pPr>
            <w:r>
              <w:rPr>
                <w:rFonts w:ascii="Arial" w:cs="Arial" w:eastAsia="Arial" w:hAnsi="Arial"/>
                <w:sz w:val="14"/>
                <w:szCs w:val="14"/>
                <w:b w:val="1"/>
                <w:bCs w:val="1"/>
                <w:color w:val="FFFFFF"/>
              </w:rPr>
              <w:t>Nominating &amp; Corporate</w:t>
            </w:r>
          </w:p>
        </w:tc>
        <w:tc>
          <w:tcPr>
            <w:tcW w:w="0" w:type="dxa"/>
            <w:vAlign w:val="bottom"/>
          </w:tcPr>
          <w:p>
            <w:pPr>
              <w:spacing w:after="0"/>
              <w:rPr>
                <w:sz w:val="1"/>
                <w:szCs w:val="1"/>
                <w:color w:val="auto"/>
              </w:rPr>
            </w:pPr>
          </w:p>
        </w:tc>
      </w:tr>
      <w:tr>
        <w:trPr>
          <w:trHeight w:val="181"/>
        </w:trPr>
        <w:tc>
          <w:tcPr>
            <w:tcW w:w="2420" w:type="dxa"/>
            <w:vAlign w:val="bottom"/>
            <w:vMerge w:val="continue"/>
            <w:shd w:val="clear" w:color="auto" w:fill="00A5B5"/>
          </w:tcPr>
          <w:p>
            <w:pPr>
              <w:spacing w:after="0"/>
              <w:rPr>
                <w:sz w:val="15"/>
                <w:szCs w:val="15"/>
                <w:color w:val="auto"/>
              </w:rPr>
            </w:pPr>
          </w:p>
        </w:tc>
        <w:tc>
          <w:tcPr>
            <w:tcW w:w="1180" w:type="dxa"/>
            <w:vAlign w:val="bottom"/>
            <w:vMerge w:val="continue"/>
            <w:shd w:val="clear" w:color="auto" w:fill="00A5B5"/>
          </w:tcPr>
          <w:p>
            <w:pPr>
              <w:spacing w:after="0"/>
              <w:rPr>
                <w:sz w:val="15"/>
                <w:szCs w:val="15"/>
                <w:color w:val="auto"/>
              </w:rPr>
            </w:pPr>
          </w:p>
        </w:tc>
        <w:tc>
          <w:tcPr>
            <w:tcW w:w="1940" w:type="dxa"/>
            <w:vAlign w:val="bottom"/>
            <w:vMerge w:val="continue"/>
            <w:shd w:val="clear" w:color="auto" w:fill="00A5B5"/>
          </w:tcPr>
          <w:p>
            <w:pPr>
              <w:spacing w:after="0"/>
              <w:rPr>
                <w:sz w:val="15"/>
                <w:szCs w:val="15"/>
                <w:color w:val="auto"/>
              </w:rPr>
            </w:pPr>
          </w:p>
        </w:tc>
        <w:tc>
          <w:tcPr>
            <w:tcW w:w="1540" w:type="dxa"/>
            <w:vAlign w:val="bottom"/>
            <w:vMerge w:val="continue"/>
            <w:shd w:val="clear" w:color="auto" w:fill="00A5B5"/>
          </w:tcPr>
          <w:p>
            <w:pPr>
              <w:spacing w:after="0"/>
              <w:rPr>
                <w:sz w:val="15"/>
                <w:szCs w:val="15"/>
                <w:color w:val="auto"/>
              </w:rPr>
            </w:pPr>
          </w:p>
        </w:tc>
        <w:tc>
          <w:tcPr>
            <w:tcW w:w="1920" w:type="dxa"/>
            <w:vAlign w:val="bottom"/>
            <w:shd w:val="clear" w:color="auto" w:fill="00A5B5"/>
          </w:tcPr>
          <w:p>
            <w:pPr>
              <w:jc w:val="center"/>
              <w:ind w:left="38"/>
              <w:spacing w:after="0"/>
              <w:rPr>
                <w:sz w:val="20"/>
                <w:szCs w:val="20"/>
                <w:color w:val="auto"/>
              </w:rPr>
            </w:pPr>
            <w:r>
              <w:rPr>
                <w:rFonts w:ascii="Arial" w:cs="Arial" w:eastAsia="Arial" w:hAnsi="Arial"/>
                <w:sz w:val="14"/>
                <w:szCs w:val="14"/>
                <w:b w:val="1"/>
                <w:bCs w:val="1"/>
                <w:color w:val="FFFFFF"/>
              </w:rPr>
              <w:t>People Committee</w:t>
            </w:r>
          </w:p>
        </w:tc>
        <w:tc>
          <w:tcPr>
            <w:tcW w:w="1740" w:type="dxa"/>
            <w:vAlign w:val="bottom"/>
            <w:shd w:val="clear" w:color="auto" w:fill="00A5B5"/>
          </w:tcPr>
          <w:p>
            <w:pPr>
              <w:jc w:val="center"/>
              <w:spacing w:after="0"/>
              <w:rPr>
                <w:sz w:val="20"/>
                <w:szCs w:val="20"/>
                <w:color w:val="auto"/>
              </w:rPr>
            </w:pPr>
            <w:r>
              <w:rPr>
                <w:rFonts w:ascii="Arial" w:cs="Arial" w:eastAsia="Arial" w:hAnsi="Arial"/>
                <w:sz w:val="14"/>
                <w:szCs w:val="14"/>
                <w:b w:val="1"/>
                <w:bCs w:val="1"/>
                <w:color w:val="FFFFFF"/>
              </w:rPr>
              <w:t>Governance Committee</w:t>
            </w: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 xml:space="preserve">Horacio D. Rozanski </w:t>
            </w:r>
            <w:r>
              <w:rPr>
                <w:rFonts w:ascii="Wingdings" w:cs="Wingdings" w:eastAsia="Wingdings" w:hAnsi="Wingdings"/>
                <w:sz w:val="14"/>
                <w:szCs w:val="14"/>
                <w:b w:val="1"/>
                <w:bCs w:val="1"/>
                <w:color w:val="auto"/>
                <w:highlight w:val="black"/>
              </w:rPr>
              <w:t>«</w:t>
            </w:r>
          </w:p>
        </w:tc>
        <w:tc>
          <w:tcPr>
            <w:tcW w:w="1180" w:type="dxa"/>
            <w:vAlign w:val="bottom"/>
            <w:shd w:val="clear" w:color="auto" w:fill="CCEEF0"/>
          </w:tcPr>
          <w:p>
            <w:pPr>
              <w:spacing w:after="0"/>
              <w:rPr>
                <w:sz w:val="19"/>
                <w:szCs w:val="19"/>
                <w:color w:val="auto"/>
              </w:rPr>
            </w:pPr>
          </w:p>
        </w:tc>
        <w:tc>
          <w:tcPr>
            <w:tcW w:w="1940" w:type="dxa"/>
            <w:vAlign w:val="bottom"/>
            <w:shd w:val="clear" w:color="auto" w:fill="CCEEF0"/>
          </w:tcPr>
          <w:p>
            <w:pPr>
              <w:jc w:val="right"/>
              <w:ind w:right="798"/>
              <w:spacing w:after="0"/>
              <w:rPr>
                <w:sz w:val="20"/>
                <w:szCs w:val="20"/>
                <w:color w:val="auto"/>
              </w:rPr>
            </w:pPr>
            <w:r>
              <w:rPr>
                <w:rFonts w:ascii="Wingdings" w:cs="Wingdings" w:eastAsia="Wingdings" w:hAnsi="Wingdings"/>
                <w:sz w:val="18"/>
                <w:szCs w:val="18"/>
                <w:b w:val="1"/>
                <w:bCs w:val="1"/>
                <w:color w:val="auto"/>
                <w:highlight w:val="black"/>
              </w:rPr>
              <w:t>µ</w:t>
            </w:r>
          </w:p>
        </w:tc>
        <w:tc>
          <w:tcPr>
            <w:tcW w:w="1540" w:type="dxa"/>
            <w:vAlign w:val="bottom"/>
            <w:shd w:val="clear" w:color="auto" w:fill="CCEEF0"/>
          </w:tcPr>
          <w:p>
            <w:pPr>
              <w:spacing w:after="0"/>
              <w:rPr>
                <w:sz w:val="19"/>
                <w:szCs w:val="19"/>
                <w:color w:val="auto"/>
              </w:rPr>
            </w:pPr>
          </w:p>
        </w:tc>
        <w:tc>
          <w:tcPr>
            <w:tcW w:w="1920" w:type="dxa"/>
            <w:vAlign w:val="bottom"/>
            <w:shd w:val="clear" w:color="auto" w:fill="CCEEF0"/>
          </w:tcPr>
          <w:p>
            <w:pPr>
              <w:spacing w:after="0"/>
              <w:rPr>
                <w:sz w:val="19"/>
                <w:szCs w:val="19"/>
                <w:color w:val="auto"/>
              </w:rPr>
            </w:pPr>
          </w:p>
        </w:tc>
        <w:tc>
          <w:tcPr>
            <w:tcW w:w="1740" w:type="dxa"/>
            <w:vAlign w:val="bottom"/>
            <w:shd w:val="clear" w:color="auto" w:fill="CCEEF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Joan Lordi C. Amble</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Debra L. Dial</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spacing w:after="0"/>
              <w:rPr>
                <w:sz w:val="19"/>
                <w:szCs w:val="19"/>
                <w:color w:val="auto"/>
              </w:rPr>
            </w:pPr>
          </w:p>
        </w:tc>
        <w:tc>
          <w:tcPr>
            <w:tcW w:w="15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920" w:type="dxa"/>
            <w:vAlign w:val="bottom"/>
            <w:shd w:val="clear" w:color="auto" w:fill="CCEEF0"/>
          </w:tcPr>
          <w:p>
            <w:pPr>
              <w:spacing w:after="0"/>
              <w:rPr>
                <w:sz w:val="19"/>
                <w:szCs w:val="19"/>
                <w:color w:val="auto"/>
              </w:rPr>
            </w:pPr>
          </w:p>
        </w:tc>
        <w:tc>
          <w:tcPr>
            <w:tcW w:w="1740" w:type="dxa"/>
            <w:vAlign w:val="bottom"/>
            <w:shd w:val="clear" w:color="auto" w:fill="CCEEF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Michèle A. Flournoy</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20" w:type="dxa"/>
            <w:vAlign w:val="bottom"/>
          </w:tcPr>
          <w:p>
            <w:pPr>
              <w:jc w:val="center"/>
              <w:ind w:left="38"/>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740" w:type="dxa"/>
            <w:vAlign w:val="bottom"/>
          </w:tcPr>
          <w:p>
            <w:pPr>
              <w:jc w:val="right"/>
              <w:ind w:right="718"/>
              <w:spacing w:after="0"/>
              <w:rPr>
                <w:sz w:val="20"/>
                <w:szCs w:val="20"/>
                <w:color w:val="auto"/>
              </w:rPr>
            </w:pPr>
            <w:r>
              <w:rPr>
                <w:rFonts w:ascii="Wingdings" w:cs="Wingdings" w:eastAsia="Wingdings" w:hAnsi="Wingdings"/>
                <w:sz w:val="18"/>
                <w:szCs w:val="18"/>
                <w:b w:val="1"/>
                <w:bCs w:val="1"/>
                <w:color w:val="auto"/>
                <w:highlight w:val="black"/>
              </w:rPr>
              <w:t>µ</w:t>
            </w: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Mark E. Gaumond</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w:t>
            </w:r>
            <w:r>
              <w:rPr>
                <w:rFonts w:ascii="Wingdings" w:cs="Wingdings" w:eastAsia="Wingdings" w:hAnsi="Wingdings"/>
                <w:sz w:val="14"/>
                <w:szCs w:val="14"/>
                <w:b w:val="1"/>
                <w:bCs w:val="1"/>
                <w:color w:val="auto"/>
                <w:highlight w:val="black"/>
              </w:rPr>
              <w:t>t</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540" w:type="dxa"/>
            <w:vAlign w:val="bottom"/>
            <w:shd w:val="clear" w:color="auto" w:fill="CCEEF0"/>
          </w:tcPr>
          <w:p>
            <w:pPr>
              <w:spacing w:after="0"/>
              <w:rPr>
                <w:sz w:val="19"/>
                <w:szCs w:val="19"/>
                <w:color w:val="auto"/>
              </w:rPr>
            </w:pPr>
          </w:p>
        </w:tc>
        <w:tc>
          <w:tcPr>
            <w:tcW w:w="1920" w:type="dxa"/>
            <w:vAlign w:val="bottom"/>
            <w:shd w:val="clear" w:color="auto" w:fill="CCEEF0"/>
          </w:tcPr>
          <w:p>
            <w:pPr>
              <w:spacing w:after="0"/>
              <w:rPr>
                <w:sz w:val="19"/>
                <w:szCs w:val="19"/>
                <w:color w:val="auto"/>
              </w:rPr>
            </w:pPr>
          </w:p>
        </w:tc>
        <w:tc>
          <w:tcPr>
            <w:tcW w:w="1740" w:type="dxa"/>
            <w:vAlign w:val="bottom"/>
            <w:shd w:val="clear" w:color="auto" w:fill="CCEEF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Ellen Jewett</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540" w:type="dxa"/>
            <w:vAlign w:val="bottom"/>
          </w:tcPr>
          <w:p>
            <w:pPr>
              <w:jc w:val="right"/>
              <w:ind w:right="576"/>
              <w:spacing w:after="0"/>
              <w:rPr>
                <w:sz w:val="20"/>
                <w:szCs w:val="20"/>
                <w:color w:val="auto"/>
              </w:rPr>
            </w:pPr>
            <w:r>
              <w:rPr>
                <w:rFonts w:ascii="Wingdings" w:cs="Wingdings" w:eastAsia="Wingdings" w:hAnsi="Wingdings"/>
                <w:sz w:val="18"/>
                <w:szCs w:val="18"/>
                <w:b w:val="1"/>
                <w:bCs w:val="1"/>
                <w:color w:val="auto"/>
                <w:highlight w:val="black"/>
              </w:rPr>
              <w:t>µ</w:t>
            </w:r>
          </w:p>
        </w:tc>
        <w:tc>
          <w:tcPr>
            <w:tcW w:w="1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Arthur E. Johnson</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spacing w:after="0"/>
              <w:rPr>
                <w:sz w:val="19"/>
                <w:szCs w:val="19"/>
                <w:color w:val="auto"/>
              </w:rPr>
            </w:pPr>
          </w:p>
        </w:tc>
        <w:tc>
          <w:tcPr>
            <w:tcW w:w="15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920" w:type="dxa"/>
            <w:vAlign w:val="bottom"/>
            <w:shd w:val="clear" w:color="auto" w:fill="CCEEF0"/>
          </w:tcPr>
          <w:p>
            <w:pPr>
              <w:spacing w:after="0"/>
              <w:rPr>
                <w:sz w:val="19"/>
                <w:szCs w:val="19"/>
                <w:color w:val="auto"/>
              </w:rPr>
            </w:pPr>
          </w:p>
        </w:tc>
        <w:tc>
          <w:tcPr>
            <w:tcW w:w="1740" w:type="dxa"/>
            <w:vAlign w:val="bottom"/>
            <w:shd w:val="clear" w:color="auto" w:fill="CCEEF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Gretchen W. McClain</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540" w:type="dxa"/>
            <w:vAlign w:val="bottom"/>
          </w:tcPr>
          <w:p>
            <w:pPr>
              <w:spacing w:after="0"/>
              <w:rPr>
                <w:sz w:val="19"/>
                <w:szCs w:val="19"/>
                <w:color w:val="auto"/>
              </w:rPr>
            </w:pPr>
          </w:p>
        </w:tc>
        <w:tc>
          <w:tcPr>
            <w:tcW w:w="1920" w:type="dxa"/>
            <w:vAlign w:val="bottom"/>
          </w:tcPr>
          <w:p>
            <w:pPr>
              <w:jc w:val="right"/>
              <w:ind w:right="738"/>
              <w:spacing w:after="0"/>
              <w:rPr>
                <w:sz w:val="20"/>
                <w:szCs w:val="20"/>
                <w:color w:val="auto"/>
              </w:rPr>
            </w:pPr>
            <w:r>
              <w:rPr>
                <w:rFonts w:ascii="Wingdings" w:cs="Wingdings" w:eastAsia="Wingdings" w:hAnsi="Wingdings"/>
                <w:sz w:val="18"/>
                <w:szCs w:val="18"/>
                <w:b w:val="1"/>
                <w:bCs w:val="1"/>
                <w:color w:val="auto"/>
                <w:highlight w:val="black"/>
              </w:rPr>
              <w:t>µ</w:t>
            </w:r>
          </w:p>
        </w:tc>
        <w:tc>
          <w:tcPr>
            <w:tcW w:w="17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Ryan P. Nolan</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spacing w:after="0"/>
              <w:rPr>
                <w:sz w:val="19"/>
                <w:szCs w:val="19"/>
                <w:color w:val="auto"/>
              </w:rPr>
            </w:pPr>
          </w:p>
        </w:tc>
        <w:tc>
          <w:tcPr>
            <w:tcW w:w="15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920" w:type="dxa"/>
            <w:vAlign w:val="bottom"/>
            <w:shd w:val="clear" w:color="auto" w:fill="CCEEF0"/>
          </w:tcPr>
          <w:p>
            <w:pPr>
              <w:spacing w:after="0"/>
              <w:rPr>
                <w:sz w:val="19"/>
                <w:szCs w:val="19"/>
                <w:color w:val="auto"/>
              </w:rPr>
            </w:pPr>
          </w:p>
        </w:tc>
        <w:tc>
          <w:tcPr>
            <w:tcW w:w="1740" w:type="dxa"/>
            <w:vAlign w:val="bottom"/>
            <w:shd w:val="clear" w:color="auto" w:fill="CCEEF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Robert C. O’Brien</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20" w:type="dxa"/>
            <w:vAlign w:val="bottom"/>
          </w:tcPr>
          <w:p>
            <w:pPr>
              <w:jc w:val="center"/>
              <w:ind w:left="38"/>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7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Rory P. Read</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spacing w:after="0"/>
              <w:rPr>
                <w:sz w:val="19"/>
                <w:szCs w:val="19"/>
                <w:color w:val="auto"/>
              </w:rPr>
            </w:pPr>
          </w:p>
        </w:tc>
        <w:tc>
          <w:tcPr>
            <w:tcW w:w="1540" w:type="dxa"/>
            <w:vAlign w:val="bottom"/>
            <w:shd w:val="clear" w:color="auto" w:fill="CCEEF0"/>
          </w:tcPr>
          <w:p>
            <w:pPr>
              <w:spacing w:after="0"/>
              <w:rPr>
                <w:sz w:val="19"/>
                <w:szCs w:val="19"/>
                <w:color w:val="auto"/>
              </w:rPr>
            </w:pPr>
          </w:p>
        </w:tc>
        <w:tc>
          <w:tcPr>
            <w:tcW w:w="1920" w:type="dxa"/>
            <w:vAlign w:val="bottom"/>
            <w:shd w:val="clear" w:color="auto" w:fill="CCEEF0"/>
          </w:tcPr>
          <w:p>
            <w:pPr>
              <w:jc w:val="center"/>
              <w:ind w:left="38"/>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7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Charles O. Rossotti</w:t>
            </w:r>
          </w:p>
        </w:tc>
        <w:tc>
          <w:tcPr>
            <w:tcW w:w="1180" w:type="dxa"/>
            <w:vAlign w:val="bottom"/>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0"/>
          </w:tcPr>
          <w:p>
            <w:pPr>
              <w:ind w:left="20"/>
              <w:spacing w:after="0"/>
              <w:rPr>
                <w:sz w:val="20"/>
                <w:szCs w:val="20"/>
                <w:color w:val="auto"/>
              </w:rPr>
            </w:pPr>
            <w:r>
              <w:rPr>
                <w:rFonts w:ascii="Arial" w:cs="Arial" w:eastAsia="Arial" w:hAnsi="Arial"/>
                <w:sz w:val="14"/>
                <w:szCs w:val="14"/>
                <w:b w:val="1"/>
                <w:bCs w:val="1"/>
                <w:color w:val="auto"/>
              </w:rPr>
              <w:t>William M. Thornberry</w:t>
            </w:r>
          </w:p>
        </w:tc>
        <w:tc>
          <w:tcPr>
            <w:tcW w:w="1180" w:type="dxa"/>
            <w:vAlign w:val="bottom"/>
            <w:shd w:val="clear" w:color="auto" w:fill="CCEEF0"/>
          </w:tcPr>
          <w:p>
            <w:pPr>
              <w:jc w:val="center"/>
              <w:ind w:right="109"/>
              <w:spacing w:after="0"/>
              <w:rPr>
                <w:sz w:val="20"/>
                <w:szCs w:val="20"/>
                <w:color w:val="auto"/>
              </w:rPr>
            </w:pPr>
            <w:r>
              <w:rPr>
                <w:rFonts w:ascii="Arial" w:cs="Arial" w:eastAsia="Arial" w:hAnsi="Arial"/>
                <w:sz w:val="14"/>
                <w:szCs w:val="14"/>
                <w:b w:val="1"/>
                <w:bCs w:val="1"/>
                <w:color w:val="auto"/>
              </w:rPr>
              <w:t>I</w:t>
            </w:r>
          </w:p>
        </w:tc>
        <w:tc>
          <w:tcPr>
            <w:tcW w:w="1940" w:type="dxa"/>
            <w:vAlign w:val="bottom"/>
            <w:shd w:val="clear" w:color="auto" w:fill="CCEEF0"/>
          </w:tcPr>
          <w:p>
            <w:pPr>
              <w:spacing w:after="0"/>
              <w:rPr>
                <w:sz w:val="19"/>
                <w:szCs w:val="19"/>
                <w:color w:val="auto"/>
              </w:rPr>
            </w:pPr>
          </w:p>
        </w:tc>
        <w:tc>
          <w:tcPr>
            <w:tcW w:w="1540" w:type="dxa"/>
            <w:vAlign w:val="bottom"/>
            <w:shd w:val="clear" w:color="auto" w:fill="CCEEF0"/>
          </w:tcPr>
          <w:p>
            <w:pPr>
              <w:spacing w:after="0"/>
              <w:rPr>
                <w:sz w:val="19"/>
                <w:szCs w:val="19"/>
                <w:color w:val="auto"/>
              </w:rPr>
            </w:pPr>
          </w:p>
        </w:tc>
        <w:tc>
          <w:tcPr>
            <w:tcW w:w="1920" w:type="dxa"/>
            <w:vAlign w:val="bottom"/>
            <w:shd w:val="clear" w:color="auto" w:fill="CCEEF0"/>
          </w:tcPr>
          <w:p>
            <w:pPr>
              <w:jc w:val="center"/>
              <w:ind w:left="38"/>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1740" w:type="dxa"/>
            <w:vAlign w:val="bottom"/>
            <w:shd w:val="clear" w:color="auto" w:fill="CCEEF0"/>
          </w:tcPr>
          <w:p>
            <w:pPr>
              <w:jc w:val="center"/>
              <w:spacing w:after="0"/>
              <w:rPr>
                <w:sz w:val="20"/>
                <w:szCs w:val="20"/>
                <w:color w:val="auto"/>
              </w:rPr>
            </w:pPr>
            <w:r>
              <w:rPr>
                <w:rFonts w:ascii="Wingdings" w:cs="Wingdings" w:eastAsia="Wingdings" w:hAnsi="Wingdings"/>
                <w:sz w:val="18"/>
                <w:szCs w:val="18"/>
                <w:b w:val="1"/>
                <w:bCs w:val="1"/>
                <w:color w:val="auto"/>
                <w:highlight w:val="black"/>
                <w:w w:val="88"/>
              </w:rPr>
              <w:t>l</w:t>
            </w:r>
          </w:p>
        </w:tc>
        <w:tc>
          <w:tcPr>
            <w:tcW w:w="0" w:type="dxa"/>
            <w:vAlign w:val="bottom"/>
          </w:tcPr>
          <w:p>
            <w:pPr>
              <w:spacing w:after="0"/>
              <w:rPr>
                <w:sz w:val="1"/>
                <w:szCs w:val="1"/>
                <w:color w:val="auto"/>
              </w:rPr>
            </w:pPr>
          </w:p>
        </w:tc>
      </w:tr>
      <w:tr>
        <w:trPr>
          <w:trHeight w:val="199"/>
        </w:trPr>
        <w:tc>
          <w:tcPr>
            <w:tcW w:w="2420" w:type="dxa"/>
            <w:vAlign w:val="bottom"/>
            <w:shd w:val="clear" w:color="auto" w:fill="00A5B5"/>
          </w:tcPr>
          <w:p>
            <w:pPr>
              <w:ind w:left="20"/>
              <w:spacing w:after="0"/>
              <w:rPr>
                <w:sz w:val="20"/>
                <w:szCs w:val="20"/>
                <w:color w:val="auto"/>
              </w:rPr>
            </w:pPr>
            <w:r>
              <w:rPr>
                <w:rFonts w:ascii="Arial" w:cs="Arial" w:eastAsia="Arial" w:hAnsi="Arial"/>
                <w:sz w:val="14"/>
                <w:szCs w:val="14"/>
                <w:b w:val="1"/>
                <w:bCs w:val="1"/>
                <w:color w:val="FFFFFF"/>
              </w:rPr>
              <w:t>Number of Meetings in Fiscal 2026</w:t>
            </w:r>
          </w:p>
        </w:tc>
        <w:tc>
          <w:tcPr>
            <w:tcW w:w="1180" w:type="dxa"/>
            <w:vAlign w:val="bottom"/>
            <w:shd w:val="clear" w:color="auto" w:fill="00A5B5"/>
          </w:tcPr>
          <w:p>
            <w:pPr>
              <w:spacing w:after="0"/>
              <w:rPr>
                <w:sz w:val="17"/>
                <w:szCs w:val="17"/>
                <w:color w:val="auto"/>
              </w:rPr>
            </w:pPr>
          </w:p>
        </w:tc>
        <w:tc>
          <w:tcPr>
            <w:tcW w:w="1940" w:type="dxa"/>
            <w:vAlign w:val="bottom"/>
            <w:shd w:val="clear" w:color="auto" w:fill="00A5B5"/>
          </w:tcPr>
          <w:p>
            <w:pPr>
              <w:jc w:val="right"/>
              <w:ind w:right="838"/>
              <w:spacing w:after="0"/>
              <w:rPr>
                <w:sz w:val="20"/>
                <w:szCs w:val="20"/>
                <w:color w:val="auto"/>
              </w:rPr>
            </w:pPr>
            <w:r>
              <w:rPr>
                <w:rFonts w:ascii="Arial" w:cs="Arial" w:eastAsia="Arial" w:hAnsi="Arial"/>
                <w:sz w:val="14"/>
                <w:szCs w:val="14"/>
                <w:b w:val="1"/>
                <w:bCs w:val="1"/>
                <w:color w:val="FFFFFF"/>
              </w:rPr>
              <w:t>0</w:t>
            </w:r>
          </w:p>
        </w:tc>
        <w:tc>
          <w:tcPr>
            <w:tcW w:w="1540" w:type="dxa"/>
            <w:vAlign w:val="bottom"/>
            <w:shd w:val="clear" w:color="auto" w:fill="00A5B5"/>
          </w:tcPr>
          <w:p>
            <w:pPr>
              <w:jc w:val="right"/>
              <w:ind w:right="616"/>
              <w:spacing w:after="0"/>
              <w:rPr>
                <w:sz w:val="20"/>
                <w:szCs w:val="20"/>
                <w:color w:val="auto"/>
              </w:rPr>
            </w:pPr>
            <w:r>
              <w:rPr>
                <w:rFonts w:ascii="Arial" w:cs="Arial" w:eastAsia="Arial" w:hAnsi="Arial"/>
                <w:sz w:val="14"/>
                <w:szCs w:val="14"/>
                <w:b w:val="1"/>
                <w:bCs w:val="1"/>
                <w:color w:val="FFFFFF"/>
              </w:rPr>
              <w:t>4</w:t>
            </w:r>
          </w:p>
        </w:tc>
        <w:tc>
          <w:tcPr>
            <w:tcW w:w="1920" w:type="dxa"/>
            <w:vAlign w:val="bottom"/>
            <w:shd w:val="clear" w:color="auto" w:fill="00A5B5"/>
          </w:tcPr>
          <w:p>
            <w:pPr>
              <w:jc w:val="right"/>
              <w:ind w:right="778"/>
              <w:spacing w:after="0"/>
              <w:rPr>
                <w:sz w:val="20"/>
                <w:szCs w:val="20"/>
                <w:color w:val="auto"/>
              </w:rPr>
            </w:pPr>
            <w:r>
              <w:rPr>
                <w:rFonts w:ascii="Arial" w:cs="Arial" w:eastAsia="Arial" w:hAnsi="Arial"/>
                <w:sz w:val="14"/>
                <w:szCs w:val="14"/>
                <w:b w:val="1"/>
                <w:bCs w:val="1"/>
                <w:color w:val="FFFFFF"/>
              </w:rPr>
              <w:t>6</w:t>
            </w:r>
          </w:p>
        </w:tc>
        <w:tc>
          <w:tcPr>
            <w:tcW w:w="1740" w:type="dxa"/>
            <w:vAlign w:val="bottom"/>
            <w:shd w:val="clear" w:color="auto" w:fill="00A5B5"/>
          </w:tcPr>
          <w:p>
            <w:pPr>
              <w:jc w:val="right"/>
              <w:ind w:right="758"/>
              <w:spacing w:after="0"/>
              <w:rPr>
                <w:sz w:val="20"/>
                <w:szCs w:val="20"/>
                <w:color w:val="auto"/>
              </w:rPr>
            </w:pPr>
            <w:r>
              <w:rPr>
                <w:rFonts w:ascii="Arial" w:cs="Arial" w:eastAsia="Arial" w:hAnsi="Arial"/>
                <w:sz w:val="14"/>
                <w:szCs w:val="14"/>
                <w:b w:val="1"/>
                <w:bCs w:val="1"/>
                <w:color w:val="FFFFFF"/>
              </w:rPr>
              <w:t>5</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 xml:space="preserve">Chair of the Board </w:t>
      </w:r>
      <w:r>
        <w:rPr>
          <w:rFonts w:ascii="Wingdings" w:cs="Wingdings" w:eastAsia="Wingdings" w:hAnsi="Wingdings"/>
          <w:sz w:val="14"/>
          <w:szCs w:val="14"/>
          <w:b w:val="1"/>
          <w:bCs w:val="1"/>
          <w:color w:val="auto"/>
          <w:highlight w:val="black"/>
        </w:rPr>
        <w:t>«</w:t>
      </w:r>
      <w:r>
        <w:rPr>
          <w:rFonts w:ascii="Arial" w:cs="Arial" w:eastAsia="Arial" w:hAnsi="Arial"/>
          <w:sz w:val="14"/>
          <w:szCs w:val="14"/>
          <w:b w:val="1"/>
          <w:bCs w:val="1"/>
          <w:color w:val="auto"/>
        </w:rPr>
        <w:t xml:space="preserve"> Lead Independent Director </w:t>
      </w:r>
      <w:r>
        <w:rPr>
          <w:rFonts w:ascii="Wingdings" w:cs="Wingdings" w:eastAsia="Wingdings" w:hAnsi="Wingdings"/>
          <w:sz w:val="14"/>
          <w:szCs w:val="14"/>
          <w:b w:val="1"/>
          <w:bCs w:val="1"/>
          <w:color w:val="auto"/>
          <w:highlight w:val="black"/>
        </w:rPr>
        <w:t>t</w:t>
      </w:r>
      <w:r>
        <w:rPr>
          <w:rFonts w:ascii="Arial" w:cs="Arial" w:eastAsia="Arial" w:hAnsi="Arial"/>
          <w:sz w:val="14"/>
          <w:szCs w:val="14"/>
          <w:b w:val="1"/>
          <w:bCs w:val="1"/>
          <w:color w:val="auto"/>
        </w:rPr>
        <w:t xml:space="preserve"> Chair </w:t>
      </w:r>
      <w:r>
        <w:rPr>
          <w:rFonts w:ascii="Wingdings" w:cs="Wingdings" w:eastAsia="Wingdings" w:hAnsi="Wingdings"/>
          <w:sz w:val="14"/>
          <w:szCs w:val="14"/>
          <w:b w:val="1"/>
          <w:bCs w:val="1"/>
          <w:color w:val="auto"/>
          <w:highlight w:val="black"/>
        </w:rPr>
        <w:t>µ</w:t>
      </w:r>
      <w:r>
        <w:rPr>
          <w:rFonts w:ascii="Arial" w:cs="Arial" w:eastAsia="Arial" w:hAnsi="Arial"/>
          <w:sz w:val="14"/>
          <w:szCs w:val="14"/>
          <w:b w:val="1"/>
          <w:bCs w:val="1"/>
          <w:color w:val="auto"/>
        </w:rPr>
        <w:t xml:space="preserve"> Member </w:t>
      </w:r>
      <w:r>
        <w:rPr>
          <w:rFonts w:ascii="Wingdings" w:cs="Wingdings" w:eastAsia="Wingdings" w:hAnsi="Wingdings"/>
          <w:sz w:val="14"/>
          <w:szCs w:val="14"/>
          <w:b w:val="1"/>
          <w:bCs w:val="1"/>
          <w:color w:val="auto"/>
          <w:highlight w:val="black"/>
        </w:rPr>
        <w:t>l</w:t>
      </w:r>
      <w:r>
        <w:rPr>
          <w:rFonts w:ascii="Arial" w:cs="Arial" w:eastAsia="Arial" w:hAnsi="Arial"/>
          <w:sz w:val="14"/>
          <w:szCs w:val="14"/>
          <w:b w:val="1"/>
          <w:bCs w:val="1"/>
          <w:color w:val="auto"/>
        </w:rPr>
        <w:t xml:space="preserve"> Independent I</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Effective July 21, 2026, Mr. Gaumond will serve on the Audit Committee in addition to his roles as Lead Independent Director and a member of the Executive Committee.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brief description of our committees.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The Executive Committee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Executive Committee is responsible, among its other duties and responsibilities, for assisting our Board in fulfilling its responsibilities. Our Executive Committee is authorized to act on behalf of the Board on certain matters for which applicable law does not require participation by the full Board. The current members of our Executive Committee are Messrs. Gaumond and Rozanski and Mses. Jewett and McClain. During fiscal year 2026, the Executive Committee acted by written consent.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The Audit Committee</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Audit Committee is responsible, among its other duties and responsibilities, for overseeing our accounting and financial reporting processes, the audits of our financial statements, the qualifications and independence of our independent registered public accounting firm, the effectiveness of our internal control over financial reporting, and the performance of our internal audit function and independent registered public accounting firm. Our Audit Committee reviews and assesses the qualitative aspects of our financial reporting, our processes to manage business and financial risks, and our compliance with significant applicable legal, ethical, and regulatory requirements. Our Audit Committee is directly responsible for the appointment, compensation, retention, and oversight of our independent registered public accounting firm.</w:t>
      </w:r>
    </w:p>
    <w:p>
      <w:pPr>
        <w:spacing w:after="0" w:line="1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members of our Audit Committee are Mses. Amble, Dial and Jewett (Chair) and Messrs. Nolan, Johnson and Rossotti, each of whom is an independent director as required by NYSE listing standards and Rule 10A-3 of the Securities Exchange Act of 1934, as amended (the "Exchange Act"). The Board has determined that each member of our Audit Committee is financially literate and that Messrs. Nolan and Rossotti and Mses. Amble, Dial, and Jewett are each an “audit committee financial expert” as such term is defined under Item 407(d)(5) of Regulation S-K promulgated under the Securities Act of 1933, as amended (the "Securities Act").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fiscal year 2026, the Audit Committee held four meetings.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5" w:name="page36"/>
    <w:bookmarkEnd w:id="35"/>
    <w:p>
      <w:pPr>
        <w:ind w:left="320"/>
        <w:spacing w:after="0"/>
        <w:rPr>
          <w:sz w:val="20"/>
          <w:szCs w:val="20"/>
          <w:color w:val="auto"/>
        </w:rPr>
      </w:pPr>
      <w:r>
        <w:rPr>
          <w:rFonts w:ascii="Arial" w:cs="Arial" w:eastAsia="Arial" w:hAnsi="Arial"/>
          <w:sz w:val="19"/>
          <w:szCs w:val="19"/>
          <w:color w:val="00A5B5"/>
        </w:rPr>
        <w:t>The Compensation, Culture and People Committee</w:t>
      </w:r>
    </w:p>
    <w:p>
      <w:pPr>
        <w:spacing w:after="0" w:line="18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Compensation, Culture and People Committee is responsible, among its other duties and responsibilities, for reviewing and approving all forms of compensation to be provided to the executives and directors of our Company and its subsidiaries (including the Chief Executive Officer), establishing and reviewing the general compensation philosophy of our Company and its subsidiaries, reviewing, approving, and overseeing the administration of the employee benefits plans of our Company and its subsidiaries, assisting the Board in overseeing succession planning of the Chief Executive Officer and key management positions, and overseeing programmatic matters relating to human capital management and culture.</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current members of our Compensation, Culture and People Committee are Mses. Flournoy and McClain (Chair) and Messrs. O'Brien, Read and Thornberry, each of whom is an independent director as required by NYSE listing standards. The Compensation, Culture and People Committee charter, a copy of which is available on our website, www.boozallen.com, requires that all members of the Compensation, Culture and People Committee must satisfy the requirements of “non-employee director” for purposes of Rule 16b-3 under the Exchange Act. Each of the members of the Compensation, Culture and People Committee currently satisfies these requirements.</w:t>
      </w:r>
    </w:p>
    <w:p>
      <w:pPr>
        <w:spacing w:after="0" w:line="13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Compensation, Culture and People Committee has the authority to delegate any of its responsibilities to subcommittees as the Compensation, Culture and People Committee may deem appropriate, provided that the subcommittees are composed entirely of directors satisfying the independence standards then applicable to the Compensation, Culture and People Committee generally.</w:t>
      </w:r>
    </w:p>
    <w:p>
      <w:pPr>
        <w:spacing w:after="0" w:line="12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Compensation, Culture and People Committee has not engaged a compensation consultant; however, the Compensation, Culture and People Committee is briefed by management, which consults with Pay Governance LLC, or Pay Governance. The aggregate fees paid to Pay Governance for fiscal year 2026 were $177,707, all of which were related to executive compensation services. The Compensation, Culture and People Committee assessed the independence of Pay Governance and concluded that Pay Governance's work for the Company did not raise any conflicts of interest. See section "Setting Executive Compensation and Peer Group" of the Compensation Discussion and Analysis for more details of services provided during the fiscal year by Pay Governance.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of the members of our Leadership Team participates in the discussion and consideration of compensation to be awarded to the</w:t>
      </w:r>
    </w:p>
    <w:p>
      <w:pPr>
        <w:spacing w:after="0" w:line="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executives in their reporting chain. Our Leadership Team does not participate in the discussions or provide any recommendations to the Compensation, Culture and People Committee regarding their own compensation. See “Compensation Discussion and Analysis—Setting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and Peer Group."</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fiscal year 2026, the Compensation, Culture and People Committee held six meetings and acted by written consent.</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The Nominating and Corporate Governance Committee</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Nominating and Corporate Governance Committee is responsible for, among its other duties and responsibilities, identifying and recommending candidates to the Board for election to our Board (including candidates proposed by stockholders), reviewing the composition of the Board and its committees, developing and recommending to the Board corporate governance guidelines, overseeing Board and Board committee evaluations, and overseeing practices related to corporate governance, corporate citizenship, and certain ERS matters.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current members of our Nominating and Corporate Governance Committee are Mses. Flournoy (Chair) and McClain and Messrs.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O'Brien, Read and Thornberry, each of whom is an independent director as required by NYSE listing standards.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fiscal year 2026, the Nominating and Corporate Governance Committee held five meetings and acted by written consent.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u w:val="single" w:color="auto"/>
          <w:color w:val="00A5B5"/>
        </w:rPr>
        <w:t>Director Compensation</w:t>
      </w:r>
    </w:p>
    <w:p>
      <w:pPr>
        <w:spacing w:after="0" w:line="16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Directors who are employed by us do not receive any additional compensation for their services as directors. For non-employee directors, on an annual basis, the Chief People Officer, with the assistance of Pay Governance, performs a comprehensive review of director compensation and makes recommendations to the Compensation, Culture and People Committee regarding proposed changes. In July 2025, the Compensation, Culture and People Committee reviewed director compensation data for the peer group used for benchmarking executive compensation and the general market. Based on that review, the Compensation, Culture and People Committee made no changes to compensation levels for directors for their service from August 2025 to July 2026.</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 compensation included the following:</w:t>
      </w:r>
    </w:p>
    <w:p>
      <w:pPr>
        <w:spacing w:after="0" w:line="300" w:lineRule="exact"/>
        <w:rPr>
          <w:sz w:val="20"/>
          <w:szCs w:val="20"/>
          <w:color w:val="auto"/>
        </w:rPr>
      </w:pPr>
    </w:p>
    <w:tbl>
      <w:tblPr>
        <w:tblLayout w:type="fixed"/>
        <w:tblInd w:w="2160" w:type="dxa"/>
        <w:tblCellMar>
          <w:top w:w="0" w:type="dxa"/>
          <w:left w:w="0" w:type="dxa"/>
          <w:bottom w:w="0" w:type="dxa"/>
          <w:right w:w="0" w:type="dxa"/>
        </w:tblCellMar>
      </w:tblPr>
      <w:tr>
        <w:trPr>
          <w:trHeight w:val="199"/>
        </w:trPr>
        <w:tc>
          <w:tcPr>
            <w:tcW w:w="3700" w:type="dxa"/>
            <w:vAlign w:val="bottom"/>
            <w:tcBorders>
              <w:bottom w:val="single" w:sz="8" w:color="auto"/>
            </w:tcBorders>
            <w:shd w:val="clear" w:color="auto" w:fill="00A5B5"/>
          </w:tcPr>
          <w:p>
            <w:pPr>
              <w:ind w:left="20"/>
              <w:spacing w:after="0"/>
              <w:rPr>
                <w:sz w:val="20"/>
                <w:szCs w:val="20"/>
                <w:color w:val="auto"/>
              </w:rPr>
            </w:pPr>
            <w:r>
              <w:rPr>
                <w:rFonts w:ascii="Arial" w:cs="Arial" w:eastAsia="Arial" w:hAnsi="Arial"/>
                <w:sz w:val="14"/>
                <w:szCs w:val="14"/>
                <w:b w:val="1"/>
                <w:bCs w:val="1"/>
                <w:color w:val="FFFFFF"/>
              </w:rPr>
              <w:t>Component</w:t>
            </w:r>
          </w:p>
        </w:tc>
        <w:tc>
          <w:tcPr>
            <w:tcW w:w="3560" w:type="dxa"/>
            <w:vAlign w:val="bottom"/>
            <w:tcBorders>
              <w:bottom w:val="single" w:sz="8" w:color="auto"/>
            </w:tcBorders>
            <w:shd w:val="clear" w:color="auto" w:fill="00A5B5"/>
          </w:tcPr>
          <w:p>
            <w:pPr>
              <w:ind w:left="800"/>
              <w:spacing w:after="0"/>
              <w:rPr>
                <w:sz w:val="20"/>
                <w:szCs w:val="20"/>
                <w:color w:val="auto"/>
              </w:rPr>
            </w:pPr>
            <w:r>
              <w:rPr>
                <w:rFonts w:ascii="Arial" w:cs="Arial" w:eastAsia="Arial" w:hAnsi="Arial"/>
                <w:sz w:val="14"/>
                <w:szCs w:val="14"/>
                <w:b w:val="1"/>
                <w:bCs w:val="1"/>
                <w:color w:val="FFFFFF"/>
              </w:rPr>
              <w:t>Annual Amount</w:t>
            </w:r>
          </w:p>
        </w:tc>
      </w:tr>
      <w:tr>
        <w:trPr>
          <w:trHeight w:val="192"/>
        </w:trPr>
        <w:tc>
          <w:tcPr>
            <w:tcW w:w="3700" w:type="dxa"/>
            <w:vAlign w:val="bottom"/>
            <w:shd w:val="clear" w:color="auto" w:fill="CCEEF0"/>
          </w:tcPr>
          <w:p>
            <w:pPr>
              <w:ind w:left="20"/>
              <w:spacing w:after="0"/>
              <w:rPr>
                <w:sz w:val="20"/>
                <w:szCs w:val="20"/>
                <w:color w:val="auto"/>
              </w:rPr>
            </w:pPr>
            <w:r>
              <w:rPr>
                <w:rFonts w:ascii="Arial" w:cs="Arial" w:eastAsia="Arial" w:hAnsi="Arial"/>
                <w:sz w:val="14"/>
                <w:szCs w:val="14"/>
                <w:color w:val="auto"/>
              </w:rPr>
              <w:t>Annual Equity Award</w:t>
            </w:r>
          </w:p>
        </w:tc>
        <w:tc>
          <w:tcPr>
            <w:tcW w:w="3560" w:type="dxa"/>
            <w:vAlign w:val="bottom"/>
            <w:shd w:val="clear" w:color="auto" w:fill="CCEEF0"/>
          </w:tcPr>
          <w:p>
            <w:pPr>
              <w:ind w:left="800"/>
              <w:spacing w:after="0"/>
              <w:rPr>
                <w:sz w:val="20"/>
                <w:szCs w:val="20"/>
                <w:color w:val="auto"/>
              </w:rPr>
            </w:pPr>
            <w:r>
              <w:rPr>
                <w:rFonts w:ascii="Arial" w:cs="Arial" w:eastAsia="Arial" w:hAnsi="Arial"/>
                <w:sz w:val="14"/>
                <w:szCs w:val="14"/>
                <w:color w:val="auto"/>
              </w:rPr>
              <w:t>$225,000</w:t>
            </w:r>
          </w:p>
        </w:tc>
      </w:tr>
      <w:tr>
        <w:trPr>
          <w:trHeight w:val="194"/>
        </w:trPr>
        <w:tc>
          <w:tcPr>
            <w:tcW w:w="3700" w:type="dxa"/>
            <w:vAlign w:val="bottom"/>
          </w:tcPr>
          <w:p>
            <w:pPr>
              <w:ind w:left="20"/>
              <w:spacing w:after="0"/>
              <w:rPr>
                <w:sz w:val="20"/>
                <w:szCs w:val="20"/>
                <w:color w:val="auto"/>
              </w:rPr>
            </w:pPr>
            <w:r>
              <w:rPr>
                <w:rFonts w:ascii="Arial" w:cs="Arial" w:eastAsia="Arial" w:hAnsi="Arial"/>
                <w:sz w:val="14"/>
                <w:szCs w:val="14"/>
                <w:color w:val="auto"/>
              </w:rPr>
              <w:t>Annual Board Retainer</w:t>
            </w:r>
          </w:p>
        </w:tc>
        <w:tc>
          <w:tcPr>
            <w:tcW w:w="3560" w:type="dxa"/>
            <w:vAlign w:val="bottom"/>
          </w:tcPr>
          <w:p>
            <w:pPr>
              <w:ind w:left="800"/>
              <w:spacing w:after="0"/>
              <w:rPr>
                <w:sz w:val="20"/>
                <w:szCs w:val="20"/>
                <w:color w:val="auto"/>
              </w:rPr>
            </w:pPr>
            <w:r>
              <w:rPr>
                <w:rFonts w:ascii="Arial" w:cs="Arial" w:eastAsia="Arial" w:hAnsi="Arial"/>
                <w:sz w:val="14"/>
                <w:szCs w:val="14"/>
                <w:color w:val="auto"/>
              </w:rPr>
              <w:t>$120,000</w:t>
            </w:r>
          </w:p>
        </w:tc>
      </w:tr>
      <w:tr>
        <w:trPr>
          <w:trHeight w:val="203"/>
        </w:trPr>
        <w:tc>
          <w:tcPr>
            <w:tcW w:w="3700" w:type="dxa"/>
            <w:vAlign w:val="bottom"/>
            <w:shd w:val="clear" w:color="auto" w:fill="CCEEF0"/>
          </w:tcPr>
          <w:p>
            <w:pPr>
              <w:ind w:left="20"/>
              <w:spacing w:after="0"/>
              <w:rPr>
                <w:sz w:val="20"/>
                <w:szCs w:val="20"/>
                <w:color w:val="auto"/>
              </w:rPr>
            </w:pPr>
            <w:r>
              <w:rPr>
                <w:rFonts w:ascii="Arial" w:cs="Arial" w:eastAsia="Arial" w:hAnsi="Arial"/>
                <w:sz w:val="14"/>
                <w:szCs w:val="14"/>
                <w:color w:val="auto"/>
              </w:rPr>
              <w:t>Lead Independent Director Additional Retainer</w:t>
            </w:r>
          </w:p>
        </w:tc>
        <w:tc>
          <w:tcPr>
            <w:tcW w:w="3560" w:type="dxa"/>
            <w:vAlign w:val="bottom"/>
            <w:shd w:val="clear" w:color="auto" w:fill="CCEEF0"/>
          </w:tcPr>
          <w:p>
            <w:pPr>
              <w:ind w:left="800"/>
              <w:spacing w:after="0"/>
              <w:rPr>
                <w:sz w:val="20"/>
                <w:szCs w:val="20"/>
                <w:color w:val="auto"/>
              </w:rPr>
            </w:pPr>
            <w:r>
              <w:rPr>
                <w:rFonts w:ascii="Arial" w:cs="Arial" w:eastAsia="Arial" w:hAnsi="Arial"/>
                <w:sz w:val="14"/>
                <w:szCs w:val="14"/>
                <w:color w:val="auto"/>
              </w:rPr>
              <w:t>$50,000</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Audit Committee Chair Additional Retainer</w:t>
            </w:r>
          </w:p>
        </w:tc>
        <w:tc>
          <w:tcPr>
            <w:tcW w:w="3560" w:type="dxa"/>
            <w:vAlign w:val="bottom"/>
          </w:tcPr>
          <w:p>
            <w:pPr>
              <w:ind w:left="800"/>
              <w:spacing w:after="0"/>
              <w:rPr>
                <w:sz w:val="20"/>
                <w:szCs w:val="20"/>
                <w:color w:val="auto"/>
              </w:rPr>
            </w:pPr>
            <w:r>
              <w:rPr>
                <w:rFonts w:ascii="Arial" w:cs="Arial" w:eastAsia="Arial" w:hAnsi="Arial"/>
                <w:sz w:val="14"/>
                <w:szCs w:val="14"/>
                <w:color w:val="auto"/>
              </w:rPr>
              <w:t>$30,000</w:t>
            </w:r>
          </w:p>
        </w:tc>
      </w:tr>
    </w:tbl>
    <w:p>
      <w:pPr>
        <w:spacing w:after="0" w:line="1" w:lineRule="exact"/>
        <w:rPr>
          <w:sz w:val="20"/>
          <w:szCs w:val="20"/>
          <w:color w:val="auto"/>
        </w:rPr>
      </w:pPr>
    </w:p>
    <w:tbl>
      <w:tblPr>
        <w:tblLayout w:type="fixed"/>
        <w:tblInd w:w="2160" w:type="dxa"/>
        <w:tblCellMar>
          <w:top w:w="0" w:type="dxa"/>
          <w:left w:w="0" w:type="dxa"/>
          <w:bottom w:w="0" w:type="dxa"/>
          <w:right w:w="0" w:type="dxa"/>
        </w:tblCellMar>
      </w:tblPr>
      <w:tr>
        <w:trPr>
          <w:trHeight w:val="158"/>
        </w:trPr>
        <w:tc>
          <w:tcPr>
            <w:tcW w:w="4360" w:type="dxa"/>
            <w:vAlign w:val="bottom"/>
            <w:shd w:val="clear" w:color="auto" w:fill="CCEEF0"/>
          </w:tcPr>
          <w:p>
            <w:pPr>
              <w:ind w:left="20"/>
              <w:spacing w:after="0" w:line="159" w:lineRule="exact"/>
              <w:rPr>
                <w:sz w:val="20"/>
                <w:szCs w:val="20"/>
                <w:color w:val="auto"/>
              </w:rPr>
            </w:pPr>
            <w:r>
              <w:rPr>
                <w:rFonts w:ascii="Arial" w:cs="Arial" w:eastAsia="Arial" w:hAnsi="Arial"/>
                <w:sz w:val="14"/>
                <w:szCs w:val="14"/>
                <w:color w:val="auto"/>
              </w:rPr>
              <w:t>Compensation, Culture and People Committee Chair Additional</w:t>
            </w:r>
          </w:p>
        </w:tc>
        <w:tc>
          <w:tcPr>
            <w:tcW w:w="2900" w:type="dxa"/>
            <w:vAlign w:val="bottom"/>
            <w:vMerge w:val="restart"/>
            <w:shd w:val="clear" w:color="auto" w:fill="CCEEF0"/>
          </w:tcPr>
          <w:p>
            <w:pPr>
              <w:jc w:val="right"/>
              <w:ind w:right="2169"/>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06"/>
        </w:trPr>
        <w:tc>
          <w:tcPr>
            <w:tcW w:w="4360" w:type="dxa"/>
            <w:vAlign w:val="bottom"/>
            <w:vMerge w:val="restart"/>
            <w:shd w:val="clear" w:color="auto" w:fill="CCEEF0"/>
          </w:tcPr>
          <w:p>
            <w:pPr>
              <w:ind w:left="20"/>
              <w:spacing w:after="0"/>
              <w:rPr>
                <w:sz w:val="20"/>
                <w:szCs w:val="20"/>
                <w:color w:val="auto"/>
              </w:rPr>
            </w:pPr>
            <w:r>
              <w:rPr>
                <w:rFonts w:ascii="Arial" w:cs="Arial" w:eastAsia="Arial" w:hAnsi="Arial"/>
                <w:sz w:val="14"/>
                <w:szCs w:val="14"/>
                <w:color w:val="auto"/>
              </w:rPr>
              <w:t>Retainer</w:t>
            </w:r>
          </w:p>
        </w:tc>
        <w:tc>
          <w:tcPr>
            <w:tcW w:w="2900" w:type="dxa"/>
            <w:vAlign w:val="bottom"/>
            <w:vMerge w:val="continue"/>
            <w:shd w:val="clear" w:color="auto" w:fill="CCEEF0"/>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360" w:type="dxa"/>
            <w:vAlign w:val="bottom"/>
            <w:vMerge w:val="continue"/>
            <w:shd w:val="clear" w:color="auto" w:fill="CCEEF0"/>
          </w:tcPr>
          <w:p>
            <w:pPr>
              <w:spacing w:after="0"/>
              <w:rPr>
                <w:sz w:val="6"/>
                <w:szCs w:val="6"/>
                <w:color w:val="auto"/>
              </w:rPr>
            </w:pPr>
          </w:p>
        </w:tc>
        <w:tc>
          <w:tcPr>
            <w:tcW w:w="2900" w:type="dxa"/>
            <w:vAlign w:val="bottom"/>
            <w:shd w:val="clear" w:color="auto" w:fill="CCEEF0"/>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Nominating and Corporate Governance Committee Chair Additional</w:t>
            </w:r>
          </w:p>
        </w:tc>
        <w:tc>
          <w:tcPr>
            <w:tcW w:w="2900" w:type="dxa"/>
            <w:vAlign w:val="bottom"/>
            <w:vMerge w:val="restart"/>
          </w:tcPr>
          <w:p>
            <w:pPr>
              <w:jc w:val="right"/>
              <w:ind w:right="2169"/>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06"/>
        </w:trPr>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Retainer</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360" w:type="dxa"/>
            <w:vAlign w:val="bottom"/>
            <w:vMerge w:val="continue"/>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annual equity awards to our directors are granted in the form of restricted stock under our 2023 Equity Incentive Plan (the "Equity Incentive Plan"). Generally these grants occur in August following our annual meeting of stockholders and half of the annual award vests on January 31 of the following year, and the other half vests on July 31 following the first vesting date. The annual retainer and any additional payments for service as a chair are generally paid in cash, unless a director elects to receive all or a portion of such payments in the form of restricted stock. Our directors do not receive additional fees for attending Board or committee meetings.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the compensation earned by or paid to our non-employee directors in fiscal year 2026: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 Table</w:t>
      </w:r>
    </w:p>
    <w:p>
      <w:pPr>
        <w:spacing w:after="0" w:line="19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100" w:type="dxa"/>
            <w:vAlign w:val="bottom"/>
            <w:vMerge w:val="restart"/>
            <w:shd w:val="clear" w:color="auto" w:fill="00A5B5"/>
          </w:tcPr>
          <w:p>
            <w:pPr>
              <w:ind w:left="20"/>
              <w:spacing w:after="0"/>
              <w:rPr>
                <w:sz w:val="20"/>
                <w:szCs w:val="20"/>
                <w:color w:val="auto"/>
              </w:rPr>
            </w:pPr>
            <w:r>
              <w:rPr>
                <w:rFonts w:ascii="Arial" w:cs="Arial" w:eastAsia="Arial" w:hAnsi="Arial"/>
                <w:sz w:val="14"/>
                <w:szCs w:val="14"/>
                <w:b w:val="1"/>
                <w:bCs w:val="1"/>
                <w:color w:val="FFFFFF"/>
              </w:rPr>
              <w:t>Name</w:t>
            </w:r>
          </w:p>
        </w:tc>
        <w:tc>
          <w:tcPr>
            <w:tcW w:w="2100" w:type="dxa"/>
            <w:vAlign w:val="bottom"/>
            <w:shd w:val="clear" w:color="auto" w:fill="00A5B5"/>
          </w:tcPr>
          <w:p>
            <w:pPr>
              <w:jc w:val="right"/>
              <w:ind w:right="489"/>
              <w:spacing w:after="0"/>
              <w:rPr>
                <w:sz w:val="20"/>
                <w:szCs w:val="20"/>
                <w:color w:val="auto"/>
              </w:rPr>
            </w:pPr>
            <w:r>
              <w:rPr>
                <w:rFonts w:ascii="Arial" w:cs="Arial" w:eastAsia="Arial" w:hAnsi="Arial"/>
                <w:sz w:val="14"/>
                <w:szCs w:val="14"/>
                <w:b w:val="1"/>
                <w:bCs w:val="1"/>
                <w:color w:val="FFFFFF"/>
              </w:rPr>
              <w:t>Fees Earned</w:t>
            </w:r>
          </w:p>
        </w:tc>
        <w:tc>
          <w:tcPr>
            <w:tcW w:w="1820" w:type="dxa"/>
            <w:vAlign w:val="bottom"/>
            <w:shd w:val="clear" w:color="auto" w:fill="00A5B5"/>
          </w:tcPr>
          <w:p>
            <w:pPr>
              <w:jc w:val="right"/>
              <w:ind w:right="572"/>
              <w:spacing w:after="0"/>
              <w:rPr>
                <w:sz w:val="20"/>
                <w:szCs w:val="20"/>
                <w:color w:val="auto"/>
              </w:rPr>
            </w:pPr>
            <w:r>
              <w:rPr>
                <w:rFonts w:ascii="Arial" w:cs="Arial" w:eastAsia="Arial" w:hAnsi="Arial"/>
                <w:sz w:val="14"/>
                <w:szCs w:val="14"/>
                <w:b w:val="1"/>
                <w:bCs w:val="1"/>
                <w:color w:val="FFFFFF"/>
              </w:rPr>
              <w:t>Stock Awards</w:t>
            </w:r>
          </w:p>
        </w:tc>
        <w:tc>
          <w:tcPr>
            <w:tcW w:w="1320" w:type="dxa"/>
            <w:vAlign w:val="bottom"/>
            <w:shd w:val="clear" w:color="auto" w:fill="00A5B5"/>
          </w:tcPr>
          <w:p>
            <w:pPr>
              <w:jc w:val="right"/>
              <w:ind w:right="5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243746"/>
            </w:tcBorders>
            <w:vMerge w:val="continue"/>
            <w:shd w:val="clear" w:color="auto" w:fill="00A5B5"/>
          </w:tcPr>
          <w:p>
            <w:pPr>
              <w:spacing w:after="0"/>
              <w:rPr>
                <w:sz w:val="16"/>
                <w:szCs w:val="16"/>
                <w:color w:val="auto"/>
              </w:rPr>
            </w:pPr>
          </w:p>
        </w:tc>
        <w:tc>
          <w:tcPr>
            <w:tcW w:w="2100" w:type="dxa"/>
            <w:vAlign w:val="bottom"/>
            <w:tcBorders>
              <w:bottom w:val="single" w:sz="8" w:color="243746"/>
            </w:tcBorders>
            <w:shd w:val="clear" w:color="auto" w:fill="00A5B5"/>
          </w:tcPr>
          <w:p>
            <w:pPr>
              <w:jc w:val="right"/>
              <w:ind w:right="829"/>
              <w:spacing w:after="0"/>
              <w:rPr>
                <w:sz w:val="20"/>
                <w:szCs w:val="20"/>
                <w:color w:val="auto"/>
              </w:rPr>
            </w:pPr>
            <w:r>
              <w:rPr>
                <w:rFonts w:ascii="Arial" w:cs="Arial" w:eastAsia="Arial" w:hAnsi="Arial"/>
                <w:sz w:val="14"/>
                <w:szCs w:val="14"/>
                <w:b w:val="1"/>
                <w:bCs w:val="1"/>
                <w:color w:val="FFFFFF"/>
              </w:rPr>
              <w:t>($)</w:t>
            </w:r>
          </w:p>
        </w:tc>
        <w:tc>
          <w:tcPr>
            <w:tcW w:w="1820" w:type="dxa"/>
            <w:vAlign w:val="bottom"/>
            <w:tcBorders>
              <w:bottom w:val="single" w:sz="8" w:color="243746"/>
            </w:tcBorders>
            <w:shd w:val="clear" w:color="auto" w:fill="00A5B5"/>
          </w:tcPr>
          <w:p>
            <w:pPr>
              <w:jc w:val="right"/>
              <w:ind w:right="812"/>
              <w:spacing w:after="0" w:line="186"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(1)(13)</w:t>
            </w:r>
          </w:p>
        </w:tc>
        <w:tc>
          <w:tcPr>
            <w:tcW w:w="1320" w:type="dxa"/>
            <w:vAlign w:val="bottom"/>
            <w:tcBorders>
              <w:bottom w:val="single" w:sz="8" w:color="243746"/>
            </w:tcBorders>
            <w:shd w:val="clear" w:color="auto" w:fill="00A5B5"/>
          </w:tcPr>
          <w:p>
            <w:pPr>
              <w:jc w:val="right"/>
              <w:ind w:right="512"/>
              <w:spacing w:after="0" w:line="186"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(14)</w:t>
            </w:r>
          </w:p>
        </w:tc>
        <w:tc>
          <w:tcPr>
            <w:tcW w:w="0" w:type="dxa"/>
            <w:vAlign w:val="bottom"/>
          </w:tcPr>
          <w:p>
            <w:pPr>
              <w:spacing w:after="0"/>
              <w:rPr>
                <w:sz w:val="1"/>
                <w:szCs w:val="1"/>
                <w:color w:val="auto"/>
              </w:rPr>
            </w:pPr>
          </w:p>
        </w:tc>
      </w:tr>
      <w:tr>
        <w:trPr>
          <w:trHeight w:val="192"/>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Joan Lordi C. Amble</w:t>
            </w:r>
          </w:p>
        </w:tc>
        <w:tc>
          <w:tcPr>
            <w:tcW w:w="2100" w:type="dxa"/>
            <w:vAlign w:val="bottom"/>
            <w:shd w:val="clear" w:color="auto" w:fill="CCEEF0"/>
          </w:tcPr>
          <w:p>
            <w:pPr>
              <w:jc w:val="right"/>
              <w:ind w:right="189"/>
              <w:spacing w:after="0" w:line="192"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(2)</w:t>
            </w:r>
          </w:p>
        </w:tc>
        <w:tc>
          <w:tcPr>
            <w:tcW w:w="1820" w:type="dxa"/>
            <w:vAlign w:val="bottom"/>
            <w:shd w:val="clear" w:color="auto" w:fill="CCEEF0"/>
          </w:tcPr>
          <w:p>
            <w:pPr>
              <w:jc w:val="right"/>
              <w:ind w:right="332"/>
              <w:spacing w:after="0" w:line="192" w:lineRule="exact"/>
              <w:rPr>
                <w:sz w:val="20"/>
                <w:szCs w:val="20"/>
                <w:color w:val="auto"/>
              </w:rPr>
            </w:pPr>
            <w:r>
              <w:rPr>
                <w:rFonts w:ascii="Arial" w:cs="Arial" w:eastAsia="Arial" w:hAnsi="Arial"/>
                <w:sz w:val="14"/>
                <w:szCs w:val="14"/>
                <w:color w:val="auto"/>
              </w:rPr>
              <w:t>225,099</w:t>
            </w:r>
            <w:r>
              <w:rPr>
                <w:rFonts w:ascii="Arial" w:cs="Arial" w:eastAsia="Arial" w:hAnsi="Arial"/>
                <w:sz w:val="18"/>
                <w:szCs w:val="18"/>
                <w:color w:val="auto"/>
                <w:vertAlign w:val="superscript"/>
              </w:rPr>
              <w:t>(2)</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345,099</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Debra L. Dial</w:t>
            </w:r>
          </w:p>
        </w:tc>
        <w:tc>
          <w:tcPr>
            <w:tcW w:w="2100" w:type="dxa"/>
            <w:vAlign w:val="bottom"/>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(3)</w:t>
            </w:r>
          </w:p>
        </w:tc>
        <w:tc>
          <w:tcPr>
            <w:tcW w:w="1820" w:type="dxa"/>
            <w:vAlign w:val="bottom"/>
          </w:tcPr>
          <w:p>
            <w:pPr>
              <w:jc w:val="right"/>
              <w:ind w:right="332"/>
              <w:spacing w:after="0" w:line="199" w:lineRule="exact"/>
              <w:rPr>
                <w:sz w:val="20"/>
                <w:szCs w:val="20"/>
                <w:color w:val="auto"/>
              </w:rPr>
            </w:pPr>
            <w:r>
              <w:rPr>
                <w:rFonts w:ascii="Arial" w:cs="Arial" w:eastAsia="Arial" w:hAnsi="Arial"/>
                <w:sz w:val="14"/>
                <w:szCs w:val="14"/>
                <w:color w:val="auto"/>
              </w:rPr>
              <w:t>225,089</w:t>
            </w:r>
            <w:r>
              <w:rPr>
                <w:rFonts w:ascii="Arial" w:cs="Arial" w:eastAsia="Arial" w:hAnsi="Arial"/>
                <w:sz w:val="18"/>
                <w:szCs w:val="18"/>
                <w:color w:val="auto"/>
                <w:vertAlign w:val="superscript"/>
              </w:rPr>
              <w:t>(3)</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345,089</w:t>
            </w:r>
          </w:p>
        </w:tc>
        <w:tc>
          <w:tcPr>
            <w:tcW w:w="0" w:type="dxa"/>
            <w:vAlign w:val="bottom"/>
          </w:tcPr>
          <w:p>
            <w:pPr>
              <w:spacing w:after="0"/>
              <w:rPr>
                <w:sz w:val="1"/>
                <w:szCs w:val="1"/>
                <w:color w:val="auto"/>
              </w:rPr>
            </w:pPr>
          </w:p>
        </w:tc>
      </w:tr>
      <w:tr>
        <w:trPr>
          <w:trHeight w:val="199"/>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Michèle A. Flournoy</w:t>
            </w:r>
          </w:p>
        </w:tc>
        <w:tc>
          <w:tcPr>
            <w:tcW w:w="2100" w:type="dxa"/>
            <w:vAlign w:val="bottom"/>
            <w:shd w:val="clear" w:color="auto" w:fill="CCEEF0"/>
          </w:tcPr>
          <w:p>
            <w:pPr>
              <w:jc w:val="right"/>
              <w:ind w:right="189"/>
              <w:spacing w:after="0" w:line="199" w:lineRule="exact"/>
              <w:rPr>
                <w:sz w:val="20"/>
                <w:szCs w:val="20"/>
                <w:color w:val="auto"/>
              </w:rPr>
            </w:pPr>
            <w:r>
              <w:rPr>
                <w:rFonts w:ascii="Arial" w:cs="Arial" w:eastAsia="Arial" w:hAnsi="Arial"/>
                <w:sz w:val="14"/>
                <w:szCs w:val="14"/>
                <w:color w:val="auto"/>
              </w:rPr>
              <w:t>140,000</w:t>
            </w:r>
            <w:r>
              <w:rPr>
                <w:rFonts w:ascii="Arial" w:cs="Arial" w:eastAsia="Arial" w:hAnsi="Arial"/>
                <w:sz w:val="18"/>
                <w:szCs w:val="18"/>
                <w:color w:val="auto"/>
                <w:vertAlign w:val="superscript"/>
              </w:rPr>
              <w:t>(4)</w:t>
            </w:r>
          </w:p>
        </w:tc>
        <w:tc>
          <w:tcPr>
            <w:tcW w:w="1820" w:type="dxa"/>
            <w:vAlign w:val="bottom"/>
            <w:shd w:val="clear" w:color="auto" w:fill="CCEEF0"/>
          </w:tcPr>
          <w:p>
            <w:pPr>
              <w:jc w:val="right"/>
              <w:ind w:right="332"/>
              <w:spacing w:after="0" w:line="199" w:lineRule="exact"/>
              <w:rPr>
                <w:sz w:val="20"/>
                <w:szCs w:val="20"/>
                <w:color w:val="auto"/>
              </w:rPr>
            </w:pPr>
            <w:r>
              <w:rPr>
                <w:rFonts w:ascii="Arial" w:cs="Arial" w:eastAsia="Arial" w:hAnsi="Arial"/>
                <w:sz w:val="14"/>
                <w:szCs w:val="14"/>
                <w:color w:val="auto"/>
              </w:rPr>
              <w:t>225,045</w:t>
            </w:r>
            <w:r>
              <w:rPr>
                <w:rFonts w:ascii="Arial" w:cs="Arial" w:eastAsia="Arial" w:hAnsi="Arial"/>
                <w:sz w:val="18"/>
                <w:szCs w:val="18"/>
                <w:color w:val="auto"/>
                <w:vertAlign w:val="superscript"/>
              </w:rPr>
              <w:t>(4)</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365,045</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Mark E. Gaumond</w:t>
            </w:r>
          </w:p>
        </w:tc>
        <w:tc>
          <w:tcPr>
            <w:tcW w:w="2100" w:type="dxa"/>
            <w:vAlign w:val="bottom"/>
          </w:tcPr>
          <w:p>
            <w:pPr>
              <w:jc w:val="right"/>
              <w:ind w:right="189"/>
              <w:spacing w:after="0" w:line="199" w:lineRule="exact"/>
              <w:rPr>
                <w:sz w:val="20"/>
                <w:szCs w:val="20"/>
                <w:color w:val="auto"/>
              </w:rPr>
            </w:pPr>
            <w:r>
              <w:rPr>
                <w:rFonts w:ascii="Arial" w:cs="Arial" w:eastAsia="Arial" w:hAnsi="Arial"/>
                <w:sz w:val="14"/>
                <w:szCs w:val="14"/>
                <w:color w:val="auto"/>
              </w:rPr>
              <w:t>170,000</w:t>
            </w:r>
            <w:r>
              <w:rPr>
                <w:rFonts w:ascii="Arial" w:cs="Arial" w:eastAsia="Arial" w:hAnsi="Arial"/>
                <w:sz w:val="18"/>
                <w:szCs w:val="18"/>
                <w:color w:val="auto"/>
                <w:vertAlign w:val="superscript"/>
              </w:rPr>
              <w:t>(5)</w:t>
            </w:r>
          </w:p>
        </w:tc>
        <w:tc>
          <w:tcPr>
            <w:tcW w:w="1820" w:type="dxa"/>
            <w:vAlign w:val="bottom"/>
          </w:tcPr>
          <w:p>
            <w:pPr>
              <w:jc w:val="right"/>
              <w:ind w:right="332"/>
              <w:spacing w:after="0" w:line="199" w:lineRule="exact"/>
              <w:rPr>
                <w:sz w:val="20"/>
                <w:szCs w:val="20"/>
                <w:color w:val="auto"/>
              </w:rPr>
            </w:pPr>
            <w:r>
              <w:rPr>
                <w:rFonts w:ascii="Arial" w:cs="Arial" w:eastAsia="Arial" w:hAnsi="Arial"/>
                <w:sz w:val="14"/>
                <w:szCs w:val="14"/>
                <w:color w:val="auto"/>
              </w:rPr>
              <w:t>225,009</w:t>
            </w:r>
            <w:r>
              <w:rPr>
                <w:rFonts w:ascii="Arial" w:cs="Arial" w:eastAsia="Arial" w:hAnsi="Arial"/>
                <w:sz w:val="18"/>
                <w:szCs w:val="18"/>
                <w:color w:val="auto"/>
                <w:vertAlign w:val="superscript"/>
              </w:rPr>
              <w:t>(5)</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395,009</w:t>
            </w:r>
          </w:p>
        </w:tc>
        <w:tc>
          <w:tcPr>
            <w:tcW w:w="0" w:type="dxa"/>
            <w:vAlign w:val="bottom"/>
          </w:tcPr>
          <w:p>
            <w:pPr>
              <w:spacing w:after="0"/>
              <w:rPr>
                <w:sz w:val="1"/>
                <w:szCs w:val="1"/>
                <w:color w:val="auto"/>
              </w:rPr>
            </w:pPr>
          </w:p>
        </w:tc>
      </w:tr>
      <w:tr>
        <w:trPr>
          <w:trHeight w:val="199"/>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Ellen Jewett</w:t>
            </w:r>
          </w:p>
        </w:tc>
        <w:tc>
          <w:tcPr>
            <w:tcW w:w="2100" w:type="dxa"/>
            <w:vAlign w:val="bottom"/>
            <w:shd w:val="clear" w:color="auto" w:fill="CCEEF0"/>
          </w:tcPr>
          <w:p>
            <w:pPr>
              <w:jc w:val="right"/>
              <w:ind w:right="189"/>
              <w:spacing w:after="0" w:line="199" w:lineRule="exact"/>
              <w:rPr>
                <w:sz w:val="20"/>
                <w:szCs w:val="20"/>
                <w:color w:val="auto"/>
              </w:rPr>
            </w:pPr>
            <w:r>
              <w:rPr>
                <w:rFonts w:ascii="Arial" w:cs="Arial" w:eastAsia="Arial" w:hAnsi="Arial"/>
                <w:sz w:val="14"/>
                <w:szCs w:val="14"/>
                <w:color w:val="auto"/>
              </w:rPr>
              <w:t>150,000</w:t>
            </w:r>
            <w:r>
              <w:rPr>
                <w:rFonts w:ascii="Arial" w:cs="Arial" w:eastAsia="Arial" w:hAnsi="Arial"/>
                <w:sz w:val="18"/>
                <w:szCs w:val="18"/>
                <w:color w:val="auto"/>
                <w:vertAlign w:val="superscript"/>
              </w:rPr>
              <w:t>(6)</w:t>
            </w:r>
          </w:p>
        </w:tc>
        <w:tc>
          <w:tcPr>
            <w:tcW w:w="1820" w:type="dxa"/>
            <w:vAlign w:val="bottom"/>
            <w:shd w:val="clear" w:color="auto" w:fill="CCEEF0"/>
          </w:tcPr>
          <w:p>
            <w:pPr>
              <w:jc w:val="right"/>
              <w:ind w:right="332"/>
              <w:spacing w:after="0" w:line="199" w:lineRule="exact"/>
              <w:rPr>
                <w:sz w:val="20"/>
                <w:szCs w:val="20"/>
                <w:color w:val="auto"/>
              </w:rPr>
            </w:pPr>
            <w:r>
              <w:rPr>
                <w:rFonts w:ascii="Arial" w:cs="Arial" w:eastAsia="Arial" w:hAnsi="Arial"/>
                <w:sz w:val="14"/>
                <w:szCs w:val="14"/>
                <w:color w:val="auto"/>
              </w:rPr>
              <w:t>225,089</w:t>
            </w:r>
            <w:r>
              <w:rPr>
                <w:rFonts w:ascii="Arial" w:cs="Arial" w:eastAsia="Arial" w:hAnsi="Arial"/>
                <w:sz w:val="18"/>
                <w:szCs w:val="18"/>
                <w:color w:val="auto"/>
                <w:vertAlign w:val="superscript"/>
              </w:rPr>
              <w:t>(6)</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375,089</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Arthur E. Johnson</w:t>
            </w:r>
          </w:p>
        </w:tc>
        <w:tc>
          <w:tcPr>
            <w:tcW w:w="2100" w:type="dxa"/>
            <w:vAlign w:val="bottom"/>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(7)</w:t>
            </w:r>
          </w:p>
        </w:tc>
        <w:tc>
          <w:tcPr>
            <w:tcW w:w="1820" w:type="dxa"/>
            <w:vAlign w:val="bottom"/>
          </w:tcPr>
          <w:p>
            <w:pPr>
              <w:jc w:val="right"/>
              <w:ind w:right="332"/>
              <w:spacing w:after="0" w:line="199" w:lineRule="exact"/>
              <w:rPr>
                <w:sz w:val="20"/>
                <w:szCs w:val="20"/>
                <w:color w:val="auto"/>
              </w:rPr>
            </w:pPr>
            <w:r>
              <w:rPr>
                <w:rFonts w:ascii="Arial" w:cs="Arial" w:eastAsia="Arial" w:hAnsi="Arial"/>
                <w:sz w:val="14"/>
                <w:szCs w:val="14"/>
                <w:color w:val="auto"/>
              </w:rPr>
              <w:t>225,089</w:t>
            </w:r>
            <w:r>
              <w:rPr>
                <w:rFonts w:ascii="Arial" w:cs="Arial" w:eastAsia="Arial" w:hAnsi="Arial"/>
                <w:sz w:val="18"/>
                <w:szCs w:val="18"/>
                <w:color w:val="auto"/>
                <w:vertAlign w:val="superscript"/>
              </w:rPr>
              <w:t>(7)</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345,089</w:t>
            </w:r>
          </w:p>
        </w:tc>
        <w:tc>
          <w:tcPr>
            <w:tcW w:w="0" w:type="dxa"/>
            <w:vAlign w:val="bottom"/>
          </w:tcPr>
          <w:p>
            <w:pPr>
              <w:spacing w:after="0"/>
              <w:rPr>
                <w:sz w:val="1"/>
                <w:szCs w:val="1"/>
                <w:color w:val="auto"/>
              </w:rPr>
            </w:pPr>
          </w:p>
        </w:tc>
      </w:tr>
      <w:tr>
        <w:trPr>
          <w:trHeight w:val="199"/>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Gretchen W. McClain</w:t>
            </w:r>
          </w:p>
        </w:tc>
        <w:tc>
          <w:tcPr>
            <w:tcW w:w="2100" w:type="dxa"/>
            <w:vAlign w:val="bottom"/>
            <w:shd w:val="clear" w:color="auto" w:fill="CCEEF0"/>
          </w:tcPr>
          <w:p>
            <w:pPr>
              <w:jc w:val="right"/>
              <w:ind w:right="189"/>
              <w:spacing w:after="0" w:line="199" w:lineRule="exact"/>
              <w:rPr>
                <w:sz w:val="20"/>
                <w:szCs w:val="20"/>
                <w:color w:val="auto"/>
              </w:rPr>
            </w:pPr>
            <w:r>
              <w:rPr>
                <w:rFonts w:ascii="Arial" w:cs="Arial" w:eastAsia="Arial" w:hAnsi="Arial"/>
                <w:sz w:val="14"/>
                <w:szCs w:val="14"/>
                <w:color w:val="auto"/>
              </w:rPr>
              <w:t>145,000</w:t>
            </w:r>
            <w:r>
              <w:rPr>
                <w:rFonts w:ascii="Arial" w:cs="Arial" w:eastAsia="Arial" w:hAnsi="Arial"/>
                <w:sz w:val="18"/>
                <w:szCs w:val="18"/>
                <w:color w:val="auto"/>
                <w:vertAlign w:val="superscript"/>
              </w:rPr>
              <w:t>(8)</w:t>
            </w:r>
          </w:p>
        </w:tc>
        <w:tc>
          <w:tcPr>
            <w:tcW w:w="1820" w:type="dxa"/>
            <w:vAlign w:val="bottom"/>
            <w:shd w:val="clear" w:color="auto" w:fill="CCEEF0"/>
          </w:tcPr>
          <w:p>
            <w:pPr>
              <w:jc w:val="right"/>
              <w:ind w:right="332"/>
              <w:spacing w:after="0" w:line="199" w:lineRule="exact"/>
              <w:rPr>
                <w:sz w:val="20"/>
                <w:szCs w:val="20"/>
                <w:color w:val="auto"/>
              </w:rPr>
            </w:pPr>
            <w:r>
              <w:rPr>
                <w:rFonts w:ascii="Arial" w:cs="Arial" w:eastAsia="Arial" w:hAnsi="Arial"/>
                <w:sz w:val="14"/>
                <w:szCs w:val="14"/>
                <w:color w:val="auto"/>
              </w:rPr>
              <w:t>225,059</w:t>
            </w:r>
            <w:r>
              <w:rPr>
                <w:rFonts w:ascii="Arial" w:cs="Arial" w:eastAsia="Arial" w:hAnsi="Arial"/>
                <w:sz w:val="18"/>
                <w:szCs w:val="18"/>
                <w:color w:val="auto"/>
                <w:vertAlign w:val="superscript"/>
              </w:rPr>
              <w:t>(8)</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370,059</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Robert C. O'Brien</w:t>
            </w:r>
          </w:p>
        </w:tc>
        <w:tc>
          <w:tcPr>
            <w:tcW w:w="2100" w:type="dxa"/>
            <w:vAlign w:val="bottom"/>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(9)</w:t>
            </w:r>
          </w:p>
        </w:tc>
        <w:tc>
          <w:tcPr>
            <w:tcW w:w="1820" w:type="dxa"/>
            <w:vAlign w:val="bottom"/>
          </w:tcPr>
          <w:p>
            <w:pPr>
              <w:jc w:val="right"/>
              <w:ind w:right="332"/>
              <w:spacing w:after="0" w:line="199" w:lineRule="exact"/>
              <w:rPr>
                <w:sz w:val="20"/>
                <w:szCs w:val="20"/>
                <w:color w:val="auto"/>
              </w:rPr>
            </w:pPr>
            <w:r>
              <w:rPr>
                <w:rFonts w:ascii="Arial" w:cs="Arial" w:eastAsia="Arial" w:hAnsi="Arial"/>
                <w:sz w:val="14"/>
                <w:szCs w:val="14"/>
                <w:color w:val="auto"/>
              </w:rPr>
              <w:t>225,089</w:t>
            </w:r>
            <w:r>
              <w:rPr>
                <w:rFonts w:ascii="Arial" w:cs="Arial" w:eastAsia="Arial" w:hAnsi="Arial"/>
                <w:sz w:val="18"/>
                <w:szCs w:val="18"/>
                <w:color w:val="auto"/>
                <w:vertAlign w:val="superscript"/>
              </w:rPr>
              <w:t>(9)</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345,089</w:t>
            </w:r>
          </w:p>
        </w:tc>
        <w:tc>
          <w:tcPr>
            <w:tcW w:w="0" w:type="dxa"/>
            <w:vAlign w:val="bottom"/>
          </w:tcPr>
          <w:p>
            <w:pPr>
              <w:spacing w:after="0"/>
              <w:rPr>
                <w:sz w:val="1"/>
                <w:szCs w:val="1"/>
                <w:color w:val="auto"/>
              </w:rPr>
            </w:pPr>
          </w:p>
        </w:tc>
      </w:tr>
      <w:tr>
        <w:trPr>
          <w:trHeight w:val="199"/>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Rory P. Read</w:t>
            </w:r>
          </w:p>
        </w:tc>
        <w:tc>
          <w:tcPr>
            <w:tcW w:w="2100" w:type="dxa"/>
            <w:vAlign w:val="bottom"/>
            <w:shd w:val="clear" w:color="auto" w:fill="CCEEF0"/>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(10)</w:t>
            </w:r>
          </w:p>
        </w:tc>
        <w:tc>
          <w:tcPr>
            <w:tcW w:w="1820" w:type="dxa"/>
            <w:vAlign w:val="bottom"/>
            <w:shd w:val="clear" w:color="auto" w:fill="CCEEF0"/>
          </w:tcPr>
          <w:p>
            <w:pPr>
              <w:jc w:val="right"/>
              <w:ind w:right="332"/>
              <w:spacing w:after="0" w:line="199" w:lineRule="exact"/>
              <w:rPr>
                <w:sz w:val="20"/>
                <w:szCs w:val="20"/>
                <w:color w:val="auto"/>
              </w:rPr>
            </w:pPr>
            <w:r>
              <w:rPr>
                <w:rFonts w:ascii="Arial" w:cs="Arial" w:eastAsia="Arial" w:hAnsi="Arial"/>
                <w:sz w:val="14"/>
                <w:szCs w:val="14"/>
                <w:color w:val="auto"/>
              </w:rPr>
              <w:t>225,099</w:t>
            </w:r>
            <w:r>
              <w:rPr>
                <w:rFonts w:ascii="Arial" w:cs="Arial" w:eastAsia="Arial" w:hAnsi="Arial"/>
                <w:sz w:val="18"/>
                <w:szCs w:val="18"/>
                <w:color w:val="auto"/>
                <w:vertAlign w:val="superscript"/>
              </w:rPr>
              <w:t>(10)</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345,099</w:t>
            </w: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Charles O. Rossotti</w:t>
            </w:r>
          </w:p>
        </w:tc>
        <w:tc>
          <w:tcPr>
            <w:tcW w:w="2100" w:type="dxa"/>
            <w:vAlign w:val="bottom"/>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(11)</w:t>
            </w:r>
          </w:p>
        </w:tc>
        <w:tc>
          <w:tcPr>
            <w:tcW w:w="1820" w:type="dxa"/>
            <w:vAlign w:val="bottom"/>
          </w:tcPr>
          <w:p>
            <w:pPr>
              <w:jc w:val="right"/>
              <w:ind w:right="332"/>
              <w:spacing w:after="0" w:line="199" w:lineRule="exact"/>
              <w:rPr>
                <w:sz w:val="20"/>
                <w:szCs w:val="20"/>
                <w:color w:val="auto"/>
              </w:rPr>
            </w:pPr>
            <w:r>
              <w:rPr>
                <w:rFonts w:ascii="Arial" w:cs="Arial" w:eastAsia="Arial" w:hAnsi="Arial"/>
                <w:sz w:val="14"/>
                <w:szCs w:val="14"/>
                <w:color w:val="auto"/>
              </w:rPr>
              <w:t>225,099</w:t>
            </w:r>
            <w:r>
              <w:rPr>
                <w:rFonts w:ascii="Arial" w:cs="Arial" w:eastAsia="Arial" w:hAnsi="Arial"/>
                <w:sz w:val="18"/>
                <w:szCs w:val="18"/>
                <w:color w:val="auto"/>
                <w:vertAlign w:val="superscript"/>
              </w:rPr>
              <w:t>(11)</w:t>
            </w:r>
          </w:p>
        </w:tc>
        <w:tc>
          <w:tcPr>
            <w:tcW w:w="1320" w:type="dxa"/>
            <w:vAlign w:val="bottom"/>
          </w:tcPr>
          <w:p>
            <w:pPr>
              <w:jc w:val="right"/>
              <w:ind w:right="12"/>
              <w:spacing w:after="0"/>
              <w:rPr>
                <w:sz w:val="20"/>
                <w:szCs w:val="20"/>
                <w:color w:val="auto"/>
              </w:rPr>
            </w:pPr>
            <w:r>
              <w:rPr>
                <w:rFonts w:ascii="Arial" w:cs="Arial" w:eastAsia="Arial" w:hAnsi="Arial"/>
                <w:sz w:val="14"/>
                <w:szCs w:val="14"/>
                <w:color w:val="auto"/>
              </w:rPr>
              <w:t>345,099</w:t>
            </w:r>
          </w:p>
        </w:tc>
        <w:tc>
          <w:tcPr>
            <w:tcW w:w="0" w:type="dxa"/>
            <w:vAlign w:val="bottom"/>
          </w:tcPr>
          <w:p>
            <w:pPr>
              <w:spacing w:after="0"/>
              <w:rPr>
                <w:sz w:val="1"/>
                <w:szCs w:val="1"/>
                <w:color w:val="auto"/>
              </w:rPr>
            </w:pPr>
          </w:p>
        </w:tc>
      </w:tr>
      <w:tr>
        <w:trPr>
          <w:trHeight w:val="199"/>
        </w:trPr>
        <w:tc>
          <w:tcPr>
            <w:tcW w:w="2100" w:type="dxa"/>
            <w:vAlign w:val="bottom"/>
            <w:shd w:val="clear" w:color="auto" w:fill="CCEEF0"/>
          </w:tcPr>
          <w:p>
            <w:pPr>
              <w:ind w:left="20"/>
              <w:spacing w:after="0"/>
              <w:rPr>
                <w:sz w:val="20"/>
                <w:szCs w:val="20"/>
                <w:color w:val="auto"/>
              </w:rPr>
            </w:pPr>
            <w:r>
              <w:rPr>
                <w:rFonts w:ascii="Arial" w:cs="Arial" w:eastAsia="Arial" w:hAnsi="Arial"/>
                <w:sz w:val="14"/>
                <w:szCs w:val="14"/>
                <w:color w:val="auto"/>
              </w:rPr>
              <w:t>William M. Thornberry</w:t>
            </w:r>
          </w:p>
        </w:tc>
        <w:tc>
          <w:tcPr>
            <w:tcW w:w="2100" w:type="dxa"/>
            <w:vAlign w:val="bottom"/>
            <w:shd w:val="clear" w:color="auto" w:fill="CCEEF0"/>
          </w:tcPr>
          <w:p>
            <w:pPr>
              <w:jc w:val="right"/>
              <w:ind w:right="189"/>
              <w:spacing w:after="0" w:line="199" w:lineRule="exact"/>
              <w:rPr>
                <w:sz w:val="20"/>
                <w:szCs w:val="20"/>
                <w:color w:val="auto"/>
              </w:rPr>
            </w:pPr>
            <w:r>
              <w:rPr>
                <w:rFonts w:ascii="Arial" w:cs="Arial" w:eastAsia="Arial" w:hAnsi="Arial"/>
                <w:sz w:val="14"/>
                <w:szCs w:val="14"/>
                <w:color w:val="auto"/>
              </w:rPr>
              <w:t>120,000</w:t>
            </w:r>
            <w:r>
              <w:rPr>
                <w:rFonts w:ascii="Arial" w:cs="Arial" w:eastAsia="Arial" w:hAnsi="Arial"/>
                <w:sz w:val="18"/>
                <w:szCs w:val="18"/>
                <w:color w:val="auto"/>
                <w:vertAlign w:val="superscript"/>
              </w:rPr>
              <w:t>(12)</w:t>
            </w:r>
          </w:p>
        </w:tc>
        <w:tc>
          <w:tcPr>
            <w:tcW w:w="1820" w:type="dxa"/>
            <w:vAlign w:val="bottom"/>
            <w:shd w:val="clear" w:color="auto" w:fill="CCEEF0"/>
          </w:tcPr>
          <w:p>
            <w:pPr>
              <w:jc w:val="right"/>
              <w:ind w:right="332"/>
              <w:spacing w:after="0" w:line="199" w:lineRule="exact"/>
              <w:rPr>
                <w:sz w:val="20"/>
                <w:szCs w:val="20"/>
                <w:color w:val="auto"/>
              </w:rPr>
            </w:pPr>
            <w:r>
              <w:rPr>
                <w:rFonts w:ascii="Arial" w:cs="Arial" w:eastAsia="Arial" w:hAnsi="Arial"/>
                <w:sz w:val="14"/>
                <w:szCs w:val="14"/>
                <w:color w:val="auto"/>
              </w:rPr>
              <w:t>225,089</w:t>
            </w:r>
            <w:r>
              <w:rPr>
                <w:rFonts w:ascii="Arial" w:cs="Arial" w:eastAsia="Arial" w:hAnsi="Arial"/>
                <w:sz w:val="18"/>
                <w:szCs w:val="18"/>
                <w:color w:val="auto"/>
                <w:vertAlign w:val="superscript"/>
              </w:rPr>
              <w:t>(12)</w:t>
            </w:r>
          </w:p>
        </w:tc>
        <w:tc>
          <w:tcPr>
            <w:tcW w:w="132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345,089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60" w:hanging="395"/>
        <w:spacing w:after="0" w:line="259" w:lineRule="auto"/>
        <w:tabs>
          <w:tab w:leader="none" w:pos="57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column represents the grant date fair value of the stock awards granted to our directors in fiscal year 2026. Where the stock awards were the result of voluntary elections to receive cash retainers in stock, the value reflected in this column represents only the excess of the fair market value of the stock awards over the cash retainer amount paid if in the form of stock. The aggregate fair value of the awards was computed in accordance with FASB ASC Topic 718 using the valuation methodology and assumptions set forth in Note 17 to our financial statements included in our Annual Report on Form 10-K for the fiscal year ended March 31, 2026, which are incorporated by reference herein, modified to exclude any forfeiture assumptions related to service-based vesting conditions. The amounts in this column do not reflect the value, if any, that ultimately may be realized by the director.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7" w:name="page38"/>
    <w:bookmarkEnd w:id="37"/>
    <w:p>
      <w:pPr>
        <w:jc w:val="both"/>
        <w:ind w:left="400" w:hanging="395"/>
        <w:spacing w:after="0" w:line="274"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Amble elected to receive her annual retainer in the form of restricted stock, and was granted a total of 3,097 shares of restricted stock for her annual equity grant and in lieu of the cash portion of the annual retainer. The grant date fair market value of the shares was $345,099, based on the $111.43 closing price of our stock on the August 4, 2025 grant date.</w:t>
      </w:r>
    </w:p>
    <w:p>
      <w:pPr>
        <w:spacing w:after="0" w:line="57" w:lineRule="exact"/>
        <w:rPr>
          <w:rFonts w:ascii="Arial" w:cs="Arial" w:eastAsia="Arial" w:hAnsi="Arial"/>
          <w:sz w:val="14"/>
          <w:szCs w:val="14"/>
          <w:color w:val="auto"/>
        </w:rPr>
      </w:pPr>
    </w:p>
    <w:p>
      <w:pPr>
        <w:ind w:left="400" w:hanging="395"/>
        <w:spacing w:after="0" w:line="293"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Dial elected to receive her annual retainer in the form of cash and was granted a total of 2,020 shares of restricted stock for her annual equity grant. The grant date fair market value of the shares was $225,089, based on the $111.43 closing price of our stock on the August 4, 2025 grant date.</w:t>
      </w:r>
    </w:p>
    <w:p>
      <w:pPr>
        <w:spacing w:after="0" w:line="56" w:lineRule="exact"/>
        <w:rPr>
          <w:rFonts w:ascii="Arial" w:cs="Arial" w:eastAsia="Arial" w:hAnsi="Arial"/>
          <w:sz w:val="14"/>
          <w:szCs w:val="14"/>
          <w:color w:val="auto"/>
        </w:rPr>
      </w:pPr>
    </w:p>
    <w:p>
      <w:pPr>
        <w:jc w:val="both"/>
        <w:ind w:left="400" w:hanging="395"/>
        <w:spacing w:after="0" w:line="262"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Flournoy elected to receive her annual retainer and her additional payment of $20,000 for service as the chair of the Nominating and Corporate Governance Committee in the form of restricted stock, and was granted a total of 3,276 shares of restricted stock for her annual equity grant and in lieu of her annual retainer and Nominating and Corporate Governance Committee chair retainer. The grant date fair market value of the shares was $365,045, based on the $111.43 closing price of our stock on the August 4, 2025 grant date.</w:t>
      </w:r>
    </w:p>
    <w:p>
      <w:pPr>
        <w:spacing w:after="0" w:line="77" w:lineRule="exact"/>
        <w:rPr>
          <w:rFonts w:ascii="Arial" w:cs="Arial" w:eastAsia="Arial" w:hAnsi="Arial"/>
          <w:sz w:val="14"/>
          <w:szCs w:val="14"/>
          <w:color w:val="auto"/>
        </w:rPr>
      </w:pPr>
    </w:p>
    <w:p>
      <w:pPr>
        <w:jc w:val="both"/>
        <w:ind w:left="400" w:hanging="395"/>
        <w:spacing w:after="0" w:line="274"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Gaumond elected to receive his annual retainer in the form of cash and his additional payment of $50,000 for services as the Lead Independent Director in the form of restricted stock. He was granted a total of 2,468 shares of restricted stock for his annual equity grant and in lieu of $50,000 for the Lead Independent Director retainer. The grant date fair market value of the shares was $275,009, based on the $111.43 closing price of our stock on the August 4, 2025 grant date.</w:t>
      </w:r>
    </w:p>
    <w:p>
      <w:pPr>
        <w:spacing w:after="0" w:line="70" w:lineRule="exact"/>
        <w:rPr>
          <w:rFonts w:ascii="Arial" w:cs="Arial" w:eastAsia="Arial" w:hAnsi="Arial"/>
          <w:sz w:val="14"/>
          <w:szCs w:val="14"/>
          <w:color w:val="auto"/>
        </w:rPr>
      </w:pPr>
    </w:p>
    <w:p>
      <w:pPr>
        <w:jc w:val="both"/>
        <w:ind w:left="400" w:hanging="395"/>
        <w:spacing w:after="0" w:line="265"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Jewett elected to receive her annual retainer and her additional payment of $30,000 for services as the chair of the Audit Committee in the form of cash. She was granted a total of 2,020 shares of restricted stock for her annual equity grant. The grant date fair market value of the shares was $225,089, based on the $111.43 closing price of our stock on the August 4, 2025 grant date.</w:t>
      </w:r>
    </w:p>
    <w:p>
      <w:pPr>
        <w:spacing w:after="0" w:line="75" w:lineRule="exact"/>
        <w:rPr>
          <w:rFonts w:ascii="Arial" w:cs="Arial" w:eastAsia="Arial" w:hAnsi="Arial"/>
          <w:sz w:val="14"/>
          <w:szCs w:val="14"/>
          <w:color w:val="auto"/>
        </w:rPr>
      </w:pPr>
    </w:p>
    <w:p>
      <w:pPr>
        <w:ind w:left="400" w:hanging="395"/>
        <w:spacing w:after="0" w:line="293"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Johnson elected to receive his annual retainer in the form of cash, and was granted a total of 2,020 shares of restricted stock for his annual equity grant. The grant date fair market value of the shares was $225,089, based on the $111.43 closing price of our stock on the August 4, 2025 grant date.</w:t>
      </w:r>
    </w:p>
    <w:p>
      <w:pPr>
        <w:spacing w:after="0" w:line="56" w:lineRule="exact"/>
        <w:rPr>
          <w:rFonts w:ascii="Arial" w:cs="Arial" w:eastAsia="Arial" w:hAnsi="Arial"/>
          <w:sz w:val="14"/>
          <w:szCs w:val="14"/>
          <w:color w:val="auto"/>
        </w:rPr>
      </w:pPr>
    </w:p>
    <w:p>
      <w:pPr>
        <w:jc w:val="both"/>
        <w:ind w:left="400" w:hanging="395"/>
        <w:spacing w:after="0" w:line="262"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McClain elected to receive her annual retainer and her additional payment of $25,000 for service as the chair of the Compensation, Culture and People Committee in the form of restricted stock, and was granted a total of 3,321 shares of restricted stock for her annual equity grant and in lieu of her annual retainer and Compensation, Culture and People Committee chair retainer. The grant date fair market value of the shares was $370,059, based on the $111.43 closing price of our stock on the August 4, 2025 grant date.</w:t>
      </w:r>
    </w:p>
    <w:p>
      <w:pPr>
        <w:spacing w:after="0" w:line="77" w:lineRule="exact"/>
        <w:rPr>
          <w:rFonts w:ascii="Arial" w:cs="Arial" w:eastAsia="Arial" w:hAnsi="Arial"/>
          <w:sz w:val="14"/>
          <w:szCs w:val="14"/>
          <w:color w:val="auto"/>
        </w:rPr>
      </w:pPr>
    </w:p>
    <w:p>
      <w:pPr>
        <w:ind w:left="400" w:hanging="395"/>
        <w:spacing w:after="0" w:line="293"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O'Brien elected to receive his annual retainer in the form of cash, and was granted a total of 2,020 shares of restricted stock for his annual equity grant. The grant date fair market value of the shares was $225,089, based on the $111.43 closing price of our stock on the August 4, 2025 grant date.</w:t>
      </w:r>
    </w:p>
    <w:p>
      <w:pPr>
        <w:spacing w:after="0" w:line="43" w:lineRule="exact"/>
        <w:rPr>
          <w:rFonts w:ascii="Arial" w:cs="Arial" w:eastAsia="Arial" w:hAnsi="Arial"/>
          <w:sz w:val="14"/>
          <w:szCs w:val="14"/>
          <w:color w:val="auto"/>
        </w:rPr>
      </w:pPr>
    </w:p>
    <w:p>
      <w:pPr>
        <w:ind w:left="400" w:hanging="395"/>
        <w:spacing w:after="0" w:line="293" w:lineRule="auto"/>
        <w:tabs>
          <w:tab w:leader="none" w:pos="4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Read elected to receive his annual retainer in the form of restricted stock, and was granted a total of 3,097 shares of restricted stock for his annual equity grant and in lieu of the annual retainer. The grant date fair market value of the shares was $345,099, based on the $111.43 closing price of our stock on the August 4, 2025 grant date.</w:t>
      </w:r>
    </w:p>
    <w:p>
      <w:pPr>
        <w:spacing w:after="0" w:line="56" w:lineRule="exact"/>
        <w:rPr>
          <w:rFonts w:ascii="Arial" w:cs="Arial" w:eastAsia="Arial" w:hAnsi="Arial"/>
          <w:sz w:val="14"/>
          <w:szCs w:val="14"/>
          <w:color w:val="auto"/>
        </w:rPr>
      </w:pPr>
    </w:p>
    <w:p>
      <w:pPr>
        <w:jc w:val="both"/>
        <w:ind w:left="400" w:hanging="395"/>
        <w:spacing w:after="0" w:line="286" w:lineRule="auto"/>
        <w:tabs>
          <w:tab w:leader="none" w:pos="40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Rossotti elected to receive his annual retainer in the form of restricted stock, and was granted a total of 3,097 shares of restricted stock for his annual equity grant and in lieu of the annual retainer. The grant date fair market value of the shares was $345,099, based on the $111.43 closing price of our stock on the August 4, 2025 grant date.</w:t>
      </w:r>
    </w:p>
    <w:p>
      <w:pPr>
        <w:spacing w:after="0" w:line="225" w:lineRule="exact"/>
        <w:rPr>
          <w:rFonts w:ascii="Arial" w:cs="Arial" w:eastAsia="Arial" w:hAnsi="Arial"/>
          <w:sz w:val="14"/>
          <w:szCs w:val="14"/>
          <w:color w:val="auto"/>
        </w:rPr>
      </w:pPr>
    </w:p>
    <w:p>
      <w:pPr>
        <w:ind w:left="400" w:hanging="395"/>
        <w:spacing w:after="0" w:line="293" w:lineRule="auto"/>
        <w:tabs>
          <w:tab w:leader="none" w:pos="4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Thornberry elected to receive his annual retainer in the form of cash, and was granted 2,020 shares of restricted stock for his annual equity grant. The grant date fair market value of the shares was $225,089, based on the $111.43 closing price of our stock on the August 4, 2025 grant date.</w:t>
      </w:r>
    </w:p>
    <w:p>
      <w:pPr>
        <w:spacing w:after="0" w:line="56" w:lineRule="exact"/>
        <w:rPr>
          <w:rFonts w:ascii="Arial" w:cs="Arial" w:eastAsia="Arial" w:hAnsi="Arial"/>
          <w:sz w:val="14"/>
          <w:szCs w:val="14"/>
          <w:color w:val="auto"/>
        </w:rPr>
      </w:pPr>
    </w:p>
    <w:p>
      <w:pPr>
        <w:ind w:left="420" w:hanging="415"/>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following table sets forth the aggregate number of equity awards outstanding at the end of fiscal year 2026.</w:t>
      </w:r>
    </w:p>
    <w:p>
      <w:pPr>
        <w:spacing w:after="0" w:line="167"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i w:val="1"/>
          <w:iCs w:val="1"/>
          <w:color w:val="auto"/>
        </w:rPr>
        <w:t>Equity Awards for Service as a Director</w:t>
      </w:r>
    </w:p>
    <w:p>
      <w:pPr>
        <w:spacing w:after="0" w:line="183"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2820" w:type="dxa"/>
            <w:vAlign w:val="bottom"/>
            <w:shd w:val="clear" w:color="auto" w:fill="00A5B5"/>
          </w:tcPr>
          <w:p>
            <w:pPr>
              <w:spacing w:after="0"/>
              <w:rPr>
                <w:sz w:val="14"/>
                <w:szCs w:val="14"/>
                <w:color w:val="auto"/>
              </w:rPr>
            </w:pPr>
          </w:p>
        </w:tc>
        <w:tc>
          <w:tcPr>
            <w:tcW w:w="240" w:type="dxa"/>
            <w:vAlign w:val="bottom"/>
            <w:shd w:val="clear" w:color="auto" w:fill="00A5B5"/>
          </w:tcPr>
          <w:p>
            <w:pPr>
              <w:spacing w:after="0"/>
              <w:rPr>
                <w:sz w:val="14"/>
                <w:szCs w:val="14"/>
                <w:color w:val="auto"/>
              </w:rPr>
            </w:pPr>
          </w:p>
        </w:tc>
        <w:tc>
          <w:tcPr>
            <w:tcW w:w="1860" w:type="dxa"/>
            <w:vAlign w:val="bottom"/>
            <w:shd w:val="clear" w:color="auto" w:fill="00A5B5"/>
          </w:tcPr>
          <w:p>
            <w:pPr>
              <w:jc w:val="right"/>
              <w:spacing w:after="0"/>
              <w:rPr>
                <w:sz w:val="20"/>
                <w:szCs w:val="20"/>
                <w:color w:val="auto"/>
              </w:rPr>
            </w:pPr>
            <w:r>
              <w:rPr>
                <w:rFonts w:ascii="Arial" w:cs="Arial" w:eastAsia="Arial" w:hAnsi="Arial"/>
                <w:sz w:val="14"/>
                <w:szCs w:val="14"/>
                <w:b w:val="1"/>
                <w:bCs w:val="1"/>
                <w:color w:val="FFFFFF"/>
              </w:rPr>
              <w:t>Unvested Restricted Stock</w:t>
            </w:r>
          </w:p>
        </w:tc>
      </w:tr>
      <w:tr>
        <w:trPr>
          <w:trHeight w:val="151"/>
        </w:trPr>
        <w:tc>
          <w:tcPr>
            <w:tcW w:w="3060" w:type="dxa"/>
            <w:vAlign w:val="bottom"/>
            <w:tcBorders>
              <w:bottom w:val="single" w:sz="8" w:color="00A5B5"/>
            </w:tcBorders>
            <w:gridSpan w:val="2"/>
            <w:shd w:val="clear" w:color="auto" w:fill="00A5B5"/>
          </w:tcPr>
          <w:p>
            <w:pPr>
              <w:ind w:left="1220"/>
              <w:spacing w:after="0" w:line="146" w:lineRule="exact"/>
              <w:rPr>
                <w:sz w:val="20"/>
                <w:szCs w:val="20"/>
                <w:color w:val="auto"/>
              </w:rPr>
            </w:pPr>
            <w:r>
              <w:rPr>
                <w:rFonts w:ascii="Arial" w:cs="Arial" w:eastAsia="Arial" w:hAnsi="Arial"/>
                <w:sz w:val="14"/>
                <w:szCs w:val="14"/>
                <w:b w:val="1"/>
                <w:bCs w:val="1"/>
                <w:color w:val="FFFFFF"/>
              </w:rPr>
              <w:t>Name</w:t>
            </w:r>
          </w:p>
        </w:tc>
        <w:tc>
          <w:tcPr>
            <w:tcW w:w="1860" w:type="dxa"/>
            <w:vAlign w:val="bottom"/>
            <w:tcBorders>
              <w:bottom w:val="single" w:sz="8" w:color="00A5B5"/>
            </w:tcBorders>
            <w:shd w:val="clear" w:color="auto" w:fill="00A5B5"/>
          </w:tcPr>
          <w:p>
            <w:pPr>
              <w:jc w:val="right"/>
              <w:ind w:right="811"/>
              <w:spacing w:after="0" w:line="93" w:lineRule="exact"/>
              <w:rPr>
                <w:sz w:val="20"/>
                <w:szCs w:val="20"/>
                <w:color w:val="auto"/>
              </w:rPr>
            </w:pPr>
            <w:r>
              <w:rPr>
                <w:rFonts w:ascii="Arial" w:cs="Arial" w:eastAsia="Arial" w:hAnsi="Arial"/>
                <w:sz w:val="9"/>
                <w:szCs w:val="9"/>
                <w:b w:val="1"/>
                <w:bCs w:val="1"/>
                <w:color w:val="FFFFFF"/>
              </w:rPr>
              <w:t>(a)</w:t>
            </w:r>
          </w:p>
        </w:tc>
      </w:tr>
      <w:tr>
        <w:trPr>
          <w:trHeight w:val="192"/>
        </w:trPr>
        <w:tc>
          <w:tcPr>
            <w:tcW w:w="2820" w:type="dxa"/>
            <w:vAlign w:val="bottom"/>
            <w:tcBorders>
              <w:top w:val="single" w:sz="8" w:color="666666"/>
            </w:tcBorders>
            <w:shd w:val="clear" w:color="auto" w:fill="CCEEF0"/>
          </w:tcPr>
          <w:p>
            <w:pPr>
              <w:ind w:left="20"/>
              <w:spacing w:after="0"/>
              <w:rPr>
                <w:sz w:val="20"/>
                <w:szCs w:val="20"/>
                <w:color w:val="auto"/>
              </w:rPr>
            </w:pPr>
            <w:r>
              <w:rPr>
                <w:rFonts w:ascii="Arial" w:cs="Arial" w:eastAsia="Arial" w:hAnsi="Arial"/>
                <w:sz w:val="14"/>
                <w:szCs w:val="14"/>
                <w:color w:val="auto"/>
              </w:rPr>
              <w:t>Joan Lordi C. Amble</w:t>
            </w:r>
          </w:p>
        </w:tc>
        <w:tc>
          <w:tcPr>
            <w:tcW w:w="240" w:type="dxa"/>
            <w:vAlign w:val="bottom"/>
            <w:tcBorders>
              <w:top w:val="single" w:sz="8" w:color="CCEEF0"/>
            </w:tcBorders>
            <w:shd w:val="clear" w:color="auto" w:fill="CCEEF0"/>
          </w:tcPr>
          <w:p>
            <w:pPr>
              <w:spacing w:after="0"/>
              <w:rPr>
                <w:sz w:val="16"/>
                <w:szCs w:val="16"/>
                <w:color w:val="auto"/>
              </w:rPr>
            </w:pPr>
          </w:p>
        </w:tc>
        <w:tc>
          <w:tcPr>
            <w:tcW w:w="1860" w:type="dxa"/>
            <w:vAlign w:val="bottom"/>
            <w:tcBorders>
              <w:top w:val="single" w:sz="8" w:color="666666"/>
            </w:tcBorders>
            <w:shd w:val="clear" w:color="auto" w:fill="CCEEF0"/>
          </w:tcPr>
          <w:p>
            <w:pPr>
              <w:jc w:val="right"/>
              <w:spacing w:after="0"/>
              <w:rPr>
                <w:sz w:val="20"/>
                <w:szCs w:val="20"/>
                <w:color w:val="auto"/>
              </w:rPr>
            </w:pPr>
            <w:r>
              <w:rPr>
                <w:rFonts w:ascii="Arial" w:cs="Arial" w:eastAsia="Arial" w:hAnsi="Arial"/>
                <w:sz w:val="14"/>
                <w:szCs w:val="14"/>
                <w:color w:val="auto"/>
              </w:rPr>
              <w:t>1,549</w:t>
            </w:r>
          </w:p>
        </w:tc>
      </w:tr>
      <w:tr>
        <w:trPr>
          <w:trHeight w:val="19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Debra L. Dial</w:t>
            </w:r>
          </w:p>
        </w:tc>
        <w:tc>
          <w:tcPr>
            <w:tcW w:w="18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3"/>
        </w:trPr>
        <w:tc>
          <w:tcPr>
            <w:tcW w:w="3060" w:type="dxa"/>
            <w:vAlign w:val="bottom"/>
            <w:gridSpan w:val="2"/>
            <w:shd w:val="clear" w:color="auto" w:fill="CCEEF0"/>
          </w:tcPr>
          <w:p>
            <w:pPr>
              <w:ind w:left="20"/>
              <w:spacing w:after="0"/>
              <w:rPr>
                <w:sz w:val="20"/>
                <w:szCs w:val="20"/>
                <w:color w:val="auto"/>
              </w:rPr>
            </w:pPr>
            <w:r>
              <w:rPr>
                <w:rFonts w:ascii="Arial" w:cs="Arial" w:eastAsia="Arial" w:hAnsi="Arial"/>
                <w:sz w:val="14"/>
                <w:szCs w:val="14"/>
                <w:color w:val="auto"/>
              </w:rPr>
              <w:t>Michèle A. Flournoy</w:t>
            </w:r>
          </w:p>
        </w:tc>
        <w:tc>
          <w:tcPr>
            <w:tcW w:w="186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1,638</w:t>
            </w:r>
          </w:p>
        </w:tc>
      </w:tr>
      <w:tr>
        <w:trPr>
          <w:trHeight w:val="19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Mark E. Gaumond</w:t>
            </w:r>
          </w:p>
        </w:tc>
        <w:tc>
          <w:tcPr>
            <w:tcW w:w="1860" w:type="dxa"/>
            <w:vAlign w:val="bottom"/>
          </w:tcPr>
          <w:p>
            <w:pPr>
              <w:jc w:val="right"/>
              <w:spacing w:after="0"/>
              <w:rPr>
                <w:sz w:val="20"/>
                <w:szCs w:val="20"/>
                <w:color w:val="auto"/>
              </w:rPr>
            </w:pPr>
            <w:r>
              <w:rPr>
                <w:rFonts w:ascii="Arial" w:cs="Arial" w:eastAsia="Arial" w:hAnsi="Arial"/>
                <w:sz w:val="14"/>
                <w:szCs w:val="14"/>
                <w:color w:val="auto"/>
              </w:rPr>
              <w:t>1,234</w:t>
            </w:r>
          </w:p>
        </w:tc>
      </w:tr>
      <w:tr>
        <w:trPr>
          <w:trHeight w:val="203"/>
        </w:trPr>
        <w:tc>
          <w:tcPr>
            <w:tcW w:w="3060" w:type="dxa"/>
            <w:vAlign w:val="bottom"/>
            <w:gridSpan w:val="2"/>
            <w:shd w:val="clear" w:color="auto" w:fill="CCEEF0"/>
          </w:tcPr>
          <w:p>
            <w:pPr>
              <w:ind w:left="20"/>
              <w:spacing w:after="0"/>
              <w:rPr>
                <w:sz w:val="20"/>
                <w:szCs w:val="20"/>
                <w:color w:val="auto"/>
              </w:rPr>
            </w:pPr>
            <w:r>
              <w:rPr>
                <w:rFonts w:ascii="Arial" w:cs="Arial" w:eastAsia="Arial" w:hAnsi="Arial"/>
                <w:sz w:val="14"/>
                <w:szCs w:val="14"/>
                <w:color w:val="auto"/>
              </w:rPr>
              <w:t>Ellen Jewett</w:t>
            </w:r>
          </w:p>
        </w:tc>
        <w:tc>
          <w:tcPr>
            <w:tcW w:w="186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1,010</w:t>
            </w:r>
          </w:p>
        </w:tc>
      </w:tr>
      <w:tr>
        <w:trPr>
          <w:trHeight w:val="19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Arthur E. Johnson</w:t>
            </w:r>
          </w:p>
        </w:tc>
        <w:tc>
          <w:tcPr>
            <w:tcW w:w="18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3"/>
        </w:trPr>
        <w:tc>
          <w:tcPr>
            <w:tcW w:w="3060" w:type="dxa"/>
            <w:vAlign w:val="bottom"/>
            <w:gridSpan w:val="2"/>
            <w:shd w:val="clear" w:color="auto" w:fill="CCEEF0"/>
          </w:tcPr>
          <w:p>
            <w:pPr>
              <w:ind w:left="20"/>
              <w:spacing w:after="0"/>
              <w:rPr>
                <w:sz w:val="20"/>
                <w:szCs w:val="20"/>
                <w:color w:val="auto"/>
              </w:rPr>
            </w:pPr>
            <w:r>
              <w:rPr>
                <w:rFonts w:ascii="Arial" w:cs="Arial" w:eastAsia="Arial" w:hAnsi="Arial"/>
                <w:sz w:val="14"/>
                <w:szCs w:val="14"/>
                <w:color w:val="auto"/>
              </w:rPr>
              <w:t>Gretchen W. McClain</w:t>
            </w:r>
          </w:p>
        </w:tc>
        <w:tc>
          <w:tcPr>
            <w:tcW w:w="186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1,661</w:t>
            </w:r>
          </w:p>
        </w:tc>
      </w:tr>
      <w:tr>
        <w:trPr>
          <w:trHeight w:val="19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Robert C. O'Brien</w:t>
            </w:r>
          </w:p>
        </w:tc>
        <w:tc>
          <w:tcPr>
            <w:tcW w:w="18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3"/>
        </w:trPr>
        <w:tc>
          <w:tcPr>
            <w:tcW w:w="3060" w:type="dxa"/>
            <w:vAlign w:val="bottom"/>
            <w:gridSpan w:val="2"/>
            <w:shd w:val="clear" w:color="auto" w:fill="CCEEF0"/>
          </w:tcPr>
          <w:p>
            <w:pPr>
              <w:ind w:left="20"/>
              <w:spacing w:after="0"/>
              <w:rPr>
                <w:sz w:val="20"/>
                <w:szCs w:val="20"/>
                <w:color w:val="auto"/>
              </w:rPr>
            </w:pPr>
            <w:r>
              <w:rPr>
                <w:rFonts w:ascii="Arial" w:cs="Arial" w:eastAsia="Arial" w:hAnsi="Arial"/>
                <w:sz w:val="14"/>
                <w:szCs w:val="14"/>
                <w:color w:val="auto"/>
              </w:rPr>
              <w:t>Rory P. Read</w:t>
            </w:r>
          </w:p>
        </w:tc>
        <w:tc>
          <w:tcPr>
            <w:tcW w:w="186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1,549</w:t>
            </w:r>
          </w:p>
        </w:tc>
      </w:tr>
      <w:tr>
        <w:trPr>
          <w:trHeight w:val="194"/>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Charles O. Rossotti</w:t>
            </w:r>
          </w:p>
        </w:tc>
        <w:tc>
          <w:tcPr>
            <w:tcW w:w="1860" w:type="dxa"/>
            <w:vAlign w:val="bottom"/>
          </w:tcPr>
          <w:p>
            <w:pPr>
              <w:jc w:val="right"/>
              <w:spacing w:after="0"/>
              <w:rPr>
                <w:sz w:val="20"/>
                <w:szCs w:val="20"/>
                <w:color w:val="auto"/>
              </w:rPr>
            </w:pPr>
            <w:r>
              <w:rPr>
                <w:rFonts w:ascii="Arial" w:cs="Arial" w:eastAsia="Arial" w:hAnsi="Arial"/>
                <w:sz w:val="14"/>
                <w:szCs w:val="14"/>
                <w:color w:val="auto"/>
              </w:rPr>
              <w:t>1,549</w:t>
            </w:r>
          </w:p>
        </w:tc>
      </w:tr>
      <w:tr>
        <w:trPr>
          <w:trHeight w:val="203"/>
        </w:trPr>
        <w:tc>
          <w:tcPr>
            <w:tcW w:w="3060" w:type="dxa"/>
            <w:vAlign w:val="bottom"/>
            <w:gridSpan w:val="2"/>
            <w:shd w:val="clear" w:color="auto" w:fill="CCEEF0"/>
          </w:tcPr>
          <w:p>
            <w:pPr>
              <w:ind w:left="20"/>
              <w:spacing w:after="0"/>
              <w:rPr>
                <w:sz w:val="20"/>
                <w:szCs w:val="20"/>
                <w:color w:val="auto"/>
              </w:rPr>
            </w:pPr>
            <w:r>
              <w:rPr>
                <w:rFonts w:ascii="Arial" w:cs="Arial" w:eastAsia="Arial" w:hAnsi="Arial"/>
                <w:sz w:val="14"/>
                <w:szCs w:val="14"/>
                <w:color w:val="auto"/>
              </w:rPr>
              <w:t>William M. Thornberry</w:t>
            </w:r>
          </w:p>
        </w:tc>
        <w:tc>
          <w:tcPr>
            <w:tcW w:w="186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1,010</w:t>
            </w:r>
          </w:p>
        </w:tc>
      </w:tr>
    </w:tbl>
    <w:p>
      <w:pPr>
        <w:spacing w:after="0" w:line="242" w:lineRule="exact"/>
        <w:rPr>
          <w:sz w:val="20"/>
          <w:szCs w:val="20"/>
          <w:color w:val="auto"/>
        </w:rPr>
      </w:pPr>
    </w:p>
    <w:p>
      <w:pPr>
        <w:ind w:left="1120" w:hanging="401"/>
        <w:spacing w:after="0"/>
        <w:tabs>
          <w:tab w:leader="none" w:pos="11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shares of restricted stock reported in this column vest on July 31, 2026.</w:t>
      </w:r>
    </w:p>
    <w:p>
      <w:pPr>
        <w:spacing w:after="0" w:line="116" w:lineRule="exact"/>
        <w:rPr>
          <w:rFonts w:ascii="Arial" w:cs="Arial" w:eastAsia="Arial" w:hAnsi="Arial"/>
          <w:sz w:val="14"/>
          <w:szCs w:val="14"/>
          <w:color w:val="auto"/>
        </w:rPr>
      </w:pPr>
    </w:p>
    <w:p>
      <w:pPr>
        <w:ind w:left="420" w:hanging="415"/>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Nolan is not featured in the preceding tables because he was appointed to the Board effective June 1, 2026, following the end of fiscal year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66666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67945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480" w:top="885" w:right="339" w:bottom="1440" w:gutter="0" w:footer="0" w:header="0"/>
        </w:sectPr>
      </w:pPr>
    </w:p>
    <w:bookmarkStart w:id="38" w:name="page39"/>
    <w:bookmarkEnd w:id="38"/>
    <w:p>
      <w:pPr>
        <w:spacing w:after="0"/>
        <w:rPr>
          <w:sz w:val="20"/>
          <w:szCs w:val="20"/>
          <w:color w:val="auto"/>
        </w:rPr>
      </w:pPr>
      <w:r>
        <w:rPr>
          <w:rFonts w:ascii="Arial" w:cs="Arial" w:eastAsia="Arial" w:hAnsi="Arial"/>
          <w:sz w:val="21"/>
          <w:szCs w:val="21"/>
          <w:b w:val="1"/>
          <w:bCs w:val="1"/>
          <w:u w:val="single" w:color="auto"/>
          <w:color w:val="00A5B5"/>
        </w:rPr>
        <w:t>Director Ownership Guidelines</w:t>
      </w:r>
    </w:p>
    <w:p>
      <w:pPr>
        <w:spacing w:after="0" w:line="16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Equity ownership guidelines for all of our non-employee directors are in place to further align their interests to those of our stockholders. Each of our non-employee directors has five years from the date of commencement of his/her service on the Board to achieve equity ownership with a value equivalent to five times his/her annual retainer. In calculating a director’s ownership, Class A common stock, vested in-the-money options, and vested and unvested restricted stock issued under the Equity Incentive Plan will be considered owned by the non-employee director. Each of our directors who has served on the Board for five years or more has regularly exceeded and currently exceeds the equity ownership guidelines. Each of our directors who has not yet served on the Board for five years remains on track to meet the stock ownership guidelines within the prescribed timeframe. For a description of the guidelines applicable to executive officers, see our CD&amp;A beginning on page 35.</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Other Corporate Governance Matters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Codes of Conduct and Ethics</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website also includes the Company’s Code of Business Ethics and Conduct, which is applicable to our directors, officers and all employees, and the Company's Code of Ethics for Senior Financial Officers, which is applicable to the Company’s Chief Executive Officer, Chief Financial Officer, Chief Accounting Officer, Controller, and any other persons performing similar functions. Each such code was adopted by the Board and may be accessed without charge on the Investor Relations portion of our website at investors.boozallen.com. We will disclose on the Investor Relations portion of our website any amendments to the Code of Business Ethics and Conduct or Code of Ethics for Senior Financial Officers and any waiver granted to an executive officer or director under these codes. In fiscal year 2026, no such waivers were sought or granted. The information found on the Company's website is not part of this proxy statement nor is it incorporated into any other filings the Company makes with the Securities and Exchange Commission (the "SEC").</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Insider Trading Policy and Policy on Hedging, Short Sales, and Speculative Transactions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an Insider Trading Policy, which governs the purchase, sale and other dispositions of its securities by employees, officers, directors, subsidiaries, and affiliates of the Company, as well as their immediate family members and other persons living in their households. The Insider Trading Policy is reasonably designed to promote compliance with insider trading laws, rules and regulations and any listing standards applicable to the Company.</w:t>
      </w:r>
    </w:p>
    <w:p>
      <w:pPr>
        <w:spacing w:after="0" w:line="12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the Company's Insider Trading Policy, the Company’s personnel are prohibited from directly or indirectly buying, selling or gifting securities of the Company while in possession of material non-public information concerning the Company or its securities, except in the limited circumstances described in the policy. Additionally, the Company’s personnel are prohibited from engaging in (i) short sales of securities of the Company, (ii) transactions in puts, calls, or other derivative securities with respect to securities of the Company, (iii) hedging transactions with respect to securities of the Company, (iv) holding securities of the Company in a margin account, and (v) pledging securities of the Company as collateral for a loan.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Delinquent Section 16(a) Reports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a review of reports filed by the Company’s directors, executive officers, and beneficial holders of 10% or more of our outstanding shares, and upon representations from those persons, the Company believes that all reports required to be filed by the Company’s reporting persons during fiscal year 2026 were filed on or prior to their respective due dates, except for one Form 4 that was filed on behalf of Dennis Metzfield one business day after its due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8"/>
          <w:szCs w:val="28"/>
          <w:b w:val="1"/>
          <w:bCs w:val="1"/>
          <w:color w:val="auto"/>
        </w:rPr>
        <w:t>COMPENSATION COMMITTEE INTERLOCKS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AND INSIDER PARTICIPATION</w:t>
      </w:r>
    </w:p>
    <w:p>
      <w:pPr>
        <w:spacing w:after="0" w:line="15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individuals served on our Compensation, Culture and People Committee during fiscal year 2026: Mses. Flournoy and McClain and Messrs. O'Brien, Read and Thornberry. No member of our Compensation, Culture and People Committee currently is, or has been, an officer or employee of the Company. During fiscal year 2026, none of our executive officers served as a member of the Board or compensation committee (or other board committee performing equivalent functions) of any other entity that has one or more of its executive officers serving as a member of our Board or Compensation, Culture and People Committee.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0" w:name="page41"/>
    <w:bookmarkEnd w:id="40"/>
    <w:p>
      <w:pPr>
        <w:ind w:left="2980"/>
        <w:spacing w:after="0"/>
        <w:rPr>
          <w:sz w:val="20"/>
          <w:szCs w:val="20"/>
          <w:color w:val="auto"/>
        </w:rPr>
      </w:pPr>
      <w:r>
        <w:rPr>
          <w:rFonts w:ascii="Arial" w:cs="Arial" w:eastAsia="Arial" w:hAnsi="Arial"/>
          <w:sz w:val="28"/>
          <w:szCs w:val="28"/>
          <w:b w:val="1"/>
          <w:bCs w:val="1"/>
          <w:color w:val="auto"/>
        </w:rPr>
        <w:t>SECURITY OWNERSHIP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Security Ownership of Directors and Executive Officers</w:t>
      </w:r>
    </w:p>
    <w:p>
      <w:pPr>
        <w:spacing w:after="0" w:line="16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indicates information as of May 15, 2026 regarding the beneficial ownership of our Class A common stock by each of our directors, each of the named executive officers, and all of our directors and executive officers as a group.</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percentages shown are based on 119,746,178 shares of Class A common stock outstanding as of May 15, 2026. Class A common stock is entitled to one vote per share on all matters voted on by our stockholders.</w:t>
      </w:r>
    </w:p>
    <w:p>
      <w:pPr>
        <w:spacing w:after="0" w:line="1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amounts and percentages owned are reported on the basis of the SEC’s rules governing the determination of beneficial ownership of securities. The SEC’s rules generally attribute beneficial ownership of securities to each person who possesses, either solely or shared with others, the voting power or investment power, which includes the power to dispose of those securities. The rules also treat as outstanding all shares of capital stock that a person would receive upon exercise of stock options or warrants held by that person that are immediately exercisable or exercisable within 60 days. These shares are deemed to be outstanding and to be beneficially owned by the person holding those options for the purpose of computing the number of shares beneficially owned and the percentage ownership of that person, but they are not treated as outstanding for the purpose of computing the percentage ownership of any other person. Under these rules, one or more persons may be a deemed beneficial owner of the same securities and a person may be deemed a beneficial owner of securities to which such person has no economic interest. Unless otherwise indicated, the persons or entities identified in this table have sole voting and investment power with respect to all shares shown as beneficially owned by them, subject to applicable community property laws.</w:t>
      </w:r>
    </w:p>
    <w:p>
      <w:pPr>
        <w:spacing w:after="0" w:line="181" w:lineRule="exact"/>
        <w:rPr>
          <w:sz w:val="20"/>
          <w:szCs w:val="20"/>
          <w:color w:val="auto"/>
        </w:rPr>
      </w:pPr>
    </w:p>
    <w:tbl>
      <w:tblPr>
        <w:tblLayout w:type="fixed"/>
        <w:tblInd w:w="2470" w:type="dxa"/>
        <w:tblCellMar>
          <w:top w:w="0" w:type="dxa"/>
          <w:left w:w="0" w:type="dxa"/>
          <w:bottom w:w="0" w:type="dxa"/>
          <w:right w:w="0" w:type="dxa"/>
        </w:tblCellMar>
      </w:tblPr>
      <w:tr>
        <w:trPr>
          <w:trHeight w:val="185"/>
        </w:trPr>
        <w:tc>
          <w:tcPr>
            <w:tcW w:w="2920" w:type="dxa"/>
            <w:vAlign w:val="bottom"/>
            <w:tcBorders>
              <w:left w:val="single" w:sz="8" w:color="23D2D7"/>
            </w:tcBorders>
            <w:gridSpan w:val="2"/>
            <w:vMerge w:val="restart"/>
            <w:shd w:val="clear" w:color="auto" w:fill="23D2D7"/>
          </w:tcPr>
          <w:p>
            <w:pPr>
              <w:ind w:left="20"/>
              <w:spacing w:after="0"/>
              <w:rPr>
                <w:sz w:val="20"/>
                <w:szCs w:val="20"/>
                <w:color w:val="auto"/>
              </w:rPr>
            </w:pPr>
            <w:r>
              <w:rPr>
                <w:rFonts w:ascii="Arial" w:cs="Arial" w:eastAsia="Arial" w:hAnsi="Arial"/>
                <w:sz w:val="14"/>
                <w:szCs w:val="14"/>
                <w:b w:val="1"/>
                <w:bCs w:val="1"/>
                <w:color w:val="auto"/>
              </w:rPr>
              <w:t>Name</w:t>
            </w:r>
          </w:p>
        </w:tc>
        <w:tc>
          <w:tcPr>
            <w:tcW w:w="320" w:type="dxa"/>
            <w:vAlign w:val="bottom"/>
            <w:vMerge w:val="restart"/>
            <w:shd w:val="clear" w:color="auto" w:fill="23D2D7"/>
          </w:tcPr>
          <w:p>
            <w:pPr>
              <w:spacing w:after="0"/>
              <w:rPr>
                <w:sz w:val="16"/>
                <w:szCs w:val="16"/>
                <w:color w:val="auto"/>
              </w:rPr>
            </w:pPr>
          </w:p>
        </w:tc>
        <w:tc>
          <w:tcPr>
            <w:tcW w:w="1840" w:type="dxa"/>
            <w:vAlign w:val="bottom"/>
            <w:gridSpan w:val="2"/>
            <w:shd w:val="clear" w:color="auto" w:fill="23D2D7"/>
          </w:tcPr>
          <w:p>
            <w:pPr>
              <w:jc w:val="center"/>
              <w:ind w:right="300"/>
              <w:spacing w:after="0"/>
              <w:rPr>
                <w:sz w:val="20"/>
                <w:szCs w:val="20"/>
                <w:color w:val="auto"/>
              </w:rPr>
            </w:pPr>
            <w:r>
              <w:rPr>
                <w:rFonts w:ascii="Arial" w:cs="Arial" w:eastAsia="Arial" w:hAnsi="Arial"/>
                <w:sz w:val="14"/>
                <w:szCs w:val="14"/>
                <w:b w:val="1"/>
                <w:bCs w:val="1"/>
                <w:color w:val="auto"/>
              </w:rPr>
              <w:t>Shares Beneficially</w:t>
            </w:r>
          </w:p>
        </w:tc>
        <w:tc>
          <w:tcPr>
            <w:tcW w:w="1580" w:type="dxa"/>
            <w:vAlign w:val="bottom"/>
            <w:vMerge w:val="restart"/>
            <w:shd w:val="clear" w:color="auto" w:fill="23D2D7"/>
          </w:tcPr>
          <w:p>
            <w:pPr>
              <w:jc w:val="center"/>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5"/>
        </w:trPr>
        <w:tc>
          <w:tcPr>
            <w:tcW w:w="2920" w:type="dxa"/>
            <w:vAlign w:val="bottom"/>
            <w:tcBorders>
              <w:left w:val="single" w:sz="8" w:color="23D2D7"/>
              <w:bottom w:val="single" w:sz="8" w:color="auto"/>
            </w:tcBorders>
            <w:gridSpan w:val="2"/>
            <w:vMerge w:val="continue"/>
            <w:shd w:val="clear" w:color="auto" w:fill="23D2D7"/>
          </w:tcPr>
          <w:p>
            <w:pPr>
              <w:spacing w:after="0"/>
              <w:rPr>
                <w:sz w:val="16"/>
                <w:szCs w:val="16"/>
                <w:color w:val="auto"/>
              </w:rPr>
            </w:pPr>
          </w:p>
        </w:tc>
        <w:tc>
          <w:tcPr>
            <w:tcW w:w="320" w:type="dxa"/>
            <w:vAlign w:val="bottom"/>
            <w:tcBorders>
              <w:bottom w:val="single" w:sz="8" w:color="CCEEF0"/>
            </w:tcBorders>
            <w:vMerge w:val="continue"/>
            <w:shd w:val="clear" w:color="auto" w:fill="23D2D7"/>
          </w:tcPr>
          <w:p>
            <w:pPr>
              <w:spacing w:after="0"/>
              <w:rPr>
                <w:sz w:val="16"/>
                <w:szCs w:val="16"/>
                <w:color w:val="auto"/>
              </w:rPr>
            </w:pPr>
          </w:p>
        </w:tc>
        <w:tc>
          <w:tcPr>
            <w:tcW w:w="1540" w:type="dxa"/>
            <w:vAlign w:val="bottom"/>
            <w:tcBorders>
              <w:bottom w:val="single" w:sz="8" w:color="auto"/>
            </w:tcBorders>
            <w:shd w:val="clear" w:color="auto" w:fill="23D2D7"/>
          </w:tcPr>
          <w:p>
            <w:pPr>
              <w:jc w:val="center"/>
              <w:spacing w:after="0"/>
              <w:rPr>
                <w:sz w:val="20"/>
                <w:szCs w:val="20"/>
                <w:color w:val="auto"/>
              </w:rPr>
            </w:pPr>
            <w:r>
              <w:rPr>
                <w:rFonts w:ascii="Arial" w:cs="Arial" w:eastAsia="Arial" w:hAnsi="Arial"/>
                <w:sz w:val="14"/>
                <w:szCs w:val="14"/>
                <w:b w:val="1"/>
                <w:bCs w:val="1"/>
                <w:color w:val="auto"/>
                <w:w w:val="98"/>
              </w:rPr>
              <w:t>Owned</w:t>
            </w:r>
          </w:p>
        </w:tc>
        <w:tc>
          <w:tcPr>
            <w:tcW w:w="300" w:type="dxa"/>
            <w:vAlign w:val="bottom"/>
            <w:tcBorders>
              <w:bottom w:val="single" w:sz="8" w:color="CCEEF0"/>
            </w:tcBorders>
            <w:shd w:val="clear" w:color="auto" w:fill="23D2D7"/>
          </w:tcPr>
          <w:p>
            <w:pPr>
              <w:spacing w:after="0"/>
              <w:rPr>
                <w:sz w:val="16"/>
                <w:szCs w:val="16"/>
                <w:color w:val="auto"/>
              </w:rPr>
            </w:pPr>
          </w:p>
        </w:tc>
        <w:tc>
          <w:tcPr>
            <w:tcW w:w="1580" w:type="dxa"/>
            <w:vAlign w:val="bottom"/>
            <w:tcBorders>
              <w:bottom w:val="single" w:sz="8" w:color="auto"/>
            </w:tcBorders>
            <w:vMerge w:val="continue"/>
            <w:shd w:val="clear" w:color="auto" w:fill="23D2D7"/>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Borders>
              <w:left w:val="single" w:sz="8" w:color="CCEEF0"/>
            </w:tcBorders>
            <w:gridSpan w:val="3"/>
            <w:shd w:val="clear" w:color="auto" w:fill="CCEEF0"/>
          </w:tcPr>
          <w:p>
            <w:pPr>
              <w:ind w:left="20"/>
              <w:spacing w:after="0" w:line="152" w:lineRule="exact"/>
              <w:rPr>
                <w:sz w:val="20"/>
                <w:szCs w:val="20"/>
                <w:color w:val="auto"/>
              </w:rPr>
            </w:pPr>
            <w:r>
              <w:rPr>
                <w:rFonts w:ascii="Arial" w:cs="Arial" w:eastAsia="Arial" w:hAnsi="Arial"/>
                <w:sz w:val="14"/>
                <w:szCs w:val="14"/>
                <w:b w:val="1"/>
                <w:bCs w:val="1"/>
                <w:color w:val="auto"/>
              </w:rPr>
              <w:t>Directors and nominees</w:t>
            </w:r>
          </w:p>
        </w:tc>
        <w:tc>
          <w:tcPr>
            <w:tcW w:w="1540" w:type="dxa"/>
            <w:vAlign w:val="bottom"/>
            <w:shd w:val="clear" w:color="auto" w:fill="CCEEF0"/>
          </w:tcPr>
          <w:p>
            <w:pPr>
              <w:spacing w:after="0"/>
              <w:rPr>
                <w:sz w:val="13"/>
                <w:szCs w:val="13"/>
                <w:color w:val="auto"/>
              </w:rPr>
            </w:pPr>
          </w:p>
        </w:tc>
        <w:tc>
          <w:tcPr>
            <w:tcW w:w="300" w:type="dxa"/>
            <w:vAlign w:val="bottom"/>
            <w:shd w:val="clear" w:color="auto" w:fill="CCEEF0"/>
          </w:tcPr>
          <w:p>
            <w:pPr>
              <w:spacing w:after="0"/>
              <w:rPr>
                <w:sz w:val="13"/>
                <w:szCs w:val="13"/>
                <w:color w:val="auto"/>
              </w:rPr>
            </w:pPr>
          </w:p>
        </w:tc>
        <w:tc>
          <w:tcPr>
            <w:tcW w:w="1580" w:type="dxa"/>
            <w:vAlign w:val="bottom"/>
            <w:shd w:val="clear" w:color="auto" w:fill="CCEEF0"/>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620" w:type="dxa"/>
            <w:vAlign w:val="bottom"/>
            <w:tcBorders>
              <w:left w:val="single" w:sz="8" w:color="CCEEF0"/>
            </w:tcBorders>
            <w:shd w:val="clear" w:color="auto" w:fill="000000"/>
          </w:tcPr>
          <w:p>
            <w:pPr>
              <w:spacing w:after="0"/>
              <w:rPr>
                <w:sz w:val="3"/>
                <w:szCs w:val="3"/>
                <w:color w:val="auto"/>
              </w:rPr>
            </w:pPr>
          </w:p>
        </w:tc>
        <w:tc>
          <w:tcPr>
            <w:tcW w:w="1300" w:type="dxa"/>
            <w:vAlign w:val="bottom"/>
            <w:shd w:val="clear" w:color="auto" w:fill="CCEEF0"/>
          </w:tcPr>
          <w:p>
            <w:pPr>
              <w:spacing w:after="0"/>
              <w:rPr>
                <w:sz w:val="3"/>
                <w:szCs w:val="3"/>
                <w:color w:val="auto"/>
              </w:rPr>
            </w:pPr>
          </w:p>
        </w:tc>
        <w:tc>
          <w:tcPr>
            <w:tcW w:w="320" w:type="dxa"/>
            <w:vAlign w:val="bottom"/>
            <w:shd w:val="clear" w:color="auto" w:fill="CCEEF0"/>
          </w:tcPr>
          <w:p>
            <w:pPr>
              <w:spacing w:after="0"/>
              <w:rPr>
                <w:sz w:val="3"/>
                <w:szCs w:val="3"/>
                <w:color w:val="auto"/>
              </w:rPr>
            </w:pPr>
          </w:p>
        </w:tc>
        <w:tc>
          <w:tcPr>
            <w:tcW w:w="1540" w:type="dxa"/>
            <w:vAlign w:val="bottom"/>
            <w:shd w:val="clear" w:color="auto" w:fill="CCEEF0"/>
          </w:tcPr>
          <w:p>
            <w:pPr>
              <w:spacing w:after="0"/>
              <w:rPr>
                <w:sz w:val="3"/>
                <w:szCs w:val="3"/>
                <w:color w:val="auto"/>
              </w:rPr>
            </w:pPr>
          </w:p>
        </w:tc>
        <w:tc>
          <w:tcPr>
            <w:tcW w:w="300" w:type="dxa"/>
            <w:vAlign w:val="bottom"/>
            <w:shd w:val="clear" w:color="auto" w:fill="CCEEF0"/>
          </w:tcPr>
          <w:p>
            <w:pPr>
              <w:spacing w:after="0"/>
              <w:rPr>
                <w:sz w:val="3"/>
                <w:szCs w:val="3"/>
                <w:color w:val="auto"/>
              </w:rPr>
            </w:pPr>
          </w:p>
        </w:tc>
        <w:tc>
          <w:tcPr>
            <w:tcW w:w="1580" w:type="dxa"/>
            <w:vAlign w:val="bottom"/>
            <w:shd w:val="clear" w:color="auto" w:fill="CCEE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Joan Lordi C. Amble</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59,957</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tcBorders>
              <w:left w:val="single" w:sz="8" w:color="CCEEF0"/>
              <w:bottom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Debra L. Dial</w:t>
            </w:r>
          </w:p>
        </w:tc>
        <w:tc>
          <w:tcPr>
            <w:tcW w:w="15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w w:val="96"/>
              </w:rPr>
              <w:t>3,029</w:t>
            </w:r>
          </w:p>
        </w:tc>
        <w:tc>
          <w:tcPr>
            <w:tcW w:w="300" w:type="dxa"/>
            <w:vAlign w:val="bottom"/>
            <w:tcBorders>
              <w:bottom w:val="single" w:sz="8" w:color="CCEEF0"/>
            </w:tcBorders>
            <w:shd w:val="clear" w:color="auto" w:fill="CCEEF0"/>
          </w:tcPr>
          <w:p>
            <w:pPr>
              <w:spacing w:after="0"/>
              <w:rPr>
                <w:sz w:val="16"/>
                <w:szCs w:val="16"/>
                <w:color w:val="auto"/>
              </w:rPr>
            </w:pPr>
          </w:p>
        </w:tc>
        <w:tc>
          <w:tcPr>
            <w:tcW w:w="158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Michèle A. Flournoy</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20,835</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240" w:type="dxa"/>
            <w:vAlign w:val="bottom"/>
            <w:tcBorders>
              <w:left w:val="single" w:sz="8" w:color="CCEEF0"/>
              <w:bottom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Mark E. Gaumond</w:t>
            </w:r>
          </w:p>
        </w:tc>
        <w:tc>
          <w:tcPr>
            <w:tcW w:w="15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w w:val="97"/>
              </w:rPr>
              <w:t>62,974</w:t>
            </w:r>
          </w:p>
        </w:tc>
        <w:tc>
          <w:tcPr>
            <w:tcW w:w="300" w:type="dxa"/>
            <w:vAlign w:val="bottom"/>
            <w:tcBorders>
              <w:bottom w:val="single" w:sz="8" w:color="CCEEF0"/>
            </w:tcBorders>
            <w:shd w:val="clear" w:color="auto" w:fill="CCEEF0"/>
          </w:tcPr>
          <w:p>
            <w:pPr>
              <w:spacing w:after="0"/>
              <w:rPr>
                <w:sz w:val="17"/>
                <w:szCs w:val="17"/>
                <w:color w:val="auto"/>
              </w:rPr>
            </w:pPr>
          </w:p>
        </w:tc>
        <w:tc>
          <w:tcPr>
            <w:tcW w:w="158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Ellen Jewett</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16,091</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tcBorders>
              <w:left w:val="single" w:sz="8" w:color="CCEEF0"/>
              <w:bottom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Arthur E. Johnson</w:t>
            </w:r>
          </w:p>
        </w:tc>
        <w:tc>
          <w:tcPr>
            <w:tcW w:w="15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w w:val="97"/>
              </w:rPr>
              <w:t>41,381</w:t>
            </w:r>
          </w:p>
        </w:tc>
        <w:tc>
          <w:tcPr>
            <w:tcW w:w="300" w:type="dxa"/>
            <w:vAlign w:val="bottom"/>
            <w:tcBorders>
              <w:bottom w:val="single" w:sz="8" w:color="CCEEF0"/>
            </w:tcBorders>
            <w:shd w:val="clear" w:color="auto" w:fill="CCEEF0"/>
          </w:tcPr>
          <w:p>
            <w:pPr>
              <w:spacing w:after="0"/>
              <w:rPr>
                <w:sz w:val="16"/>
                <w:szCs w:val="16"/>
                <w:color w:val="auto"/>
              </w:rPr>
            </w:pPr>
          </w:p>
        </w:tc>
        <w:tc>
          <w:tcPr>
            <w:tcW w:w="158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Gretchen W. McClain</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33,147</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tcBorders>
              <w:left w:val="single" w:sz="8" w:color="CCEEF0"/>
              <w:bottom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Robert C. O'Brien</w:t>
            </w:r>
          </w:p>
        </w:tc>
        <w:tc>
          <w:tcPr>
            <w:tcW w:w="15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w w:val="96"/>
              </w:rPr>
              <w:t>2,312</w:t>
            </w:r>
          </w:p>
        </w:tc>
        <w:tc>
          <w:tcPr>
            <w:tcW w:w="300" w:type="dxa"/>
            <w:vAlign w:val="bottom"/>
            <w:tcBorders>
              <w:bottom w:val="single" w:sz="8" w:color="CCEEF0"/>
            </w:tcBorders>
            <w:shd w:val="clear" w:color="auto" w:fill="CCEEF0"/>
          </w:tcPr>
          <w:p>
            <w:pPr>
              <w:spacing w:after="0"/>
              <w:rPr>
                <w:sz w:val="16"/>
                <w:szCs w:val="16"/>
                <w:color w:val="auto"/>
              </w:rPr>
            </w:pPr>
          </w:p>
        </w:tc>
        <w:tc>
          <w:tcPr>
            <w:tcW w:w="158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Rory P. Read</w:t>
            </w:r>
          </w:p>
        </w:tc>
        <w:tc>
          <w:tcPr>
            <w:tcW w:w="1540" w:type="dxa"/>
            <w:vAlign w:val="bottom"/>
          </w:tcPr>
          <w:p>
            <w:pPr>
              <w:jc w:val="center"/>
              <w:spacing w:after="0"/>
              <w:rPr>
                <w:sz w:val="20"/>
                <w:szCs w:val="20"/>
                <w:color w:val="auto"/>
              </w:rPr>
            </w:pPr>
            <w:r>
              <w:rPr>
                <w:rFonts w:ascii="Arial" w:cs="Arial" w:eastAsia="Arial" w:hAnsi="Arial"/>
                <w:sz w:val="14"/>
                <w:szCs w:val="14"/>
                <w:color w:val="auto"/>
                <w:w w:val="96"/>
              </w:rPr>
              <w:t>9,885</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tcBorders>
              <w:left w:val="single" w:sz="8" w:color="CCEEF0"/>
              <w:bottom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Charles O. Rossotti</w:t>
            </w:r>
          </w:p>
        </w:tc>
        <w:tc>
          <w:tcPr>
            <w:tcW w:w="15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w w:val="96"/>
              </w:rPr>
              <w:t>9,096</w:t>
            </w:r>
          </w:p>
        </w:tc>
        <w:tc>
          <w:tcPr>
            <w:tcW w:w="300" w:type="dxa"/>
            <w:vAlign w:val="bottom"/>
            <w:tcBorders>
              <w:bottom w:val="single" w:sz="8" w:color="CCEEF0"/>
            </w:tcBorders>
            <w:shd w:val="clear" w:color="auto" w:fill="CCEEF0"/>
          </w:tcPr>
          <w:p>
            <w:pPr>
              <w:spacing w:after="0"/>
              <w:rPr>
                <w:sz w:val="16"/>
                <w:szCs w:val="16"/>
                <w:color w:val="auto"/>
              </w:rPr>
            </w:pPr>
          </w:p>
        </w:tc>
        <w:tc>
          <w:tcPr>
            <w:tcW w:w="158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240" w:type="dxa"/>
            <w:vAlign w:val="bottom"/>
            <w:gridSpan w:val="3"/>
          </w:tcPr>
          <w:p>
            <w:pPr>
              <w:ind w:left="20"/>
              <w:spacing w:after="0"/>
              <w:rPr>
                <w:sz w:val="20"/>
                <w:szCs w:val="20"/>
                <w:color w:val="auto"/>
              </w:rPr>
            </w:pPr>
            <w:r>
              <w:rPr>
                <w:rFonts w:ascii="Arial" w:cs="Arial" w:eastAsia="Arial" w:hAnsi="Arial"/>
                <w:sz w:val="14"/>
                <w:szCs w:val="14"/>
                <w:color w:val="auto"/>
              </w:rPr>
              <w:t>Horacio D. Rozanski</w:t>
            </w:r>
          </w:p>
        </w:tc>
        <w:tc>
          <w:tcPr>
            <w:tcW w:w="1540" w:type="dxa"/>
            <w:vAlign w:val="bottom"/>
          </w:tcPr>
          <w:p>
            <w:pPr>
              <w:jc w:val="center"/>
              <w:spacing w:after="0"/>
              <w:rPr>
                <w:sz w:val="20"/>
                <w:szCs w:val="20"/>
                <w:color w:val="auto"/>
              </w:rPr>
            </w:pPr>
            <w:r>
              <w:rPr>
                <w:rFonts w:ascii="Arial" w:cs="Arial" w:eastAsia="Arial" w:hAnsi="Arial"/>
                <w:sz w:val="14"/>
                <w:szCs w:val="14"/>
                <w:color w:val="auto"/>
                <w:w w:val="98"/>
              </w:rPr>
              <w:t>672,587</w:t>
            </w: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tcBorders>
              <w:left w:val="single" w:sz="8" w:color="CCEEF0"/>
            </w:tcBorders>
            <w:gridSpan w:val="3"/>
            <w:shd w:val="clear" w:color="auto" w:fill="CCEEF0"/>
          </w:tcPr>
          <w:p>
            <w:pPr>
              <w:ind w:left="20"/>
              <w:spacing w:after="0"/>
              <w:rPr>
                <w:sz w:val="20"/>
                <w:szCs w:val="20"/>
                <w:color w:val="auto"/>
              </w:rPr>
            </w:pPr>
            <w:r>
              <w:rPr>
                <w:rFonts w:ascii="Arial" w:cs="Arial" w:eastAsia="Arial" w:hAnsi="Arial"/>
                <w:sz w:val="14"/>
                <w:szCs w:val="14"/>
                <w:color w:val="auto"/>
              </w:rPr>
              <w:t>William M. Thornberry</w:t>
            </w:r>
          </w:p>
        </w:tc>
        <w:tc>
          <w:tcPr>
            <w:tcW w:w="1540" w:type="dxa"/>
            <w:vAlign w:val="bottom"/>
            <w:shd w:val="clear" w:color="auto" w:fill="CCEEF0"/>
          </w:tcPr>
          <w:p>
            <w:pPr>
              <w:jc w:val="center"/>
              <w:spacing w:after="0"/>
              <w:rPr>
                <w:sz w:val="20"/>
                <w:szCs w:val="20"/>
                <w:color w:val="auto"/>
              </w:rPr>
            </w:pPr>
            <w:r>
              <w:rPr>
                <w:rFonts w:ascii="Arial" w:cs="Arial" w:eastAsia="Arial" w:hAnsi="Arial"/>
                <w:sz w:val="14"/>
                <w:szCs w:val="14"/>
                <w:color w:val="auto"/>
                <w:w w:val="96"/>
              </w:rPr>
              <w:t>4,045</w:t>
            </w:r>
          </w:p>
        </w:tc>
        <w:tc>
          <w:tcPr>
            <w:tcW w:w="300" w:type="dxa"/>
            <w:vAlign w:val="bottom"/>
            <w:shd w:val="clear" w:color="auto" w:fill="CCEEF0"/>
          </w:tcPr>
          <w:p>
            <w:pPr>
              <w:spacing w:after="0"/>
              <w:rPr>
                <w:sz w:val="16"/>
                <w:szCs w:val="16"/>
                <w:color w:val="auto"/>
              </w:rPr>
            </w:pPr>
          </w:p>
        </w:tc>
        <w:tc>
          <w:tcPr>
            <w:tcW w:w="1580" w:type="dxa"/>
            <w:vAlign w:val="bottom"/>
            <w:shd w:val="clear" w:color="auto" w:fill="CCEEF0"/>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20" w:type="dxa"/>
            <w:vAlign w:val="bottom"/>
            <w:tcBorders>
              <w:left w:val="single" w:sz="8" w:color="CCEEF0"/>
            </w:tcBorders>
            <w:shd w:val="clear" w:color="auto" w:fill="CCEEF0"/>
          </w:tcPr>
          <w:p>
            <w:pPr>
              <w:spacing w:after="0" w:line="20" w:lineRule="exact"/>
              <w:rPr>
                <w:sz w:val="1"/>
                <w:szCs w:val="1"/>
                <w:color w:val="auto"/>
              </w:rPr>
            </w:pPr>
          </w:p>
        </w:tc>
        <w:tc>
          <w:tcPr>
            <w:tcW w:w="1300" w:type="dxa"/>
            <w:vAlign w:val="bottom"/>
            <w:shd w:val="clear" w:color="auto" w:fill="CCEEF0"/>
          </w:tcPr>
          <w:p>
            <w:pPr>
              <w:spacing w:after="0" w:line="20" w:lineRule="exact"/>
              <w:rPr>
                <w:sz w:val="1"/>
                <w:szCs w:val="1"/>
                <w:color w:val="auto"/>
              </w:rPr>
            </w:pPr>
          </w:p>
        </w:tc>
        <w:tc>
          <w:tcPr>
            <w:tcW w:w="320" w:type="dxa"/>
            <w:vAlign w:val="bottom"/>
            <w:shd w:val="clear" w:color="auto" w:fill="CCEEF0"/>
          </w:tcPr>
          <w:p>
            <w:pPr>
              <w:spacing w:after="0" w:line="20" w:lineRule="exact"/>
              <w:rPr>
                <w:sz w:val="1"/>
                <w:szCs w:val="1"/>
                <w:color w:val="auto"/>
              </w:rPr>
            </w:pPr>
          </w:p>
        </w:tc>
        <w:tc>
          <w:tcPr>
            <w:tcW w:w="1540" w:type="dxa"/>
            <w:vAlign w:val="bottom"/>
            <w:shd w:val="clear" w:color="auto" w:fill="CCEEF0"/>
          </w:tcPr>
          <w:p>
            <w:pPr>
              <w:spacing w:after="0" w:line="20" w:lineRule="exact"/>
              <w:rPr>
                <w:sz w:val="1"/>
                <w:szCs w:val="1"/>
                <w:color w:val="auto"/>
              </w:rPr>
            </w:pPr>
          </w:p>
        </w:tc>
        <w:tc>
          <w:tcPr>
            <w:tcW w:w="300" w:type="dxa"/>
            <w:vAlign w:val="bottom"/>
            <w:shd w:val="clear" w:color="auto" w:fill="CCEEF0"/>
          </w:tcPr>
          <w:p>
            <w:pPr>
              <w:spacing w:after="0" w:line="20" w:lineRule="exact"/>
              <w:rPr>
                <w:sz w:val="1"/>
                <w:szCs w:val="1"/>
                <w:color w:val="auto"/>
              </w:rPr>
            </w:pPr>
          </w:p>
        </w:tc>
        <w:tc>
          <w:tcPr>
            <w:tcW w:w="1580" w:type="dxa"/>
            <w:vAlign w:val="bottom"/>
            <w:shd w:val="clear" w:color="auto" w:fill="CCEEF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21590</wp:posOffset>
            </wp:positionV>
            <wp:extent cx="4227195"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27195" cy="13462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p>
      <w:pPr>
        <w:spacing w:after="0" w:line="38"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Kristine Martin Anderson</w:t>
      </w:r>
    </w:p>
    <w:p>
      <w:pPr>
        <w:spacing w:after="0" w:line="5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Richard Crowe</w:t>
      </w:r>
    </w:p>
    <w:p>
      <w:pPr>
        <w:spacing w:after="0" w:line="5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Andrea Inserra</w:t>
      </w:r>
    </w:p>
    <w:p>
      <w:pPr>
        <w:spacing w:after="0" w:line="5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Tom Pfeifer</w:t>
      </w:r>
    </w:p>
    <w:p>
      <w:pPr>
        <w:spacing w:after="0" w:line="51"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Matthew A. Calderone</w:t>
      </w:r>
    </w:p>
    <w:p>
      <w:pPr>
        <w:spacing w:after="0" w:line="3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All directors and executive officers as a group</w:t>
      </w:r>
    </w:p>
    <w:p>
      <w:pPr>
        <w:ind w:left="2480"/>
        <w:spacing w:after="0"/>
        <w:rPr>
          <w:sz w:val="20"/>
          <w:szCs w:val="20"/>
          <w:color w:val="auto"/>
        </w:rPr>
      </w:pPr>
      <w:r>
        <w:rPr>
          <w:rFonts w:ascii="Arial" w:cs="Arial" w:eastAsia="Arial" w:hAnsi="Arial"/>
          <w:sz w:val="14"/>
          <w:szCs w:val="14"/>
          <w:color w:val="auto"/>
        </w:rPr>
        <w:t>(22 persons)</w:t>
      </w:r>
      <w:r>
        <w:rPr>
          <w:rFonts w:ascii="Arial" w:cs="Arial" w:eastAsia="Arial" w:hAnsi="Arial"/>
          <w:sz w:val="9"/>
          <w:szCs w:val="9"/>
          <w:color w:val="auto"/>
        </w:rPr>
        <w:t>(6)(7)</w:t>
      </w:r>
    </w:p>
    <w:p>
      <w:pPr>
        <w:spacing w:after="0" w:line="103" w:lineRule="exact"/>
        <w:rPr>
          <w:sz w:val="20"/>
          <w:szCs w:val="20"/>
          <w:color w:val="auto"/>
        </w:rPr>
      </w:pPr>
    </w:p>
    <w:p>
      <w:pPr>
        <w:ind w:left="580" w:hanging="217"/>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4"/>
              </w:rPr>
              <w:t>135,428</w:t>
            </w:r>
            <w:r>
              <w:rPr>
                <w:rFonts w:ascii="Arial" w:cs="Arial" w:eastAsia="Arial" w:hAnsi="Arial"/>
                <w:sz w:val="18"/>
                <w:szCs w:val="18"/>
                <w:color w:val="auto"/>
                <w:w w:val="94"/>
                <w:vertAlign w:val="superscript"/>
              </w:rPr>
              <w:t>(1)</w:t>
            </w:r>
          </w:p>
        </w:tc>
        <w:tc>
          <w:tcPr>
            <w:tcW w:w="1080" w:type="dxa"/>
            <w:vAlign w:val="bottom"/>
          </w:tcPr>
          <w:p>
            <w:pPr>
              <w:jc w:val="center"/>
              <w:ind w:left="589"/>
              <w:spacing w:after="0"/>
              <w:rPr>
                <w:sz w:val="20"/>
                <w:szCs w:val="20"/>
                <w:color w:val="auto"/>
              </w:rPr>
            </w:pPr>
            <w:r>
              <w:rPr>
                <w:rFonts w:ascii="Arial" w:cs="Arial" w:eastAsia="Arial" w:hAnsi="Arial"/>
                <w:sz w:val="14"/>
                <w:szCs w:val="14"/>
                <w:color w:val="auto"/>
              </w:rPr>
              <w:t>*</w:t>
            </w:r>
          </w:p>
        </w:tc>
      </w:tr>
      <w:tr>
        <w:trPr>
          <w:trHeight w:val="212"/>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3"/>
              </w:rPr>
              <w:t>55,337</w:t>
            </w:r>
            <w:r>
              <w:rPr>
                <w:rFonts w:ascii="Arial" w:cs="Arial" w:eastAsia="Arial" w:hAnsi="Arial"/>
                <w:sz w:val="18"/>
                <w:szCs w:val="18"/>
                <w:color w:val="auto"/>
                <w:w w:val="93"/>
                <w:vertAlign w:val="superscript"/>
              </w:rPr>
              <w:t>(2)</w:t>
            </w:r>
          </w:p>
        </w:tc>
        <w:tc>
          <w:tcPr>
            <w:tcW w:w="1080" w:type="dxa"/>
            <w:vAlign w:val="bottom"/>
          </w:tcPr>
          <w:p>
            <w:pPr>
              <w:jc w:val="center"/>
              <w:ind w:left="589"/>
              <w:spacing w:after="0"/>
              <w:rPr>
                <w:sz w:val="20"/>
                <w:szCs w:val="20"/>
                <w:color w:val="auto"/>
              </w:rPr>
            </w:pPr>
            <w:r>
              <w:rPr>
                <w:rFonts w:ascii="Arial" w:cs="Arial" w:eastAsia="Arial" w:hAnsi="Arial"/>
                <w:sz w:val="14"/>
                <w:szCs w:val="14"/>
                <w:color w:val="auto"/>
              </w:rPr>
              <w:t>*</w:t>
            </w:r>
          </w:p>
        </w:tc>
      </w:tr>
      <w:tr>
        <w:trPr>
          <w:trHeight w:val="212"/>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3"/>
              </w:rPr>
              <w:t>24,290</w:t>
            </w:r>
            <w:r>
              <w:rPr>
                <w:rFonts w:ascii="Arial" w:cs="Arial" w:eastAsia="Arial" w:hAnsi="Arial"/>
                <w:sz w:val="18"/>
                <w:szCs w:val="18"/>
                <w:color w:val="auto"/>
                <w:w w:val="93"/>
                <w:vertAlign w:val="superscript"/>
              </w:rPr>
              <w:t>(3)</w:t>
            </w:r>
          </w:p>
        </w:tc>
        <w:tc>
          <w:tcPr>
            <w:tcW w:w="1080" w:type="dxa"/>
            <w:vAlign w:val="bottom"/>
          </w:tcPr>
          <w:p>
            <w:pPr>
              <w:jc w:val="center"/>
              <w:ind w:left="589"/>
              <w:spacing w:after="0"/>
              <w:rPr>
                <w:sz w:val="20"/>
                <w:szCs w:val="20"/>
                <w:color w:val="auto"/>
              </w:rPr>
            </w:pPr>
            <w:r>
              <w:rPr>
                <w:rFonts w:ascii="Arial" w:cs="Arial" w:eastAsia="Arial" w:hAnsi="Arial"/>
                <w:sz w:val="14"/>
                <w:szCs w:val="14"/>
                <w:color w:val="auto"/>
              </w:rPr>
              <w:t>*</w:t>
            </w:r>
          </w:p>
        </w:tc>
      </w:tr>
      <w:tr>
        <w:trPr>
          <w:trHeight w:val="212"/>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3"/>
              </w:rPr>
              <w:t>70,391</w:t>
            </w:r>
            <w:r>
              <w:rPr>
                <w:rFonts w:ascii="Arial" w:cs="Arial" w:eastAsia="Arial" w:hAnsi="Arial"/>
                <w:sz w:val="18"/>
                <w:szCs w:val="18"/>
                <w:color w:val="auto"/>
                <w:w w:val="93"/>
                <w:vertAlign w:val="superscript"/>
              </w:rPr>
              <w:t>(4)</w:t>
            </w:r>
          </w:p>
        </w:tc>
        <w:tc>
          <w:tcPr>
            <w:tcW w:w="1080" w:type="dxa"/>
            <w:vAlign w:val="bottom"/>
          </w:tcPr>
          <w:p>
            <w:pPr>
              <w:jc w:val="center"/>
              <w:ind w:left="589"/>
              <w:spacing w:after="0"/>
              <w:rPr>
                <w:sz w:val="20"/>
                <w:szCs w:val="20"/>
                <w:color w:val="auto"/>
              </w:rPr>
            </w:pPr>
            <w:r>
              <w:rPr>
                <w:rFonts w:ascii="Arial" w:cs="Arial" w:eastAsia="Arial" w:hAnsi="Arial"/>
                <w:sz w:val="14"/>
                <w:szCs w:val="14"/>
                <w:color w:val="auto"/>
              </w:rPr>
              <w:t>*</w:t>
            </w:r>
          </w:p>
        </w:tc>
      </w:tr>
      <w:tr>
        <w:trPr>
          <w:trHeight w:val="254"/>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3"/>
              </w:rPr>
              <w:t>35,529</w:t>
            </w:r>
            <w:r>
              <w:rPr>
                <w:rFonts w:ascii="Arial" w:cs="Arial" w:eastAsia="Arial" w:hAnsi="Arial"/>
                <w:sz w:val="18"/>
                <w:szCs w:val="18"/>
                <w:color w:val="auto"/>
                <w:w w:val="93"/>
                <w:vertAlign w:val="superscript"/>
              </w:rPr>
              <w:t>(5)</w:t>
            </w:r>
          </w:p>
        </w:tc>
        <w:tc>
          <w:tcPr>
            <w:tcW w:w="1080" w:type="dxa"/>
            <w:vAlign w:val="bottom"/>
          </w:tcPr>
          <w:p>
            <w:pPr>
              <w:jc w:val="center"/>
              <w:ind w:left="589"/>
              <w:spacing w:after="0"/>
              <w:rPr>
                <w:sz w:val="20"/>
                <w:szCs w:val="20"/>
                <w:color w:val="auto"/>
              </w:rPr>
            </w:pPr>
            <w:r>
              <w:rPr>
                <w:rFonts w:ascii="Arial" w:cs="Arial" w:eastAsia="Arial" w:hAnsi="Arial"/>
                <w:sz w:val="14"/>
                <w:szCs w:val="14"/>
                <w:color w:val="auto"/>
              </w:rPr>
              <w:t>*</w:t>
            </w:r>
          </w:p>
        </w:tc>
      </w:tr>
      <w:tr>
        <w:trPr>
          <w:trHeight w:val="289"/>
        </w:trPr>
        <w:tc>
          <w:tcPr>
            <w:tcW w:w="1300" w:type="dxa"/>
            <w:vAlign w:val="bottom"/>
          </w:tcPr>
          <w:p>
            <w:pPr>
              <w:jc w:val="center"/>
              <w:ind w:right="609"/>
              <w:spacing w:after="0"/>
              <w:rPr>
                <w:sz w:val="20"/>
                <w:szCs w:val="20"/>
                <w:color w:val="auto"/>
              </w:rPr>
            </w:pPr>
            <w:r>
              <w:rPr>
                <w:rFonts w:ascii="Arial" w:cs="Arial" w:eastAsia="Arial" w:hAnsi="Arial"/>
                <w:sz w:val="14"/>
                <w:szCs w:val="14"/>
                <w:color w:val="auto"/>
                <w:w w:val="99"/>
              </w:rPr>
              <w:t>1,294,612</w:t>
            </w:r>
          </w:p>
        </w:tc>
        <w:tc>
          <w:tcPr>
            <w:tcW w:w="1080" w:type="dxa"/>
            <w:vAlign w:val="bottom"/>
          </w:tcPr>
          <w:p>
            <w:pPr>
              <w:jc w:val="center"/>
              <w:ind w:left="609"/>
              <w:spacing w:after="0"/>
              <w:rPr>
                <w:sz w:val="20"/>
                <w:szCs w:val="20"/>
                <w:color w:val="auto"/>
              </w:rPr>
            </w:pPr>
            <w:r>
              <w:rPr>
                <w:rFonts w:ascii="Arial" w:cs="Arial" w:eastAsia="Arial" w:hAnsi="Arial"/>
                <w:sz w:val="14"/>
                <w:szCs w:val="14"/>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-615315</wp:posOffset>
            </wp:positionV>
            <wp:extent cx="4227195"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27195" cy="13462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-346710</wp:posOffset>
            </wp:positionV>
            <wp:extent cx="4227195"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27195" cy="13462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440" w:space="720"/>
            <w:col w:w="5080"/>
          </w:cols>
          <w:pgMar w:left="320" w:top="1021" w:right="339" w:bottom="1440" w:gutter="0" w:footer="0" w:header="0"/>
          <w:type w:val="continuous"/>
        </w:sectPr>
      </w:pPr>
    </w:p>
    <w:p>
      <w:pPr>
        <w:ind w:left="660" w:hanging="41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49,858 shares that Ms. Anderson has the right to acquire through the exercise of options.</w:t>
      </w:r>
    </w:p>
    <w:p>
      <w:pPr>
        <w:spacing w:after="0" w:line="169" w:lineRule="exact"/>
        <w:rPr>
          <w:rFonts w:ascii="Arial" w:cs="Arial" w:eastAsia="Arial" w:hAnsi="Arial"/>
          <w:sz w:val="14"/>
          <w:szCs w:val="14"/>
          <w:color w:val="auto"/>
        </w:rPr>
      </w:pPr>
    </w:p>
    <w:p>
      <w:pPr>
        <w:ind w:left="660" w:hanging="41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29,076 shares that Mr. Crowe has the right to acquire through the exercise of options.</w:t>
      </w:r>
    </w:p>
    <w:p>
      <w:pPr>
        <w:spacing w:after="0" w:line="169" w:lineRule="exact"/>
        <w:rPr>
          <w:rFonts w:ascii="Arial" w:cs="Arial" w:eastAsia="Arial" w:hAnsi="Arial"/>
          <w:sz w:val="14"/>
          <w:szCs w:val="14"/>
          <w:color w:val="auto"/>
        </w:rPr>
      </w:pPr>
    </w:p>
    <w:p>
      <w:pPr>
        <w:ind w:left="660" w:hanging="41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1,870 shares that Ms. Inserra has the right to acquire through the exercise of options.</w:t>
      </w:r>
    </w:p>
    <w:p>
      <w:pPr>
        <w:spacing w:after="0" w:line="169" w:lineRule="exact"/>
        <w:rPr>
          <w:rFonts w:ascii="Arial" w:cs="Arial" w:eastAsia="Arial" w:hAnsi="Arial"/>
          <w:sz w:val="14"/>
          <w:szCs w:val="14"/>
          <w:color w:val="auto"/>
        </w:rPr>
      </w:pPr>
    </w:p>
    <w:p>
      <w:pPr>
        <w:ind w:left="660" w:hanging="41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36,072 shares that Mr. Pfeifer has the right to acquire through the exercise of options.</w:t>
      </w:r>
    </w:p>
    <w:p>
      <w:pPr>
        <w:spacing w:after="0" w:line="156" w:lineRule="exact"/>
        <w:rPr>
          <w:rFonts w:ascii="Arial" w:cs="Arial" w:eastAsia="Arial" w:hAnsi="Arial"/>
          <w:sz w:val="14"/>
          <w:szCs w:val="14"/>
          <w:color w:val="auto"/>
        </w:rPr>
      </w:pPr>
    </w:p>
    <w:p>
      <w:pPr>
        <w:ind w:left="640" w:hanging="396"/>
        <w:spacing w:after="0" w:line="293" w:lineRule="auto"/>
        <w:tabs>
          <w:tab w:leader="none" w:pos="653"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Beneficial ownership information for Mr. Calderone is based solely on the Company’s records during the period of his employment and any reports on Form 4 filed by or on behalf of Mr. Calderone following his retirement from the Company effective February 1, 2026.</w:t>
      </w:r>
    </w:p>
    <w:p>
      <w:pPr>
        <w:spacing w:after="0" w:line="109" w:lineRule="exact"/>
        <w:rPr>
          <w:rFonts w:ascii="Arial" w:cs="Arial" w:eastAsia="Arial" w:hAnsi="Arial"/>
          <w:sz w:val="14"/>
          <w:szCs w:val="14"/>
          <w:color w:val="auto"/>
        </w:rPr>
      </w:pPr>
    </w:p>
    <w:p>
      <w:pPr>
        <w:ind w:left="660" w:hanging="41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142,822 shares that the directors and executive officers, in aggregate, have the right to acquire through the exercise of options.</w:t>
      </w:r>
    </w:p>
    <w:p>
      <w:pPr>
        <w:spacing w:after="0" w:line="169" w:lineRule="exact"/>
        <w:rPr>
          <w:rFonts w:ascii="Arial" w:cs="Arial" w:eastAsia="Arial" w:hAnsi="Arial"/>
          <w:sz w:val="14"/>
          <w:szCs w:val="14"/>
          <w:color w:val="auto"/>
        </w:rPr>
      </w:pPr>
    </w:p>
    <w:p>
      <w:pPr>
        <w:ind w:left="640" w:hanging="396"/>
        <w:spacing w:after="0" w:line="293" w:lineRule="auto"/>
        <w:tabs>
          <w:tab w:leader="none" w:pos="653"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Nolan did not own shares of our Class A common stock as of May 15, 2026 because he was elected to the Board effective June 1, 2026, following the end of fiscal year 2026.</w:t>
      </w:r>
    </w:p>
    <w:p>
      <w:pPr>
        <w:sectPr>
          <w:pgSz w:w="11900" w:h="16838" w:orient="portrait"/>
          <w:cols w:equalWidth="0" w:num="1">
            <w:col w:w="11240"/>
          </w:cols>
          <w:pgMar w:left="320" w:top="1021"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1"/>
          <w:szCs w:val="21"/>
          <w:b w:val="1"/>
          <w:bCs w:val="1"/>
          <w:u w:val="single" w:color="auto"/>
          <w:color w:val="00A5B5"/>
        </w:rPr>
        <w:t>Security Ownership of Certain Beneficial Owners</w:t>
      </w:r>
    </w:p>
    <w:p>
      <w:pPr>
        <w:spacing w:after="0" w:line="16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sets forth information as to any person known to us to be the beneficial owner of more than 5% of our Class A common stock.</w:t>
      </w:r>
    </w:p>
    <w:p>
      <w:pPr>
        <w:spacing w:after="0" w:line="153" w:lineRule="exact"/>
        <w:rPr>
          <w:sz w:val="20"/>
          <w:szCs w:val="20"/>
          <w:color w:val="auto"/>
        </w:rPr>
      </w:pPr>
    </w:p>
    <w:tbl>
      <w:tblPr>
        <w:tblLayout w:type="fixed"/>
        <w:tblInd w:w="1780" w:type="dxa"/>
        <w:tblCellMar>
          <w:top w:w="0" w:type="dxa"/>
          <w:left w:w="0" w:type="dxa"/>
          <w:bottom w:w="0" w:type="dxa"/>
          <w:right w:w="0" w:type="dxa"/>
        </w:tblCellMar>
      </w:tblPr>
      <w:tr>
        <w:trPr>
          <w:trHeight w:val="189"/>
        </w:trPr>
        <w:tc>
          <w:tcPr>
            <w:tcW w:w="3680" w:type="dxa"/>
            <w:vAlign w:val="bottom"/>
            <w:vMerge w:val="restart"/>
            <w:shd w:val="clear" w:color="auto" w:fill="23D2D7"/>
          </w:tcPr>
          <w:p>
            <w:pPr>
              <w:ind w:left="20"/>
              <w:spacing w:after="0"/>
              <w:rPr>
                <w:sz w:val="20"/>
                <w:szCs w:val="20"/>
                <w:color w:val="auto"/>
              </w:rPr>
            </w:pPr>
            <w:r>
              <w:rPr>
                <w:rFonts w:ascii="Arial" w:cs="Arial" w:eastAsia="Arial" w:hAnsi="Arial"/>
                <w:sz w:val="14"/>
                <w:szCs w:val="14"/>
                <w:b w:val="1"/>
                <w:bCs w:val="1"/>
                <w:color w:val="auto"/>
              </w:rPr>
              <w:t>Name and Address</w:t>
            </w:r>
          </w:p>
        </w:tc>
        <w:tc>
          <w:tcPr>
            <w:tcW w:w="2240" w:type="dxa"/>
            <w:vAlign w:val="bottom"/>
            <w:shd w:val="clear" w:color="auto" w:fill="23D2D7"/>
          </w:tcPr>
          <w:p>
            <w:pPr>
              <w:jc w:val="center"/>
              <w:ind w:left="269"/>
              <w:spacing w:after="0"/>
              <w:rPr>
                <w:sz w:val="20"/>
                <w:szCs w:val="20"/>
                <w:color w:val="auto"/>
              </w:rPr>
            </w:pPr>
            <w:r>
              <w:rPr>
                <w:rFonts w:ascii="Arial" w:cs="Arial" w:eastAsia="Arial" w:hAnsi="Arial"/>
                <w:sz w:val="14"/>
                <w:szCs w:val="14"/>
                <w:b w:val="1"/>
                <w:bCs w:val="1"/>
                <w:color w:val="auto"/>
              </w:rPr>
              <w:t>Shares Beneficially</w:t>
            </w:r>
          </w:p>
        </w:tc>
        <w:tc>
          <w:tcPr>
            <w:tcW w:w="1780" w:type="dxa"/>
            <w:vAlign w:val="bottom"/>
            <w:vMerge w:val="restart"/>
            <w:shd w:val="clear" w:color="auto" w:fill="23D2D7"/>
          </w:tcPr>
          <w:p>
            <w:pPr>
              <w:ind w:left="300"/>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1"/>
        </w:trPr>
        <w:tc>
          <w:tcPr>
            <w:tcW w:w="3680" w:type="dxa"/>
            <w:vAlign w:val="bottom"/>
            <w:vMerge w:val="continue"/>
            <w:shd w:val="clear" w:color="auto" w:fill="23D2D7"/>
          </w:tcPr>
          <w:p>
            <w:pPr>
              <w:spacing w:after="0"/>
              <w:rPr>
                <w:sz w:val="15"/>
                <w:szCs w:val="15"/>
                <w:color w:val="auto"/>
              </w:rPr>
            </w:pPr>
          </w:p>
        </w:tc>
        <w:tc>
          <w:tcPr>
            <w:tcW w:w="2240" w:type="dxa"/>
            <w:vAlign w:val="bottom"/>
            <w:shd w:val="clear" w:color="auto" w:fill="23D2D7"/>
          </w:tcPr>
          <w:p>
            <w:pPr>
              <w:jc w:val="center"/>
              <w:ind w:left="269"/>
              <w:spacing w:after="0"/>
              <w:rPr>
                <w:sz w:val="20"/>
                <w:szCs w:val="20"/>
                <w:color w:val="auto"/>
              </w:rPr>
            </w:pPr>
            <w:r>
              <w:rPr>
                <w:rFonts w:ascii="Arial" w:cs="Arial" w:eastAsia="Arial" w:hAnsi="Arial"/>
                <w:sz w:val="14"/>
                <w:szCs w:val="14"/>
                <w:b w:val="1"/>
                <w:bCs w:val="1"/>
                <w:color w:val="auto"/>
                <w:w w:val="98"/>
              </w:rPr>
              <w:t>Owned</w:t>
            </w:r>
          </w:p>
        </w:tc>
        <w:tc>
          <w:tcPr>
            <w:tcW w:w="1780" w:type="dxa"/>
            <w:vAlign w:val="bottom"/>
            <w:vMerge w:val="continue"/>
            <w:shd w:val="clear" w:color="auto" w:fill="23D2D7"/>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0"/>
          </w:tcPr>
          <w:p>
            <w:pPr>
              <w:ind w:left="20"/>
              <w:spacing w:after="0" w:line="150" w:lineRule="exact"/>
              <w:rPr>
                <w:sz w:val="20"/>
                <w:szCs w:val="20"/>
                <w:color w:val="auto"/>
              </w:rPr>
            </w:pPr>
            <w:r>
              <w:rPr>
                <w:rFonts w:ascii="Arial" w:cs="Arial" w:eastAsia="Arial" w:hAnsi="Arial"/>
                <w:sz w:val="13"/>
                <w:szCs w:val="13"/>
                <w:b w:val="1"/>
                <w:bCs w:val="1"/>
                <w:color w:val="auto"/>
              </w:rPr>
              <w:t>Blackrock, Inc.</w:t>
            </w:r>
            <w:r>
              <w:rPr>
                <w:rFonts w:ascii="Arial" w:cs="Arial" w:eastAsia="Arial" w:hAnsi="Arial"/>
                <w:sz w:val="17"/>
                <w:szCs w:val="17"/>
                <w:b w:val="1"/>
                <w:bCs w:val="1"/>
                <w:color w:val="auto"/>
                <w:vertAlign w:val="superscript"/>
              </w:rPr>
              <w:t>(1)</w:t>
            </w:r>
          </w:p>
        </w:tc>
        <w:tc>
          <w:tcPr>
            <w:tcW w:w="2240" w:type="dxa"/>
            <w:vAlign w:val="bottom"/>
            <w:shd w:val="clear" w:color="auto" w:fill="CCEEF0"/>
          </w:tcPr>
          <w:p>
            <w:pPr>
              <w:spacing w:after="0"/>
              <w:rPr>
                <w:sz w:val="12"/>
                <w:szCs w:val="12"/>
                <w:color w:val="auto"/>
              </w:rPr>
            </w:pPr>
          </w:p>
        </w:tc>
        <w:tc>
          <w:tcPr>
            <w:tcW w:w="1780" w:type="dxa"/>
            <w:vAlign w:val="bottom"/>
            <w:shd w:val="clear" w:color="auto" w:fill="CCEEF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EF0"/>
          </w:tcPr>
          <w:p>
            <w:pPr>
              <w:ind w:left="20"/>
              <w:spacing w:after="0" w:line="155" w:lineRule="exact"/>
              <w:rPr>
                <w:sz w:val="20"/>
                <w:szCs w:val="20"/>
                <w:color w:val="auto"/>
              </w:rPr>
            </w:pPr>
            <w:r>
              <w:rPr>
                <w:rFonts w:ascii="Arial" w:cs="Arial" w:eastAsia="Arial" w:hAnsi="Arial"/>
                <w:sz w:val="14"/>
                <w:szCs w:val="14"/>
                <w:color w:val="auto"/>
              </w:rPr>
              <w:t>50 Hudson Yards</w:t>
            </w:r>
          </w:p>
        </w:tc>
        <w:tc>
          <w:tcPr>
            <w:tcW w:w="2240" w:type="dxa"/>
            <w:vAlign w:val="bottom"/>
            <w:shd w:val="clear" w:color="auto" w:fill="CCEEF0"/>
          </w:tcPr>
          <w:p>
            <w:pPr>
              <w:jc w:val="center"/>
              <w:ind w:left="269"/>
              <w:spacing w:after="0" w:line="155" w:lineRule="exact"/>
              <w:rPr>
                <w:sz w:val="20"/>
                <w:szCs w:val="20"/>
                <w:color w:val="auto"/>
              </w:rPr>
            </w:pPr>
            <w:r>
              <w:rPr>
                <w:rFonts w:ascii="Arial" w:cs="Arial" w:eastAsia="Arial" w:hAnsi="Arial"/>
                <w:sz w:val="14"/>
                <w:szCs w:val="14"/>
                <w:color w:val="auto"/>
                <w:w w:val="99"/>
              </w:rPr>
              <w:t>13,083,615</w:t>
            </w:r>
          </w:p>
        </w:tc>
        <w:tc>
          <w:tcPr>
            <w:tcW w:w="1780" w:type="dxa"/>
            <w:vAlign w:val="bottom"/>
            <w:shd w:val="clear" w:color="auto" w:fill="CCEEF0"/>
          </w:tcPr>
          <w:p>
            <w:pPr>
              <w:jc w:val="center"/>
              <w:ind w:left="69"/>
              <w:spacing w:after="0" w:line="155"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0"/>
            </w:tcBorders>
            <w:shd w:val="clear" w:color="auto" w:fill="CCEEF0"/>
          </w:tcPr>
          <w:p>
            <w:pPr>
              <w:ind w:left="20"/>
              <w:spacing w:after="0"/>
              <w:rPr>
                <w:sz w:val="20"/>
                <w:szCs w:val="20"/>
                <w:color w:val="auto"/>
              </w:rPr>
            </w:pPr>
            <w:r>
              <w:rPr>
                <w:rFonts w:ascii="Arial" w:cs="Arial" w:eastAsia="Arial" w:hAnsi="Arial"/>
                <w:sz w:val="14"/>
                <w:szCs w:val="14"/>
                <w:color w:val="auto"/>
              </w:rPr>
              <w:t>New York, New York 10001</w:t>
            </w:r>
          </w:p>
        </w:tc>
        <w:tc>
          <w:tcPr>
            <w:tcW w:w="2240" w:type="dxa"/>
            <w:vAlign w:val="bottom"/>
            <w:tcBorders>
              <w:bottom w:val="single" w:sz="8" w:color="CCEEF0"/>
            </w:tcBorders>
            <w:shd w:val="clear" w:color="auto" w:fill="CCEEF0"/>
          </w:tcPr>
          <w:p>
            <w:pPr>
              <w:spacing w:after="0"/>
              <w:rPr>
                <w:sz w:val="16"/>
                <w:szCs w:val="16"/>
                <w:color w:val="auto"/>
              </w:rPr>
            </w:pPr>
          </w:p>
        </w:tc>
        <w:tc>
          <w:tcPr>
            <w:tcW w:w="1780" w:type="dxa"/>
            <w:vAlign w:val="bottom"/>
            <w:tcBorders>
              <w:bottom w:val="single" w:sz="8" w:color="CCEEF0"/>
            </w:tcBorders>
            <w:shd w:val="clear" w:color="auto" w:fill="CCEEF0"/>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50" w:lineRule="exact"/>
              <w:rPr>
                <w:sz w:val="20"/>
                <w:szCs w:val="20"/>
                <w:color w:val="auto"/>
              </w:rPr>
            </w:pPr>
            <w:r>
              <w:rPr>
                <w:rFonts w:ascii="Arial" w:cs="Arial" w:eastAsia="Arial" w:hAnsi="Arial"/>
                <w:sz w:val="13"/>
                <w:szCs w:val="13"/>
                <w:b w:val="1"/>
                <w:bCs w:val="1"/>
                <w:color w:val="auto"/>
              </w:rPr>
              <w:t>Vanguard Portfolio Management</w:t>
            </w:r>
            <w:r>
              <w:rPr>
                <w:rFonts w:ascii="Arial" w:cs="Arial" w:eastAsia="Arial" w:hAnsi="Arial"/>
                <w:sz w:val="17"/>
                <w:szCs w:val="17"/>
                <w:b w:val="1"/>
                <w:bCs w:val="1"/>
                <w:color w:val="auto"/>
                <w:vertAlign w:val="superscript"/>
              </w:rPr>
              <w:t>(2)</w:t>
            </w:r>
          </w:p>
        </w:tc>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tcPr>
          <w:p>
            <w:pPr>
              <w:ind w:left="20"/>
              <w:spacing w:after="0" w:line="155" w:lineRule="exact"/>
              <w:rPr>
                <w:sz w:val="20"/>
                <w:szCs w:val="20"/>
                <w:color w:val="auto"/>
              </w:rPr>
            </w:pPr>
            <w:r>
              <w:rPr>
                <w:rFonts w:ascii="Arial" w:cs="Arial" w:eastAsia="Arial" w:hAnsi="Arial"/>
                <w:sz w:val="14"/>
                <w:szCs w:val="14"/>
                <w:color w:val="auto"/>
              </w:rPr>
              <w:t>100 Vanguard Blvd</w:t>
            </w:r>
          </w:p>
        </w:tc>
        <w:tc>
          <w:tcPr>
            <w:tcW w:w="2240" w:type="dxa"/>
            <w:vAlign w:val="bottom"/>
          </w:tcPr>
          <w:p>
            <w:pPr>
              <w:jc w:val="center"/>
              <w:ind w:left="269"/>
              <w:spacing w:after="0" w:line="155" w:lineRule="exact"/>
              <w:rPr>
                <w:sz w:val="20"/>
                <w:szCs w:val="20"/>
                <w:color w:val="auto"/>
              </w:rPr>
            </w:pPr>
            <w:r>
              <w:rPr>
                <w:rFonts w:ascii="Arial" w:cs="Arial" w:eastAsia="Arial" w:hAnsi="Arial"/>
                <w:sz w:val="14"/>
                <w:szCs w:val="14"/>
                <w:color w:val="auto"/>
                <w:w w:val="99"/>
              </w:rPr>
              <w:t>7,904,320</w:t>
            </w:r>
          </w:p>
        </w:tc>
        <w:tc>
          <w:tcPr>
            <w:tcW w:w="1780" w:type="dxa"/>
            <w:vAlign w:val="bottom"/>
          </w:tcPr>
          <w:p>
            <w:pPr>
              <w:jc w:val="center"/>
              <w:ind w:left="69"/>
              <w:spacing w:after="0" w:line="155" w:lineRule="exact"/>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2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shd w:val="clear" w:color="auto" w:fill="CCEEF0"/>
          </w:tcPr>
          <w:p>
            <w:pPr>
              <w:ind w:left="20"/>
              <w:spacing w:after="0" w:line="150" w:lineRule="exact"/>
              <w:rPr>
                <w:sz w:val="20"/>
                <w:szCs w:val="20"/>
                <w:color w:val="auto"/>
              </w:rPr>
            </w:pPr>
            <w:r>
              <w:rPr>
                <w:rFonts w:ascii="Arial" w:cs="Arial" w:eastAsia="Arial" w:hAnsi="Arial"/>
                <w:sz w:val="13"/>
                <w:szCs w:val="13"/>
                <w:b w:val="1"/>
                <w:bCs w:val="1"/>
                <w:color w:val="auto"/>
              </w:rPr>
              <w:t>T. Rowe Price Investment Management, Inc.</w:t>
            </w:r>
            <w:r>
              <w:rPr>
                <w:rFonts w:ascii="Arial" w:cs="Arial" w:eastAsia="Arial" w:hAnsi="Arial"/>
                <w:sz w:val="17"/>
                <w:szCs w:val="17"/>
                <w:b w:val="1"/>
                <w:bCs w:val="1"/>
                <w:color w:val="auto"/>
                <w:vertAlign w:val="superscript"/>
              </w:rPr>
              <w:t>(3)</w:t>
            </w:r>
          </w:p>
        </w:tc>
        <w:tc>
          <w:tcPr>
            <w:tcW w:w="2240" w:type="dxa"/>
            <w:vAlign w:val="bottom"/>
            <w:shd w:val="clear" w:color="auto" w:fill="CCEEF0"/>
          </w:tcPr>
          <w:p>
            <w:pPr>
              <w:spacing w:after="0"/>
              <w:rPr>
                <w:sz w:val="12"/>
                <w:szCs w:val="12"/>
                <w:color w:val="auto"/>
              </w:rPr>
            </w:pPr>
          </w:p>
        </w:tc>
        <w:tc>
          <w:tcPr>
            <w:tcW w:w="1780" w:type="dxa"/>
            <w:vAlign w:val="bottom"/>
            <w:shd w:val="clear" w:color="auto" w:fill="CCEEF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EF0"/>
          </w:tcPr>
          <w:p>
            <w:pPr>
              <w:ind w:left="20"/>
              <w:spacing w:after="0" w:line="155" w:lineRule="exact"/>
              <w:rPr>
                <w:sz w:val="20"/>
                <w:szCs w:val="20"/>
                <w:color w:val="auto"/>
              </w:rPr>
            </w:pPr>
            <w:r>
              <w:rPr>
                <w:rFonts w:ascii="Arial" w:cs="Arial" w:eastAsia="Arial" w:hAnsi="Arial"/>
                <w:sz w:val="14"/>
                <w:szCs w:val="14"/>
                <w:color w:val="auto"/>
              </w:rPr>
              <w:t>1307 Point Street</w:t>
            </w:r>
          </w:p>
        </w:tc>
        <w:tc>
          <w:tcPr>
            <w:tcW w:w="2240" w:type="dxa"/>
            <w:vAlign w:val="bottom"/>
            <w:shd w:val="clear" w:color="auto" w:fill="CCEEF0"/>
          </w:tcPr>
          <w:p>
            <w:pPr>
              <w:jc w:val="center"/>
              <w:ind w:left="269"/>
              <w:spacing w:after="0" w:line="155" w:lineRule="exact"/>
              <w:rPr>
                <w:sz w:val="20"/>
                <w:szCs w:val="20"/>
                <w:color w:val="auto"/>
              </w:rPr>
            </w:pPr>
            <w:r>
              <w:rPr>
                <w:rFonts w:ascii="Arial" w:cs="Arial" w:eastAsia="Arial" w:hAnsi="Arial"/>
                <w:sz w:val="14"/>
                <w:szCs w:val="14"/>
                <w:color w:val="auto"/>
                <w:w w:val="99"/>
              </w:rPr>
              <w:t>6,528,226</w:t>
            </w:r>
          </w:p>
        </w:tc>
        <w:tc>
          <w:tcPr>
            <w:tcW w:w="1780" w:type="dxa"/>
            <w:vAlign w:val="bottom"/>
            <w:shd w:val="clear" w:color="auto" w:fill="CCEEF0"/>
          </w:tcPr>
          <w:p>
            <w:pPr>
              <w:jc w:val="center"/>
              <w:ind w:left="69"/>
              <w:spacing w:after="0" w:line="155"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0"/>
            </w:tcBorders>
            <w:shd w:val="clear" w:color="auto" w:fill="CCEEF0"/>
          </w:tcPr>
          <w:p>
            <w:pPr>
              <w:ind w:left="20"/>
              <w:spacing w:after="0"/>
              <w:rPr>
                <w:sz w:val="20"/>
                <w:szCs w:val="20"/>
                <w:color w:val="auto"/>
              </w:rPr>
            </w:pPr>
            <w:r>
              <w:rPr>
                <w:rFonts w:ascii="Arial" w:cs="Arial" w:eastAsia="Arial" w:hAnsi="Arial"/>
                <w:sz w:val="14"/>
                <w:szCs w:val="14"/>
                <w:color w:val="auto"/>
              </w:rPr>
              <w:t>Baltimore, Maryland 21231</w:t>
            </w:r>
          </w:p>
        </w:tc>
        <w:tc>
          <w:tcPr>
            <w:tcW w:w="2240" w:type="dxa"/>
            <w:vAlign w:val="bottom"/>
            <w:tcBorders>
              <w:bottom w:val="single" w:sz="8" w:color="CCEEF0"/>
            </w:tcBorders>
            <w:shd w:val="clear" w:color="auto" w:fill="CCEEF0"/>
          </w:tcPr>
          <w:p>
            <w:pPr>
              <w:spacing w:after="0"/>
              <w:rPr>
                <w:sz w:val="16"/>
                <w:szCs w:val="16"/>
                <w:color w:val="auto"/>
              </w:rPr>
            </w:pPr>
          </w:p>
        </w:tc>
        <w:tc>
          <w:tcPr>
            <w:tcW w:w="1780" w:type="dxa"/>
            <w:vAlign w:val="bottom"/>
            <w:tcBorders>
              <w:bottom w:val="single" w:sz="8" w:color="CCEEF0"/>
            </w:tcBorders>
            <w:shd w:val="clear" w:color="auto" w:fill="CCEEF0"/>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50" w:lineRule="exact"/>
              <w:rPr>
                <w:sz w:val="20"/>
                <w:szCs w:val="20"/>
                <w:color w:val="auto"/>
              </w:rPr>
            </w:pPr>
            <w:r>
              <w:rPr>
                <w:rFonts w:ascii="Arial" w:cs="Arial" w:eastAsia="Arial" w:hAnsi="Arial"/>
                <w:sz w:val="13"/>
                <w:szCs w:val="13"/>
                <w:b w:val="1"/>
                <w:bCs w:val="1"/>
                <w:color w:val="auto"/>
              </w:rPr>
              <w:t>Vanguard Capital Management</w:t>
            </w:r>
            <w:r>
              <w:rPr>
                <w:rFonts w:ascii="Arial" w:cs="Arial" w:eastAsia="Arial" w:hAnsi="Arial"/>
                <w:sz w:val="17"/>
                <w:szCs w:val="17"/>
                <w:b w:val="1"/>
                <w:bCs w:val="1"/>
                <w:color w:val="auto"/>
                <w:vertAlign w:val="superscript"/>
              </w:rPr>
              <w:t>(4)</w:t>
            </w:r>
          </w:p>
        </w:tc>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tcPr>
          <w:p>
            <w:pPr>
              <w:ind w:left="20"/>
              <w:spacing w:after="0" w:line="155" w:lineRule="exact"/>
              <w:rPr>
                <w:sz w:val="20"/>
                <w:szCs w:val="20"/>
                <w:color w:val="auto"/>
              </w:rPr>
            </w:pPr>
            <w:r>
              <w:rPr>
                <w:rFonts w:ascii="Arial" w:cs="Arial" w:eastAsia="Arial" w:hAnsi="Arial"/>
                <w:sz w:val="14"/>
                <w:szCs w:val="14"/>
                <w:color w:val="auto"/>
              </w:rPr>
              <w:t>100 Vanguard Blvd</w:t>
            </w:r>
          </w:p>
        </w:tc>
        <w:tc>
          <w:tcPr>
            <w:tcW w:w="2240" w:type="dxa"/>
            <w:vAlign w:val="bottom"/>
          </w:tcPr>
          <w:p>
            <w:pPr>
              <w:jc w:val="center"/>
              <w:ind w:left="269"/>
              <w:spacing w:after="0" w:line="155" w:lineRule="exact"/>
              <w:rPr>
                <w:sz w:val="20"/>
                <w:szCs w:val="20"/>
                <w:color w:val="auto"/>
              </w:rPr>
            </w:pPr>
            <w:r>
              <w:rPr>
                <w:rFonts w:ascii="Arial" w:cs="Arial" w:eastAsia="Arial" w:hAnsi="Arial"/>
                <w:sz w:val="14"/>
                <w:szCs w:val="14"/>
                <w:color w:val="auto"/>
                <w:w w:val="99"/>
              </w:rPr>
              <w:t>6,306,422</w:t>
            </w:r>
          </w:p>
        </w:tc>
        <w:tc>
          <w:tcPr>
            <w:tcW w:w="1780" w:type="dxa"/>
            <w:vAlign w:val="bottom"/>
          </w:tcPr>
          <w:p>
            <w:pPr>
              <w:jc w:val="center"/>
              <w:ind w:left="69"/>
              <w:spacing w:after="0" w:line="155"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2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640" w:hanging="396"/>
        <w:spacing w:after="0" w:line="262" w:lineRule="auto"/>
        <w:tabs>
          <w:tab w:leader="none" w:pos="653" w:val="left"/>
        </w:tabs>
        <w:numPr>
          <w:ilvl w:val="0"/>
          <w:numId w:val="32"/>
        </w:numPr>
        <w:rPr>
          <w:rFonts w:ascii="Arial" w:cs="Arial" w:eastAsia="Arial" w:hAnsi="Arial"/>
          <w:sz w:val="14"/>
          <w:szCs w:val="14"/>
          <w:color w:val="auto"/>
        </w:rPr>
      </w:pPr>
      <w:r>
        <w:rPr>
          <w:rFonts w:ascii="Arial" w:cs="Arial" w:eastAsia="Arial" w:hAnsi="Arial"/>
          <w:sz w:val="14"/>
          <w:szCs w:val="14"/>
          <w:color w:val="auto"/>
        </w:rPr>
        <w:t>Blackrock, Inc. has filed with the SEC a Schedule 13G/A dated January 8, 2026, which reports the beneficial ownership of 13,083,615 shares of Class A common stock by it as of December 31, 2025. As reported in the Schedule 13G/A, Blackrock, Inc. had sole voting power with respect to 12,215,410 shares of our Class A common stock, sole dispositive power with respect to 13,083,615 shares of our Class A common stock, shared voting power with respect to 0 shares of our Class A common stock, and shared dispositive power with respect to 0 shares of our Class A common stock.</w:t>
      </w:r>
    </w:p>
    <w:p>
      <w:pPr>
        <w:spacing w:after="0" w:line="130" w:lineRule="exact"/>
        <w:rPr>
          <w:rFonts w:ascii="Arial" w:cs="Arial" w:eastAsia="Arial" w:hAnsi="Arial"/>
          <w:sz w:val="14"/>
          <w:szCs w:val="14"/>
          <w:color w:val="auto"/>
        </w:rPr>
      </w:pPr>
    </w:p>
    <w:p>
      <w:pPr>
        <w:jc w:val="both"/>
        <w:ind w:left="640" w:hanging="396"/>
        <w:spacing w:after="0" w:line="262" w:lineRule="auto"/>
        <w:tabs>
          <w:tab w:leader="none" w:pos="653"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Vanguard Portfolio Management has filed with the SEC a Schedule 13G dated April 29, 2026, which reports the beneficial ownership of 7,904,320 shares of Class A common stock by it as of March 31, 2026. As reported in the Schedule 13G, Vanguard Portfolio Management had sole voting power with respect to 31,384 shares of our Class A common stock, sole dispositive power with respect to 7,904,320 shares of our Class A common stock, shared voting power with respect to 0 shares of our Class A common stock, and shared dispositive power with respect to 0 shares of our Class A common stock.</w:t>
      </w:r>
    </w:p>
    <w:p>
      <w:pPr>
        <w:spacing w:after="0" w:line="130" w:lineRule="exact"/>
        <w:rPr>
          <w:rFonts w:ascii="Arial" w:cs="Arial" w:eastAsia="Arial" w:hAnsi="Arial"/>
          <w:sz w:val="14"/>
          <w:szCs w:val="14"/>
          <w:color w:val="auto"/>
        </w:rPr>
      </w:pPr>
    </w:p>
    <w:p>
      <w:pPr>
        <w:jc w:val="both"/>
        <w:ind w:left="640" w:hanging="396"/>
        <w:spacing w:after="0" w:line="268" w:lineRule="auto"/>
        <w:tabs>
          <w:tab w:leader="none" w:pos="653" w:val="left"/>
        </w:tabs>
        <w:numPr>
          <w:ilvl w:val="0"/>
          <w:numId w:val="32"/>
        </w:numPr>
        <w:rPr>
          <w:rFonts w:ascii="Arial" w:cs="Arial" w:eastAsia="Arial" w:hAnsi="Arial"/>
          <w:sz w:val="14"/>
          <w:szCs w:val="14"/>
          <w:color w:val="auto"/>
        </w:rPr>
      </w:pPr>
      <w:r>
        <w:rPr>
          <w:rFonts w:ascii="Arial" w:cs="Arial" w:eastAsia="Arial" w:hAnsi="Arial"/>
          <w:sz w:val="14"/>
          <w:szCs w:val="14"/>
          <w:color w:val="auto"/>
        </w:rPr>
        <w:t>T. Rowe Price Investment Management, Inc. has filed with the SEC a Schedule 13G dated February 17, 2026, which reports the beneficial ownership of 6,528,226 shares of Class A common stock by it as of December 31, 2025. As reported in the Schedule 13G, T. Rowe Price Investment Management, Inc. had sole voting power with respect to 6,512,363 shares of our Class A common stock, sole dispositive power with respect to 6,528,226 shares of our Class A common stock, shared voting power with respect to 0 shares of our Class A common stock, and shared dispositive power with respect to 0 shares of our Class A common stock.</w:t>
      </w:r>
    </w:p>
    <w:p>
      <w:pPr>
        <w:spacing w:after="0" w:line="61" w:lineRule="exact"/>
        <w:rPr>
          <w:rFonts w:ascii="Arial" w:cs="Arial" w:eastAsia="Arial" w:hAnsi="Arial"/>
          <w:sz w:val="14"/>
          <w:szCs w:val="14"/>
          <w:color w:val="auto"/>
        </w:rPr>
      </w:pPr>
    </w:p>
    <w:p>
      <w:pPr>
        <w:jc w:val="both"/>
        <w:ind w:left="640" w:hanging="396"/>
        <w:spacing w:after="0" w:line="268" w:lineRule="auto"/>
        <w:tabs>
          <w:tab w:leader="none" w:pos="653"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Vanguard Capital Management has filed with the SEC a Schedule 13G dated April 29, 2026, which reports the beneficial ownership of 6,306,422 shares of Class A common stock by it as of March 31, 2026. As reported in the Schedule 13G, Vanguard Capital Management had sole voting power with respect to 909,044 shares of our Class A common stock, sole dispositive power with respect to 6,306,422 shares of our Class A common stock, shared voting power with respect to 0 shares of our Class A common stock, and shared dispositive power with respect to 0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42" w:name="page43"/>
    <w:bookmarkEnd w:id="42"/>
    <w:p>
      <w:pPr>
        <w:ind w:left="1120"/>
        <w:spacing w:after="0"/>
        <w:rPr>
          <w:sz w:val="20"/>
          <w:szCs w:val="20"/>
          <w:color w:val="auto"/>
        </w:rPr>
      </w:pPr>
      <w:r>
        <w:rPr>
          <w:rFonts w:ascii="Arial" w:cs="Arial" w:eastAsia="Arial" w:hAnsi="Arial"/>
          <w:sz w:val="28"/>
          <w:szCs w:val="28"/>
          <w:b w:val="1"/>
          <w:bCs w:val="1"/>
          <w:color w:val="auto"/>
        </w:rPr>
        <w:t>CERTAIN RELATIONSHIPS AND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Policies and Procedures for Related Person Transactions</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adopted a written related person transactions policy pursuant to which related persons, namely our executive officers, directors, and principal stockholders, and their immediate family members, are not permitted, without approval under the policy, to enter into certain transactions, or materially modify or amend an ongoing transaction, with us, in which the amount involved exceeds $120,000, without the consent of our Audit Committee or any other body of the Board of Directors comprised solely of independent directors. Any request for us to enter into or materially modify or amend certain such transactions is required to be presented to our Audit Committee for review, consideration, and approval. All of our directors, director nominees and executive officers are required to report to our Secretary any such proposed related person transaction, who is required to provide notice of such proposed related person transaction to the Audit Committee. In approving or rejecting the proposed transaction, our Audit Committee will take into account, among other factors it deems appropriate, whether the proposed related person transaction is on terms at least as favorable as terms generally available to an unaffiliated third party under the same or similar circumstances, the extent of the related person’s interest in the transaction and, if applicable, the impact on a director’s independence. Under the policy, if we should discover related person transactions that have not been approved, our Audit Committee will be notified and will determine the appropriate action, including ratification, rescission, or amendment of the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Related Person Transactions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Indemnification Agreements</w:t>
      </w:r>
    </w:p>
    <w:p>
      <w:pPr>
        <w:spacing w:after="0" w:line="18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have entered into indemnification agreements with each of our directors and executive officers pursuant to which we have agreed to indemnify such individuals against certain liabilities arising out of service as a director or officer of the Company and its subsidiaries. The indemnification agreements provide our directors and executive officers with contractual rights to the indemnification and expense advancement rights provided under our bylaws, as well as contractual rights to additional indemnification as provided in the indemnification agreements.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Other Relationships</w:t>
      </w:r>
    </w:p>
    <w:p>
      <w:pPr>
        <w:spacing w:after="0" w:line="15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Emily Pfeifer, a Data Scientist at the Company, is the daughter of Tom Pfeifer, Executive Vice President and President of the Company's National Security sector. In fiscal year 2026, Ms. Pfeifer received $124,212 in base salary and retirement contributions of $7,369. Ms. Pfeifer also participates in the Company’s other benefit programs on the same basis as other employees at the same level.</w:t>
      </w:r>
    </w:p>
    <w:p>
      <w:pPr>
        <w:spacing w:after="0" w:line="123"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Quinn Calderone, a Data Scientist at the Company, is the son of Matt Calderone, our former Executive Vice President, Chief Financial Officer. In fiscal year 2026, Mr. Calderone received $105,419 in base salary, retirement contributions of $6,178, and $1,142 in awards. Mr. Calderone also participates in the Company’s other benefit programs on the same basis as other employees at the same level.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8"/>
          <w:szCs w:val="28"/>
          <w:b w:val="1"/>
          <w:bCs w:val="1"/>
          <w:color w:val="auto"/>
        </w:rPr>
        <w:t>COMPENSATION DISCUSSION AND ANALYSIS</w:t>
      </w:r>
    </w:p>
    <w:p>
      <w:pPr>
        <w:spacing w:after="0" w:line="19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Compensation Discussion and Analysis (CD&amp;A), together with the compensation tables and related disclosures, provides a narrative of our executive compensation philosophy and programs as reviewed and determined by the Compensation, Culture and People Committee of the Board of Directors.</w:t>
      </w:r>
    </w:p>
    <w:p>
      <w:pPr>
        <w:spacing w:after="0" w:line="12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At Booz Allen, our purpose is to empower people to change the world. We deliver cutting edge technical innovations and mission ready solutions to solve complex challenges for our customers. Our leadership philosophy and culture are foundational to how we drive transformation to deliver outcomes with speed for America's most critical defense, civil, and national security priorities.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executive compensation strategy is uniquely designed to:</w:t>
      </w:r>
    </w:p>
    <w:p>
      <w:pPr>
        <w:spacing w:after="0" w:line="164" w:lineRule="exact"/>
        <w:rPr>
          <w:sz w:val="20"/>
          <w:szCs w:val="20"/>
          <w:color w:val="auto"/>
        </w:rPr>
      </w:pPr>
    </w:p>
    <w:p>
      <w:pPr>
        <w:ind w:left="920" w:hanging="199"/>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competitive compensation tied to long-term stockholder value creation;</w:t>
      </w:r>
    </w:p>
    <w:p>
      <w:pPr>
        <w:spacing w:after="0" w:line="163" w:lineRule="exact"/>
        <w:rPr>
          <w:rFonts w:ascii="Arial" w:cs="Arial" w:eastAsia="Arial" w:hAnsi="Arial"/>
          <w:sz w:val="18"/>
          <w:szCs w:val="18"/>
          <w:color w:val="auto"/>
        </w:rPr>
      </w:pPr>
    </w:p>
    <w:p>
      <w:pPr>
        <w:ind w:left="920" w:hanging="199"/>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and retain top talent from across the global marketplace who will continue to propel us forward for the future;</w:t>
      </w:r>
    </w:p>
    <w:p>
      <w:pPr>
        <w:spacing w:after="0" w:line="163" w:lineRule="exact"/>
        <w:rPr>
          <w:rFonts w:ascii="Arial" w:cs="Arial" w:eastAsia="Arial" w:hAnsi="Arial"/>
          <w:sz w:val="18"/>
          <w:szCs w:val="18"/>
          <w:color w:val="auto"/>
        </w:rPr>
      </w:pPr>
    </w:p>
    <w:p>
      <w:pPr>
        <w:ind w:left="920" w:hanging="199"/>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Motivate and reward executives with exceptional ability to meet and exceed the demands of our customers;</w:t>
      </w:r>
    </w:p>
    <w:p>
      <w:pPr>
        <w:spacing w:after="0" w:line="163" w:lineRule="exact"/>
        <w:rPr>
          <w:rFonts w:ascii="Arial" w:cs="Arial" w:eastAsia="Arial" w:hAnsi="Arial"/>
          <w:sz w:val="18"/>
          <w:szCs w:val="18"/>
          <w:color w:val="auto"/>
        </w:rPr>
      </w:pPr>
    </w:p>
    <w:p>
      <w:pPr>
        <w:ind w:left="920" w:hanging="199"/>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Infuse an ownership mindset to build sustainable growth and value; and</w:t>
      </w:r>
    </w:p>
    <w:p>
      <w:pPr>
        <w:spacing w:after="0" w:line="163" w:lineRule="exact"/>
        <w:rPr>
          <w:rFonts w:ascii="Arial" w:cs="Arial" w:eastAsia="Arial" w:hAnsi="Arial"/>
          <w:sz w:val="18"/>
          <w:szCs w:val="18"/>
          <w:color w:val="auto"/>
        </w:rPr>
      </w:pPr>
    </w:p>
    <w:p>
      <w:pPr>
        <w:jc w:val="both"/>
        <w:ind w:left="960" w:hanging="239"/>
        <w:spacing w:after="0" w:line="259" w:lineRule="auto"/>
        <w:tabs>
          <w:tab w:leader="none" w:pos="9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Reinforce our partnership-style culture which differentiates our ability to come to market as an institution rather than as individuals, create alignment on our strategy, priorities and associated investments, and encourage rapid and efficient deployment of our capabilities and solutions across customers and opportunities.</w:t>
      </w:r>
    </w:p>
    <w:p>
      <w:pPr>
        <w:spacing w:after="0" w:line="12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tenure of our executives is a testament to the team's long-standing commitment to the Company and its long-term business goals. Our active named executive officers at the end of fiscal year 2026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349250</wp:posOffset>
            </wp:positionV>
            <wp:extent cx="6555105" cy="1059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5105"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2040" w:type="dxa"/>
            <w:vAlign w:val="bottom"/>
          </w:tcPr>
          <w:p>
            <w:pPr>
              <w:jc w:val="center"/>
              <w:ind w:right="68"/>
              <w:spacing w:after="0"/>
              <w:rPr>
                <w:sz w:val="20"/>
                <w:szCs w:val="20"/>
                <w:color w:val="auto"/>
              </w:rPr>
            </w:pPr>
            <w:r>
              <w:rPr>
                <w:rFonts w:ascii="Arial" w:cs="Arial" w:eastAsia="Arial" w:hAnsi="Arial"/>
                <w:sz w:val="16"/>
                <w:szCs w:val="16"/>
                <w:b w:val="1"/>
                <w:bCs w:val="1"/>
                <w:color w:val="auto"/>
                <w:w w:val="99"/>
              </w:rPr>
              <w:t>Horacio D. Rozanski</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8"/>
              </w:rPr>
              <w:t>Kristine Martin Anderson</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Richard C. Crowe</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8"/>
              </w:rPr>
              <w:t>Andrea D. Inserra</w:t>
            </w:r>
          </w:p>
        </w:tc>
        <w:tc>
          <w:tcPr>
            <w:tcW w:w="2040" w:type="dxa"/>
            <w:vAlign w:val="bottom"/>
          </w:tcPr>
          <w:p>
            <w:pPr>
              <w:jc w:val="center"/>
              <w:ind w:left="108"/>
              <w:spacing w:after="0"/>
              <w:rPr>
                <w:sz w:val="20"/>
                <w:szCs w:val="20"/>
                <w:color w:val="auto"/>
              </w:rPr>
            </w:pPr>
            <w:r>
              <w:rPr>
                <w:rFonts w:ascii="Arial" w:cs="Arial" w:eastAsia="Arial" w:hAnsi="Arial"/>
                <w:sz w:val="16"/>
                <w:szCs w:val="16"/>
                <w:b w:val="1"/>
                <w:bCs w:val="1"/>
                <w:color w:val="auto"/>
              </w:rPr>
              <w:t>Thomas J. Pfeifer</w:t>
            </w:r>
          </w:p>
        </w:tc>
      </w:tr>
      <w:tr>
        <w:trPr>
          <w:trHeight w:val="142"/>
        </w:trPr>
        <w:tc>
          <w:tcPr>
            <w:tcW w:w="2040" w:type="dxa"/>
            <w:vAlign w:val="bottom"/>
          </w:tcPr>
          <w:p>
            <w:pPr>
              <w:jc w:val="center"/>
              <w:ind w:right="68"/>
              <w:spacing w:after="0" w:line="142" w:lineRule="exact"/>
              <w:rPr>
                <w:sz w:val="20"/>
                <w:szCs w:val="20"/>
                <w:color w:val="auto"/>
              </w:rPr>
            </w:pPr>
            <w:r>
              <w:rPr>
                <w:rFonts w:ascii="Arial" w:cs="Arial" w:eastAsia="Arial" w:hAnsi="Arial"/>
                <w:sz w:val="14"/>
                <w:szCs w:val="14"/>
                <w:color w:val="auto"/>
              </w:rPr>
              <w:t>Chairman and Chief Executive</w:t>
            </w:r>
          </w:p>
        </w:tc>
        <w:tc>
          <w:tcPr>
            <w:tcW w:w="2120" w:type="dxa"/>
            <w:vAlign w:val="bottom"/>
          </w:tcPr>
          <w:p>
            <w:pPr>
              <w:jc w:val="center"/>
              <w:spacing w:after="0" w:line="142" w:lineRule="exact"/>
              <w:rPr>
                <w:sz w:val="20"/>
                <w:szCs w:val="20"/>
                <w:color w:val="auto"/>
              </w:rPr>
            </w:pPr>
            <w:r>
              <w:rPr>
                <w:rFonts w:ascii="Arial" w:cs="Arial" w:eastAsia="Arial" w:hAnsi="Arial"/>
                <w:sz w:val="14"/>
                <w:szCs w:val="14"/>
                <w:color w:val="auto"/>
                <w:w w:val="99"/>
              </w:rPr>
              <w:t>President and Chief Operating</w:t>
            </w:r>
          </w:p>
        </w:tc>
        <w:tc>
          <w:tcPr>
            <w:tcW w:w="2280" w:type="dxa"/>
            <w:vAlign w:val="bottom"/>
          </w:tcPr>
          <w:p>
            <w:pPr>
              <w:jc w:val="center"/>
              <w:spacing w:after="0" w:line="142" w:lineRule="exact"/>
              <w:rPr>
                <w:sz w:val="20"/>
                <w:szCs w:val="20"/>
                <w:color w:val="auto"/>
              </w:rPr>
            </w:pPr>
            <w:r>
              <w:rPr>
                <w:rFonts w:ascii="Arial" w:cs="Arial" w:eastAsia="Arial" w:hAnsi="Arial"/>
                <w:sz w:val="14"/>
                <w:szCs w:val="14"/>
                <w:color w:val="auto"/>
                <w:w w:val="99"/>
              </w:rPr>
              <w:t>Executive Vice President,</w:t>
            </w:r>
          </w:p>
        </w:tc>
        <w:tc>
          <w:tcPr>
            <w:tcW w:w="2080" w:type="dxa"/>
            <w:vAlign w:val="bottom"/>
          </w:tcPr>
          <w:p>
            <w:pPr>
              <w:jc w:val="center"/>
              <w:spacing w:after="0" w:line="142" w:lineRule="exact"/>
              <w:rPr>
                <w:sz w:val="20"/>
                <w:szCs w:val="20"/>
                <w:color w:val="auto"/>
              </w:rPr>
            </w:pPr>
            <w:r>
              <w:rPr>
                <w:rFonts w:ascii="Arial" w:cs="Arial" w:eastAsia="Arial" w:hAnsi="Arial"/>
                <w:sz w:val="14"/>
                <w:szCs w:val="14"/>
                <w:color w:val="auto"/>
              </w:rPr>
              <w:t>Executive Vice President,</w:t>
            </w:r>
          </w:p>
        </w:tc>
        <w:tc>
          <w:tcPr>
            <w:tcW w:w="2040" w:type="dxa"/>
            <w:vAlign w:val="bottom"/>
          </w:tcPr>
          <w:p>
            <w:pPr>
              <w:jc w:val="center"/>
              <w:ind w:left="108"/>
              <w:spacing w:after="0" w:line="142" w:lineRule="exact"/>
              <w:rPr>
                <w:sz w:val="20"/>
                <w:szCs w:val="20"/>
                <w:color w:val="auto"/>
              </w:rPr>
            </w:pPr>
            <w:r>
              <w:rPr>
                <w:rFonts w:ascii="Arial" w:cs="Arial" w:eastAsia="Arial" w:hAnsi="Arial"/>
                <w:sz w:val="14"/>
                <w:szCs w:val="14"/>
                <w:color w:val="auto"/>
                <w:w w:val="99"/>
              </w:rPr>
              <w:t>Executive Vice President,</w:t>
            </w:r>
          </w:p>
        </w:tc>
      </w:tr>
      <w:tr>
        <w:trPr>
          <w:trHeight w:val="136"/>
        </w:trPr>
        <w:tc>
          <w:tcPr>
            <w:tcW w:w="2040" w:type="dxa"/>
            <w:vAlign w:val="bottom"/>
          </w:tcPr>
          <w:p>
            <w:pPr>
              <w:jc w:val="center"/>
              <w:ind w:right="68"/>
              <w:spacing w:after="0" w:line="137" w:lineRule="exact"/>
              <w:rPr>
                <w:sz w:val="20"/>
                <w:szCs w:val="20"/>
                <w:color w:val="auto"/>
              </w:rPr>
            </w:pPr>
            <w:r>
              <w:rPr>
                <w:rFonts w:ascii="Arial" w:cs="Arial" w:eastAsia="Arial" w:hAnsi="Arial"/>
                <w:sz w:val="14"/>
                <w:szCs w:val="14"/>
                <w:color w:val="auto"/>
              </w:rPr>
              <w:t>Officer</w:t>
            </w:r>
          </w:p>
        </w:tc>
        <w:tc>
          <w:tcPr>
            <w:tcW w:w="2120" w:type="dxa"/>
            <w:vAlign w:val="bottom"/>
          </w:tcPr>
          <w:p>
            <w:pPr>
              <w:jc w:val="center"/>
              <w:spacing w:after="0" w:line="137" w:lineRule="exact"/>
              <w:rPr>
                <w:sz w:val="20"/>
                <w:szCs w:val="20"/>
                <w:color w:val="auto"/>
              </w:rPr>
            </w:pPr>
            <w:r>
              <w:rPr>
                <w:rFonts w:ascii="Arial" w:cs="Arial" w:eastAsia="Arial" w:hAnsi="Arial"/>
                <w:sz w:val="14"/>
                <w:szCs w:val="14"/>
                <w:color w:val="auto"/>
                <w:w w:val="96"/>
              </w:rPr>
              <w:t>Officer</w:t>
            </w:r>
          </w:p>
        </w:tc>
        <w:tc>
          <w:tcPr>
            <w:tcW w:w="2280" w:type="dxa"/>
            <w:vAlign w:val="bottom"/>
          </w:tcPr>
          <w:p>
            <w:pPr>
              <w:jc w:val="center"/>
              <w:spacing w:after="0" w:line="137" w:lineRule="exact"/>
              <w:rPr>
                <w:sz w:val="20"/>
                <w:szCs w:val="20"/>
                <w:color w:val="auto"/>
              </w:rPr>
            </w:pPr>
            <w:r>
              <w:rPr>
                <w:rFonts w:ascii="Arial" w:cs="Arial" w:eastAsia="Arial" w:hAnsi="Arial"/>
                <w:sz w:val="14"/>
                <w:szCs w:val="14"/>
                <w:color w:val="auto"/>
                <w:w w:val="99"/>
              </w:rPr>
              <w:t>Chief Growth Officer</w:t>
            </w:r>
          </w:p>
        </w:tc>
        <w:tc>
          <w:tcPr>
            <w:tcW w:w="2080" w:type="dxa"/>
            <w:vAlign w:val="bottom"/>
          </w:tcPr>
          <w:p>
            <w:pPr>
              <w:jc w:val="center"/>
              <w:spacing w:after="0" w:line="137" w:lineRule="exact"/>
              <w:rPr>
                <w:sz w:val="20"/>
                <w:szCs w:val="20"/>
                <w:color w:val="auto"/>
              </w:rPr>
            </w:pPr>
            <w:r>
              <w:rPr>
                <w:rFonts w:ascii="Arial" w:cs="Arial" w:eastAsia="Arial" w:hAnsi="Arial"/>
                <w:sz w:val="14"/>
                <w:szCs w:val="14"/>
                <w:color w:val="auto"/>
              </w:rPr>
              <w:t>President of Global Defense</w:t>
            </w:r>
          </w:p>
        </w:tc>
        <w:tc>
          <w:tcPr>
            <w:tcW w:w="2040" w:type="dxa"/>
            <w:vAlign w:val="bottom"/>
          </w:tcPr>
          <w:p>
            <w:pPr>
              <w:jc w:val="center"/>
              <w:ind w:left="108"/>
              <w:spacing w:after="0" w:line="137" w:lineRule="exact"/>
              <w:rPr>
                <w:sz w:val="20"/>
                <w:szCs w:val="20"/>
                <w:color w:val="auto"/>
              </w:rPr>
            </w:pPr>
            <w:r>
              <w:rPr>
                <w:rFonts w:ascii="Arial" w:cs="Arial" w:eastAsia="Arial" w:hAnsi="Arial"/>
                <w:sz w:val="14"/>
                <w:szCs w:val="14"/>
                <w:color w:val="auto"/>
              </w:rPr>
              <w:t>President of National Security</w:t>
            </w:r>
          </w:p>
        </w:tc>
      </w:tr>
      <w:tr>
        <w:trPr>
          <w:trHeight w:val="186"/>
        </w:trPr>
        <w:tc>
          <w:tcPr>
            <w:tcW w:w="2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8"/>
              </w:rPr>
              <w:t>Sector</w:t>
            </w:r>
          </w:p>
        </w:tc>
        <w:tc>
          <w:tcPr>
            <w:tcW w:w="2040" w:type="dxa"/>
            <w:vAlign w:val="bottom"/>
          </w:tcPr>
          <w:p>
            <w:pPr>
              <w:jc w:val="center"/>
              <w:ind w:left="108"/>
              <w:spacing w:after="0"/>
              <w:rPr>
                <w:sz w:val="20"/>
                <w:szCs w:val="20"/>
                <w:color w:val="auto"/>
              </w:rPr>
            </w:pPr>
            <w:r>
              <w:rPr>
                <w:rFonts w:ascii="Arial" w:cs="Arial" w:eastAsia="Arial" w:hAnsi="Arial"/>
                <w:sz w:val="14"/>
                <w:szCs w:val="14"/>
                <w:color w:val="auto"/>
              </w:rPr>
              <w:t>Sector</w:t>
            </w:r>
          </w:p>
        </w:tc>
      </w:tr>
      <w:tr>
        <w:trPr>
          <w:trHeight w:val="155"/>
        </w:trPr>
        <w:tc>
          <w:tcPr>
            <w:tcW w:w="204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Tenure as Chairman: 2 years</w:t>
            </w:r>
          </w:p>
        </w:tc>
        <w:tc>
          <w:tcPr>
            <w:tcW w:w="2120" w:type="dxa"/>
            <w:vAlign w:val="bottom"/>
          </w:tcPr>
          <w:p>
            <w:pPr>
              <w:jc w:val="center"/>
              <w:spacing w:after="0" w:line="155" w:lineRule="exact"/>
              <w:rPr>
                <w:sz w:val="20"/>
                <w:szCs w:val="20"/>
                <w:color w:val="auto"/>
              </w:rPr>
            </w:pPr>
            <w:r>
              <w:rPr>
                <w:rFonts w:ascii="Arial" w:cs="Arial" w:eastAsia="Arial" w:hAnsi="Arial"/>
                <w:sz w:val="14"/>
                <w:szCs w:val="14"/>
                <w:color w:val="auto"/>
                <w:w w:val="99"/>
              </w:rPr>
              <w:t>Tenure as COO: 3 years</w:t>
            </w:r>
          </w:p>
        </w:tc>
        <w:tc>
          <w:tcPr>
            <w:tcW w:w="2280" w:type="dxa"/>
            <w:vAlign w:val="bottom"/>
          </w:tcPr>
          <w:p>
            <w:pPr>
              <w:jc w:val="center"/>
              <w:spacing w:after="0" w:line="155" w:lineRule="exact"/>
              <w:rPr>
                <w:sz w:val="20"/>
                <w:szCs w:val="20"/>
                <w:color w:val="auto"/>
              </w:rPr>
            </w:pPr>
            <w:r>
              <w:rPr>
                <w:rFonts w:ascii="Arial" w:cs="Arial" w:eastAsia="Arial" w:hAnsi="Arial"/>
                <w:sz w:val="14"/>
                <w:szCs w:val="14"/>
                <w:color w:val="auto"/>
              </w:rPr>
              <w:t>Tenure as Civil Sector President:</w:t>
            </w:r>
          </w:p>
        </w:tc>
        <w:tc>
          <w:tcPr>
            <w:tcW w:w="2080" w:type="dxa"/>
            <w:vAlign w:val="bottom"/>
          </w:tcPr>
          <w:p>
            <w:pPr>
              <w:jc w:val="center"/>
              <w:spacing w:after="0" w:line="155" w:lineRule="exact"/>
              <w:rPr>
                <w:sz w:val="20"/>
                <w:szCs w:val="20"/>
                <w:color w:val="auto"/>
              </w:rPr>
            </w:pPr>
            <w:r>
              <w:rPr>
                <w:rFonts w:ascii="Arial" w:cs="Arial" w:eastAsia="Arial" w:hAnsi="Arial"/>
                <w:sz w:val="14"/>
                <w:szCs w:val="14"/>
                <w:color w:val="auto"/>
              </w:rPr>
              <w:t>Tenure as Defense Sector</w:t>
            </w:r>
          </w:p>
        </w:tc>
        <w:tc>
          <w:tcPr>
            <w:tcW w:w="2040" w:type="dxa"/>
            <w:vAlign w:val="bottom"/>
          </w:tcPr>
          <w:p>
            <w:pPr>
              <w:jc w:val="center"/>
              <w:ind w:left="108"/>
              <w:spacing w:after="0" w:line="155" w:lineRule="exact"/>
              <w:rPr>
                <w:sz w:val="20"/>
                <w:szCs w:val="20"/>
                <w:color w:val="auto"/>
              </w:rPr>
            </w:pPr>
            <w:r>
              <w:rPr>
                <w:rFonts w:ascii="Arial" w:cs="Arial" w:eastAsia="Arial" w:hAnsi="Arial"/>
                <w:sz w:val="14"/>
                <w:szCs w:val="14"/>
                <w:color w:val="auto"/>
              </w:rPr>
              <w:t>Tenure as Security Sector</w:t>
            </w:r>
          </w:p>
        </w:tc>
      </w:tr>
      <w:tr>
        <w:trPr>
          <w:trHeight w:val="136"/>
        </w:trPr>
        <w:tc>
          <w:tcPr>
            <w:tcW w:w="2040" w:type="dxa"/>
            <w:vAlign w:val="bottom"/>
          </w:tcPr>
          <w:p>
            <w:pPr>
              <w:jc w:val="center"/>
              <w:ind w:right="68"/>
              <w:spacing w:after="0" w:line="137" w:lineRule="exact"/>
              <w:rPr>
                <w:sz w:val="20"/>
                <w:szCs w:val="20"/>
                <w:color w:val="auto"/>
              </w:rPr>
            </w:pPr>
            <w:r>
              <w:rPr>
                <w:rFonts w:ascii="Arial" w:cs="Arial" w:eastAsia="Arial" w:hAnsi="Arial"/>
                <w:sz w:val="14"/>
                <w:szCs w:val="14"/>
                <w:color w:val="auto"/>
                <w:w w:val="99"/>
              </w:rPr>
              <w:t>Tenure as CEO: 11 years</w:t>
            </w:r>
          </w:p>
        </w:tc>
        <w:tc>
          <w:tcPr>
            <w:tcW w:w="2120" w:type="dxa"/>
            <w:vAlign w:val="bottom"/>
          </w:tcPr>
          <w:p>
            <w:pPr>
              <w:jc w:val="center"/>
              <w:spacing w:after="0" w:line="137" w:lineRule="exact"/>
              <w:rPr>
                <w:sz w:val="20"/>
                <w:szCs w:val="20"/>
                <w:color w:val="auto"/>
              </w:rPr>
            </w:pPr>
            <w:r>
              <w:rPr>
                <w:rFonts w:ascii="Arial" w:cs="Arial" w:eastAsia="Arial" w:hAnsi="Arial"/>
                <w:sz w:val="14"/>
                <w:szCs w:val="14"/>
                <w:color w:val="auto"/>
              </w:rPr>
              <w:t>Executive Tenure: 16 years</w:t>
            </w:r>
          </w:p>
        </w:tc>
        <w:tc>
          <w:tcPr>
            <w:tcW w:w="2280" w:type="dxa"/>
            <w:vAlign w:val="bottom"/>
          </w:tcPr>
          <w:p>
            <w:pPr>
              <w:jc w:val="center"/>
              <w:spacing w:after="0" w:line="137" w:lineRule="exact"/>
              <w:rPr>
                <w:sz w:val="20"/>
                <w:szCs w:val="20"/>
                <w:color w:val="auto"/>
              </w:rPr>
            </w:pPr>
            <w:r>
              <w:rPr>
                <w:rFonts w:ascii="Arial" w:cs="Arial" w:eastAsia="Arial" w:hAnsi="Arial"/>
                <w:sz w:val="14"/>
                <w:szCs w:val="14"/>
                <w:color w:val="auto"/>
              </w:rPr>
              <w:t>3 years</w:t>
            </w:r>
          </w:p>
        </w:tc>
        <w:tc>
          <w:tcPr>
            <w:tcW w:w="2080" w:type="dxa"/>
            <w:vAlign w:val="bottom"/>
          </w:tcPr>
          <w:p>
            <w:pPr>
              <w:jc w:val="center"/>
              <w:spacing w:after="0" w:line="137" w:lineRule="exact"/>
              <w:rPr>
                <w:sz w:val="20"/>
                <w:szCs w:val="20"/>
                <w:color w:val="auto"/>
              </w:rPr>
            </w:pPr>
            <w:r>
              <w:rPr>
                <w:rFonts w:ascii="Arial" w:cs="Arial" w:eastAsia="Arial" w:hAnsi="Arial"/>
                <w:sz w:val="14"/>
                <w:szCs w:val="14"/>
                <w:color w:val="auto"/>
              </w:rPr>
              <w:t>President: 1 year</w:t>
            </w:r>
          </w:p>
        </w:tc>
        <w:tc>
          <w:tcPr>
            <w:tcW w:w="2040" w:type="dxa"/>
            <w:vAlign w:val="bottom"/>
          </w:tcPr>
          <w:p>
            <w:pPr>
              <w:jc w:val="center"/>
              <w:ind w:left="108"/>
              <w:spacing w:after="0" w:line="137" w:lineRule="exact"/>
              <w:rPr>
                <w:sz w:val="20"/>
                <w:szCs w:val="20"/>
                <w:color w:val="auto"/>
              </w:rPr>
            </w:pPr>
            <w:r>
              <w:rPr>
                <w:rFonts w:ascii="Arial" w:cs="Arial" w:eastAsia="Arial" w:hAnsi="Arial"/>
                <w:sz w:val="14"/>
                <w:szCs w:val="14"/>
                <w:color w:val="auto"/>
              </w:rPr>
              <w:t>President: 3 years</w:t>
            </w:r>
          </w:p>
        </w:tc>
      </w:tr>
      <w:tr>
        <w:trPr>
          <w:trHeight w:val="146"/>
        </w:trPr>
        <w:tc>
          <w:tcPr>
            <w:tcW w:w="2040" w:type="dxa"/>
            <w:vAlign w:val="bottom"/>
          </w:tcPr>
          <w:p>
            <w:pPr>
              <w:jc w:val="center"/>
              <w:ind w:right="108"/>
              <w:spacing w:after="0" w:line="146" w:lineRule="exact"/>
              <w:rPr>
                <w:sz w:val="20"/>
                <w:szCs w:val="20"/>
                <w:color w:val="auto"/>
              </w:rPr>
            </w:pPr>
            <w:r>
              <w:rPr>
                <w:rFonts w:ascii="Arial" w:cs="Arial" w:eastAsia="Arial" w:hAnsi="Arial"/>
                <w:sz w:val="14"/>
                <w:szCs w:val="14"/>
                <w:color w:val="auto"/>
                <w:w w:val="99"/>
              </w:rPr>
              <w:t>Executive Tenure: 26 years</w:t>
            </w:r>
          </w:p>
        </w:tc>
        <w:tc>
          <w:tcPr>
            <w:tcW w:w="2120" w:type="dxa"/>
            <w:vAlign w:val="bottom"/>
          </w:tcPr>
          <w:p>
            <w:pPr>
              <w:jc w:val="center"/>
              <w:spacing w:after="0" w:line="146" w:lineRule="exact"/>
              <w:rPr>
                <w:sz w:val="20"/>
                <w:szCs w:val="20"/>
                <w:color w:val="auto"/>
              </w:rPr>
            </w:pPr>
            <w:r>
              <w:rPr>
                <w:rFonts w:ascii="Arial" w:cs="Arial" w:eastAsia="Arial" w:hAnsi="Arial"/>
                <w:sz w:val="14"/>
                <w:szCs w:val="14"/>
                <w:color w:val="auto"/>
                <w:w w:val="99"/>
              </w:rPr>
              <w:t>Total Tenure: 20 years</w:t>
            </w:r>
          </w:p>
        </w:tc>
        <w:tc>
          <w:tcPr>
            <w:tcW w:w="2280" w:type="dxa"/>
            <w:vAlign w:val="bottom"/>
          </w:tcPr>
          <w:p>
            <w:pPr>
              <w:jc w:val="center"/>
              <w:spacing w:after="0" w:line="146" w:lineRule="exact"/>
              <w:rPr>
                <w:sz w:val="20"/>
                <w:szCs w:val="20"/>
                <w:color w:val="auto"/>
              </w:rPr>
            </w:pPr>
            <w:r>
              <w:rPr>
                <w:rFonts w:ascii="Arial" w:cs="Arial" w:eastAsia="Arial" w:hAnsi="Arial"/>
                <w:sz w:val="14"/>
                <w:szCs w:val="14"/>
                <w:color w:val="auto"/>
                <w:w w:val="99"/>
              </w:rPr>
              <w:t>Executive Tenure: 12 years</w:t>
            </w:r>
          </w:p>
        </w:tc>
        <w:tc>
          <w:tcPr>
            <w:tcW w:w="2080" w:type="dxa"/>
            <w:vAlign w:val="bottom"/>
          </w:tcPr>
          <w:p>
            <w:pPr>
              <w:jc w:val="center"/>
              <w:spacing w:after="0" w:line="146" w:lineRule="exact"/>
              <w:rPr>
                <w:sz w:val="20"/>
                <w:szCs w:val="20"/>
                <w:color w:val="auto"/>
              </w:rPr>
            </w:pPr>
            <w:r>
              <w:rPr>
                <w:rFonts w:ascii="Arial" w:cs="Arial" w:eastAsia="Arial" w:hAnsi="Arial"/>
                <w:sz w:val="14"/>
                <w:szCs w:val="14"/>
                <w:color w:val="auto"/>
                <w:w w:val="99"/>
              </w:rPr>
              <w:t>Executive Tenure: 14 years</w:t>
            </w:r>
          </w:p>
        </w:tc>
        <w:tc>
          <w:tcPr>
            <w:tcW w:w="2040" w:type="dxa"/>
            <w:vAlign w:val="bottom"/>
          </w:tcPr>
          <w:p>
            <w:pPr>
              <w:jc w:val="center"/>
              <w:ind w:left="68"/>
              <w:spacing w:after="0" w:line="146" w:lineRule="exact"/>
              <w:rPr>
                <w:sz w:val="20"/>
                <w:szCs w:val="20"/>
                <w:color w:val="auto"/>
              </w:rPr>
            </w:pPr>
            <w:r>
              <w:rPr>
                <w:rFonts w:ascii="Arial" w:cs="Arial" w:eastAsia="Arial" w:hAnsi="Arial"/>
                <w:sz w:val="14"/>
                <w:szCs w:val="14"/>
                <w:color w:val="auto"/>
                <w:w w:val="99"/>
              </w:rPr>
              <w:t>Executive Tenure: 17 years</w:t>
            </w:r>
          </w:p>
        </w:tc>
      </w:tr>
      <w:tr>
        <w:trPr>
          <w:trHeight w:val="186"/>
        </w:trPr>
        <w:tc>
          <w:tcPr>
            <w:tcW w:w="2040" w:type="dxa"/>
            <w:vAlign w:val="bottom"/>
          </w:tcPr>
          <w:p>
            <w:pPr>
              <w:jc w:val="center"/>
              <w:ind w:right="68"/>
              <w:spacing w:after="0"/>
              <w:rPr>
                <w:sz w:val="20"/>
                <w:szCs w:val="20"/>
                <w:color w:val="auto"/>
              </w:rPr>
            </w:pPr>
            <w:r>
              <w:rPr>
                <w:rFonts w:ascii="Arial" w:cs="Arial" w:eastAsia="Arial" w:hAnsi="Arial"/>
                <w:sz w:val="14"/>
                <w:szCs w:val="14"/>
                <w:color w:val="auto"/>
                <w:w w:val="97"/>
              </w:rPr>
              <w:t>Total Tenure: 33 years</w:t>
            </w:r>
          </w:p>
        </w:tc>
        <w:tc>
          <w:tcPr>
            <w:tcW w:w="21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7"/>
              </w:rPr>
              <w:t>Total Tenure: 21 years</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Total Tenure: 27 years</w:t>
            </w:r>
          </w:p>
        </w:tc>
        <w:tc>
          <w:tcPr>
            <w:tcW w:w="2040" w:type="dxa"/>
            <w:vAlign w:val="bottom"/>
          </w:tcPr>
          <w:p>
            <w:pPr>
              <w:jc w:val="center"/>
              <w:ind w:left="108"/>
              <w:spacing w:after="0"/>
              <w:rPr>
                <w:sz w:val="20"/>
                <w:szCs w:val="20"/>
                <w:color w:val="auto"/>
              </w:rPr>
            </w:pPr>
            <w:r>
              <w:rPr>
                <w:rFonts w:ascii="Arial" w:cs="Arial" w:eastAsia="Arial" w:hAnsi="Arial"/>
                <w:sz w:val="14"/>
                <w:szCs w:val="14"/>
                <w:color w:val="auto"/>
                <w:w w:val="97"/>
              </w:rPr>
              <w:t>Total Tenure: 36 years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(Tenure calculations shown as number of full years completed as of the last day of fiscal year 2026.)</w:t>
      </w:r>
    </w:p>
    <w:p>
      <w:pPr>
        <w:spacing w:after="0" w:line="162"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Effective February 2, 2026, Kristine Martin Anderson assumed the role of Chief Financial Officer on an interim basis in connection with the retirement of Matthew Calderone, former Executive Vice President, Chief Financial Officer. Mr. Calderone is a named executive officer for fiscal year 2026 (picture not shown). Additionally, effective May 1, 2026, Ms. Anderson assumed the additional role of President, with Mr. Rozanski continuing to serve as Chairman and Chief Executive Officer, and Mr. Crowe assumed the role of Chief Growth Officer. Effective May 4, 2026, Troy Lahr assumed the role of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spacing w:after="0"/>
        <w:rPr>
          <w:sz w:val="20"/>
          <w:szCs w:val="20"/>
          <w:color w:val="auto"/>
        </w:rPr>
      </w:pPr>
      <w:r>
        <w:rPr>
          <w:rFonts w:ascii="Arial" w:cs="Arial" w:eastAsia="Arial" w:hAnsi="Arial"/>
          <w:sz w:val="21"/>
          <w:szCs w:val="21"/>
          <w:b w:val="1"/>
          <w:bCs w:val="1"/>
          <w:u w:val="single" w:color="auto"/>
          <w:color w:val="00A5B5"/>
        </w:rPr>
        <w:t>Executive Summary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00A5B5"/>
        </w:rPr>
        <w:t>Fiscal Year 2026 Company Performance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43115"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42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shd w:val="clear" w:color="auto" w:fill="23D2D7"/>
          </w:tcPr>
          <w:p>
            <w:pPr>
              <w:ind w:left="2420"/>
              <w:spacing w:after="0"/>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spacing w:after="0"/>
              <w:rPr>
                <w:sz w:val="18"/>
                <w:szCs w:val="18"/>
                <w:color w:val="auto"/>
              </w:rPr>
            </w:pPr>
          </w:p>
        </w:tc>
        <w:tc>
          <w:tcPr>
            <w:tcW w:w="5580" w:type="dxa"/>
            <w:vAlign w:val="bottom"/>
            <w:shd w:val="clear" w:color="auto" w:fill="23D2D7"/>
          </w:tcPr>
          <w:p>
            <w:pPr>
              <w:ind w:left="2340"/>
              <w:spacing w:after="0"/>
              <w:rPr>
                <w:sz w:val="20"/>
                <w:szCs w:val="20"/>
                <w:color w:val="auto"/>
              </w:rPr>
            </w:pPr>
            <w:r>
              <w:rPr>
                <w:rFonts w:ascii="Arial" w:cs="Arial" w:eastAsia="Arial" w:hAnsi="Arial"/>
                <w:sz w:val="14"/>
                <w:szCs w:val="14"/>
                <w:b w:val="1"/>
                <w:bCs w:val="1"/>
                <w:color w:val="auto"/>
              </w:rPr>
              <w:t>Adj. EBITDA*</w:t>
            </w:r>
          </w:p>
        </w:tc>
      </w:tr>
      <w:tr>
        <w:trPr>
          <w:trHeight w:val="203"/>
        </w:trPr>
        <w:tc>
          <w:tcPr>
            <w:tcW w:w="5560" w:type="dxa"/>
            <w:vAlign w:val="bottom"/>
          </w:tcPr>
          <w:p>
            <w:pPr>
              <w:ind w:left="20"/>
              <w:spacing w:after="0"/>
              <w:rPr>
                <w:sz w:val="20"/>
                <w:szCs w:val="20"/>
                <w:color w:val="auto"/>
              </w:rPr>
            </w:pPr>
            <w:r>
              <w:rPr>
                <w:rFonts w:ascii="Arial" w:cs="Arial" w:eastAsia="Arial" w:hAnsi="Arial"/>
                <w:sz w:val="14"/>
                <w:szCs w:val="14"/>
                <w:color w:val="243746"/>
              </w:rPr>
              <w:t>Net Income ($ millions)</w:t>
            </w:r>
          </w:p>
        </w:tc>
        <w:tc>
          <w:tcPr>
            <w:tcW w:w="100" w:type="dxa"/>
            <w:vAlign w:val="bottom"/>
          </w:tcPr>
          <w:p>
            <w:pPr>
              <w:spacing w:after="0"/>
              <w:rPr>
                <w:sz w:val="17"/>
                <w:szCs w:val="17"/>
                <w:color w:val="auto"/>
              </w:rPr>
            </w:pPr>
          </w:p>
        </w:tc>
        <w:tc>
          <w:tcPr>
            <w:tcW w:w="5580" w:type="dxa"/>
            <w:vAlign w:val="bottom"/>
          </w:tcPr>
          <w:p>
            <w:pPr>
              <w:ind w:left="20"/>
              <w:spacing w:after="0"/>
              <w:rPr>
                <w:sz w:val="20"/>
                <w:szCs w:val="20"/>
                <w:color w:val="auto"/>
              </w:rPr>
            </w:pPr>
            <w:r>
              <w:rPr>
                <w:rFonts w:ascii="Arial" w:cs="Arial" w:eastAsia="Arial" w:hAnsi="Arial"/>
                <w:sz w:val="14"/>
                <w:szCs w:val="14"/>
                <w:color w:val="243746"/>
              </w:rPr>
              <w:t>Adj. EBITDA ($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207645</wp:posOffset>
            </wp:positionV>
            <wp:extent cx="5681345" cy="1697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13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320"/>
        <w:spacing w:after="0" w:line="273" w:lineRule="auto"/>
        <w:rPr>
          <w:sz w:val="20"/>
          <w:szCs w:val="20"/>
          <w:color w:val="auto"/>
        </w:rPr>
      </w:pPr>
      <w:r>
        <w:rPr>
          <w:rFonts w:ascii="Arial" w:cs="Arial" w:eastAsia="Arial" w:hAnsi="Arial"/>
          <w:sz w:val="14"/>
          <w:szCs w:val="14"/>
          <w:i w:val="1"/>
          <w:iCs w:val="1"/>
          <w:color w:val="auto"/>
        </w:rPr>
        <w:t>*Adjusted EBITDA may differ from similarly titled measures presented by other companies in our industry and is not a recognized measure under U.S. Generally Accepted Accounting Principles, or GAAP. See Appendix A to this proxy statement for a reconciliation of such measure against the most directly comparable financial measure calculated and presented in accordance with GAAP.</w:t>
      </w:r>
    </w:p>
    <w:p>
      <w:pPr>
        <w:spacing w:after="0" w:line="103" w:lineRule="exact"/>
        <w:rPr>
          <w:sz w:val="20"/>
          <w:szCs w:val="20"/>
          <w:color w:val="auto"/>
        </w:rPr>
      </w:pPr>
    </w:p>
    <w:p>
      <w:pPr>
        <w:jc w:val="both"/>
        <w:ind w:left="320" w:firstLine="318"/>
        <w:spacing w:after="0" w:line="259" w:lineRule="auto"/>
        <w:rPr>
          <w:sz w:val="20"/>
          <w:szCs w:val="20"/>
          <w:color w:val="auto"/>
        </w:rPr>
      </w:pPr>
      <w:r>
        <w:rPr>
          <w:rFonts w:ascii="Arial" w:cs="Arial" w:eastAsia="Arial" w:hAnsi="Arial"/>
          <w:sz w:val="18"/>
          <w:szCs w:val="18"/>
          <w:color w:val="auto"/>
        </w:rPr>
        <w:t>In fiscal year 2026, while the Company navigated a challenging macroeconomic environment, we delivered $1.23 billion of Adjusted EBITDA, which exceeded the top end of our previously revised guidance range, through strong cost discipline and operational execution and increased productivity of our customer-facing staff. Additionally, in fiscal year 2026:</w:t>
      </w:r>
    </w:p>
    <w:p>
      <w:pPr>
        <w:spacing w:after="0" w:line="124" w:lineRule="exact"/>
        <w:rPr>
          <w:sz w:val="20"/>
          <w:szCs w:val="20"/>
          <w:color w:val="auto"/>
        </w:rPr>
      </w:pPr>
    </w:p>
    <w:p>
      <w:pPr>
        <w:ind w:left="620" w:hanging="29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Full year revenue decreased 6.4% to $11.2 billion.</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decreased 9.0% to $851.0 million.</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decreased 6.5% to $1,229.0 million.</w:t>
      </w:r>
    </w:p>
    <w:p>
      <w:pPr>
        <w:spacing w:after="0" w:line="163" w:lineRule="exact"/>
        <w:rPr>
          <w:rFonts w:ascii="Arial" w:cs="Arial" w:eastAsia="Arial" w:hAnsi="Arial"/>
          <w:sz w:val="18"/>
          <w:szCs w:val="18"/>
          <w:color w:val="auto"/>
        </w:rPr>
      </w:pPr>
    </w:p>
    <w:p>
      <w:pPr>
        <w:ind w:left="640" w:hanging="316"/>
        <w:spacing w:after="0" w:line="274" w:lineRule="auto"/>
        <w:tabs>
          <w:tab w:leader="none" w:pos="616" w:val="left"/>
        </w:tabs>
        <w:numPr>
          <w:ilvl w:val="0"/>
          <w:numId w:val="34"/>
        </w:numPr>
        <w:rPr>
          <w:rFonts w:ascii="Arial" w:cs="Arial" w:eastAsia="Arial" w:hAnsi="Arial"/>
          <w:sz w:val="16"/>
          <w:szCs w:val="16"/>
          <w:b w:val="1"/>
          <w:bCs w:val="1"/>
          <w:color w:val="auto"/>
        </w:rPr>
      </w:pPr>
      <w:r>
        <w:rPr>
          <w:rFonts w:ascii="Arial" w:cs="Arial" w:eastAsia="Arial" w:hAnsi="Arial"/>
          <w:sz w:val="18"/>
          <w:szCs w:val="18"/>
          <w:color w:val="auto"/>
        </w:rPr>
        <w:t>We declared and paid $276.3 million in recurring dividends to stockholders—three regular dividends of $0.55 per share and one regular dividend of $0.59 per share.</w:t>
      </w:r>
    </w:p>
    <w:p>
      <w:pPr>
        <w:spacing w:after="0" w:line="109" w:lineRule="exact"/>
        <w:rPr>
          <w:rFonts w:ascii="Arial" w:cs="Arial" w:eastAsia="Arial" w:hAnsi="Arial"/>
          <w:sz w:val="16"/>
          <w:szCs w:val="16"/>
          <w:b w:val="1"/>
          <w:bCs w:val="1"/>
          <w:color w:val="auto"/>
        </w:rPr>
      </w:pPr>
    </w:p>
    <w:p>
      <w:pPr>
        <w:ind w:left="640" w:hanging="316"/>
        <w:spacing w:after="0" w:line="274" w:lineRule="auto"/>
        <w:tabs>
          <w:tab w:leader="none" w:pos="6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increased the quarterly dividend by 7% for performance in the third quarter of fiscal year 2026, payable in the fourth quarter of fiscal year 2026. The total dividends paid in fiscal year 2026 grew 3% compared to fiscal year 2025.</w:t>
      </w:r>
    </w:p>
    <w:p>
      <w:pPr>
        <w:spacing w:after="0" w:line="109" w:lineRule="exact"/>
        <w:rPr>
          <w:rFonts w:ascii="Arial" w:cs="Arial" w:eastAsia="Arial" w:hAnsi="Arial"/>
          <w:sz w:val="18"/>
          <w:szCs w:val="18"/>
          <w:color w:val="auto"/>
        </w:rPr>
      </w:pPr>
    </w:p>
    <w:p>
      <w:pPr>
        <w:ind w:left="620" w:hanging="29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allocated $234.1 million to strategic investments.</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repurchased 5.6 million shares for $561.3 million.</w:t>
      </w:r>
    </w:p>
    <w:p>
      <w:pPr>
        <w:spacing w:after="0" w:line="163" w:lineRule="exact"/>
        <w:rPr>
          <w:rFonts w:ascii="Arial" w:cs="Arial" w:eastAsia="Arial" w:hAnsi="Arial"/>
          <w:sz w:val="18"/>
          <w:szCs w:val="18"/>
          <w:color w:val="auto"/>
        </w:rPr>
      </w:pPr>
    </w:p>
    <w:p>
      <w:pPr>
        <w:jc w:val="both"/>
        <w:ind w:left="640" w:hanging="316"/>
        <w:spacing w:after="0" w:line="259" w:lineRule="auto"/>
        <w:tabs>
          <w:tab w:leader="none" w:pos="6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of Directors approved, on October 22, 2025, an additional increase to our share repurchase authorization of $500.0 million, for a total capacity of $4,085.0 million under the share repurchase program. As of March 31, 2026, the Company had approximately $683.5 million of unused capacity to repurchase shares of common stock under the share repurchase program.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00A5B5"/>
        </w:rPr>
        <w:t>Compensation Philosophy</w:t>
      </w:r>
    </w:p>
    <w:p>
      <w:pPr>
        <w:spacing w:after="0" w:line="183" w:lineRule="exact"/>
        <w:rPr>
          <w:sz w:val="20"/>
          <w:szCs w:val="20"/>
          <w:color w:val="auto"/>
        </w:rPr>
      </w:pPr>
    </w:p>
    <w:p>
      <w:pPr>
        <w:jc w:val="both"/>
        <w:ind w:right="20" w:firstLine="208"/>
        <w:spacing w:after="0" w:line="259" w:lineRule="auto"/>
        <w:rPr>
          <w:sz w:val="20"/>
          <w:szCs w:val="20"/>
          <w:color w:val="auto"/>
        </w:rPr>
      </w:pPr>
      <w:r>
        <w:rPr>
          <w:rFonts w:ascii="Arial" w:cs="Arial" w:eastAsia="Arial" w:hAnsi="Arial"/>
          <w:sz w:val="18"/>
          <w:szCs w:val="18"/>
          <w:color w:val="auto"/>
        </w:rPr>
        <w:t>We are a values-driven organization where our partnership culture motivates our executives, who we define as our named executive officers, Executive Vice Presidents, and Senior Vice Presidents, to consistently act in the best interests of the Company. Our executive compensation program is intrinsically tied to our purpose and values.</w:t>
      </w:r>
    </w:p>
    <w:p>
      <w:pPr>
        <w:spacing w:after="0" w:line="147" w:lineRule="exact"/>
        <w:rPr>
          <w:sz w:val="20"/>
          <w:szCs w:val="20"/>
          <w:color w:val="auto"/>
        </w:rPr>
      </w:pPr>
    </w:p>
    <w:tbl>
      <w:tblPr>
        <w:tblLayout w:type="fixed"/>
        <w:tblInd w:w="70" w:type="dxa"/>
        <w:tblCellMar>
          <w:top w:w="0" w:type="dxa"/>
          <w:left w:w="0" w:type="dxa"/>
          <w:bottom w:w="0" w:type="dxa"/>
          <w:right w:w="0" w:type="dxa"/>
        </w:tblCellMar>
      </w:tblPr>
      <w:tr>
        <w:trPr>
          <w:trHeight w:val="212"/>
        </w:trPr>
        <w:tc>
          <w:tcPr>
            <w:tcW w:w="280" w:type="dxa"/>
            <w:vAlign w:val="bottom"/>
            <w:tcBorders>
              <w:top w:val="single" w:sz="8" w:color="auto"/>
              <w:left w:val="single" w:sz="8" w:color="auto"/>
            </w:tcBorders>
            <w:shd w:val="clear" w:color="auto" w:fill="00A5B5"/>
          </w:tcPr>
          <w:p>
            <w:pPr>
              <w:spacing w:after="0"/>
              <w:rPr>
                <w:sz w:val="18"/>
                <w:szCs w:val="18"/>
                <w:color w:val="auto"/>
              </w:rPr>
            </w:pPr>
          </w:p>
        </w:tc>
        <w:tc>
          <w:tcPr>
            <w:tcW w:w="5090" w:type="dxa"/>
            <w:vAlign w:val="bottom"/>
            <w:tcBorders>
              <w:top w:val="single" w:sz="8" w:color="auto"/>
            </w:tcBorders>
            <w:shd w:val="clear" w:color="auto" w:fill="00A5B5"/>
          </w:tcPr>
          <w:p>
            <w:pPr>
              <w:ind w:left="2000"/>
              <w:spacing w:after="0"/>
              <w:rPr>
                <w:sz w:val="20"/>
                <w:szCs w:val="20"/>
                <w:color w:val="auto"/>
              </w:rPr>
            </w:pPr>
            <w:r>
              <w:rPr>
                <w:rFonts w:ascii="Arial" w:cs="Arial" w:eastAsia="Arial" w:hAnsi="Arial"/>
                <w:sz w:val="14"/>
                <w:szCs w:val="14"/>
                <w:b w:val="1"/>
                <w:bCs w:val="1"/>
                <w:color w:val="FFFFFF"/>
              </w:rPr>
              <w:t>Our Philosophy</w:t>
            </w:r>
          </w:p>
        </w:tc>
        <w:tc>
          <w:tcPr>
            <w:tcW w:w="5770" w:type="dxa"/>
            <w:vAlign w:val="bottom"/>
            <w:tcBorders>
              <w:top w:val="single" w:sz="8" w:color="auto"/>
              <w:right w:val="single" w:sz="8" w:color="auto"/>
            </w:tcBorders>
            <w:shd w:val="clear" w:color="auto" w:fill="00A5B5"/>
          </w:tcPr>
          <w:p>
            <w:pPr>
              <w:ind w:left="2010"/>
              <w:spacing w:after="0"/>
              <w:rPr>
                <w:sz w:val="20"/>
                <w:szCs w:val="20"/>
                <w:color w:val="auto"/>
              </w:rPr>
            </w:pPr>
            <w:r>
              <w:rPr>
                <w:rFonts w:ascii="Arial" w:cs="Arial" w:eastAsia="Arial" w:hAnsi="Arial"/>
                <w:sz w:val="14"/>
                <w:szCs w:val="14"/>
                <w:b w:val="1"/>
                <w:bCs w:val="1"/>
                <w:color w:val="FFFFFF"/>
              </w:rPr>
              <w:t>What Our Philosophy Achieves</w:t>
            </w:r>
          </w:p>
        </w:tc>
      </w:tr>
      <w:tr>
        <w:trPr>
          <w:trHeight w:val="146"/>
        </w:trPr>
        <w:tc>
          <w:tcPr>
            <w:tcW w:w="280" w:type="dxa"/>
            <w:vAlign w:val="bottom"/>
            <w:tcBorders>
              <w:left w:val="single" w:sz="8" w:color="auto"/>
            </w:tcBorders>
            <w:shd w:val="clear" w:color="auto" w:fill="CCEEF0"/>
          </w:tcPr>
          <w:p>
            <w:pPr>
              <w:jc w:val="right"/>
              <w:spacing w:after="0" w:line="146" w:lineRule="exact"/>
              <w:rPr>
                <w:sz w:val="20"/>
                <w:szCs w:val="20"/>
                <w:color w:val="auto"/>
              </w:rPr>
            </w:pPr>
            <w:r>
              <w:rPr>
                <w:rFonts w:ascii="Arial" w:cs="Arial" w:eastAsia="Arial" w:hAnsi="Arial"/>
                <w:sz w:val="14"/>
                <w:szCs w:val="14"/>
                <w:color w:val="auto"/>
              </w:rPr>
              <w:t>-</w:t>
            </w:r>
          </w:p>
        </w:tc>
        <w:tc>
          <w:tcPr>
            <w:tcW w:w="5090" w:type="dxa"/>
            <w:vAlign w:val="bottom"/>
            <w:shd w:val="clear" w:color="auto" w:fill="CCEEF0"/>
          </w:tcPr>
          <w:p>
            <w:pPr>
              <w:ind w:left="20"/>
              <w:spacing w:after="0" w:line="146" w:lineRule="exact"/>
              <w:rPr>
                <w:sz w:val="20"/>
                <w:szCs w:val="20"/>
                <w:color w:val="auto"/>
              </w:rPr>
            </w:pPr>
            <w:r>
              <w:rPr>
                <w:rFonts w:ascii="Arial" w:cs="Arial" w:eastAsia="Arial" w:hAnsi="Arial"/>
                <w:sz w:val="14"/>
                <w:szCs w:val="14"/>
                <w:color w:val="auto"/>
              </w:rPr>
              <w:t>Guides executives to live the Company's purpose and values in their customer</w:t>
            </w:r>
          </w:p>
        </w:tc>
        <w:tc>
          <w:tcPr>
            <w:tcW w:w="5770" w:type="dxa"/>
            <w:vAlign w:val="bottom"/>
            <w:tcBorders>
              <w:right w:val="single" w:sz="8" w:color="auto"/>
            </w:tcBorders>
            <w:shd w:val="clear" w:color="auto" w:fill="CCEEF0"/>
          </w:tcPr>
          <w:p>
            <w:pPr>
              <w:ind w:left="290"/>
              <w:spacing w:after="0" w:line="146" w:lineRule="exact"/>
              <w:rPr>
                <w:sz w:val="20"/>
                <w:szCs w:val="20"/>
                <w:color w:val="auto"/>
              </w:rPr>
            </w:pPr>
            <w:r>
              <w:rPr>
                <w:rFonts w:ascii="Arial" w:cs="Arial" w:eastAsia="Arial" w:hAnsi="Arial"/>
                <w:sz w:val="14"/>
                <w:szCs w:val="14"/>
                <w:color w:val="auto"/>
              </w:rPr>
              <w:t>- Empowers executives to think and act in the best interests of the Company</w:t>
            </w:r>
          </w:p>
        </w:tc>
      </w:tr>
      <w:tr>
        <w:trPr>
          <w:trHeight w:val="185"/>
        </w:trPr>
        <w:tc>
          <w:tcPr>
            <w:tcW w:w="280" w:type="dxa"/>
            <w:vAlign w:val="bottom"/>
            <w:tcBorders>
              <w:left w:val="single" w:sz="8" w:color="auto"/>
            </w:tcBorders>
            <w:shd w:val="clear" w:color="auto" w:fill="CCEEF0"/>
          </w:tcPr>
          <w:p>
            <w:pPr>
              <w:spacing w:after="0"/>
              <w:rPr>
                <w:sz w:val="16"/>
                <w:szCs w:val="16"/>
                <w:color w:val="auto"/>
              </w:rPr>
            </w:pPr>
          </w:p>
        </w:tc>
        <w:tc>
          <w:tcPr>
            <w:tcW w:w="5090" w:type="dxa"/>
            <w:vAlign w:val="bottom"/>
            <w:shd w:val="clear" w:color="auto" w:fill="CCEEF0"/>
          </w:tcPr>
          <w:p>
            <w:pPr>
              <w:ind w:left="20"/>
              <w:spacing w:after="0"/>
              <w:rPr>
                <w:sz w:val="20"/>
                <w:szCs w:val="20"/>
                <w:color w:val="auto"/>
              </w:rPr>
            </w:pPr>
            <w:r>
              <w:rPr>
                <w:rFonts w:ascii="Arial" w:cs="Arial" w:eastAsia="Arial" w:hAnsi="Arial"/>
                <w:sz w:val="14"/>
                <w:szCs w:val="14"/>
                <w:color w:val="auto"/>
              </w:rPr>
              <w:t>work and internal interactions</w:t>
            </w:r>
          </w:p>
        </w:tc>
        <w:tc>
          <w:tcPr>
            <w:tcW w:w="5770" w:type="dxa"/>
            <w:vAlign w:val="bottom"/>
            <w:tcBorders>
              <w:right w:val="single" w:sz="8" w:color="auto"/>
            </w:tcBorders>
            <w:shd w:val="clear" w:color="auto" w:fill="CCEEF0"/>
          </w:tcPr>
          <w:p>
            <w:pPr>
              <w:spacing w:after="0"/>
              <w:rPr>
                <w:sz w:val="16"/>
                <w:szCs w:val="16"/>
                <w:color w:val="auto"/>
              </w:rPr>
            </w:pPr>
          </w:p>
        </w:tc>
      </w:tr>
      <w:tr>
        <w:trPr>
          <w:trHeight w:val="146"/>
        </w:trPr>
        <w:tc>
          <w:tcPr>
            <w:tcW w:w="280" w:type="dxa"/>
            <w:vAlign w:val="bottom"/>
            <w:tcBorders>
              <w:left w:val="single" w:sz="8" w:color="auto"/>
            </w:tcBorders>
            <w:shd w:val="clear" w:color="auto" w:fill="CCEEF0"/>
          </w:tcPr>
          <w:p>
            <w:pPr>
              <w:jc w:val="right"/>
              <w:spacing w:after="0" w:line="146" w:lineRule="exact"/>
              <w:rPr>
                <w:sz w:val="20"/>
                <w:szCs w:val="20"/>
                <w:color w:val="auto"/>
              </w:rPr>
            </w:pPr>
            <w:r>
              <w:rPr>
                <w:rFonts w:ascii="Arial" w:cs="Arial" w:eastAsia="Arial" w:hAnsi="Arial"/>
                <w:sz w:val="14"/>
                <w:szCs w:val="14"/>
                <w:color w:val="auto"/>
              </w:rPr>
              <w:t>-</w:t>
            </w:r>
          </w:p>
        </w:tc>
        <w:tc>
          <w:tcPr>
            <w:tcW w:w="5090" w:type="dxa"/>
            <w:vAlign w:val="bottom"/>
            <w:shd w:val="clear" w:color="auto" w:fill="CCEEF0"/>
          </w:tcPr>
          <w:p>
            <w:pPr>
              <w:ind w:left="20"/>
              <w:spacing w:after="0" w:line="146" w:lineRule="exact"/>
              <w:rPr>
                <w:sz w:val="20"/>
                <w:szCs w:val="20"/>
                <w:color w:val="auto"/>
              </w:rPr>
            </w:pPr>
            <w:r>
              <w:rPr>
                <w:rFonts w:ascii="Arial" w:cs="Arial" w:eastAsia="Arial" w:hAnsi="Arial"/>
                <w:sz w:val="14"/>
                <w:szCs w:val="14"/>
                <w:color w:val="auto"/>
              </w:rPr>
              <w:t>Aligns executives' compensation with Company performance, strategic</w:t>
            </w:r>
          </w:p>
        </w:tc>
        <w:tc>
          <w:tcPr>
            <w:tcW w:w="5770" w:type="dxa"/>
            <w:vAlign w:val="bottom"/>
            <w:tcBorders>
              <w:right w:val="single" w:sz="8" w:color="auto"/>
            </w:tcBorders>
            <w:shd w:val="clear" w:color="auto" w:fill="CCEEF0"/>
          </w:tcPr>
          <w:p>
            <w:pPr>
              <w:ind w:left="290"/>
              <w:spacing w:after="0" w:line="146" w:lineRule="exact"/>
              <w:rPr>
                <w:sz w:val="20"/>
                <w:szCs w:val="20"/>
                <w:color w:val="auto"/>
              </w:rPr>
            </w:pPr>
            <w:r>
              <w:rPr>
                <w:rFonts w:ascii="Arial" w:cs="Arial" w:eastAsia="Arial" w:hAnsi="Arial"/>
                <w:sz w:val="14"/>
                <w:szCs w:val="14"/>
                <w:color w:val="auto"/>
              </w:rPr>
              <w:t>- Focuses on optimizing stockholder value and fostering an ownership culture</w:t>
            </w:r>
          </w:p>
        </w:tc>
      </w:tr>
      <w:tr>
        <w:trPr>
          <w:trHeight w:val="185"/>
        </w:trPr>
        <w:tc>
          <w:tcPr>
            <w:tcW w:w="280" w:type="dxa"/>
            <w:vAlign w:val="bottom"/>
            <w:tcBorders>
              <w:left w:val="single" w:sz="8" w:color="auto"/>
            </w:tcBorders>
            <w:shd w:val="clear" w:color="auto" w:fill="CCEEF0"/>
          </w:tcPr>
          <w:p>
            <w:pPr>
              <w:spacing w:after="0"/>
              <w:rPr>
                <w:sz w:val="16"/>
                <w:szCs w:val="16"/>
                <w:color w:val="auto"/>
              </w:rPr>
            </w:pPr>
          </w:p>
        </w:tc>
        <w:tc>
          <w:tcPr>
            <w:tcW w:w="5090" w:type="dxa"/>
            <w:vAlign w:val="bottom"/>
            <w:shd w:val="clear" w:color="auto" w:fill="CCEEF0"/>
          </w:tcPr>
          <w:p>
            <w:pPr>
              <w:ind w:left="20"/>
              <w:spacing w:after="0"/>
              <w:rPr>
                <w:sz w:val="20"/>
                <w:szCs w:val="20"/>
                <w:color w:val="auto"/>
              </w:rPr>
            </w:pPr>
            <w:r>
              <w:rPr>
                <w:rFonts w:ascii="Arial" w:cs="Arial" w:eastAsia="Arial" w:hAnsi="Arial"/>
                <w:sz w:val="14"/>
                <w:szCs w:val="14"/>
                <w:color w:val="auto"/>
              </w:rPr>
              <w:t>objectives, and the creation of long-term sustainable stockholder value</w:t>
            </w:r>
          </w:p>
        </w:tc>
        <w:tc>
          <w:tcPr>
            <w:tcW w:w="5770" w:type="dxa"/>
            <w:vAlign w:val="bottom"/>
            <w:tcBorders>
              <w:right w:val="single" w:sz="8" w:color="auto"/>
            </w:tcBorders>
            <w:shd w:val="clear" w:color="auto" w:fill="CCEEF0"/>
          </w:tcPr>
          <w:p>
            <w:pPr>
              <w:spacing w:after="0"/>
              <w:rPr>
                <w:sz w:val="16"/>
                <w:szCs w:val="16"/>
                <w:color w:val="auto"/>
              </w:rPr>
            </w:pPr>
          </w:p>
        </w:tc>
      </w:tr>
      <w:tr>
        <w:trPr>
          <w:trHeight w:val="146"/>
        </w:trPr>
        <w:tc>
          <w:tcPr>
            <w:tcW w:w="280" w:type="dxa"/>
            <w:vAlign w:val="bottom"/>
            <w:tcBorders>
              <w:left w:val="single" w:sz="8" w:color="auto"/>
            </w:tcBorders>
            <w:shd w:val="clear" w:color="auto" w:fill="CCEEF0"/>
          </w:tcPr>
          <w:p>
            <w:pPr>
              <w:jc w:val="right"/>
              <w:spacing w:after="0" w:line="146" w:lineRule="exact"/>
              <w:rPr>
                <w:sz w:val="20"/>
                <w:szCs w:val="20"/>
                <w:color w:val="auto"/>
              </w:rPr>
            </w:pPr>
            <w:r>
              <w:rPr>
                <w:rFonts w:ascii="Arial" w:cs="Arial" w:eastAsia="Arial" w:hAnsi="Arial"/>
                <w:sz w:val="14"/>
                <w:szCs w:val="14"/>
                <w:color w:val="auto"/>
              </w:rPr>
              <w:t>-</w:t>
            </w:r>
          </w:p>
        </w:tc>
        <w:tc>
          <w:tcPr>
            <w:tcW w:w="5090" w:type="dxa"/>
            <w:vAlign w:val="bottom"/>
            <w:shd w:val="clear" w:color="auto" w:fill="CCEEF0"/>
          </w:tcPr>
          <w:p>
            <w:pPr>
              <w:ind w:left="20"/>
              <w:spacing w:after="0" w:line="146" w:lineRule="exact"/>
              <w:rPr>
                <w:sz w:val="20"/>
                <w:szCs w:val="20"/>
                <w:color w:val="auto"/>
              </w:rPr>
            </w:pPr>
            <w:r>
              <w:rPr>
                <w:rFonts w:ascii="Arial" w:cs="Arial" w:eastAsia="Arial" w:hAnsi="Arial"/>
                <w:sz w:val="14"/>
                <w:szCs w:val="14"/>
                <w:color w:val="auto"/>
              </w:rPr>
              <w:t>Attracts, motivates, and retains executives of exceptional ability to deliver</w:t>
            </w:r>
          </w:p>
        </w:tc>
        <w:tc>
          <w:tcPr>
            <w:tcW w:w="5770" w:type="dxa"/>
            <w:vAlign w:val="bottom"/>
            <w:tcBorders>
              <w:right w:val="single" w:sz="8" w:color="auto"/>
            </w:tcBorders>
            <w:shd w:val="clear" w:color="auto" w:fill="CCEEF0"/>
          </w:tcPr>
          <w:p>
            <w:pPr>
              <w:ind w:left="290"/>
              <w:spacing w:after="0" w:line="146" w:lineRule="exact"/>
              <w:rPr>
                <w:sz w:val="20"/>
                <w:szCs w:val="20"/>
                <w:color w:val="auto"/>
              </w:rPr>
            </w:pPr>
            <w:r>
              <w:rPr>
                <w:rFonts w:ascii="Arial" w:cs="Arial" w:eastAsia="Arial" w:hAnsi="Arial"/>
                <w:sz w:val="14"/>
                <w:szCs w:val="14"/>
                <w:color w:val="auto"/>
              </w:rPr>
              <w:t>- Engages and incentivizes our executives to effectively execute our business strategy</w:t>
            </w:r>
          </w:p>
        </w:tc>
      </w:tr>
      <w:tr>
        <w:trPr>
          <w:trHeight w:val="185"/>
        </w:trPr>
        <w:tc>
          <w:tcPr>
            <w:tcW w:w="280" w:type="dxa"/>
            <w:vAlign w:val="bottom"/>
            <w:tcBorders>
              <w:left w:val="single" w:sz="8" w:color="auto"/>
            </w:tcBorders>
            <w:shd w:val="clear" w:color="auto" w:fill="CCEEF0"/>
          </w:tcPr>
          <w:p>
            <w:pPr>
              <w:spacing w:after="0"/>
              <w:rPr>
                <w:sz w:val="16"/>
                <w:szCs w:val="16"/>
                <w:color w:val="auto"/>
              </w:rPr>
            </w:pPr>
          </w:p>
        </w:tc>
        <w:tc>
          <w:tcPr>
            <w:tcW w:w="5090" w:type="dxa"/>
            <w:vAlign w:val="bottom"/>
            <w:shd w:val="clear" w:color="auto" w:fill="CCEEF0"/>
          </w:tcPr>
          <w:p>
            <w:pPr>
              <w:ind w:left="20"/>
              <w:spacing w:after="0" w:line="161" w:lineRule="exact"/>
              <w:rPr>
                <w:sz w:val="20"/>
                <w:szCs w:val="20"/>
                <w:color w:val="auto"/>
              </w:rPr>
            </w:pPr>
            <w:r>
              <w:rPr>
                <w:rFonts w:ascii="Arial" w:cs="Arial" w:eastAsia="Arial" w:hAnsi="Arial"/>
                <w:sz w:val="14"/>
                <w:szCs w:val="14"/>
                <w:color w:val="auto"/>
              </w:rPr>
              <w:t>high</w:t>
            </w:r>
            <w:r>
              <w:rPr>
                <w:rFonts w:ascii="MS PGothic" w:cs="MS PGothic" w:eastAsia="MS PGothic" w:hAnsi="MS PGothic"/>
                <w:sz w:val="14"/>
                <w:szCs w:val="14"/>
                <w:color w:val="auto"/>
              </w:rPr>
              <w:t>‑</w:t>
            </w:r>
            <w:r>
              <w:rPr>
                <w:rFonts w:ascii="Arial" w:cs="Arial" w:eastAsia="Arial" w:hAnsi="Arial"/>
                <w:sz w:val="14"/>
                <w:szCs w:val="14"/>
                <w:color w:val="auto"/>
              </w:rPr>
              <w:t>quality results that meet and exceed the needs of our customers</w:t>
            </w:r>
          </w:p>
        </w:tc>
        <w:tc>
          <w:tcPr>
            <w:tcW w:w="5770" w:type="dxa"/>
            <w:vAlign w:val="bottom"/>
            <w:tcBorders>
              <w:right w:val="single" w:sz="8" w:color="auto"/>
            </w:tcBorders>
            <w:shd w:val="clear" w:color="auto" w:fill="CCEEF0"/>
          </w:tcPr>
          <w:p>
            <w:pPr>
              <w:spacing w:after="0"/>
              <w:rPr>
                <w:sz w:val="16"/>
                <w:szCs w:val="16"/>
                <w:color w:val="auto"/>
              </w:rPr>
            </w:pPr>
          </w:p>
        </w:tc>
      </w:tr>
      <w:tr>
        <w:trPr>
          <w:trHeight w:val="146"/>
        </w:trPr>
        <w:tc>
          <w:tcPr>
            <w:tcW w:w="280" w:type="dxa"/>
            <w:vAlign w:val="bottom"/>
            <w:tcBorders>
              <w:left w:val="single" w:sz="8" w:color="auto"/>
            </w:tcBorders>
            <w:shd w:val="clear" w:color="auto" w:fill="CCEEF0"/>
          </w:tcPr>
          <w:p>
            <w:pPr>
              <w:jc w:val="right"/>
              <w:spacing w:after="0" w:line="146" w:lineRule="exact"/>
              <w:rPr>
                <w:sz w:val="20"/>
                <w:szCs w:val="20"/>
                <w:color w:val="auto"/>
              </w:rPr>
            </w:pPr>
            <w:r>
              <w:rPr>
                <w:rFonts w:ascii="Arial" w:cs="Arial" w:eastAsia="Arial" w:hAnsi="Arial"/>
                <w:sz w:val="14"/>
                <w:szCs w:val="14"/>
                <w:color w:val="auto"/>
              </w:rPr>
              <w:t>-</w:t>
            </w:r>
          </w:p>
        </w:tc>
        <w:tc>
          <w:tcPr>
            <w:tcW w:w="5090" w:type="dxa"/>
            <w:vAlign w:val="bottom"/>
            <w:shd w:val="clear" w:color="auto" w:fill="CCEEF0"/>
          </w:tcPr>
          <w:p>
            <w:pPr>
              <w:ind w:left="20"/>
              <w:spacing w:after="0" w:line="146" w:lineRule="exact"/>
              <w:rPr>
                <w:sz w:val="20"/>
                <w:szCs w:val="20"/>
                <w:color w:val="auto"/>
              </w:rPr>
            </w:pPr>
            <w:r>
              <w:rPr>
                <w:rFonts w:ascii="Arial" w:cs="Arial" w:eastAsia="Arial" w:hAnsi="Arial"/>
                <w:sz w:val="14"/>
                <w:szCs w:val="14"/>
                <w:color w:val="auto"/>
              </w:rPr>
              <w:t>Creates appropriate rewards and penalties for exceeding or falling short of</w:t>
            </w:r>
          </w:p>
        </w:tc>
        <w:tc>
          <w:tcPr>
            <w:tcW w:w="5770" w:type="dxa"/>
            <w:vAlign w:val="bottom"/>
            <w:tcBorders>
              <w:right w:val="single" w:sz="8" w:color="auto"/>
            </w:tcBorders>
            <w:shd w:val="clear" w:color="auto" w:fill="CCEEF0"/>
          </w:tcPr>
          <w:p>
            <w:pPr>
              <w:ind w:left="290"/>
              <w:spacing w:after="0" w:line="146" w:lineRule="exact"/>
              <w:rPr>
                <w:sz w:val="20"/>
                <w:szCs w:val="20"/>
                <w:color w:val="auto"/>
              </w:rPr>
            </w:pPr>
            <w:r>
              <w:rPr>
                <w:rFonts w:ascii="Arial" w:cs="Arial" w:eastAsia="Arial" w:hAnsi="Arial"/>
                <w:sz w:val="14"/>
                <w:szCs w:val="14"/>
                <w:color w:val="auto"/>
              </w:rPr>
              <w:t>- Creates and enables agility within our leadership and the Company overall, allowing</w:t>
            </w:r>
          </w:p>
        </w:tc>
      </w:tr>
      <w:tr>
        <w:trPr>
          <w:trHeight w:val="185"/>
        </w:trPr>
        <w:tc>
          <w:tcPr>
            <w:tcW w:w="280" w:type="dxa"/>
            <w:vAlign w:val="bottom"/>
            <w:tcBorders>
              <w:left w:val="single" w:sz="8" w:color="auto"/>
              <w:bottom w:val="single" w:sz="8" w:color="auto"/>
            </w:tcBorders>
            <w:shd w:val="clear" w:color="auto" w:fill="CCEEF0"/>
          </w:tcPr>
          <w:p>
            <w:pPr>
              <w:spacing w:after="0"/>
              <w:rPr>
                <w:sz w:val="16"/>
                <w:szCs w:val="16"/>
                <w:color w:val="auto"/>
              </w:rPr>
            </w:pPr>
          </w:p>
        </w:tc>
        <w:tc>
          <w:tcPr>
            <w:tcW w:w="5090" w:type="dxa"/>
            <w:vAlign w:val="bottom"/>
            <w:tcBorders>
              <w:bottom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Company-level performance targets</w:t>
            </w:r>
          </w:p>
        </w:tc>
        <w:tc>
          <w:tcPr>
            <w:tcW w:w="5770" w:type="dxa"/>
            <w:vAlign w:val="bottom"/>
            <w:tcBorders>
              <w:bottom w:val="single" w:sz="8" w:color="auto"/>
              <w:right w:val="single" w:sz="8" w:color="auto"/>
            </w:tcBorders>
            <w:shd w:val="clear" w:color="auto" w:fill="CCEEF0"/>
          </w:tcPr>
          <w:p>
            <w:pPr>
              <w:ind w:left="370"/>
              <w:spacing w:after="0"/>
              <w:rPr>
                <w:sz w:val="20"/>
                <w:szCs w:val="20"/>
                <w:color w:val="auto"/>
              </w:rPr>
            </w:pPr>
            <w:r>
              <w:rPr>
                <w:rFonts w:ascii="Arial" w:cs="Arial" w:eastAsia="Arial" w:hAnsi="Arial"/>
                <w:sz w:val="14"/>
                <w:szCs w:val="14"/>
                <w:color w:val="auto"/>
              </w:rPr>
              <w:t>us to quickly adjust, align, and advance in an ever-changing global marketplace</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00A4B5"/>
        </w:rPr>
        <w:t>Key Executive Compensation Practices</w:t>
      </w:r>
    </w:p>
    <w:p>
      <w:pPr>
        <w:spacing w:after="0" w:line="183" w:lineRule="exact"/>
        <w:rPr>
          <w:sz w:val="20"/>
          <w:szCs w:val="20"/>
          <w:color w:val="auto"/>
        </w:rPr>
      </w:pPr>
    </w:p>
    <w:p>
      <w:pPr>
        <w:ind w:left="320"/>
        <w:spacing w:after="0"/>
        <w:tabs>
          <w:tab w:leader="none" w:pos="740" w:val="left"/>
          <w:tab w:leader="none" w:pos="1540" w:val="left"/>
          <w:tab w:leader="none" w:pos="2280" w:val="left"/>
          <w:tab w:leader="none" w:pos="3280" w:val="left"/>
          <w:tab w:leader="none" w:pos="4500" w:val="left"/>
          <w:tab w:leader="none" w:pos="5000" w:val="left"/>
          <w:tab w:leader="none" w:pos="6360" w:val="left"/>
          <w:tab w:leader="none" w:pos="7260" w:val="left"/>
          <w:tab w:leader="none" w:pos="8500" w:val="left"/>
          <w:tab w:leader="none" w:pos="9000" w:val="left"/>
          <w:tab w:leader="none" w:pos="9940" w:val="left"/>
          <w:tab w:leader="none" w:pos="10460" w:val="left"/>
        </w:tabs>
        <w:rPr>
          <w:sz w:val="20"/>
          <w:szCs w:val="20"/>
          <w:color w:val="auto"/>
        </w:rPr>
      </w:pPr>
      <w:r>
        <w:rPr>
          <w:rFonts w:ascii="Arial" w:cs="Arial" w:eastAsia="Arial" w:hAnsi="Arial"/>
          <w:sz w:val="18"/>
          <w:szCs w:val="18"/>
          <w:color w:val="auto"/>
        </w:rPr>
        <w:t>To</w:t>
        <w:tab/>
        <w:t>ensure</w:t>
        <w:tab/>
        <w:t>strong</w:t>
        <w:tab/>
        <w:t>corporate</w:t>
        <w:tab/>
        <w:t>governance,</w:t>
        <w:tab/>
        <w:t>our</w:t>
        <w:tab/>
        <w:t>compensation</w:t>
        <w:tab/>
        <w:t>program</w:t>
        <w:tab/>
        <w:t>incorporates</w:t>
        <w:tab/>
        <w:t>the</w:t>
        <w:tab/>
        <w:t>following</w:t>
        <w:tab/>
        <w:t>key</w:t>
      </w:r>
      <w:r>
        <w:rPr>
          <w:sz w:val="20"/>
          <w:szCs w:val="20"/>
          <w:color w:val="auto"/>
        </w:rPr>
        <w:tab/>
      </w:r>
      <w:r>
        <w:rPr>
          <w:rFonts w:ascii="Arial" w:cs="Arial" w:eastAsia="Arial" w:hAnsi="Arial"/>
          <w:sz w:val="17"/>
          <w:szCs w:val="17"/>
          <w:color w:val="auto"/>
        </w:rPr>
        <w:t>practices:</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40" w:type="dxa"/>
            <w:vAlign w:val="bottom"/>
            <w:tcBorders>
              <w:top w:val="single" w:sz="8" w:color="auto"/>
              <w:left w:val="single" w:sz="8" w:color="auto"/>
            </w:tcBorders>
            <w:shd w:val="clear" w:color="auto" w:fill="00A5B5"/>
          </w:tcPr>
          <w:p>
            <w:pPr>
              <w:spacing w:after="0"/>
              <w:rPr>
                <w:sz w:val="18"/>
                <w:szCs w:val="18"/>
                <w:color w:val="auto"/>
              </w:rPr>
            </w:pPr>
          </w:p>
        </w:tc>
        <w:tc>
          <w:tcPr>
            <w:tcW w:w="4970" w:type="dxa"/>
            <w:vAlign w:val="bottom"/>
            <w:tcBorders>
              <w:top w:val="single" w:sz="8" w:color="auto"/>
            </w:tcBorders>
            <w:shd w:val="clear" w:color="auto" w:fill="00A5B5"/>
          </w:tcPr>
          <w:p>
            <w:pPr>
              <w:ind w:left="1620"/>
              <w:spacing w:after="0"/>
              <w:rPr>
                <w:sz w:val="20"/>
                <w:szCs w:val="20"/>
                <w:color w:val="auto"/>
              </w:rPr>
            </w:pPr>
            <w:r>
              <w:rPr>
                <w:rFonts w:ascii="Arial" w:cs="Arial" w:eastAsia="Arial" w:hAnsi="Arial"/>
                <w:sz w:val="14"/>
                <w:szCs w:val="14"/>
                <w:b w:val="1"/>
                <w:bCs w:val="1"/>
                <w:color w:val="FFFFFF"/>
              </w:rPr>
              <w:t>At Booz Allen, We:</w:t>
            </w:r>
          </w:p>
        </w:tc>
        <w:tc>
          <w:tcPr>
            <w:tcW w:w="510" w:type="dxa"/>
            <w:vAlign w:val="bottom"/>
            <w:tcBorders>
              <w:top w:val="single" w:sz="8" w:color="auto"/>
            </w:tcBorders>
            <w:shd w:val="clear" w:color="auto" w:fill="00A5B5"/>
          </w:tcPr>
          <w:p>
            <w:pPr>
              <w:spacing w:after="0"/>
              <w:rPr>
                <w:sz w:val="18"/>
                <w:szCs w:val="18"/>
                <w:color w:val="auto"/>
              </w:rPr>
            </w:pPr>
          </w:p>
        </w:tc>
        <w:tc>
          <w:tcPr>
            <w:tcW w:w="5340" w:type="dxa"/>
            <w:vAlign w:val="bottom"/>
            <w:tcBorders>
              <w:top w:val="single" w:sz="8" w:color="auto"/>
              <w:right w:val="single" w:sz="8" w:color="auto"/>
            </w:tcBorders>
            <w:shd w:val="clear" w:color="auto" w:fill="00A5B5"/>
          </w:tcPr>
          <w:p>
            <w:pPr>
              <w:ind w:left="1620"/>
              <w:spacing w:after="0"/>
              <w:rPr>
                <w:sz w:val="20"/>
                <w:szCs w:val="20"/>
                <w:color w:val="auto"/>
              </w:rPr>
            </w:pPr>
            <w:r>
              <w:rPr>
                <w:rFonts w:ascii="Arial" w:cs="Arial" w:eastAsia="Arial" w:hAnsi="Arial"/>
                <w:sz w:val="14"/>
                <w:szCs w:val="14"/>
                <w:b w:val="1"/>
                <w:bCs w:val="1"/>
                <w:color w:val="FFFFFF"/>
              </w:rPr>
              <w:t>At Booz Allen, We Don't:</w:t>
            </w:r>
          </w:p>
        </w:tc>
      </w:tr>
      <w:tr>
        <w:trPr>
          <w:trHeight w:val="189"/>
        </w:trPr>
        <w:tc>
          <w:tcPr>
            <w:tcW w:w="440" w:type="dxa"/>
            <w:vAlign w:val="bottom"/>
            <w:tcBorders>
              <w:left w:val="single" w:sz="8" w:color="auto"/>
            </w:tcBorders>
            <w:shd w:val="clear" w:color="auto" w:fill="CCEEF0"/>
          </w:tcPr>
          <w:p>
            <w:pPr>
              <w:ind w:left="180"/>
              <w:spacing w:after="0"/>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Require our executives and directors to satisfy meaningful stock ownership</w:t>
            </w:r>
          </w:p>
        </w:tc>
        <w:tc>
          <w:tcPr>
            <w:tcW w:w="5850" w:type="dxa"/>
            <w:vAlign w:val="bottom"/>
            <w:tcBorders>
              <w:right w:val="single" w:sz="8" w:color="auto"/>
            </w:tcBorders>
            <w:gridSpan w:val="2"/>
            <w:shd w:val="clear" w:color="auto" w:fill="CCEEF0"/>
          </w:tcPr>
          <w:p>
            <w:pPr>
              <w:ind w:left="250"/>
              <w:spacing w:after="0"/>
              <w:rPr>
                <w:sz w:val="20"/>
                <w:szCs w:val="20"/>
                <w:color w:val="auto"/>
              </w:rPr>
            </w:pPr>
            <w:r>
              <w:rPr>
                <w:rFonts w:ascii="Wingdings" w:cs="Wingdings" w:eastAsia="Wingdings" w:hAnsi="Wingdings"/>
                <w:sz w:val="14"/>
                <w:szCs w:val="14"/>
                <w:b w:val="1"/>
                <w:bCs w:val="1"/>
                <w:color w:val="auto"/>
              </w:rPr>
              <w:t xml:space="preserve">û  </w:t>
            </w:r>
            <w:r>
              <w:rPr>
                <w:rFonts w:ascii="Arial" w:cs="Arial" w:eastAsia="Arial" w:hAnsi="Arial"/>
                <w:sz w:val="14"/>
                <w:szCs w:val="14"/>
                <w:color w:val="auto"/>
              </w:rPr>
              <w:t>Reprice underwater stock options</w:t>
            </w:r>
          </w:p>
        </w:tc>
      </w:tr>
      <w:tr>
        <w:trPr>
          <w:trHeight w:val="181"/>
        </w:trPr>
        <w:tc>
          <w:tcPr>
            <w:tcW w:w="440" w:type="dxa"/>
            <w:vAlign w:val="bottom"/>
            <w:tcBorders>
              <w:left w:val="single" w:sz="8" w:color="auto"/>
            </w:tcBorders>
            <w:shd w:val="clear" w:color="auto" w:fill="CCEEF0"/>
          </w:tcPr>
          <w:p>
            <w:pPr>
              <w:spacing w:after="0"/>
              <w:rPr>
                <w:sz w:val="15"/>
                <w:szCs w:val="15"/>
                <w:color w:val="auto"/>
              </w:rPr>
            </w:pP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requirements</w:t>
            </w:r>
          </w:p>
        </w:tc>
        <w:tc>
          <w:tcPr>
            <w:tcW w:w="510" w:type="dxa"/>
            <w:vAlign w:val="bottom"/>
            <w:shd w:val="clear" w:color="auto" w:fill="CCEEF0"/>
          </w:tcPr>
          <w:p>
            <w:pPr>
              <w:spacing w:after="0"/>
              <w:rPr>
                <w:sz w:val="15"/>
                <w:szCs w:val="15"/>
                <w:color w:val="auto"/>
              </w:rPr>
            </w:pPr>
          </w:p>
        </w:tc>
        <w:tc>
          <w:tcPr>
            <w:tcW w:w="5340" w:type="dxa"/>
            <w:vAlign w:val="bottom"/>
            <w:tcBorders>
              <w:right w:val="single" w:sz="8" w:color="auto"/>
            </w:tcBorders>
            <w:shd w:val="clear" w:color="auto" w:fill="CCEEF0"/>
          </w:tcPr>
          <w:p>
            <w:pPr>
              <w:spacing w:after="0"/>
              <w:rPr>
                <w:sz w:val="15"/>
                <w:szCs w:val="15"/>
                <w:color w:val="auto"/>
              </w:rPr>
            </w:pPr>
          </w:p>
        </w:tc>
      </w:tr>
      <w:tr>
        <w:trPr>
          <w:trHeight w:val="149"/>
        </w:trPr>
        <w:tc>
          <w:tcPr>
            <w:tcW w:w="440" w:type="dxa"/>
            <w:vAlign w:val="bottom"/>
            <w:tcBorders>
              <w:left w:val="single" w:sz="8" w:color="auto"/>
            </w:tcBorders>
            <w:shd w:val="clear" w:color="auto" w:fill="CCEEF0"/>
          </w:tcPr>
          <w:p>
            <w:pPr>
              <w:ind w:left="180"/>
              <w:spacing w:after="0" w:line="149" w:lineRule="exact"/>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line="149" w:lineRule="exact"/>
              <w:rPr>
                <w:sz w:val="20"/>
                <w:szCs w:val="20"/>
                <w:color w:val="auto"/>
              </w:rPr>
            </w:pPr>
            <w:r>
              <w:rPr>
                <w:rFonts w:ascii="Arial" w:cs="Arial" w:eastAsia="Arial" w:hAnsi="Arial"/>
                <w:sz w:val="14"/>
                <w:szCs w:val="14"/>
                <w:color w:val="auto"/>
              </w:rPr>
              <w:t>Maintain a clawback policy and include additional compensation recovery</w:t>
            </w:r>
          </w:p>
        </w:tc>
        <w:tc>
          <w:tcPr>
            <w:tcW w:w="5850" w:type="dxa"/>
            <w:vAlign w:val="bottom"/>
            <w:tcBorders>
              <w:right w:val="single" w:sz="8" w:color="auto"/>
            </w:tcBorders>
            <w:gridSpan w:val="2"/>
            <w:shd w:val="clear" w:color="auto" w:fill="CCEEF0"/>
          </w:tcPr>
          <w:p>
            <w:pPr>
              <w:ind w:left="250"/>
              <w:spacing w:after="0" w:line="149" w:lineRule="exact"/>
              <w:rPr>
                <w:sz w:val="20"/>
                <w:szCs w:val="20"/>
                <w:color w:val="auto"/>
              </w:rPr>
            </w:pPr>
            <w:r>
              <w:rPr>
                <w:rFonts w:ascii="Wingdings" w:cs="Wingdings" w:eastAsia="Wingdings" w:hAnsi="Wingdings"/>
                <w:sz w:val="14"/>
                <w:szCs w:val="14"/>
                <w:b w:val="1"/>
                <w:bCs w:val="1"/>
                <w:color w:val="auto"/>
              </w:rPr>
              <w:t xml:space="preserve">û  </w:t>
            </w:r>
            <w:r>
              <w:rPr>
                <w:rFonts w:ascii="Arial" w:cs="Arial" w:eastAsia="Arial" w:hAnsi="Arial"/>
                <w:sz w:val="14"/>
                <w:szCs w:val="14"/>
                <w:color w:val="auto"/>
              </w:rPr>
              <w:t>Offer individual supplemental executive retirement plans</w:t>
            </w:r>
          </w:p>
        </w:tc>
      </w:tr>
      <w:tr>
        <w:trPr>
          <w:trHeight w:val="181"/>
        </w:trPr>
        <w:tc>
          <w:tcPr>
            <w:tcW w:w="440" w:type="dxa"/>
            <w:vAlign w:val="bottom"/>
            <w:tcBorders>
              <w:left w:val="single" w:sz="8" w:color="auto"/>
            </w:tcBorders>
            <w:shd w:val="clear" w:color="auto" w:fill="CCEEF0"/>
          </w:tcPr>
          <w:p>
            <w:pPr>
              <w:spacing w:after="0"/>
              <w:rPr>
                <w:sz w:val="15"/>
                <w:szCs w:val="15"/>
                <w:color w:val="auto"/>
              </w:rPr>
            </w:pP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provisions in our incentive plans</w:t>
            </w:r>
          </w:p>
        </w:tc>
        <w:tc>
          <w:tcPr>
            <w:tcW w:w="510" w:type="dxa"/>
            <w:vAlign w:val="bottom"/>
            <w:shd w:val="clear" w:color="auto" w:fill="CCEEF0"/>
          </w:tcPr>
          <w:p>
            <w:pPr>
              <w:spacing w:after="0"/>
              <w:rPr>
                <w:sz w:val="15"/>
                <w:szCs w:val="15"/>
                <w:color w:val="auto"/>
              </w:rPr>
            </w:pPr>
          </w:p>
        </w:tc>
        <w:tc>
          <w:tcPr>
            <w:tcW w:w="5340" w:type="dxa"/>
            <w:vAlign w:val="bottom"/>
            <w:tcBorders>
              <w:right w:val="single" w:sz="8" w:color="auto"/>
            </w:tcBorders>
            <w:shd w:val="clear" w:color="auto" w:fill="CCEEF0"/>
          </w:tcPr>
          <w:p>
            <w:pPr>
              <w:spacing w:after="0"/>
              <w:rPr>
                <w:sz w:val="15"/>
                <w:szCs w:val="15"/>
                <w:color w:val="auto"/>
              </w:rPr>
            </w:pPr>
          </w:p>
        </w:tc>
      </w:tr>
      <w:tr>
        <w:trPr>
          <w:trHeight w:val="149"/>
        </w:trPr>
        <w:tc>
          <w:tcPr>
            <w:tcW w:w="440" w:type="dxa"/>
            <w:vAlign w:val="bottom"/>
            <w:tcBorders>
              <w:left w:val="single" w:sz="8" w:color="auto"/>
            </w:tcBorders>
            <w:shd w:val="clear" w:color="auto" w:fill="CCEEF0"/>
          </w:tcPr>
          <w:p>
            <w:pPr>
              <w:ind w:left="180"/>
              <w:spacing w:after="0" w:line="149" w:lineRule="exact"/>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line="149" w:lineRule="exact"/>
              <w:rPr>
                <w:sz w:val="20"/>
                <w:szCs w:val="20"/>
                <w:color w:val="auto"/>
              </w:rPr>
            </w:pPr>
            <w:r>
              <w:rPr>
                <w:rFonts w:ascii="Arial" w:cs="Arial" w:eastAsia="Arial" w:hAnsi="Arial"/>
                <w:sz w:val="14"/>
                <w:szCs w:val="14"/>
                <w:color w:val="auto"/>
              </w:rPr>
              <w:t>Perform annual review of appropriate peer group to benchmark executive</w:t>
            </w:r>
          </w:p>
        </w:tc>
        <w:tc>
          <w:tcPr>
            <w:tcW w:w="5850" w:type="dxa"/>
            <w:vAlign w:val="bottom"/>
            <w:tcBorders>
              <w:right w:val="single" w:sz="8" w:color="auto"/>
            </w:tcBorders>
            <w:gridSpan w:val="2"/>
            <w:shd w:val="clear" w:color="auto" w:fill="CCEEF0"/>
          </w:tcPr>
          <w:p>
            <w:pPr>
              <w:ind w:left="250"/>
              <w:spacing w:after="0" w:line="149" w:lineRule="exact"/>
              <w:rPr>
                <w:sz w:val="20"/>
                <w:szCs w:val="20"/>
                <w:color w:val="auto"/>
              </w:rPr>
            </w:pPr>
            <w:r>
              <w:rPr>
                <w:rFonts w:ascii="Wingdings" w:cs="Wingdings" w:eastAsia="Wingdings" w:hAnsi="Wingdings"/>
                <w:sz w:val="14"/>
                <w:szCs w:val="14"/>
                <w:b w:val="1"/>
                <w:bCs w:val="1"/>
                <w:color w:val="auto"/>
              </w:rPr>
              <w:t xml:space="preserve">û  </w:t>
            </w:r>
            <w:r>
              <w:rPr>
                <w:rFonts w:ascii="Arial" w:cs="Arial" w:eastAsia="Arial" w:hAnsi="Arial"/>
                <w:sz w:val="14"/>
                <w:szCs w:val="14"/>
                <w:color w:val="auto"/>
              </w:rPr>
              <w:t>Grant discounted stock options</w:t>
            </w:r>
          </w:p>
        </w:tc>
      </w:tr>
      <w:tr>
        <w:trPr>
          <w:trHeight w:val="181"/>
        </w:trPr>
        <w:tc>
          <w:tcPr>
            <w:tcW w:w="440" w:type="dxa"/>
            <w:vAlign w:val="bottom"/>
            <w:tcBorders>
              <w:left w:val="single" w:sz="8" w:color="auto"/>
            </w:tcBorders>
            <w:shd w:val="clear" w:color="auto" w:fill="CCEEF0"/>
          </w:tcPr>
          <w:p>
            <w:pPr>
              <w:spacing w:after="0"/>
              <w:rPr>
                <w:sz w:val="15"/>
                <w:szCs w:val="15"/>
                <w:color w:val="auto"/>
              </w:rPr>
            </w:pP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compensation</w:t>
            </w:r>
          </w:p>
        </w:tc>
        <w:tc>
          <w:tcPr>
            <w:tcW w:w="510" w:type="dxa"/>
            <w:vAlign w:val="bottom"/>
            <w:shd w:val="clear" w:color="auto" w:fill="CCEEF0"/>
          </w:tcPr>
          <w:p>
            <w:pPr>
              <w:spacing w:after="0"/>
              <w:rPr>
                <w:sz w:val="15"/>
                <w:szCs w:val="15"/>
                <w:color w:val="auto"/>
              </w:rPr>
            </w:pPr>
          </w:p>
        </w:tc>
        <w:tc>
          <w:tcPr>
            <w:tcW w:w="5340" w:type="dxa"/>
            <w:vAlign w:val="bottom"/>
            <w:tcBorders>
              <w:right w:val="single" w:sz="8" w:color="auto"/>
            </w:tcBorders>
            <w:shd w:val="clear" w:color="auto" w:fill="CCEEF0"/>
          </w:tcPr>
          <w:p>
            <w:pPr>
              <w:spacing w:after="0"/>
              <w:rPr>
                <w:sz w:val="15"/>
                <w:szCs w:val="15"/>
                <w:color w:val="auto"/>
              </w:rPr>
            </w:pPr>
          </w:p>
        </w:tc>
      </w:tr>
      <w:tr>
        <w:trPr>
          <w:trHeight w:val="149"/>
        </w:trPr>
        <w:tc>
          <w:tcPr>
            <w:tcW w:w="440" w:type="dxa"/>
            <w:vAlign w:val="bottom"/>
            <w:tcBorders>
              <w:left w:val="single" w:sz="8" w:color="auto"/>
            </w:tcBorders>
            <w:shd w:val="clear" w:color="auto" w:fill="CCEEF0"/>
          </w:tcPr>
          <w:p>
            <w:pPr>
              <w:ind w:left="180"/>
              <w:spacing w:after="0" w:line="149" w:lineRule="exact"/>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line="149" w:lineRule="exact"/>
              <w:rPr>
                <w:sz w:val="20"/>
                <w:szCs w:val="20"/>
                <w:color w:val="auto"/>
              </w:rPr>
            </w:pPr>
            <w:r>
              <w:rPr>
                <w:rFonts w:ascii="Arial" w:cs="Arial" w:eastAsia="Arial" w:hAnsi="Arial"/>
                <w:sz w:val="14"/>
                <w:szCs w:val="14"/>
                <w:color w:val="auto"/>
              </w:rPr>
              <w:t>Conduct annual risk assessment of incentive-based compensation to identify</w:t>
            </w:r>
          </w:p>
        </w:tc>
        <w:tc>
          <w:tcPr>
            <w:tcW w:w="510" w:type="dxa"/>
            <w:vAlign w:val="bottom"/>
            <w:shd w:val="clear" w:color="auto" w:fill="CCEEF0"/>
          </w:tcPr>
          <w:p>
            <w:pPr>
              <w:ind w:left="250"/>
              <w:spacing w:after="0" w:line="149" w:lineRule="exact"/>
              <w:rPr>
                <w:sz w:val="20"/>
                <w:szCs w:val="20"/>
                <w:color w:val="auto"/>
              </w:rPr>
            </w:pPr>
            <w:r>
              <w:rPr>
                <w:rFonts w:ascii="Wingdings" w:cs="Wingdings" w:eastAsia="Wingdings" w:hAnsi="Wingdings"/>
                <w:sz w:val="14"/>
                <w:szCs w:val="14"/>
                <w:b w:val="1"/>
                <w:bCs w:val="1"/>
                <w:color w:val="auto"/>
              </w:rPr>
              <w:t>û</w:t>
            </w:r>
          </w:p>
        </w:tc>
        <w:tc>
          <w:tcPr>
            <w:tcW w:w="5340" w:type="dxa"/>
            <w:vAlign w:val="bottom"/>
            <w:tcBorders>
              <w:right w:val="single" w:sz="8" w:color="auto"/>
            </w:tcBorders>
            <w:shd w:val="clear" w:color="auto" w:fill="CCEEF0"/>
          </w:tcPr>
          <w:p>
            <w:pPr>
              <w:ind w:left="20"/>
              <w:spacing w:after="0" w:line="149" w:lineRule="exact"/>
              <w:rPr>
                <w:sz w:val="20"/>
                <w:szCs w:val="20"/>
                <w:color w:val="auto"/>
              </w:rPr>
            </w:pPr>
            <w:r>
              <w:rPr>
                <w:rFonts w:ascii="Arial" w:cs="Arial" w:eastAsia="Arial" w:hAnsi="Arial"/>
                <w:sz w:val="14"/>
                <w:szCs w:val="14"/>
                <w:color w:val="auto"/>
              </w:rPr>
              <w:t>Provide tax gross-ups on golden parachute payments for CEO or other officers</w:t>
            </w:r>
          </w:p>
        </w:tc>
      </w:tr>
      <w:tr>
        <w:trPr>
          <w:trHeight w:val="181"/>
        </w:trPr>
        <w:tc>
          <w:tcPr>
            <w:tcW w:w="440" w:type="dxa"/>
            <w:vAlign w:val="bottom"/>
            <w:tcBorders>
              <w:left w:val="single" w:sz="8" w:color="auto"/>
            </w:tcBorders>
            <w:shd w:val="clear" w:color="auto" w:fill="CCEEF0"/>
          </w:tcPr>
          <w:p>
            <w:pPr>
              <w:spacing w:after="0"/>
              <w:rPr>
                <w:sz w:val="15"/>
                <w:szCs w:val="15"/>
                <w:color w:val="auto"/>
              </w:rPr>
            </w:pP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any issues that could have a material, adverse impact on the Company</w:t>
            </w:r>
          </w:p>
        </w:tc>
        <w:tc>
          <w:tcPr>
            <w:tcW w:w="510" w:type="dxa"/>
            <w:vAlign w:val="bottom"/>
            <w:shd w:val="clear" w:color="auto" w:fill="CCEEF0"/>
          </w:tcPr>
          <w:p>
            <w:pPr>
              <w:spacing w:after="0"/>
              <w:rPr>
                <w:sz w:val="15"/>
                <w:szCs w:val="15"/>
                <w:color w:val="auto"/>
              </w:rPr>
            </w:pPr>
          </w:p>
        </w:tc>
        <w:tc>
          <w:tcPr>
            <w:tcW w:w="5340" w:type="dxa"/>
            <w:vAlign w:val="bottom"/>
            <w:tcBorders>
              <w:righ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following a change in control</w:t>
            </w:r>
          </w:p>
        </w:tc>
      </w:tr>
      <w:tr>
        <w:trPr>
          <w:trHeight w:val="149"/>
        </w:trPr>
        <w:tc>
          <w:tcPr>
            <w:tcW w:w="440" w:type="dxa"/>
            <w:vAlign w:val="bottom"/>
            <w:tcBorders>
              <w:left w:val="single" w:sz="8" w:color="auto"/>
            </w:tcBorders>
            <w:shd w:val="clear" w:color="auto" w:fill="CCEEF0"/>
          </w:tcPr>
          <w:p>
            <w:pPr>
              <w:ind w:left="180"/>
              <w:spacing w:after="0" w:line="149" w:lineRule="exact"/>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line="149" w:lineRule="exact"/>
              <w:rPr>
                <w:sz w:val="20"/>
                <w:szCs w:val="20"/>
                <w:color w:val="auto"/>
              </w:rPr>
            </w:pPr>
            <w:r>
              <w:rPr>
                <w:rFonts w:ascii="Arial" w:cs="Arial" w:eastAsia="Arial" w:hAnsi="Arial"/>
                <w:sz w:val="14"/>
                <w:szCs w:val="14"/>
                <w:color w:val="auto"/>
              </w:rPr>
              <w:t>Review on a regular basis our executive talent, performance, deployments,</w:t>
            </w:r>
          </w:p>
        </w:tc>
        <w:tc>
          <w:tcPr>
            <w:tcW w:w="510" w:type="dxa"/>
            <w:vAlign w:val="bottom"/>
            <w:shd w:val="clear" w:color="auto" w:fill="CCEEF0"/>
          </w:tcPr>
          <w:p>
            <w:pPr>
              <w:ind w:left="250"/>
              <w:spacing w:after="0" w:line="149" w:lineRule="exact"/>
              <w:rPr>
                <w:sz w:val="20"/>
                <w:szCs w:val="20"/>
                <w:color w:val="auto"/>
              </w:rPr>
            </w:pPr>
            <w:r>
              <w:rPr>
                <w:rFonts w:ascii="Wingdings" w:cs="Wingdings" w:eastAsia="Wingdings" w:hAnsi="Wingdings"/>
                <w:sz w:val="14"/>
                <w:szCs w:val="14"/>
                <w:b w:val="1"/>
                <w:bCs w:val="1"/>
                <w:color w:val="auto"/>
              </w:rPr>
              <w:t>û</w:t>
            </w:r>
          </w:p>
        </w:tc>
        <w:tc>
          <w:tcPr>
            <w:tcW w:w="5340" w:type="dxa"/>
            <w:vAlign w:val="bottom"/>
            <w:tcBorders>
              <w:right w:val="single" w:sz="8" w:color="auto"/>
            </w:tcBorders>
            <w:shd w:val="clear" w:color="auto" w:fill="CCEEF0"/>
          </w:tcPr>
          <w:p>
            <w:pPr>
              <w:ind w:left="20"/>
              <w:spacing w:after="0" w:line="149" w:lineRule="exact"/>
              <w:rPr>
                <w:sz w:val="20"/>
                <w:szCs w:val="20"/>
                <w:color w:val="auto"/>
              </w:rPr>
            </w:pPr>
            <w:r>
              <w:rPr>
                <w:rFonts w:ascii="Arial" w:cs="Arial" w:eastAsia="Arial" w:hAnsi="Arial"/>
                <w:sz w:val="14"/>
                <w:szCs w:val="14"/>
                <w:color w:val="auto"/>
              </w:rPr>
              <w:t>Allow for change in control agreements for named executive officers</w:t>
            </w:r>
          </w:p>
        </w:tc>
      </w:tr>
      <w:tr>
        <w:trPr>
          <w:trHeight w:val="185"/>
        </w:trPr>
        <w:tc>
          <w:tcPr>
            <w:tcW w:w="440" w:type="dxa"/>
            <w:vAlign w:val="bottom"/>
            <w:tcBorders>
              <w:left w:val="single" w:sz="8" w:color="auto"/>
            </w:tcBorders>
            <w:shd w:val="clear" w:color="auto" w:fill="CCEEF0"/>
          </w:tcPr>
          <w:p>
            <w:pPr>
              <w:spacing w:after="0"/>
              <w:rPr>
                <w:sz w:val="16"/>
                <w:szCs w:val="16"/>
                <w:color w:val="auto"/>
              </w:rPr>
            </w:pPr>
          </w:p>
        </w:tc>
        <w:tc>
          <w:tcPr>
            <w:tcW w:w="4970" w:type="dxa"/>
            <w:vAlign w:val="bottom"/>
            <w:shd w:val="clear" w:color="auto" w:fill="CCEEF0"/>
          </w:tcPr>
          <w:p>
            <w:pPr>
              <w:ind w:left="20"/>
              <w:spacing w:after="0"/>
              <w:rPr>
                <w:sz w:val="20"/>
                <w:szCs w:val="20"/>
                <w:color w:val="auto"/>
              </w:rPr>
            </w:pPr>
            <w:r>
              <w:rPr>
                <w:rFonts w:ascii="Arial" w:cs="Arial" w:eastAsia="Arial" w:hAnsi="Arial"/>
                <w:sz w:val="14"/>
                <w:szCs w:val="14"/>
                <w:color w:val="auto"/>
              </w:rPr>
              <w:t>and succession</w:t>
            </w:r>
          </w:p>
        </w:tc>
        <w:tc>
          <w:tcPr>
            <w:tcW w:w="510" w:type="dxa"/>
            <w:vAlign w:val="bottom"/>
            <w:shd w:val="clear" w:color="auto" w:fill="CCEEF0"/>
          </w:tcPr>
          <w:p>
            <w:pPr>
              <w:spacing w:after="0"/>
              <w:rPr>
                <w:sz w:val="16"/>
                <w:szCs w:val="16"/>
                <w:color w:val="auto"/>
              </w:rPr>
            </w:pPr>
          </w:p>
        </w:tc>
        <w:tc>
          <w:tcPr>
            <w:tcW w:w="5340" w:type="dxa"/>
            <w:vAlign w:val="bottom"/>
            <w:tcBorders>
              <w:right w:val="single" w:sz="8" w:color="auto"/>
            </w:tcBorders>
            <w:shd w:val="clear" w:color="auto" w:fill="CCEEF0"/>
          </w:tcPr>
          <w:p>
            <w:pPr>
              <w:spacing w:after="0"/>
              <w:rPr>
                <w:sz w:val="16"/>
                <w:szCs w:val="16"/>
                <w:color w:val="auto"/>
              </w:rPr>
            </w:pPr>
          </w:p>
        </w:tc>
      </w:tr>
      <w:tr>
        <w:trPr>
          <w:trHeight w:val="146"/>
        </w:trPr>
        <w:tc>
          <w:tcPr>
            <w:tcW w:w="440" w:type="dxa"/>
            <w:vAlign w:val="bottom"/>
            <w:tcBorders>
              <w:left w:val="single" w:sz="8" w:color="auto"/>
            </w:tcBorders>
            <w:shd w:val="clear" w:color="auto" w:fill="CCEEF0"/>
          </w:tcPr>
          <w:p>
            <w:pPr>
              <w:ind w:left="180"/>
              <w:spacing w:after="0" w:line="146" w:lineRule="exact"/>
              <w:rPr>
                <w:sz w:val="20"/>
                <w:szCs w:val="20"/>
                <w:color w:val="auto"/>
              </w:rPr>
            </w:pPr>
            <w:r>
              <w:rPr>
                <w:rFonts w:ascii="Wingdings" w:cs="Wingdings" w:eastAsia="Wingdings" w:hAnsi="Wingdings"/>
                <w:sz w:val="14"/>
                <w:szCs w:val="14"/>
                <w:b w:val="1"/>
                <w:bCs w:val="1"/>
                <w:color w:val="auto"/>
              </w:rPr>
              <w:t>ü</w:t>
            </w:r>
          </w:p>
        </w:tc>
        <w:tc>
          <w:tcPr>
            <w:tcW w:w="4970" w:type="dxa"/>
            <w:vAlign w:val="bottom"/>
            <w:shd w:val="clear" w:color="auto" w:fill="CCEEF0"/>
          </w:tcPr>
          <w:p>
            <w:pPr>
              <w:ind w:left="20"/>
              <w:spacing w:after="0" w:line="146" w:lineRule="exact"/>
              <w:rPr>
                <w:sz w:val="20"/>
                <w:szCs w:val="20"/>
                <w:color w:val="auto"/>
              </w:rPr>
            </w:pPr>
            <w:r>
              <w:rPr>
                <w:rFonts w:ascii="Arial" w:cs="Arial" w:eastAsia="Arial" w:hAnsi="Arial"/>
                <w:sz w:val="14"/>
                <w:szCs w:val="14"/>
                <w:color w:val="auto"/>
              </w:rPr>
              <w:t>Align executive pay with short- and long-term performance</w:t>
            </w:r>
          </w:p>
        </w:tc>
        <w:tc>
          <w:tcPr>
            <w:tcW w:w="510" w:type="dxa"/>
            <w:vAlign w:val="bottom"/>
            <w:shd w:val="clear" w:color="auto" w:fill="CCEEF0"/>
          </w:tcPr>
          <w:p>
            <w:pPr>
              <w:ind w:left="250"/>
              <w:spacing w:after="0" w:line="146" w:lineRule="exact"/>
              <w:rPr>
                <w:sz w:val="20"/>
                <w:szCs w:val="20"/>
                <w:color w:val="auto"/>
              </w:rPr>
            </w:pPr>
            <w:r>
              <w:rPr>
                <w:rFonts w:ascii="Wingdings" w:cs="Wingdings" w:eastAsia="Wingdings" w:hAnsi="Wingdings"/>
                <w:sz w:val="14"/>
                <w:szCs w:val="14"/>
                <w:b w:val="1"/>
                <w:bCs w:val="1"/>
                <w:color w:val="auto"/>
              </w:rPr>
              <w:t>û</w:t>
            </w:r>
          </w:p>
        </w:tc>
        <w:tc>
          <w:tcPr>
            <w:tcW w:w="5340" w:type="dxa"/>
            <w:vAlign w:val="bottom"/>
            <w:tcBorders>
              <w:right w:val="single" w:sz="8" w:color="auto"/>
            </w:tcBorders>
            <w:shd w:val="clear" w:color="auto" w:fill="CCEEF0"/>
          </w:tcPr>
          <w:p>
            <w:pPr>
              <w:ind w:left="20"/>
              <w:spacing w:after="0" w:line="146" w:lineRule="exact"/>
              <w:rPr>
                <w:sz w:val="20"/>
                <w:szCs w:val="20"/>
                <w:color w:val="auto"/>
              </w:rPr>
            </w:pPr>
            <w:r>
              <w:rPr>
                <w:rFonts w:ascii="Arial" w:cs="Arial" w:eastAsia="Arial" w:hAnsi="Arial"/>
                <w:sz w:val="14"/>
                <w:szCs w:val="14"/>
                <w:color w:val="auto"/>
              </w:rPr>
              <w:t>Allow employees or directors to engage in hedging transactions or pledging of our</w:t>
            </w:r>
          </w:p>
        </w:tc>
      </w:tr>
      <w:tr>
        <w:trPr>
          <w:trHeight w:val="185"/>
        </w:trPr>
        <w:tc>
          <w:tcPr>
            <w:tcW w:w="440" w:type="dxa"/>
            <w:vAlign w:val="bottom"/>
            <w:tcBorders>
              <w:left w:val="single" w:sz="8" w:color="auto"/>
            </w:tcBorders>
            <w:shd w:val="clear" w:color="auto" w:fill="CCEEF0"/>
          </w:tcPr>
          <w:p>
            <w:pPr>
              <w:spacing w:after="0"/>
              <w:rPr>
                <w:sz w:val="16"/>
                <w:szCs w:val="16"/>
                <w:color w:val="auto"/>
              </w:rPr>
            </w:pPr>
          </w:p>
        </w:tc>
        <w:tc>
          <w:tcPr>
            <w:tcW w:w="4970" w:type="dxa"/>
            <w:vAlign w:val="bottom"/>
            <w:shd w:val="clear" w:color="auto" w:fill="CCEEF0"/>
          </w:tcPr>
          <w:p>
            <w:pPr>
              <w:spacing w:after="0"/>
              <w:rPr>
                <w:sz w:val="16"/>
                <w:szCs w:val="16"/>
                <w:color w:val="auto"/>
              </w:rPr>
            </w:pPr>
          </w:p>
        </w:tc>
        <w:tc>
          <w:tcPr>
            <w:tcW w:w="510" w:type="dxa"/>
            <w:vAlign w:val="bottom"/>
            <w:shd w:val="clear" w:color="auto" w:fill="CCEEF0"/>
          </w:tcPr>
          <w:p>
            <w:pPr>
              <w:spacing w:after="0"/>
              <w:rPr>
                <w:sz w:val="16"/>
                <w:szCs w:val="16"/>
                <w:color w:val="auto"/>
              </w:rPr>
            </w:pPr>
          </w:p>
        </w:tc>
        <w:tc>
          <w:tcPr>
            <w:tcW w:w="5340" w:type="dxa"/>
            <w:vAlign w:val="bottom"/>
            <w:tcBorders>
              <w:righ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shares</w:t>
            </w:r>
          </w:p>
        </w:tc>
      </w:tr>
      <w:tr>
        <w:trPr>
          <w:trHeight w:val="190"/>
        </w:trPr>
        <w:tc>
          <w:tcPr>
            <w:tcW w:w="440" w:type="dxa"/>
            <w:vAlign w:val="bottom"/>
            <w:tcBorders>
              <w:left w:val="single" w:sz="8" w:color="auto"/>
              <w:bottom w:val="single" w:sz="8" w:color="auto"/>
            </w:tcBorders>
            <w:shd w:val="clear" w:color="auto" w:fill="CCEEF0"/>
          </w:tcPr>
          <w:p>
            <w:pPr>
              <w:ind w:left="180"/>
              <w:spacing w:after="0"/>
              <w:rPr>
                <w:sz w:val="20"/>
                <w:szCs w:val="20"/>
                <w:color w:val="auto"/>
              </w:rPr>
            </w:pPr>
            <w:r>
              <w:rPr>
                <w:rFonts w:ascii="Wingdings" w:cs="Wingdings" w:eastAsia="Wingdings" w:hAnsi="Wingdings"/>
                <w:sz w:val="14"/>
                <w:szCs w:val="14"/>
                <w:b w:val="1"/>
                <w:bCs w:val="1"/>
                <w:color w:val="auto"/>
              </w:rPr>
              <w:t>ü</w:t>
            </w:r>
          </w:p>
        </w:tc>
        <w:tc>
          <w:tcPr>
            <w:tcW w:w="4970" w:type="dxa"/>
            <w:vAlign w:val="bottom"/>
            <w:tcBorders>
              <w:bottom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Hold annual advisory vote on executive compensation</w:t>
            </w:r>
          </w:p>
        </w:tc>
        <w:tc>
          <w:tcPr>
            <w:tcW w:w="510" w:type="dxa"/>
            <w:vAlign w:val="bottom"/>
            <w:tcBorders>
              <w:bottom w:val="single" w:sz="8" w:color="auto"/>
            </w:tcBorders>
            <w:shd w:val="clear" w:color="auto" w:fill="CCEEF0"/>
          </w:tcPr>
          <w:p>
            <w:pPr>
              <w:ind w:left="250"/>
              <w:spacing w:after="0"/>
              <w:rPr>
                <w:sz w:val="20"/>
                <w:szCs w:val="20"/>
                <w:color w:val="auto"/>
              </w:rPr>
            </w:pPr>
            <w:r>
              <w:rPr>
                <w:rFonts w:ascii="Wingdings" w:cs="Wingdings" w:eastAsia="Wingdings" w:hAnsi="Wingdings"/>
                <w:sz w:val="14"/>
                <w:szCs w:val="14"/>
                <w:b w:val="1"/>
                <w:bCs w:val="1"/>
                <w:color w:val="auto"/>
              </w:rPr>
              <w:t>û</w:t>
            </w:r>
          </w:p>
        </w:tc>
        <w:tc>
          <w:tcPr>
            <w:tcW w:w="5340" w:type="dxa"/>
            <w:vAlign w:val="bottom"/>
            <w:tcBorders>
              <w:bottom w:val="single" w:sz="8" w:color="auto"/>
              <w:righ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Provide single-trigger vesting in the event of a change in control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46" w:name="page47"/>
    <w:bookmarkEnd w:id="46"/>
    <w:p>
      <w:pPr>
        <w:spacing w:after="0"/>
        <w:rPr>
          <w:sz w:val="20"/>
          <w:szCs w:val="20"/>
          <w:color w:val="auto"/>
        </w:rPr>
      </w:pPr>
      <w:r>
        <w:rPr>
          <w:rFonts w:ascii="Arial" w:cs="Arial" w:eastAsia="Arial" w:hAnsi="Arial"/>
          <w:sz w:val="21"/>
          <w:szCs w:val="21"/>
          <w:b w:val="1"/>
          <w:bCs w:val="1"/>
          <w:u w:val="single" w:color="auto"/>
          <w:color w:val="00A4B5"/>
        </w:rPr>
        <w:t>Setting Executive Compensation and Peer Group</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an annual basis we evaluate our named executive officers' compensation relative to the compensation of publicly traded peer companies that are similar in size, industry, and operations. The Compensation, Culture and People Committee reviews the peer group regularly and adjusts as necessary due to changes at a peer company's operations or changes in comparability (e.g., due to bankruptcy or mergers and acquisitions) to the Company. The peer group is used by the Compensation, Culture and People Committee as a point of reference in determining pay within a competitive range without targeting a specific benchmark when making executive pay decisions.</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setting fiscal year 2026 executive compensation, the Compensation, Culture and People Committee requested that our outside compensation consultant, Pay Governance, perform a comprehensive review of the peer companies used for evaluating our named executive officers' compensation. Pay Governance evaluated companies that are similar in size, industry, and operations, using specific review criteria, as described below:</w:t>
      </w:r>
    </w:p>
    <w:p>
      <w:pPr>
        <w:spacing w:after="0" w:line="126" w:lineRule="exact"/>
        <w:rPr>
          <w:sz w:val="20"/>
          <w:szCs w:val="20"/>
          <w:color w:val="auto"/>
        </w:rPr>
      </w:pPr>
    </w:p>
    <w:p>
      <w:pPr>
        <w:jc w:val="both"/>
        <w:ind w:left="640" w:right="80" w:hanging="316"/>
        <w:spacing w:after="0" w:line="259" w:lineRule="auto"/>
        <w:tabs>
          <w:tab w:leader="none" w:pos="60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Company size</w:t>
      </w:r>
      <w:r>
        <w:rPr>
          <w:rFonts w:ascii="Arial" w:cs="Arial" w:eastAsia="Arial" w:hAnsi="Arial"/>
          <w:sz w:val="18"/>
          <w:szCs w:val="18"/>
          <w:color w:val="auto"/>
        </w:rPr>
        <w:t>: Organizations with revenues approximately 0.50x to 3.50x of our revenue, with peer median revenue approximating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revenue, and with flexibility outside of this range to accommodate organizations that are a good match from a business perspective.</w:t>
      </w:r>
    </w:p>
    <w:p>
      <w:pPr>
        <w:spacing w:after="0" w:line="123" w:lineRule="exact"/>
        <w:rPr>
          <w:rFonts w:ascii="Arial" w:cs="Arial" w:eastAsia="Arial" w:hAnsi="Arial"/>
          <w:sz w:val="18"/>
          <w:szCs w:val="18"/>
          <w:color w:val="auto"/>
        </w:rPr>
      </w:pPr>
    </w:p>
    <w:p>
      <w:pPr>
        <w:jc w:val="both"/>
        <w:ind w:left="640" w:right="80" w:hanging="316"/>
        <w:spacing w:after="0" w:line="259" w:lineRule="auto"/>
        <w:tabs>
          <w:tab w:leader="none" w:pos="60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Government services organizations in information technology consulting and other services industries, such as cyber,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outsourced services, and the aerospace and defense industries, as well as other comparable organizations that our Investor Relations department tracks and/or that benchmark to our Company.</w:t>
      </w:r>
    </w:p>
    <w:p>
      <w:pPr>
        <w:spacing w:after="0" w:line="124" w:lineRule="exact"/>
        <w:rPr>
          <w:sz w:val="20"/>
          <w:szCs w:val="20"/>
          <w:color w:val="auto"/>
        </w:rPr>
      </w:pPr>
    </w:p>
    <w:p>
      <w:pPr>
        <w:jc w:val="both"/>
        <w:ind w:right="80" w:firstLine="318"/>
        <w:spacing w:after="0" w:line="259" w:lineRule="auto"/>
        <w:rPr>
          <w:sz w:val="20"/>
          <w:szCs w:val="20"/>
          <w:color w:val="auto"/>
        </w:rPr>
      </w:pPr>
      <w:r>
        <w:rPr>
          <w:rFonts w:ascii="Arial" w:cs="Arial" w:eastAsia="Arial" w:hAnsi="Arial"/>
          <w:sz w:val="18"/>
          <w:szCs w:val="18"/>
          <w:color w:val="auto"/>
        </w:rPr>
        <w:t>As a result of this review, and the modified peer selection criteria proposed by Pay Governance, the Compensation, Culture and People Committee approved the peer group set forth below for benchmarking and setting compensation of our named executive officers for fiscal year 2026.</w:t>
      </w:r>
    </w:p>
    <w:p>
      <w:pPr>
        <w:spacing w:after="0" w:line="147" w:lineRule="exact"/>
        <w:rPr>
          <w:sz w:val="20"/>
          <w:szCs w:val="20"/>
          <w:color w:val="auto"/>
        </w:rPr>
      </w:pPr>
    </w:p>
    <w:tbl>
      <w:tblPr>
        <w:tblLayout w:type="fixed"/>
        <w:tblInd w:w="1770" w:type="dxa"/>
        <w:tblCellMar>
          <w:top w:w="0" w:type="dxa"/>
          <w:left w:w="0" w:type="dxa"/>
          <w:bottom w:w="0" w:type="dxa"/>
          <w:right w:w="0" w:type="dxa"/>
        </w:tblCellMar>
      </w:tblPr>
      <w:tr>
        <w:trPr>
          <w:trHeight w:val="212"/>
        </w:trPr>
        <w:tc>
          <w:tcPr>
            <w:tcW w:w="2900" w:type="dxa"/>
            <w:vAlign w:val="bottom"/>
            <w:tcBorders>
              <w:top w:val="single" w:sz="8" w:color="auto"/>
              <w:left w:val="single" w:sz="8" w:color="auto"/>
            </w:tcBorders>
            <w:shd w:val="clear" w:color="auto" w:fill="00A5B5"/>
          </w:tcPr>
          <w:p>
            <w:pPr>
              <w:spacing w:after="0"/>
              <w:rPr>
                <w:sz w:val="18"/>
                <w:szCs w:val="18"/>
                <w:color w:val="auto"/>
              </w:rPr>
            </w:pPr>
          </w:p>
        </w:tc>
        <w:tc>
          <w:tcPr>
            <w:tcW w:w="5180" w:type="dxa"/>
            <w:vAlign w:val="bottom"/>
            <w:tcBorders>
              <w:top w:val="single" w:sz="8" w:color="auto"/>
              <w:right w:val="single" w:sz="8" w:color="auto"/>
            </w:tcBorders>
            <w:shd w:val="clear" w:color="auto" w:fill="00A5B5"/>
          </w:tcPr>
          <w:p>
            <w:pPr>
              <w:ind w:left="180"/>
              <w:spacing w:after="0"/>
              <w:rPr>
                <w:sz w:val="20"/>
                <w:szCs w:val="20"/>
                <w:color w:val="auto"/>
              </w:rPr>
            </w:pPr>
            <w:r>
              <w:rPr>
                <w:rFonts w:ascii="Arial" w:cs="Arial" w:eastAsia="Arial" w:hAnsi="Arial"/>
                <w:sz w:val="14"/>
                <w:szCs w:val="14"/>
                <w:b w:val="1"/>
                <w:bCs w:val="1"/>
                <w:color w:val="FFFFFF"/>
              </w:rPr>
              <w:t>Fiscal Year 2026 Peer Group</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tcBorders>
            <w:vMerge w:val="restart"/>
            <w:shd w:val="clear" w:color="auto" w:fill="CCEEF0"/>
          </w:tcPr>
          <w:p>
            <w:pPr>
              <w:ind w:left="60"/>
              <w:spacing w:after="0"/>
              <w:rPr>
                <w:sz w:val="20"/>
                <w:szCs w:val="20"/>
                <w:color w:val="auto"/>
              </w:rPr>
            </w:pPr>
            <w:r>
              <w:rPr>
                <w:rFonts w:ascii="Arial" w:cs="Arial" w:eastAsia="Arial" w:hAnsi="Arial"/>
                <w:sz w:val="14"/>
                <w:szCs w:val="14"/>
                <w:color w:val="auto"/>
              </w:rPr>
              <w:t>- Amentum Holdings, Inc. (AMTM)</w:t>
            </w:r>
          </w:p>
        </w:tc>
        <w:tc>
          <w:tcPr>
            <w:tcW w:w="5180" w:type="dxa"/>
            <w:vAlign w:val="bottom"/>
            <w:tcBorders>
              <w:right w:val="single" w:sz="8" w:color="auto"/>
            </w:tcBorders>
            <w:shd w:val="clear" w:color="auto" w:fill="CCEEF0"/>
          </w:tcPr>
          <w:p>
            <w:pPr>
              <w:ind w:left="1160"/>
              <w:spacing w:after="0" w:line="149" w:lineRule="exact"/>
              <w:rPr>
                <w:sz w:val="20"/>
                <w:szCs w:val="20"/>
                <w:color w:val="auto"/>
              </w:rPr>
            </w:pPr>
            <w:r>
              <w:rPr>
                <w:rFonts w:ascii="Arial" w:cs="Arial" w:eastAsia="Arial" w:hAnsi="Arial"/>
                <w:sz w:val="14"/>
                <w:szCs w:val="14"/>
                <w:color w:val="auto"/>
              </w:rPr>
              <w:t>- Jacobs Engineering (J)</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tcBorders>
            <w:vMerge w:val="continue"/>
            <w:shd w:val="clear" w:color="auto" w:fill="CCEEF0"/>
          </w:tcPr>
          <w:p>
            <w:pPr>
              <w:spacing w:after="0"/>
              <w:rPr>
                <w:sz w:val="12"/>
                <w:szCs w:val="12"/>
                <w:color w:val="auto"/>
              </w:rPr>
            </w:pPr>
          </w:p>
        </w:tc>
        <w:tc>
          <w:tcPr>
            <w:tcW w:w="5180" w:type="dxa"/>
            <w:vAlign w:val="bottom"/>
            <w:tcBorders>
              <w:right w:val="single" w:sz="8" w:color="auto"/>
            </w:tcBorders>
            <w:shd w:val="clear" w:color="auto" w:fill="CCEEF0"/>
          </w:tcPr>
          <w:p>
            <w:pPr>
              <w:ind w:left="1160"/>
              <w:spacing w:after="0" w:line="142" w:lineRule="exact"/>
              <w:rPr>
                <w:sz w:val="20"/>
                <w:szCs w:val="20"/>
                <w:color w:val="auto"/>
              </w:rPr>
            </w:pPr>
            <w:r>
              <w:rPr>
                <w:rFonts w:ascii="Arial" w:cs="Arial" w:eastAsia="Arial" w:hAnsi="Arial"/>
                <w:sz w:val="14"/>
                <w:szCs w:val="14"/>
                <w:color w:val="auto"/>
              </w:rPr>
              <w:t>- KBR Inc. (KBR)</w:t>
            </w:r>
          </w:p>
        </w:tc>
        <w:tc>
          <w:tcPr>
            <w:tcW w:w="0" w:type="dxa"/>
            <w:vAlign w:val="bottom"/>
          </w:tcPr>
          <w:p>
            <w:pPr>
              <w:spacing w:after="0"/>
              <w:rPr>
                <w:sz w:val="1"/>
                <w:szCs w:val="1"/>
                <w:color w:val="auto"/>
              </w:rPr>
            </w:pPr>
          </w:p>
        </w:tc>
      </w:tr>
      <w:tr>
        <w:trPr>
          <w:trHeight w:val="146"/>
        </w:trPr>
        <w:tc>
          <w:tcPr>
            <w:tcW w:w="2900" w:type="dxa"/>
            <w:vAlign w:val="bottom"/>
            <w:tcBorders>
              <w:left w:val="single" w:sz="8" w:color="auto"/>
            </w:tcBorders>
            <w:shd w:val="clear" w:color="auto" w:fill="CCEEF0"/>
          </w:tcPr>
          <w:p>
            <w:pPr>
              <w:ind w:left="60"/>
              <w:spacing w:after="0" w:line="146" w:lineRule="exact"/>
              <w:rPr>
                <w:sz w:val="20"/>
                <w:szCs w:val="20"/>
                <w:color w:val="auto"/>
              </w:rPr>
            </w:pPr>
            <w:r>
              <w:rPr>
                <w:rFonts w:ascii="Arial" w:cs="Arial" w:eastAsia="Arial" w:hAnsi="Arial"/>
                <w:sz w:val="14"/>
                <w:szCs w:val="14"/>
                <w:color w:val="auto"/>
              </w:rPr>
              <w:t>- Automatic Data Processing, Inc. (ADP)</w:t>
            </w:r>
          </w:p>
        </w:tc>
        <w:tc>
          <w:tcPr>
            <w:tcW w:w="5180" w:type="dxa"/>
            <w:vAlign w:val="bottom"/>
            <w:tcBorders>
              <w:right w:val="single" w:sz="8" w:color="auto"/>
            </w:tcBorders>
            <w:shd w:val="clear" w:color="auto" w:fill="CCEEF0"/>
          </w:tcPr>
          <w:p>
            <w:pPr>
              <w:ind w:left="1160"/>
              <w:spacing w:after="0" w:line="146" w:lineRule="exact"/>
              <w:rPr>
                <w:sz w:val="20"/>
                <w:szCs w:val="20"/>
                <w:color w:val="auto"/>
              </w:rPr>
            </w:pPr>
            <w:r>
              <w:rPr>
                <w:rFonts w:ascii="Arial" w:cs="Arial" w:eastAsia="Arial" w:hAnsi="Arial"/>
                <w:sz w:val="14"/>
                <w:szCs w:val="14"/>
                <w:color w:val="auto"/>
              </w:rPr>
              <w:t>- Kyndryl Holdings, Inc. (KD)</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tcBorders>
            <w:shd w:val="clear" w:color="auto" w:fill="CCEEF0"/>
          </w:tcPr>
          <w:p>
            <w:pPr>
              <w:ind w:left="60"/>
              <w:spacing w:after="0" w:line="133" w:lineRule="exact"/>
              <w:rPr>
                <w:sz w:val="20"/>
                <w:szCs w:val="20"/>
                <w:color w:val="auto"/>
              </w:rPr>
            </w:pPr>
            <w:r>
              <w:rPr>
                <w:rFonts w:ascii="Arial" w:cs="Arial" w:eastAsia="Arial" w:hAnsi="Arial"/>
                <w:sz w:val="14"/>
                <w:szCs w:val="14"/>
                <w:color w:val="auto"/>
              </w:rPr>
              <w:t>- Broadridge Financial Solutions, Inc. (BR)</w:t>
            </w:r>
          </w:p>
        </w:tc>
        <w:tc>
          <w:tcPr>
            <w:tcW w:w="5180" w:type="dxa"/>
            <w:vAlign w:val="bottom"/>
            <w:tcBorders>
              <w:right w:val="single" w:sz="8" w:color="auto"/>
            </w:tcBorders>
            <w:shd w:val="clear" w:color="auto" w:fill="CCEEF0"/>
          </w:tcPr>
          <w:p>
            <w:pPr>
              <w:ind w:left="1160"/>
              <w:spacing w:after="0" w:line="133" w:lineRule="exact"/>
              <w:rPr>
                <w:sz w:val="20"/>
                <w:szCs w:val="20"/>
                <w:color w:val="auto"/>
              </w:rPr>
            </w:pPr>
            <w:r>
              <w:rPr>
                <w:rFonts w:ascii="Arial" w:cs="Arial" w:eastAsia="Arial" w:hAnsi="Arial"/>
                <w:sz w:val="14"/>
                <w:szCs w:val="14"/>
                <w:color w:val="auto"/>
              </w:rPr>
              <w:t>- L3Harris Technologies, Inc. (LHX)</w:t>
            </w:r>
          </w:p>
        </w:tc>
        <w:tc>
          <w:tcPr>
            <w:tcW w:w="0" w:type="dxa"/>
            <w:vAlign w:val="bottom"/>
          </w:tcPr>
          <w:p>
            <w:pPr>
              <w:spacing w:after="0"/>
              <w:rPr>
                <w:sz w:val="1"/>
                <w:szCs w:val="1"/>
                <w:color w:val="auto"/>
              </w:rPr>
            </w:pPr>
          </w:p>
        </w:tc>
      </w:tr>
      <w:tr>
        <w:trPr>
          <w:trHeight w:val="146"/>
        </w:trPr>
        <w:tc>
          <w:tcPr>
            <w:tcW w:w="2900" w:type="dxa"/>
            <w:vAlign w:val="bottom"/>
            <w:tcBorders>
              <w:left w:val="single" w:sz="8" w:color="auto"/>
            </w:tcBorders>
            <w:shd w:val="clear" w:color="auto" w:fill="CCEEF0"/>
          </w:tcPr>
          <w:p>
            <w:pPr>
              <w:ind w:left="60"/>
              <w:spacing w:after="0" w:line="146" w:lineRule="exact"/>
              <w:rPr>
                <w:sz w:val="20"/>
                <w:szCs w:val="20"/>
                <w:color w:val="auto"/>
              </w:rPr>
            </w:pPr>
            <w:r>
              <w:rPr>
                <w:rFonts w:ascii="Arial" w:cs="Arial" w:eastAsia="Arial" w:hAnsi="Arial"/>
                <w:sz w:val="14"/>
                <w:szCs w:val="14"/>
                <w:color w:val="auto"/>
              </w:rPr>
              <w:t>- CACI International, Inc. (CACI)</w:t>
            </w:r>
          </w:p>
        </w:tc>
        <w:tc>
          <w:tcPr>
            <w:tcW w:w="5180" w:type="dxa"/>
            <w:vAlign w:val="bottom"/>
            <w:tcBorders>
              <w:right w:val="single" w:sz="8" w:color="auto"/>
            </w:tcBorders>
            <w:shd w:val="clear" w:color="auto" w:fill="CCEEF0"/>
          </w:tcPr>
          <w:p>
            <w:pPr>
              <w:ind w:left="1160"/>
              <w:spacing w:after="0" w:line="146" w:lineRule="exact"/>
              <w:rPr>
                <w:sz w:val="20"/>
                <w:szCs w:val="20"/>
                <w:color w:val="auto"/>
              </w:rPr>
            </w:pPr>
            <w:r>
              <w:rPr>
                <w:rFonts w:ascii="Arial" w:cs="Arial" w:eastAsia="Arial" w:hAnsi="Arial"/>
                <w:sz w:val="14"/>
                <w:szCs w:val="14"/>
                <w:color w:val="auto"/>
              </w:rPr>
              <w:t>- Leidos Holdings, Inc. (LDOS)</w:t>
            </w:r>
          </w:p>
        </w:tc>
        <w:tc>
          <w:tcPr>
            <w:tcW w:w="0" w:type="dxa"/>
            <w:vAlign w:val="bottom"/>
          </w:tcPr>
          <w:p>
            <w:pPr>
              <w:spacing w:after="0"/>
              <w:rPr>
                <w:sz w:val="1"/>
                <w:szCs w:val="1"/>
                <w:color w:val="auto"/>
              </w:rPr>
            </w:pPr>
          </w:p>
        </w:tc>
      </w:tr>
      <w:tr>
        <w:trPr>
          <w:trHeight w:val="132"/>
        </w:trPr>
        <w:tc>
          <w:tcPr>
            <w:tcW w:w="2900" w:type="dxa"/>
            <w:vAlign w:val="bottom"/>
            <w:tcBorders>
              <w:left w:val="single" w:sz="8" w:color="auto"/>
            </w:tcBorders>
            <w:shd w:val="clear" w:color="auto" w:fill="CCEEF0"/>
          </w:tcPr>
          <w:p>
            <w:pPr>
              <w:ind w:left="60"/>
              <w:spacing w:after="0" w:line="133" w:lineRule="exact"/>
              <w:rPr>
                <w:sz w:val="20"/>
                <w:szCs w:val="20"/>
                <w:color w:val="auto"/>
              </w:rPr>
            </w:pPr>
            <w:r>
              <w:rPr>
                <w:rFonts w:ascii="Arial" w:cs="Arial" w:eastAsia="Arial" w:hAnsi="Arial"/>
                <w:sz w:val="14"/>
                <w:szCs w:val="14"/>
                <w:color w:val="auto"/>
              </w:rPr>
              <w:t>- CGI Group, Inc. (GIB)</w:t>
            </w:r>
          </w:p>
        </w:tc>
        <w:tc>
          <w:tcPr>
            <w:tcW w:w="5180" w:type="dxa"/>
            <w:vAlign w:val="bottom"/>
            <w:tcBorders>
              <w:right w:val="single" w:sz="8" w:color="auto"/>
            </w:tcBorders>
            <w:shd w:val="clear" w:color="auto" w:fill="CCEEF0"/>
          </w:tcPr>
          <w:p>
            <w:pPr>
              <w:ind w:left="1160"/>
              <w:spacing w:after="0" w:line="133" w:lineRule="exact"/>
              <w:rPr>
                <w:sz w:val="20"/>
                <w:szCs w:val="20"/>
                <w:color w:val="auto"/>
              </w:rPr>
            </w:pPr>
            <w:r>
              <w:rPr>
                <w:rFonts w:ascii="Arial" w:cs="Arial" w:eastAsia="Arial" w:hAnsi="Arial"/>
                <w:sz w:val="14"/>
                <w:szCs w:val="14"/>
                <w:color w:val="auto"/>
              </w:rPr>
              <w:t>- Parsons Corporation (PSN)</w:t>
            </w:r>
          </w:p>
        </w:tc>
        <w:tc>
          <w:tcPr>
            <w:tcW w:w="0" w:type="dxa"/>
            <w:vAlign w:val="bottom"/>
          </w:tcPr>
          <w:p>
            <w:pPr>
              <w:spacing w:after="0"/>
              <w:rPr>
                <w:sz w:val="1"/>
                <w:szCs w:val="1"/>
                <w:color w:val="auto"/>
              </w:rPr>
            </w:pPr>
          </w:p>
        </w:tc>
      </w:tr>
      <w:tr>
        <w:trPr>
          <w:trHeight w:val="146"/>
        </w:trPr>
        <w:tc>
          <w:tcPr>
            <w:tcW w:w="2900" w:type="dxa"/>
            <w:vAlign w:val="bottom"/>
            <w:tcBorders>
              <w:left w:val="single" w:sz="8" w:color="auto"/>
            </w:tcBorders>
            <w:shd w:val="clear" w:color="auto" w:fill="CCEEF0"/>
          </w:tcPr>
          <w:p>
            <w:pPr>
              <w:ind w:left="60"/>
              <w:spacing w:after="0" w:line="146" w:lineRule="exact"/>
              <w:rPr>
                <w:sz w:val="20"/>
                <w:szCs w:val="20"/>
                <w:color w:val="auto"/>
              </w:rPr>
            </w:pPr>
            <w:r>
              <w:rPr>
                <w:rFonts w:ascii="Arial" w:cs="Arial" w:eastAsia="Arial" w:hAnsi="Arial"/>
                <w:sz w:val="14"/>
                <w:szCs w:val="14"/>
                <w:color w:val="auto"/>
              </w:rPr>
              <w:t>- Cognizant Technology Solutions (CTSH)</w:t>
            </w:r>
          </w:p>
        </w:tc>
        <w:tc>
          <w:tcPr>
            <w:tcW w:w="5180" w:type="dxa"/>
            <w:vAlign w:val="bottom"/>
            <w:tcBorders>
              <w:right w:val="single" w:sz="8" w:color="auto"/>
            </w:tcBorders>
            <w:shd w:val="clear" w:color="auto" w:fill="CCEEF0"/>
          </w:tcPr>
          <w:p>
            <w:pPr>
              <w:ind w:left="1160"/>
              <w:spacing w:after="0" w:line="146" w:lineRule="exact"/>
              <w:rPr>
                <w:sz w:val="20"/>
                <w:szCs w:val="20"/>
                <w:color w:val="auto"/>
              </w:rPr>
            </w:pPr>
            <w:r>
              <w:rPr>
                <w:rFonts w:ascii="Arial" w:cs="Arial" w:eastAsia="Arial" w:hAnsi="Arial"/>
                <w:sz w:val="14"/>
                <w:szCs w:val="14"/>
                <w:color w:val="auto"/>
              </w:rPr>
              <w:t>- Science Applications International Corporation (SAIC)</w:t>
            </w:r>
          </w:p>
        </w:tc>
        <w:tc>
          <w:tcPr>
            <w:tcW w:w="0" w:type="dxa"/>
            <w:vAlign w:val="bottom"/>
          </w:tcPr>
          <w:p>
            <w:pPr>
              <w:spacing w:after="0"/>
              <w:rPr>
                <w:sz w:val="1"/>
                <w:szCs w:val="1"/>
                <w:color w:val="auto"/>
              </w:rPr>
            </w:pPr>
          </w:p>
        </w:tc>
      </w:tr>
      <w:tr>
        <w:trPr>
          <w:trHeight w:val="110"/>
        </w:trPr>
        <w:tc>
          <w:tcPr>
            <w:tcW w:w="2900" w:type="dxa"/>
            <w:vAlign w:val="bottom"/>
            <w:tcBorders>
              <w:left w:val="single" w:sz="8" w:color="auto"/>
            </w:tcBorders>
            <w:shd w:val="clear" w:color="auto" w:fill="CCEEF0"/>
          </w:tcPr>
          <w:p>
            <w:pPr>
              <w:ind w:left="60"/>
              <w:spacing w:after="0" w:line="110" w:lineRule="exact"/>
              <w:rPr>
                <w:sz w:val="20"/>
                <w:szCs w:val="20"/>
                <w:color w:val="auto"/>
              </w:rPr>
            </w:pPr>
            <w:r>
              <w:rPr>
                <w:rFonts w:ascii="Arial" w:cs="Arial" w:eastAsia="Arial" w:hAnsi="Arial"/>
                <w:sz w:val="12"/>
                <w:szCs w:val="12"/>
                <w:color w:val="auto"/>
              </w:rPr>
              <w:t>- DXC Technology (DXC)</w:t>
            </w:r>
          </w:p>
        </w:tc>
        <w:tc>
          <w:tcPr>
            <w:tcW w:w="5180" w:type="dxa"/>
            <w:vAlign w:val="bottom"/>
            <w:tcBorders>
              <w:right w:val="single" w:sz="8" w:color="auto"/>
            </w:tcBorders>
            <w:shd w:val="clear" w:color="auto" w:fill="CCEEF0"/>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00" w:type="dxa"/>
            <w:vAlign w:val="bottom"/>
            <w:tcBorders>
              <w:left w:val="single" w:sz="8" w:color="auto"/>
              <w:bottom w:val="single" w:sz="8" w:color="auto"/>
            </w:tcBorders>
            <w:shd w:val="clear" w:color="auto" w:fill="CCEEF0"/>
          </w:tcPr>
          <w:p>
            <w:pPr>
              <w:ind w:left="60"/>
              <w:spacing w:after="0"/>
              <w:rPr>
                <w:sz w:val="20"/>
                <w:szCs w:val="20"/>
                <w:color w:val="auto"/>
              </w:rPr>
            </w:pPr>
            <w:r>
              <w:rPr>
                <w:rFonts w:ascii="Arial" w:cs="Arial" w:eastAsia="Arial" w:hAnsi="Arial"/>
                <w:sz w:val="14"/>
                <w:szCs w:val="14"/>
                <w:color w:val="auto"/>
              </w:rPr>
              <w:t>- FISERV, Inc. (FI)</w:t>
            </w:r>
          </w:p>
        </w:tc>
        <w:tc>
          <w:tcPr>
            <w:tcW w:w="5180" w:type="dxa"/>
            <w:vAlign w:val="bottom"/>
            <w:tcBorders>
              <w:bottom w:val="single" w:sz="8" w:color="auto"/>
              <w:right w:val="single" w:sz="8" w:color="auto"/>
            </w:tcBorders>
            <w:shd w:val="clear" w:color="auto" w:fill="CCEEF0"/>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Compensation, Culture and People Committee established fiscal year 2026 target compensation for the named executive officers by taking into consideration the peer group benchmarking analysis and input from Pay Governance, along with feedback from the CEO and/or COO (in the case of named executive officers who are direct reports to the CEO and/or COO), and the Committee's collective judgment and discretion. The target executive compensation includes the fiscal year salary amount, target short-term annual cash incentive, and long-term equity incentive. Additional information on each of these items can be found below under "Compensation Elements."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fiscal year 2026, Pay Governance was also engaged to:</w:t>
      </w:r>
    </w:p>
    <w:p>
      <w:pPr>
        <w:spacing w:after="0" w:line="111" w:lineRule="exact"/>
        <w:rPr>
          <w:sz w:val="20"/>
          <w:szCs w:val="20"/>
          <w:color w:val="auto"/>
        </w:rPr>
      </w:pPr>
    </w:p>
    <w:p>
      <w:pPr>
        <w:ind w:left="620" w:hanging="29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provide advice on our Compensation Discussion &amp; Analysis;</w:t>
      </w:r>
    </w:p>
    <w:p>
      <w:pPr>
        <w:spacing w:after="0" w:line="110" w:lineRule="exact"/>
        <w:rPr>
          <w:rFonts w:ascii="Arial" w:cs="Arial" w:eastAsia="Arial" w:hAnsi="Arial"/>
          <w:sz w:val="18"/>
          <w:szCs w:val="18"/>
          <w:color w:val="auto"/>
        </w:rPr>
      </w:pPr>
    </w:p>
    <w:p>
      <w:pPr>
        <w:ind w:left="620" w:hanging="29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Conduct the compensation risk assessment;</w:t>
      </w:r>
    </w:p>
    <w:p>
      <w:pPr>
        <w:spacing w:after="0" w:line="110" w:lineRule="exact"/>
        <w:rPr>
          <w:rFonts w:ascii="Arial" w:cs="Arial" w:eastAsia="Arial" w:hAnsi="Arial"/>
          <w:sz w:val="18"/>
          <w:szCs w:val="18"/>
          <w:color w:val="auto"/>
        </w:rPr>
      </w:pPr>
    </w:p>
    <w:p>
      <w:pPr>
        <w:ind w:left="620" w:hanging="29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 benchmarking and analysis of our Board of Directors' compensation;</w:t>
      </w:r>
    </w:p>
    <w:p>
      <w:pPr>
        <w:spacing w:after="0" w:line="110" w:lineRule="exact"/>
        <w:rPr>
          <w:rFonts w:ascii="Arial" w:cs="Arial" w:eastAsia="Arial" w:hAnsi="Arial"/>
          <w:sz w:val="18"/>
          <w:szCs w:val="18"/>
          <w:color w:val="auto"/>
        </w:rPr>
      </w:pPr>
    </w:p>
    <w:p>
      <w:pPr>
        <w:ind w:left="640" w:right="20" w:hanging="316"/>
        <w:spacing w:after="0" w:line="274" w:lineRule="auto"/>
        <w:tabs>
          <w:tab w:leader="none" w:pos="6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general market intelligence for setting short-term and long-term performance metrics and associated goals in the Annual Incentive Plan and the 2023 Equity Incentive Plan of the Company; and</w:t>
      </w:r>
    </w:p>
    <w:p>
      <w:pPr>
        <w:spacing w:after="0" w:line="56"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executive compensation strategy and design, peer selection insight, and market alignment.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Compensation, Culture and People Committee considers peer group benchmarking and other market compensation data as critical inputs but not the sole factors in the overall assessment of competitiveness of our executive compensation. The Compensation, Culture and People Committee also considers other components such as performance, contributions, internal equity, and experience of each named executive officer in determining target and actual compensation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47" w:name="page48"/>
    <w:bookmarkEnd w:id="47"/>
    <w:p>
      <w:pPr>
        <w:spacing w:after="0"/>
        <w:rPr>
          <w:sz w:val="20"/>
          <w:szCs w:val="20"/>
          <w:color w:val="auto"/>
        </w:rPr>
      </w:pPr>
      <w:r>
        <w:rPr>
          <w:rFonts w:ascii="Arial" w:cs="Arial" w:eastAsia="Arial" w:hAnsi="Arial"/>
          <w:sz w:val="21"/>
          <w:szCs w:val="21"/>
          <w:b w:val="1"/>
          <w:bCs w:val="1"/>
          <w:u w:val="single" w:color="auto"/>
          <w:color w:val="00A4B5"/>
        </w:rPr>
        <w:t>Compensation Elements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components of our executive compensation program include:</w:t>
      </w:r>
    </w:p>
    <w:p>
      <w:pPr>
        <w:spacing w:after="0" w:line="187" w:lineRule="exact"/>
        <w:rPr>
          <w:sz w:val="20"/>
          <w:szCs w:val="20"/>
          <w:color w:val="auto"/>
        </w:rPr>
      </w:pPr>
    </w:p>
    <w:tbl>
      <w:tblPr>
        <w:tblLayout w:type="fixed"/>
        <w:tblInd w:w="990" w:type="dxa"/>
        <w:tblCellMar>
          <w:top w:w="0" w:type="dxa"/>
          <w:left w:w="0" w:type="dxa"/>
          <w:bottom w:w="0" w:type="dxa"/>
          <w:right w:w="0" w:type="dxa"/>
        </w:tblCellMar>
      </w:tblPr>
      <w:tr>
        <w:trPr>
          <w:trHeight w:val="212"/>
        </w:trPr>
        <w:tc>
          <w:tcPr>
            <w:tcW w:w="2080" w:type="dxa"/>
            <w:vAlign w:val="bottom"/>
            <w:tcBorders>
              <w:top w:val="single" w:sz="8" w:color="auto"/>
              <w:left w:val="single" w:sz="8" w:color="auto"/>
            </w:tcBorders>
            <w:shd w:val="clear" w:color="auto" w:fill="00A5B5"/>
          </w:tcPr>
          <w:p>
            <w:pPr>
              <w:ind w:left="900"/>
              <w:spacing w:after="0"/>
              <w:rPr>
                <w:sz w:val="20"/>
                <w:szCs w:val="20"/>
                <w:color w:val="auto"/>
              </w:rPr>
            </w:pPr>
            <w:r>
              <w:rPr>
                <w:rFonts w:ascii="Arial" w:cs="Arial" w:eastAsia="Arial" w:hAnsi="Arial"/>
                <w:sz w:val="14"/>
                <w:szCs w:val="14"/>
                <w:b w:val="1"/>
                <w:bCs w:val="1"/>
                <w:color w:val="FFFFFF"/>
              </w:rPr>
              <w:t>Element</w:t>
            </w:r>
          </w:p>
        </w:tc>
        <w:tc>
          <w:tcPr>
            <w:tcW w:w="7240" w:type="dxa"/>
            <w:vAlign w:val="bottom"/>
            <w:tcBorders>
              <w:top w:val="single" w:sz="8" w:color="auto"/>
              <w:right w:val="single" w:sz="8" w:color="auto"/>
            </w:tcBorders>
            <w:shd w:val="clear" w:color="auto" w:fill="00A5B5"/>
          </w:tcPr>
          <w:p>
            <w:pPr>
              <w:ind w:left="3420"/>
              <w:spacing w:after="0"/>
              <w:rPr>
                <w:sz w:val="20"/>
                <w:szCs w:val="20"/>
                <w:color w:val="auto"/>
              </w:rPr>
            </w:pPr>
            <w:r>
              <w:rPr>
                <w:rFonts w:ascii="Arial" w:cs="Arial" w:eastAsia="Arial" w:hAnsi="Arial"/>
                <w:sz w:val="14"/>
                <w:szCs w:val="14"/>
                <w:b w:val="1"/>
                <w:bCs w:val="1"/>
                <w:color w:val="FFFFFF"/>
              </w:rPr>
              <w:t>Objective</w:t>
            </w:r>
          </w:p>
        </w:tc>
      </w:tr>
      <w:tr>
        <w:trPr>
          <w:trHeight w:val="149"/>
        </w:trPr>
        <w:tc>
          <w:tcPr>
            <w:tcW w:w="2080" w:type="dxa"/>
            <w:vAlign w:val="bottom"/>
            <w:tcBorders>
              <w:left w:val="single" w:sz="8" w:color="auto"/>
            </w:tcBorders>
            <w:shd w:val="clear" w:color="auto" w:fill="CCEEF0"/>
          </w:tcPr>
          <w:p>
            <w:pPr>
              <w:ind w:left="20"/>
              <w:spacing w:after="0" w:line="149" w:lineRule="exact"/>
              <w:rPr>
                <w:sz w:val="20"/>
                <w:szCs w:val="20"/>
                <w:color w:val="auto"/>
              </w:rPr>
            </w:pPr>
            <w:r>
              <w:rPr>
                <w:rFonts w:ascii="Arial" w:cs="Arial" w:eastAsia="Arial" w:hAnsi="Arial"/>
                <w:sz w:val="14"/>
                <w:szCs w:val="14"/>
                <w:color w:val="auto"/>
              </w:rPr>
              <w:t>Base Salary</w:t>
            </w:r>
          </w:p>
        </w:tc>
        <w:tc>
          <w:tcPr>
            <w:tcW w:w="7240" w:type="dxa"/>
            <w:vAlign w:val="bottom"/>
            <w:tcBorders>
              <w:right w:val="single" w:sz="8" w:color="auto"/>
            </w:tcBorders>
            <w:shd w:val="clear" w:color="auto" w:fill="CCEEF0"/>
          </w:tcPr>
          <w:p>
            <w:pPr>
              <w:ind w:left="280"/>
              <w:spacing w:after="0" w:line="149" w:lineRule="exact"/>
              <w:rPr>
                <w:sz w:val="20"/>
                <w:szCs w:val="20"/>
                <w:color w:val="auto"/>
              </w:rPr>
            </w:pPr>
            <w:r>
              <w:rPr>
                <w:rFonts w:ascii="Arial" w:cs="Arial" w:eastAsia="Arial" w:hAnsi="Arial"/>
                <w:sz w:val="14"/>
                <w:szCs w:val="14"/>
                <w:color w:val="auto"/>
              </w:rPr>
              <w:t>Provides a regular income at competitive market level and reflects each executive's skills, experience, and</w:t>
            </w:r>
          </w:p>
        </w:tc>
      </w:tr>
      <w:tr>
        <w:trPr>
          <w:trHeight w:val="181"/>
        </w:trPr>
        <w:tc>
          <w:tcPr>
            <w:tcW w:w="2080" w:type="dxa"/>
            <w:vAlign w:val="bottom"/>
            <w:tcBorders>
              <w:left w:val="single" w:sz="8" w:color="auto"/>
            </w:tcBorders>
            <w:shd w:val="clear" w:color="auto" w:fill="CCEEF0"/>
          </w:tcPr>
          <w:p>
            <w:pPr>
              <w:spacing w:after="0"/>
              <w:rPr>
                <w:sz w:val="15"/>
                <w:szCs w:val="15"/>
                <w:color w:val="auto"/>
              </w:rPr>
            </w:pPr>
          </w:p>
        </w:tc>
        <w:tc>
          <w:tcPr>
            <w:tcW w:w="7240" w:type="dxa"/>
            <w:vAlign w:val="bottom"/>
            <w:tcBorders>
              <w:right w:val="single" w:sz="8" w:color="auto"/>
            </w:tcBorders>
            <w:shd w:val="clear" w:color="auto" w:fill="CCEEF0"/>
          </w:tcPr>
          <w:p>
            <w:pPr>
              <w:ind w:left="280"/>
              <w:spacing w:after="0"/>
              <w:rPr>
                <w:sz w:val="20"/>
                <w:szCs w:val="20"/>
                <w:color w:val="auto"/>
              </w:rPr>
            </w:pPr>
            <w:r>
              <w:rPr>
                <w:rFonts w:ascii="Arial" w:cs="Arial" w:eastAsia="Arial" w:hAnsi="Arial"/>
                <w:sz w:val="14"/>
                <w:szCs w:val="14"/>
                <w:color w:val="auto"/>
              </w:rPr>
              <w:t>responsibilities</w:t>
            </w:r>
          </w:p>
        </w:tc>
      </w:tr>
      <w:tr>
        <w:trPr>
          <w:trHeight w:val="194"/>
        </w:trPr>
        <w:tc>
          <w:tcPr>
            <w:tcW w:w="2080" w:type="dxa"/>
            <w:vAlign w:val="bottom"/>
            <w:tcBorders>
              <w:left w:val="single" w:sz="8" w:color="auto"/>
            </w:tcBorders>
            <w:shd w:val="clear" w:color="auto" w:fill="E8F7F8"/>
          </w:tcPr>
          <w:p>
            <w:pPr>
              <w:ind w:left="20"/>
              <w:spacing w:after="0"/>
              <w:rPr>
                <w:sz w:val="20"/>
                <w:szCs w:val="20"/>
                <w:color w:val="auto"/>
              </w:rPr>
            </w:pPr>
            <w:r>
              <w:rPr>
                <w:rFonts w:ascii="Arial" w:cs="Arial" w:eastAsia="Arial" w:hAnsi="Arial"/>
                <w:sz w:val="14"/>
                <w:szCs w:val="14"/>
                <w:color w:val="auto"/>
              </w:rPr>
              <w:t>Annual Cash Incentive</w:t>
            </w:r>
          </w:p>
        </w:tc>
        <w:tc>
          <w:tcPr>
            <w:tcW w:w="7240" w:type="dxa"/>
            <w:vAlign w:val="bottom"/>
            <w:tcBorders>
              <w:right w:val="single" w:sz="8" w:color="auto"/>
            </w:tcBorders>
            <w:shd w:val="clear" w:color="auto" w:fill="E8F7F8"/>
          </w:tcPr>
          <w:p>
            <w:pPr>
              <w:ind w:left="280"/>
              <w:spacing w:after="0"/>
              <w:rPr>
                <w:sz w:val="20"/>
                <w:szCs w:val="20"/>
                <w:color w:val="auto"/>
              </w:rPr>
            </w:pPr>
            <w:r>
              <w:rPr>
                <w:rFonts w:ascii="Arial" w:cs="Arial" w:eastAsia="Arial" w:hAnsi="Arial"/>
                <w:sz w:val="14"/>
                <w:szCs w:val="14"/>
                <w:color w:val="auto"/>
              </w:rPr>
              <w:t>Motivates our executives to achieve our annual financial and strategic goals</w:t>
            </w:r>
          </w:p>
        </w:tc>
      </w:tr>
      <w:tr>
        <w:trPr>
          <w:trHeight w:val="154"/>
        </w:trPr>
        <w:tc>
          <w:tcPr>
            <w:tcW w:w="2080" w:type="dxa"/>
            <w:vAlign w:val="bottom"/>
            <w:tcBorders>
              <w:left w:val="single" w:sz="8" w:color="auto"/>
            </w:tcBorders>
            <w:shd w:val="clear" w:color="auto" w:fill="CCEEF0"/>
          </w:tcPr>
          <w:p>
            <w:pPr>
              <w:ind w:left="20"/>
              <w:spacing w:after="0" w:line="154" w:lineRule="exact"/>
              <w:rPr>
                <w:sz w:val="20"/>
                <w:szCs w:val="20"/>
                <w:color w:val="auto"/>
              </w:rPr>
            </w:pPr>
            <w:r>
              <w:rPr>
                <w:rFonts w:ascii="Arial" w:cs="Arial" w:eastAsia="Arial" w:hAnsi="Arial"/>
                <w:sz w:val="14"/>
                <w:szCs w:val="14"/>
                <w:color w:val="auto"/>
              </w:rPr>
              <w:t>Long-Term Equity Incentives</w:t>
            </w:r>
          </w:p>
        </w:tc>
        <w:tc>
          <w:tcPr>
            <w:tcW w:w="7240" w:type="dxa"/>
            <w:vAlign w:val="bottom"/>
            <w:tcBorders>
              <w:right w:val="single" w:sz="8" w:color="auto"/>
            </w:tcBorders>
            <w:shd w:val="clear" w:color="auto" w:fill="CCEEF0"/>
          </w:tcPr>
          <w:p>
            <w:pPr>
              <w:ind w:left="280"/>
              <w:spacing w:after="0" w:line="154" w:lineRule="exact"/>
              <w:rPr>
                <w:sz w:val="20"/>
                <w:szCs w:val="20"/>
                <w:color w:val="auto"/>
              </w:rPr>
            </w:pPr>
            <w:r>
              <w:rPr>
                <w:rFonts w:ascii="Arial" w:cs="Arial" w:eastAsia="Arial" w:hAnsi="Arial"/>
                <w:sz w:val="14"/>
                <w:szCs w:val="14"/>
                <w:color w:val="auto"/>
              </w:rPr>
              <w:t>Reward sustained performance and align executives' interests with our stockholders through equity</w:t>
            </w:r>
          </w:p>
        </w:tc>
      </w:tr>
      <w:tr>
        <w:trPr>
          <w:trHeight w:val="181"/>
        </w:trPr>
        <w:tc>
          <w:tcPr>
            <w:tcW w:w="2080" w:type="dxa"/>
            <w:vAlign w:val="bottom"/>
            <w:tcBorders>
              <w:left w:val="single" w:sz="8" w:color="auto"/>
            </w:tcBorders>
            <w:shd w:val="clear" w:color="auto" w:fill="CCEEF0"/>
          </w:tcPr>
          <w:p>
            <w:pPr>
              <w:spacing w:after="0"/>
              <w:rPr>
                <w:sz w:val="15"/>
                <w:szCs w:val="15"/>
                <w:color w:val="auto"/>
              </w:rPr>
            </w:pPr>
          </w:p>
        </w:tc>
        <w:tc>
          <w:tcPr>
            <w:tcW w:w="7240" w:type="dxa"/>
            <w:vAlign w:val="bottom"/>
            <w:tcBorders>
              <w:right w:val="single" w:sz="8" w:color="auto"/>
            </w:tcBorders>
            <w:shd w:val="clear" w:color="auto" w:fill="CCEEF0"/>
          </w:tcPr>
          <w:p>
            <w:pPr>
              <w:ind w:left="280"/>
              <w:spacing w:after="0"/>
              <w:rPr>
                <w:sz w:val="20"/>
                <w:szCs w:val="20"/>
                <w:color w:val="auto"/>
              </w:rPr>
            </w:pPr>
            <w:r>
              <w:rPr>
                <w:rFonts w:ascii="Arial" w:cs="Arial" w:eastAsia="Arial" w:hAnsi="Arial"/>
                <w:sz w:val="14"/>
                <w:szCs w:val="14"/>
                <w:color w:val="auto"/>
              </w:rPr>
              <w:t>compensation opportunities</w:t>
            </w:r>
          </w:p>
        </w:tc>
      </w:tr>
      <w:tr>
        <w:trPr>
          <w:trHeight w:val="149"/>
        </w:trPr>
        <w:tc>
          <w:tcPr>
            <w:tcW w:w="2080" w:type="dxa"/>
            <w:vAlign w:val="bottom"/>
            <w:tcBorders>
              <w:left w:val="single" w:sz="8" w:color="auto"/>
            </w:tcBorders>
            <w:shd w:val="clear" w:color="auto" w:fill="E8F7F8"/>
          </w:tcPr>
          <w:p>
            <w:pPr>
              <w:ind w:left="20"/>
              <w:spacing w:after="0" w:line="149" w:lineRule="exact"/>
              <w:rPr>
                <w:sz w:val="20"/>
                <w:szCs w:val="20"/>
                <w:color w:val="auto"/>
              </w:rPr>
            </w:pPr>
            <w:r>
              <w:rPr>
                <w:rFonts w:ascii="Arial" w:cs="Arial" w:eastAsia="Arial" w:hAnsi="Arial"/>
                <w:sz w:val="14"/>
                <w:szCs w:val="14"/>
                <w:color w:val="auto"/>
              </w:rPr>
              <w:t>Benefits</w:t>
            </w:r>
          </w:p>
        </w:tc>
        <w:tc>
          <w:tcPr>
            <w:tcW w:w="7240" w:type="dxa"/>
            <w:vAlign w:val="bottom"/>
            <w:tcBorders>
              <w:right w:val="single" w:sz="8" w:color="auto"/>
            </w:tcBorders>
            <w:shd w:val="clear" w:color="auto" w:fill="E8F7F8"/>
          </w:tcPr>
          <w:p>
            <w:pPr>
              <w:ind w:left="280"/>
              <w:spacing w:after="0" w:line="149" w:lineRule="exact"/>
              <w:rPr>
                <w:sz w:val="20"/>
                <w:szCs w:val="20"/>
                <w:color w:val="auto"/>
              </w:rPr>
            </w:pPr>
            <w:r>
              <w:rPr>
                <w:rFonts w:ascii="Arial" w:cs="Arial" w:eastAsia="Arial" w:hAnsi="Arial"/>
                <w:sz w:val="14"/>
                <w:szCs w:val="14"/>
                <w:color w:val="auto"/>
              </w:rPr>
              <w:t>Provide for the health and welfare of our executives, including retirement benefits to promote long-term</w:t>
            </w:r>
          </w:p>
        </w:tc>
      </w:tr>
      <w:tr>
        <w:trPr>
          <w:trHeight w:val="181"/>
        </w:trPr>
        <w:tc>
          <w:tcPr>
            <w:tcW w:w="2080" w:type="dxa"/>
            <w:vAlign w:val="bottom"/>
            <w:tcBorders>
              <w:left w:val="single" w:sz="8" w:color="auto"/>
              <w:bottom w:val="single" w:sz="8" w:color="auto"/>
            </w:tcBorders>
            <w:shd w:val="clear" w:color="auto" w:fill="E8F7F8"/>
          </w:tcPr>
          <w:p>
            <w:pPr>
              <w:spacing w:after="0"/>
              <w:rPr>
                <w:sz w:val="15"/>
                <w:szCs w:val="15"/>
                <w:color w:val="auto"/>
              </w:rPr>
            </w:pPr>
          </w:p>
        </w:tc>
        <w:tc>
          <w:tcPr>
            <w:tcW w:w="7240" w:type="dxa"/>
            <w:vAlign w:val="bottom"/>
            <w:tcBorders>
              <w:bottom w:val="single" w:sz="8" w:color="auto"/>
              <w:right w:val="single" w:sz="8" w:color="auto"/>
            </w:tcBorders>
            <w:shd w:val="clear" w:color="auto" w:fill="E8F7F8"/>
          </w:tcPr>
          <w:p>
            <w:pPr>
              <w:ind w:left="280"/>
              <w:spacing w:after="0"/>
              <w:rPr>
                <w:sz w:val="20"/>
                <w:szCs w:val="20"/>
                <w:color w:val="auto"/>
              </w:rPr>
            </w:pPr>
            <w:r>
              <w:rPr>
                <w:rFonts w:ascii="Arial" w:cs="Arial" w:eastAsia="Arial" w:hAnsi="Arial"/>
                <w:sz w:val="14"/>
                <w:szCs w:val="14"/>
                <w:color w:val="auto"/>
              </w:rPr>
              <w:t>commitment of our executives to the Company</w:t>
            </w:r>
          </w:p>
        </w:tc>
      </w:tr>
    </w:tbl>
    <w:p>
      <w:pPr>
        <w:spacing w:after="0" w:line="230" w:lineRule="exact"/>
        <w:rPr>
          <w:sz w:val="20"/>
          <w:szCs w:val="20"/>
          <w:color w:val="auto"/>
        </w:rPr>
      </w:pPr>
    </w:p>
    <w:p>
      <w:pPr>
        <w:ind w:left="320"/>
        <w:spacing w:after="0"/>
        <w:rPr>
          <w:sz w:val="20"/>
          <w:szCs w:val="20"/>
          <w:color w:val="auto"/>
        </w:rPr>
      </w:pPr>
      <w:r>
        <w:rPr>
          <w:rFonts w:ascii="Arial" w:cs="Arial" w:eastAsia="Arial" w:hAnsi="Arial"/>
          <w:sz w:val="19"/>
          <w:szCs w:val="19"/>
          <w:color w:val="00A4B5"/>
        </w:rPr>
        <w:t>Fiscal Year 2026 Compensation Changes</w:t>
      </w:r>
    </w:p>
    <w:p>
      <w:pPr>
        <w:spacing w:after="0" w:line="170" w:lineRule="exact"/>
        <w:rPr>
          <w:sz w:val="20"/>
          <w:szCs w:val="20"/>
          <w:color w:val="auto"/>
        </w:rPr>
      </w:pPr>
    </w:p>
    <w:p>
      <w:pPr>
        <w:jc w:val="both"/>
        <w:ind w:right="80" w:firstLine="318"/>
        <w:spacing w:after="0" w:line="251" w:lineRule="auto"/>
        <w:rPr>
          <w:sz w:val="20"/>
          <w:szCs w:val="20"/>
          <w:color w:val="auto"/>
        </w:rPr>
      </w:pPr>
      <w:r>
        <w:rPr>
          <w:rFonts w:ascii="Arial" w:cs="Arial" w:eastAsia="Arial" w:hAnsi="Arial"/>
          <w:sz w:val="18"/>
          <w:szCs w:val="18"/>
          <w:color w:val="auto"/>
        </w:rPr>
        <w:t>The Compensation, Culture and People Committee, taking into consideration the revised peer group benchmarking data, along with guidance from our outside compensation consultant, Pay Governance, and input from the CEO and/or COO (in the case of named executive officers who are direct reports to the CEO and/or COO), did not approve any adjustments to the fiscal 2026 annual target compensation of our named executive officers who were also named executive officers in fiscal year 2025. Ms. Inserra was appointed to the Company's Leadership Team in fiscal year 2026 and received a one-time grant of stock options with a grant date fair value approximating $250,000 in connection with such appointment.</w:t>
      </w:r>
    </w:p>
    <w:p>
      <w:pPr>
        <w:spacing w:after="0" w:line="183"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named executive officers’ fiscal year 2026 target annual cash incentive amounts are set forth below under the heading “Compensation Discussion and Analysis—Compensation Elements—Annual Cash Incentive”, and the fiscal year 2026 target annual equity grant amounts are set forth below under the heading “Compensation Discussion and Analysis—Compensation Elements—Long-Term Equity Incentives—Fiscal Year 2026 Annual Grants”.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color w:val="00A4B5"/>
        </w:rPr>
        <w:t>At-Risk Compensation</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a significant portion of our named executive officers compensation should be tied to the Company's success and the long-term returns of our stockholders. Consistent with this approach and as shown in the charts below for target compensation as of fiscal year-end 2026, more than half of the target compensation for each of our CEO and other named executive officers is delivered in the form of variable "at risk" compensation opportunities that are tied to the achievement of pre-set financial and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90805</wp:posOffset>
            </wp:positionV>
            <wp:extent cx="5336540" cy="1773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36540" cy="177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0" w:hanging="156"/>
        <w:spacing w:after="0"/>
        <w:tabs>
          <w:tab w:leader="none" w:pos="48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Compensation mix for the Other Named Executive Officers reflects target compensation for only those who were active as of fiscal year-end 2026.</w:t>
      </w:r>
    </w:p>
    <w:p>
      <w:pPr>
        <w:sectPr>
          <w:pgSz w:w="11900" w:h="16838" w:orient="portrait"/>
          <w:cols w:equalWidth="0" w:num="1">
            <w:col w:w="11240"/>
          </w:cols>
          <w:pgMar w:left="320" w:top="10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66666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type w:val="continuous"/>
        </w:sectPr>
      </w:pPr>
    </w:p>
    <w:bookmarkStart w:id="48" w:name="page49"/>
    <w:bookmarkEnd w:id="48"/>
    <w:p>
      <w:pPr>
        <w:ind w:left="320"/>
        <w:spacing w:after="0"/>
        <w:rPr>
          <w:sz w:val="20"/>
          <w:szCs w:val="20"/>
          <w:color w:val="auto"/>
        </w:rPr>
      </w:pPr>
      <w:r>
        <w:rPr>
          <w:rFonts w:ascii="Arial" w:cs="Arial" w:eastAsia="Arial" w:hAnsi="Arial"/>
          <w:sz w:val="19"/>
          <w:szCs w:val="19"/>
          <w:color w:val="00A4B5"/>
        </w:rPr>
        <w:t>Base Salary</w:t>
      </w:r>
    </w:p>
    <w:p>
      <w:pPr>
        <w:spacing w:after="0" w:line="18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Base salary represents a relatively small portion of the total target executive compensation opportunities and provides the fixed component necessary to attract and retain executive talent. The salary paid to each of our named executive officers in fiscal year 2026, as approved by the Compensation, Culture and People Committee, is set forth in the table below.</w:t>
      </w:r>
    </w:p>
    <w:p>
      <w:pPr>
        <w:spacing w:after="0" w:line="147" w:lineRule="exact"/>
        <w:rPr>
          <w:sz w:val="20"/>
          <w:szCs w:val="20"/>
          <w:color w:val="auto"/>
        </w:rPr>
      </w:pPr>
    </w:p>
    <w:tbl>
      <w:tblPr>
        <w:tblLayout w:type="fixed"/>
        <w:tblInd w:w="3370" w:type="dxa"/>
        <w:tblCellMar>
          <w:top w:w="0" w:type="dxa"/>
          <w:left w:w="0" w:type="dxa"/>
          <w:bottom w:w="0" w:type="dxa"/>
          <w:right w:w="0" w:type="dxa"/>
        </w:tblCellMar>
      </w:tblPr>
      <w:tr>
        <w:trPr>
          <w:trHeight w:val="212"/>
        </w:trPr>
        <w:tc>
          <w:tcPr>
            <w:tcW w:w="2300" w:type="dxa"/>
            <w:vAlign w:val="bottom"/>
            <w:tcBorders>
              <w:top w:val="single" w:sz="8" w:color="auto"/>
              <w:left w:val="single" w:sz="8" w:color="auto"/>
            </w:tcBorders>
            <w:shd w:val="clear" w:color="auto" w:fill="00A5B5"/>
          </w:tcPr>
          <w:p>
            <w:pPr>
              <w:ind w:left="20"/>
              <w:spacing w:after="0"/>
              <w:rPr>
                <w:sz w:val="20"/>
                <w:szCs w:val="20"/>
                <w:color w:val="auto"/>
              </w:rPr>
            </w:pPr>
            <w:r>
              <w:rPr>
                <w:rFonts w:ascii="Arial" w:cs="Arial" w:eastAsia="Arial" w:hAnsi="Arial"/>
                <w:sz w:val="14"/>
                <w:szCs w:val="14"/>
                <w:b w:val="1"/>
                <w:bCs w:val="1"/>
                <w:color w:val="FFFFFF"/>
              </w:rPr>
              <w:t>Name</w:t>
            </w:r>
          </w:p>
        </w:tc>
        <w:tc>
          <w:tcPr>
            <w:tcW w:w="2580" w:type="dxa"/>
            <w:vAlign w:val="bottom"/>
            <w:tcBorders>
              <w:top w:val="single" w:sz="8" w:color="auto"/>
              <w:right w:val="single" w:sz="8" w:color="auto"/>
            </w:tcBorders>
            <w:shd w:val="clear" w:color="auto" w:fill="00A5B5"/>
          </w:tcPr>
          <w:p>
            <w:pPr>
              <w:ind w:left="740"/>
              <w:spacing w:after="0"/>
              <w:rPr>
                <w:sz w:val="20"/>
                <w:szCs w:val="20"/>
                <w:color w:val="auto"/>
              </w:rPr>
            </w:pPr>
            <w:r>
              <w:rPr>
                <w:rFonts w:ascii="Arial" w:cs="Arial" w:eastAsia="Arial" w:hAnsi="Arial"/>
                <w:sz w:val="14"/>
                <w:szCs w:val="14"/>
                <w:b w:val="1"/>
                <w:bCs w:val="1"/>
                <w:color w:val="FFFFFF"/>
              </w:rPr>
              <w:t>FY26 Base Salary</w:t>
            </w:r>
          </w:p>
        </w:tc>
      </w:tr>
      <w:tr>
        <w:trPr>
          <w:trHeight w:val="199"/>
        </w:trPr>
        <w:tc>
          <w:tcPr>
            <w:tcW w:w="230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Horacio D. Rozanski</w:t>
            </w:r>
          </w:p>
        </w:tc>
        <w:tc>
          <w:tcPr>
            <w:tcW w:w="2580" w:type="dxa"/>
            <w:vAlign w:val="bottom"/>
            <w:tcBorders>
              <w:right w:val="single" w:sz="8" w:color="auto"/>
            </w:tcBorders>
            <w:shd w:val="clear" w:color="auto" w:fill="CCEEF0"/>
          </w:tcPr>
          <w:p>
            <w:pPr>
              <w:jc w:val="center"/>
              <w:ind w:left="9"/>
              <w:spacing w:after="0"/>
              <w:rPr>
                <w:sz w:val="20"/>
                <w:szCs w:val="20"/>
                <w:color w:val="auto"/>
              </w:rPr>
            </w:pPr>
            <w:r>
              <w:rPr>
                <w:rFonts w:ascii="Arial" w:cs="Arial" w:eastAsia="Arial" w:hAnsi="Arial"/>
                <w:sz w:val="14"/>
                <w:szCs w:val="14"/>
                <w:color w:val="auto"/>
                <w:w w:val="99"/>
              </w:rPr>
              <w:t>$1,500,000</w:t>
            </w:r>
          </w:p>
        </w:tc>
      </w:tr>
      <w:tr>
        <w:trPr>
          <w:trHeight w:val="194"/>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Kristine Martin Anderson</w:t>
            </w:r>
          </w:p>
        </w:tc>
        <w:tc>
          <w:tcPr>
            <w:tcW w:w="258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w w:val="99"/>
              </w:rPr>
              <w:t>$900,000</w:t>
            </w:r>
          </w:p>
        </w:tc>
      </w:tr>
      <w:tr>
        <w:trPr>
          <w:trHeight w:val="203"/>
        </w:trPr>
        <w:tc>
          <w:tcPr>
            <w:tcW w:w="230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Richard C. Crowe</w:t>
            </w:r>
          </w:p>
        </w:tc>
        <w:tc>
          <w:tcPr>
            <w:tcW w:w="2580" w:type="dxa"/>
            <w:vAlign w:val="bottom"/>
            <w:tcBorders>
              <w:right w:val="single" w:sz="8" w:color="auto"/>
            </w:tcBorders>
            <w:shd w:val="clear" w:color="auto" w:fill="CCEEF0"/>
          </w:tcPr>
          <w:p>
            <w:pPr>
              <w:jc w:val="center"/>
              <w:ind w:left="9"/>
              <w:spacing w:after="0"/>
              <w:rPr>
                <w:sz w:val="20"/>
                <w:szCs w:val="20"/>
                <w:color w:val="auto"/>
              </w:rPr>
            </w:pPr>
            <w:r>
              <w:rPr>
                <w:rFonts w:ascii="Arial" w:cs="Arial" w:eastAsia="Arial" w:hAnsi="Arial"/>
                <w:sz w:val="14"/>
                <w:szCs w:val="14"/>
                <w:color w:val="auto"/>
                <w:w w:val="99"/>
              </w:rPr>
              <w:t>$650,000</w:t>
            </w:r>
          </w:p>
        </w:tc>
      </w:tr>
      <w:tr>
        <w:trPr>
          <w:trHeight w:val="194"/>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Andrea D. Inserra</w:t>
            </w:r>
          </w:p>
        </w:tc>
        <w:tc>
          <w:tcPr>
            <w:tcW w:w="258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w w:val="99"/>
              </w:rPr>
              <w:t>$600,000</w:t>
            </w:r>
          </w:p>
        </w:tc>
      </w:tr>
      <w:tr>
        <w:trPr>
          <w:trHeight w:val="203"/>
        </w:trPr>
        <w:tc>
          <w:tcPr>
            <w:tcW w:w="230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4"/>
                <w:szCs w:val="14"/>
                <w:color w:val="auto"/>
              </w:rPr>
              <w:t>Thomas J. Pfeifer</w:t>
            </w:r>
          </w:p>
        </w:tc>
        <w:tc>
          <w:tcPr>
            <w:tcW w:w="2580" w:type="dxa"/>
            <w:vAlign w:val="bottom"/>
            <w:tcBorders>
              <w:right w:val="single" w:sz="8" w:color="auto"/>
            </w:tcBorders>
            <w:shd w:val="clear" w:color="auto" w:fill="CCEEF0"/>
          </w:tcPr>
          <w:p>
            <w:pPr>
              <w:jc w:val="center"/>
              <w:ind w:left="9"/>
              <w:spacing w:after="0"/>
              <w:rPr>
                <w:sz w:val="20"/>
                <w:szCs w:val="20"/>
                <w:color w:val="auto"/>
              </w:rPr>
            </w:pPr>
            <w:r>
              <w:rPr>
                <w:rFonts w:ascii="Arial" w:cs="Arial" w:eastAsia="Arial" w:hAnsi="Arial"/>
                <w:sz w:val="14"/>
                <w:szCs w:val="14"/>
                <w:color w:val="auto"/>
                <w:w w:val="99"/>
              </w:rPr>
              <w:t>$650,000</w:t>
            </w:r>
          </w:p>
        </w:tc>
      </w:tr>
      <w:tr>
        <w:trPr>
          <w:trHeight w:val="199"/>
        </w:trPr>
        <w:tc>
          <w:tcPr>
            <w:tcW w:w="2300" w:type="dxa"/>
            <w:vAlign w:val="bottom"/>
            <w:tcBorders>
              <w:left w:val="single" w:sz="8" w:color="auto"/>
              <w:bottom w:val="single" w:sz="8" w:color="auto"/>
            </w:tcBorders>
          </w:tcPr>
          <w:p>
            <w:pPr>
              <w:ind w:left="20"/>
              <w:spacing w:after="0" w:line="199" w:lineRule="exact"/>
              <w:rPr>
                <w:sz w:val="20"/>
                <w:szCs w:val="20"/>
                <w:color w:val="auto"/>
              </w:rPr>
            </w:pPr>
            <w:r>
              <w:rPr>
                <w:rFonts w:ascii="Arial" w:cs="Arial" w:eastAsia="Arial" w:hAnsi="Arial"/>
                <w:sz w:val="14"/>
                <w:szCs w:val="14"/>
                <w:color w:val="auto"/>
              </w:rPr>
              <w:t xml:space="preserve">Matthew A. Calderone </w:t>
            </w:r>
            <w:r>
              <w:rPr>
                <w:rFonts w:ascii="Arial" w:cs="Arial" w:eastAsia="Arial" w:hAnsi="Arial"/>
                <w:sz w:val="18"/>
                <w:szCs w:val="18"/>
                <w:color w:val="auto"/>
                <w:vertAlign w:val="superscript"/>
              </w:rPr>
              <w:t>1</w:t>
            </w:r>
          </w:p>
        </w:tc>
        <w:tc>
          <w:tcPr>
            <w:tcW w:w="25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9"/>
              </w:rPr>
              <w:t>$750,000</w:t>
            </w:r>
          </w:p>
        </w:tc>
      </w:tr>
    </w:tbl>
    <w:p>
      <w:pPr>
        <w:spacing w:after="0" w:line="176" w:lineRule="exact"/>
        <w:rPr>
          <w:sz w:val="20"/>
          <w:szCs w:val="20"/>
          <w:color w:val="auto"/>
        </w:rPr>
      </w:pPr>
    </w:p>
    <w:p>
      <w:pPr>
        <w:jc w:val="both"/>
        <w:ind w:left="320" w:right="80" w:firstLine="4"/>
        <w:spacing w:after="0" w:line="274" w:lineRule="auto"/>
        <w:tabs>
          <w:tab w:leader="none" w:pos="501" w:val="left"/>
        </w:tabs>
        <w:numPr>
          <w:ilvl w:val="0"/>
          <w:numId w:val="38"/>
        </w:numPr>
        <w:rPr>
          <w:rFonts w:ascii="Arial" w:cs="Arial" w:eastAsia="Arial" w:hAnsi="Arial"/>
          <w:sz w:val="9"/>
          <w:szCs w:val="9"/>
          <w:color w:val="auto"/>
        </w:rPr>
      </w:pPr>
      <w:r>
        <w:rPr>
          <w:rFonts w:ascii="Arial" w:cs="Arial" w:eastAsia="Arial" w:hAnsi="Arial"/>
          <w:sz w:val="14"/>
          <w:szCs w:val="14"/>
          <w:color w:val="auto"/>
        </w:rPr>
        <w:t>Mr. Calderone retired effective February 1, 2026. The value in the table reflects Mr. Calderone's full annual base salary for fiscal year 2026 as approved by the Compensation, Culture and People Committee near the beginning of the fiscal year. The salary actually paid to Mr. Calderone was prorated from April 1, 2025 to February 1, 2026, and is reported in the Salary column of the Summary Compensation Table.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9"/>
          <w:szCs w:val="19"/>
          <w:color w:val="00A4B5"/>
        </w:rPr>
        <w:t>Annual Cash Incentive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annual cash incentive portion of our executives' compensation is provided through our annual bonus program. The target annual incentive amount for our named executive officers is determined each year by the Compensation, Culture and People Committee based on the market analysis and recommendation of our outside compensation consultant, Pay Governance, as well as of the CEO and/or COO (in the case of named executive officers who are direct reports to the CEO and/or COO).</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target annual cash incentive value for each named executive officer is established as a fixed dollar value, as approved by the Compensation, Culture and People Committee generally near the beginning of each fiscal year. The actual annual incentive payout for each named executive officer is determined after the fiscal year ends, as described below, and calculated as a percentage of over- or under-performance relative to the applicable performance metric(s) as approved by the Compensation, Culture and People Committee and applied to the target annual incentive value. The performance metric(s) and the performance range are generally determined near the beginning of each fiscal year as approved by the Compensation, Culture and People Committee. Executives who retire, or terminate employment under our transition policy, before the end of the fiscal year are generally eligible to receive a prorated incentive payment.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4B5"/>
        </w:rPr>
        <w:t>Fiscal Year 2026 Annual Cash Incentive</w:t>
      </w:r>
    </w:p>
    <w:p>
      <w:pPr>
        <w:spacing w:after="0" w:line="164" w:lineRule="exact"/>
        <w:rPr>
          <w:sz w:val="20"/>
          <w:szCs w:val="20"/>
          <w:color w:val="auto"/>
        </w:rPr>
      </w:pPr>
    </w:p>
    <w:p>
      <w:pPr>
        <w:ind w:right="100" w:firstLine="318"/>
        <w:spacing w:after="0" w:line="282" w:lineRule="auto"/>
        <w:rPr>
          <w:sz w:val="20"/>
          <w:szCs w:val="20"/>
          <w:color w:val="auto"/>
        </w:rPr>
      </w:pPr>
      <w:r>
        <w:rPr>
          <w:rFonts w:ascii="Arial" w:cs="Arial" w:eastAsia="Arial" w:hAnsi="Arial"/>
          <w:sz w:val="17"/>
          <w:szCs w:val="17"/>
          <w:color w:val="auto"/>
        </w:rPr>
        <w:t>For fiscal year 2026, the annual cash incentive was based on the Company's performance against four metrics — Adjusted EBITDA and three strategic goals, as described below. The fiscal year 2026 target bonus pool, as approved by the Compensation, Culture and People Committee was $27.7M. Based on actual results against the target goals, as described below, the final approved bonus pool was $22.2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93980</wp:posOffset>
            </wp:positionV>
            <wp:extent cx="6261100" cy="14541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61100" cy="1454150"/>
                    </a:xfrm>
                    <a:prstGeom prst="rect">
                      <a:avLst/>
                    </a:prstGeom>
                    <a:noFill/>
                  </pic:spPr>
                </pic:pic>
              </a:graphicData>
            </a:graphic>
          </wp:anchor>
        </w:drawing>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211"/>
        </w:trPr>
        <w:tc>
          <w:tcPr>
            <w:tcW w:w="4140" w:type="dxa"/>
            <w:vAlign w:val="bottom"/>
            <w:tcBorders>
              <w:top w:val="single" w:sz="8" w:color="auto"/>
              <w:bottom w:val="single" w:sz="8" w:color="auto"/>
            </w:tcBorders>
            <w:gridSpan w:val="2"/>
            <w:shd w:val="clear" w:color="auto" w:fill="00A5B5"/>
          </w:tcPr>
          <w:p>
            <w:pPr>
              <w:ind w:left="800"/>
              <w:spacing w:after="0"/>
              <w:rPr>
                <w:sz w:val="20"/>
                <w:szCs w:val="20"/>
                <w:color w:val="auto"/>
              </w:rPr>
            </w:pPr>
            <w:r>
              <w:rPr>
                <w:rFonts w:ascii="Arial" w:cs="Arial" w:eastAsia="Arial" w:hAnsi="Arial"/>
                <w:sz w:val="14"/>
                <w:szCs w:val="14"/>
                <w:b w:val="1"/>
                <w:bCs w:val="1"/>
                <w:color w:val="FFFFFF"/>
              </w:rPr>
              <w:t>Fiscal Year 2026 Performance Metrics</w:t>
            </w:r>
          </w:p>
        </w:tc>
        <w:tc>
          <w:tcPr>
            <w:tcW w:w="1100" w:type="dxa"/>
            <w:vAlign w:val="bottom"/>
            <w:tcBorders>
              <w:top w:val="single" w:sz="8" w:color="auto"/>
              <w:bottom w:val="single" w:sz="8" w:color="auto"/>
            </w:tcBorders>
            <w:shd w:val="clear" w:color="auto" w:fill="00A5B5"/>
          </w:tcPr>
          <w:p>
            <w:pPr>
              <w:ind w:left="200"/>
              <w:spacing w:after="0"/>
              <w:rPr>
                <w:sz w:val="20"/>
                <w:szCs w:val="20"/>
                <w:color w:val="auto"/>
              </w:rPr>
            </w:pPr>
            <w:r>
              <w:rPr>
                <w:rFonts w:ascii="Arial" w:cs="Arial" w:eastAsia="Arial" w:hAnsi="Arial"/>
                <w:sz w:val="14"/>
                <w:szCs w:val="14"/>
                <w:b w:val="1"/>
                <w:bCs w:val="1"/>
                <w:color w:val="FFFFFF"/>
              </w:rPr>
              <w:t>Weighting</w:t>
            </w:r>
          </w:p>
        </w:tc>
        <w:tc>
          <w:tcPr>
            <w:tcW w:w="4620" w:type="dxa"/>
            <w:vAlign w:val="bottom"/>
            <w:tcBorders>
              <w:top w:val="single" w:sz="8" w:color="auto"/>
              <w:bottom w:val="single" w:sz="8" w:color="auto"/>
            </w:tcBorders>
            <w:shd w:val="clear" w:color="auto" w:fill="00A5B5"/>
          </w:tcPr>
          <w:p>
            <w:pPr>
              <w:ind w:left="20"/>
              <w:spacing w:after="0"/>
              <w:rPr>
                <w:sz w:val="20"/>
                <w:szCs w:val="20"/>
                <w:color w:val="auto"/>
              </w:rPr>
            </w:pPr>
            <w:r>
              <w:rPr>
                <w:rFonts w:ascii="Arial" w:cs="Arial" w:eastAsia="Arial" w:hAnsi="Arial"/>
                <w:sz w:val="14"/>
                <w:szCs w:val="14"/>
                <w:b w:val="1"/>
                <w:bCs w:val="1"/>
                <w:color w:val="FFFFFF"/>
              </w:rPr>
              <w:t>Performance Metric Description</w:t>
            </w:r>
          </w:p>
        </w:tc>
        <w:tc>
          <w:tcPr>
            <w:tcW w:w="0" w:type="dxa"/>
            <w:vAlign w:val="bottom"/>
          </w:tcPr>
          <w:p>
            <w:pPr>
              <w:spacing w:after="0"/>
              <w:rPr>
                <w:sz w:val="1"/>
                <w:szCs w:val="1"/>
                <w:color w:val="auto"/>
              </w:rPr>
            </w:pPr>
          </w:p>
        </w:tc>
      </w:tr>
      <w:tr>
        <w:trPr>
          <w:trHeight w:val="143"/>
        </w:trPr>
        <w:tc>
          <w:tcPr>
            <w:tcW w:w="1340" w:type="dxa"/>
            <w:vAlign w:val="bottom"/>
            <w:vMerge w:val="restart"/>
            <w:shd w:val="clear" w:color="auto" w:fill="CCEEF0"/>
          </w:tcPr>
          <w:p>
            <w:pPr>
              <w:ind w:left="40"/>
              <w:spacing w:after="0"/>
              <w:rPr>
                <w:sz w:val="20"/>
                <w:szCs w:val="20"/>
                <w:color w:val="auto"/>
              </w:rPr>
            </w:pPr>
            <w:r>
              <w:rPr>
                <w:rFonts w:ascii="Arial" w:cs="Arial" w:eastAsia="Arial" w:hAnsi="Arial"/>
                <w:sz w:val="14"/>
                <w:szCs w:val="14"/>
                <w:color w:val="auto"/>
              </w:rPr>
              <w:t>Financial Goal</w:t>
            </w:r>
          </w:p>
        </w:tc>
        <w:tc>
          <w:tcPr>
            <w:tcW w:w="2800" w:type="dxa"/>
            <w:vAlign w:val="bottom"/>
            <w:shd w:val="clear" w:color="auto" w:fill="CCEEF0"/>
          </w:tcPr>
          <w:p>
            <w:pPr>
              <w:ind w:left="20"/>
              <w:spacing w:after="0" w:line="143" w:lineRule="exact"/>
              <w:rPr>
                <w:sz w:val="20"/>
                <w:szCs w:val="20"/>
                <w:color w:val="auto"/>
              </w:rPr>
            </w:pPr>
            <w:r>
              <w:rPr>
                <w:rFonts w:ascii="Arial" w:cs="Arial" w:eastAsia="Arial" w:hAnsi="Arial"/>
                <w:sz w:val="14"/>
                <w:szCs w:val="14"/>
                <w:color w:val="auto"/>
              </w:rPr>
              <w:t>Adjusted Earnings before Interest, Taxes,</w:t>
            </w:r>
          </w:p>
        </w:tc>
        <w:tc>
          <w:tcPr>
            <w:tcW w:w="110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w w:val="99"/>
              </w:rPr>
              <w:t>85%</w:t>
            </w:r>
          </w:p>
        </w:tc>
        <w:tc>
          <w:tcPr>
            <w:tcW w:w="4620" w:type="dxa"/>
            <w:vAlign w:val="bottom"/>
            <w:vMerge w:val="restart"/>
            <w:shd w:val="clear" w:color="auto" w:fill="CCEEF0"/>
          </w:tcPr>
          <w:p>
            <w:pPr>
              <w:spacing w:after="0"/>
              <w:rPr>
                <w:sz w:val="20"/>
                <w:szCs w:val="20"/>
                <w:color w:val="auto"/>
              </w:rPr>
            </w:pPr>
            <w:r>
              <w:rPr>
                <w:rFonts w:ascii="Arial" w:cs="Arial" w:eastAsia="Arial" w:hAnsi="Arial"/>
                <w:sz w:val="14"/>
                <w:szCs w:val="14"/>
                <w:color w:val="auto"/>
              </w:rPr>
              <w:t>One-year adjusted EBITDA measured against performance targets set</w:t>
            </w:r>
          </w:p>
        </w:tc>
        <w:tc>
          <w:tcPr>
            <w:tcW w:w="0" w:type="dxa"/>
            <w:vAlign w:val="bottom"/>
          </w:tcPr>
          <w:p>
            <w:pPr>
              <w:spacing w:after="0"/>
              <w:rPr>
                <w:sz w:val="1"/>
                <w:szCs w:val="1"/>
                <w:color w:val="auto"/>
              </w:rPr>
            </w:pPr>
          </w:p>
        </w:tc>
      </w:tr>
      <w:tr>
        <w:trPr>
          <w:trHeight w:val="66"/>
        </w:trPr>
        <w:tc>
          <w:tcPr>
            <w:tcW w:w="1340" w:type="dxa"/>
            <w:vAlign w:val="bottom"/>
            <w:vMerge w:val="continue"/>
            <w:shd w:val="clear" w:color="auto" w:fill="CCEEF0"/>
          </w:tcPr>
          <w:p>
            <w:pPr>
              <w:spacing w:after="0"/>
              <w:rPr>
                <w:sz w:val="5"/>
                <w:szCs w:val="5"/>
                <w:color w:val="auto"/>
              </w:rPr>
            </w:pPr>
          </w:p>
        </w:tc>
        <w:tc>
          <w:tcPr>
            <w:tcW w:w="2800" w:type="dxa"/>
            <w:vAlign w:val="bottom"/>
            <w:vMerge w:val="restart"/>
            <w:shd w:val="clear" w:color="auto" w:fill="CCEEF0"/>
          </w:tcPr>
          <w:p>
            <w:pPr>
              <w:ind w:left="20"/>
              <w:spacing w:after="0" w:line="143" w:lineRule="exact"/>
              <w:rPr>
                <w:sz w:val="20"/>
                <w:szCs w:val="20"/>
                <w:color w:val="auto"/>
              </w:rPr>
            </w:pPr>
            <w:r>
              <w:rPr>
                <w:rFonts w:ascii="Arial" w:cs="Arial" w:eastAsia="Arial" w:hAnsi="Arial"/>
                <w:sz w:val="14"/>
                <w:szCs w:val="14"/>
                <w:color w:val="auto"/>
              </w:rPr>
              <w:t>Depreciation, and Amortization (Adjusted</w:t>
            </w:r>
          </w:p>
        </w:tc>
        <w:tc>
          <w:tcPr>
            <w:tcW w:w="1100" w:type="dxa"/>
            <w:vAlign w:val="bottom"/>
            <w:vMerge w:val="continue"/>
            <w:shd w:val="clear" w:color="auto" w:fill="CCEEF0"/>
          </w:tcPr>
          <w:p>
            <w:pPr>
              <w:spacing w:after="0"/>
              <w:rPr>
                <w:sz w:val="5"/>
                <w:szCs w:val="5"/>
                <w:color w:val="auto"/>
              </w:rPr>
            </w:pPr>
          </w:p>
        </w:tc>
        <w:tc>
          <w:tcPr>
            <w:tcW w:w="4620" w:type="dxa"/>
            <w:vAlign w:val="bottom"/>
            <w:vMerge w:val="continue"/>
            <w:shd w:val="clear" w:color="auto" w:fill="CCEEF0"/>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340" w:type="dxa"/>
            <w:vAlign w:val="bottom"/>
            <w:vMerge w:val="continue"/>
            <w:shd w:val="clear" w:color="auto" w:fill="CCEEF0"/>
          </w:tcPr>
          <w:p>
            <w:pPr>
              <w:spacing w:after="0"/>
              <w:rPr>
                <w:sz w:val="6"/>
                <w:szCs w:val="6"/>
                <w:color w:val="auto"/>
              </w:rPr>
            </w:pPr>
          </w:p>
        </w:tc>
        <w:tc>
          <w:tcPr>
            <w:tcW w:w="2800" w:type="dxa"/>
            <w:vAlign w:val="bottom"/>
            <w:vMerge w:val="continue"/>
            <w:shd w:val="clear" w:color="auto" w:fill="CCEEF0"/>
          </w:tcPr>
          <w:p>
            <w:pPr>
              <w:spacing w:after="0"/>
              <w:rPr>
                <w:sz w:val="6"/>
                <w:szCs w:val="6"/>
                <w:color w:val="auto"/>
              </w:rPr>
            </w:pPr>
          </w:p>
        </w:tc>
        <w:tc>
          <w:tcPr>
            <w:tcW w:w="1100" w:type="dxa"/>
            <w:vAlign w:val="bottom"/>
            <w:vMerge w:val="continue"/>
            <w:shd w:val="clear" w:color="auto" w:fill="CCEEF0"/>
          </w:tcPr>
          <w:p>
            <w:pPr>
              <w:spacing w:after="0"/>
              <w:rPr>
                <w:sz w:val="6"/>
                <w:szCs w:val="6"/>
                <w:color w:val="auto"/>
              </w:rPr>
            </w:pPr>
          </w:p>
        </w:tc>
        <w:tc>
          <w:tcPr>
            <w:tcW w:w="4620" w:type="dxa"/>
            <w:vAlign w:val="bottom"/>
            <w:vMerge w:val="restart"/>
            <w:shd w:val="clear" w:color="auto" w:fill="CCEEF0"/>
          </w:tcPr>
          <w:p>
            <w:pPr>
              <w:spacing w:after="0"/>
              <w:rPr>
                <w:sz w:val="20"/>
                <w:szCs w:val="20"/>
                <w:color w:val="auto"/>
              </w:rPr>
            </w:pPr>
            <w:r>
              <w:rPr>
                <w:rFonts w:ascii="Arial" w:cs="Arial" w:eastAsia="Arial" w:hAnsi="Arial"/>
                <w:sz w:val="14"/>
                <w:szCs w:val="14"/>
                <w:color w:val="auto"/>
              </w:rPr>
              <w:t>near the start of the performance period.</w:t>
            </w:r>
          </w:p>
        </w:tc>
        <w:tc>
          <w:tcPr>
            <w:tcW w:w="0" w:type="dxa"/>
            <w:vAlign w:val="bottom"/>
          </w:tcPr>
          <w:p>
            <w:pPr>
              <w:spacing w:after="0"/>
              <w:rPr>
                <w:sz w:val="1"/>
                <w:szCs w:val="1"/>
                <w:color w:val="auto"/>
              </w:rPr>
            </w:pPr>
          </w:p>
        </w:tc>
      </w:tr>
      <w:tr>
        <w:trPr>
          <w:trHeight w:val="184"/>
        </w:trPr>
        <w:tc>
          <w:tcPr>
            <w:tcW w:w="1340" w:type="dxa"/>
            <w:vAlign w:val="bottom"/>
            <w:shd w:val="clear" w:color="auto" w:fill="CCEEF0"/>
          </w:tcPr>
          <w:p>
            <w:pPr>
              <w:spacing w:after="0"/>
              <w:rPr>
                <w:sz w:val="15"/>
                <w:szCs w:val="15"/>
                <w:color w:val="auto"/>
              </w:rPr>
            </w:pPr>
          </w:p>
        </w:tc>
        <w:tc>
          <w:tcPr>
            <w:tcW w:w="2800" w:type="dxa"/>
            <w:vAlign w:val="bottom"/>
            <w:shd w:val="clear" w:color="auto" w:fill="CCEEF0"/>
          </w:tcPr>
          <w:p>
            <w:pPr>
              <w:ind w:left="20"/>
              <w:spacing w:after="0" w:line="183" w:lineRule="exact"/>
              <w:rPr>
                <w:sz w:val="20"/>
                <w:szCs w:val="20"/>
                <w:color w:val="auto"/>
              </w:rPr>
            </w:pPr>
            <w:r>
              <w:rPr>
                <w:rFonts w:ascii="Arial" w:cs="Arial" w:eastAsia="Arial" w:hAnsi="Arial"/>
                <w:sz w:val="14"/>
                <w:szCs w:val="14"/>
                <w:color w:val="auto"/>
              </w:rPr>
              <w:t>EBITDA)</w:t>
            </w:r>
            <w:r>
              <w:rPr>
                <w:rFonts w:ascii="Arial" w:cs="Arial" w:eastAsia="Arial" w:hAnsi="Arial"/>
                <w:sz w:val="18"/>
                <w:szCs w:val="18"/>
                <w:color w:val="auto"/>
                <w:vertAlign w:val="superscript"/>
              </w:rPr>
              <w:t>1</w:t>
            </w:r>
          </w:p>
        </w:tc>
        <w:tc>
          <w:tcPr>
            <w:tcW w:w="1100" w:type="dxa"/>
            <w:vAlign w:val="bottom"/>
            <w:shd w:val="clear" w:color="auto" w:fill="CCEEF0"/>
          </w:tcPr>
          <w:p>
            <w:pPr>
              <w:spacing w:after="0"/>
              <w:rPr>
                <w:sz w:val="15"/>
                <w:szCs w:val="15"/>
                <w:color w:val="auto"/>
              </w:rPr>
            </w:pPr>
          </w:p>
        </w:tc>
        <w:tc>
          <w:tcPr>
            <w:tcW w:w="4620" w:type="dxa"/>
            <w:vAlign w:val="bottom"/>
            <w:vMerge w:val="continue"/>
            <w:shd w:val="clear" w:color="auto" w:fill="CCEEF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Arial" w:cs="Arial" w:eastAsia="Arial" w:hAnsi="Arial"/>
                <w:sz w:val="14"/>
                <w:szCs w:val="14"/>
                <w:color w:val="auto"/>
              </w:rPr>
              <w:t>Strategic Goal</w:t>
            </w:r>
          </w:p>
        </w:tc>
        <w:tc>
          <w:tcPr>
            <w:tcW w:w="2800" w:type="dxa"/>
            <w:vAlign w:val="bottom"/>
            <w:vMerge w:val="restart"/>
            <w:shd w:val="clear" w:color="auto" w:fill="CCEEF0"/>
          </w:tcPr>
          <w:p>
            <w:pPr>
              <w:ind w:left="20"/>
              <w:spacing w:after="0"/>
              <w:rPr>
                <w:sz w:val="20"/>
                <w:szCs w:val="20"/>
                <w:color w:val="auto"/>
              </w:rPr>
            </w:pPr>
            <w:r>
              <w:rPr>
                <w:rFonts w:ascii="Arial" w:cs="Arial" w:eastAsia="Arial" w:hAnsi="Arial"/>
                <w:sz w:val="14"/>
                <w:szCs w:val="14"/>
                <w:color w:val="auto"/>
              </w:rPr>
              <w:t>Capability Amplification</w:t>
            </w:r>
          </w:p>
        </w:tc>
        <w:tc>
          <w:tcPr>
            <w:tcW w:w="110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w w:val="98"/>
              </w:rPr>
              <w:t>5%</w:t>
            </w:r>
          </w:p>
        </w:tc>
        <w:tc>
          <w:tcPr>
            <w:tcW w:w="4620" w:type="dxa"/>
            <w:vAlign w:val="bottom"/>
            <w:shd w:val="clear" w:color="auto" w:fill="CCEEF0"/>
          </w:tcPr>
          <w:p>
            <w:pPr>
              <w:spacing w:after="0" w:line="149" w:lineRule="exact"/>
              <w:rPr>
                <w:sz w:val="20"/>
                <w:szCs w:val="20"/>
                <w:color w:val="auto"/>
              </w:rPr>
            </w:pPr>
            <w:r>
              <w:rPr>
                <w:rFonts w:ascii="Arial" w:cs="Arial" w:eastAsia="Arial" w:hAnsi="Arial"/>
                <w:sz w:val="14"/>
                <w:szCs w:val="14"/>
                <w:color w:val="auto"/>
              </w:rPr>
              <w:t>Actively publishing and sharing content of the Company's capabilities and</w:t>
            </w:r>
          </w:p>
        </w:tc>
        <w:tc>
          <w:tcPr>
            <w:tcW w:w="0" w:type="dxa"/>
            <w:vAlign w:val="bottom"/>
          </w:tcPr>
          <w:p>
            <w:pPr>
              <w:spacing w:after="0"/>
              <w:rPr>
                <w:sz w:val="1"/>
                <w:szCs w:val="1"/>
                <w:color w:val="auto"/>
              </w:rPr>
            </w:pPr>
          </w:p>
        </w:tc>
      </w:tr>
      <w:tr>
        <w:trPr>
          <w:trHeight w:val="146"/>
        </w:trPr>
        <w:tc>
          <w:tcPr>
            <w:tcW w:w="1340" w:type="dxa"/>
            <w:vAlign w:val="bottom"/>
            <w:vMerge w:val="continue"/>
          </w:tcPr>
          <w:p>
            <w:pPr>
              <w:spacing w:after="0"/>
              <w:rPr>
                <w:sz w:val="12"/>
                <w:szCs w:val="12"/>
                <w:color w:val="auto"/>
              </w:rPr>
            </w:pPr>
          </w:p>
        </w:tc>
        <w:tc>
          <w:tcPr>
            <w:tcW w:w="2800" w:type="dxa"/>
            <w:vAlign w:val="bottom"/>
            <w:vMerge w:val="continue"/>
            <w:shd w:val="clear" w:color="auto" w:fill="CCEEF0"/>
          </w:tcPr>
          <w:p>
            <w:pPr>
              <w:spacing w:after="0"/>
              <w:rPr>
                <w:sz w:val="12"/>
                <w:szCs w:val="12"/>
                <w:color w:val="auto"/>
              </w:rPr>
            </w:pPr>
          </w:p>
        </w:tc>
        <w:tc>
          <w:tcPr>
            <w:tcW w:w="1100" w:type="dxa"/>
            <w:vAlign w:val="bottom"/>
            <w:vMerge w:val="continue"/>
            <w:shd w:val="clear" w:color="auto" w:fill="CCEEF0"/>
          </w:tcPr>
          <w:p>
            <w:pPr>
              <w:spacing w:after="0"/>
              <w:rPr>
                <w:sz w:val="12"/>
                <w:szCs w:val="12"/>
                <w:color w:val="auto"/>
              </w:rPr>
            </w:pPr>
          </w:p>
        </w:tc>
        <w:tc>
          <w:tcPr>
            <w:tcW w:w="4620" w:type="dxa"/>
            <w:vAlign w:val="bottom"/>
            <w:shd w:val="clear" w:color="auto" w:fill="CCEEF0"/>
          </w:tcPr>
          <w:p>
            <w:pPr>
              <w:spacing w:after="0" w:line="146" w:lineRule="exact"/>
              <w:rPr>
                <w:sz w:val="20"/>
                <w:szCs w:val="20"/>
                <w:color w:val="auto"/>
              </w:rPr>
            </w:pPr>
            <w:r>
              <w:rPr>
                <w:rFonts w:ascii="Arial" w:cs="Arial" w:eastAsia="Arial" w:hAnsi="Arial"/>
                <w:sz w:val="14"/>
                <w:szCs w:val="14"/>
                <w:color w:val="auto"/>
              </w:rPr>
              <w:t>solutions across various media platforms measured against performance</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15"/>
                <w:szCs w:val="15"/>
                <w:color w:val="auto"/>
              </w:rPr>
            </w:pPr>
          </w:p>
        </w:tc>
        <w:tc>
          <w:tcPr>
            <w:tcW w:w="2800" w:type="dxa"/>
            <w:vAlign w:val="bottom"/>
            <w:shd w:val="clear" w:color="auto" w:fill="CCEEF0"/>
          </w:tcPr>
          <w:p>
            <w:pPr>
              <w:spacing w:after="0"/>
              <w:rPr>
                <w:sz w:val="15"/>
                <w:szCs w:val="15"/>
                <w:color w:val="auto"/>
              </w:rPr>
            </w:pPr>
          </w:p>
        </w:tc>
        <w:tc>
          <w:tcPr>
            <w:tcW w:w="1100" w:type="dxa"/>
            <w:vAlign w:val="bottom"/>
            <w:shd w:val="clear" w:color="auto" w:fill="CCEEF0"/>
          </w:tcPr>
          <w:p>
            <w:pPr>
              <w:spacing w:after="0"/>
              <w:rPr>
                <w:sz w:val="15"/>
                <w:szCs w:val="15"/>
                <w:color w:val="auto"/>
              </w:rPr>
            </w:pPr>
          </w:p>
        </w:tc>
        <w:tc>
          <w:tcPr>
            <w:tcW w:w="4620" w:type="dxa"/>
            <w:vAlign w:val="bottom"/>
            <w:shd w:val="clear" w:color="auto" w:fill="CCEEF0"/>
          </w:tcPr>
          <w:p>
            <w:pPr>
              <w:spacing w:after="0"/>
              <w:rPr>
                <w:sz w:val="20"/>
                <w:szCs w:val="20"/>
                <w:color w:val="auto"/>
              </w:rPr>
            </w:pPr>
            <w:r>
              <w:rPr>
                <w:rFonts w:ascii="Arial" w:cs="Arial" w:eastAsia="Arial" w:hAnsi="Arial"/>
                <w:sz w:val="14"/>
                <w:szCs w:val="14"/>
                <w:color w:val="auto"/>
              </w:rPr>
              <w:t>targets set near the start of the performance period.</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00" w:type="dxa"/>
            <w:vAlign w:val="bottom"/>
            <w:shd w:val="clear" w:color="auto" w:fill="CCEEF0"/>
          </w:tcPr>
          <w:p>
            <w:pPr>
              <w:spacing w:after="0"/>
              <w:rPr>
                <w:sz w:val="12"/>
                <w:szCs w:val="12"/>
                <w:color w:val="auto"/>
              </w:rPr>
            </w:pPr>
          </w:p>
        </w:tc>
        <w:tc>
          <w:tcPr>
            <w:tcW w:w="4620" w:type="dxa"/>
            <w:vAlign w:val="bottom"/>
            <w:shd w:val="clear" w:color="auto" w:fill="CCEEF0"/>
          </w:tcPr>
          <w:p>
            <w:pPr>
              <w:spacing w:after="0" w:line="149" w:lineRule="exact"/>
              <w:rPr>
                <w:sz w:val="20"/>
                <w:szCs w:val="20"/>
                <w:color w:val="auto"/>
              </w:rPr>
            </w:pPr>
            <w:r>
              <w:rPr>
                <w:rFonts w:ascii="Arial" w:cs="Arial" w:eastAsia="Arial" w:hAnsi="Arial"/>
                <w:sz w:val="14"/>
                <w:szCs w:val="14"/>
                <w:color w:val="auto"/>
              </w:rPr>
              <w:t>Optimizing employee utilization and engagement during non-billable</w:t>
            </w:r>
          </w:p>
        </w:tc>
        <w:tc>
          <w:tcPr>
            <w:tcW w:w="0" w:type="dxa"/>
            <w:vAlign w:val="bottom"/>
          </w:tcPr>
          <w:p>
            <w:pPr>
              <w:spacing w:after="0"/>
              <w:rPr>
                <w:sz w:val="1"/>
                <w:szCs w:val="1"/>
                <w:color w:val="auto"/>
              </w:rPr>
            </w:pPr>
          </w:p>
        </w:tc>
      </w:tr>
      <w:tr>
        <w:trPr>
          <w:trHeight w:val="146"/>
        </w:trPr>
        <w:tc>
          <w:tcPr>
            <w:tcW w:w="1340" w:type="dxa"/>
            <w:vAlign w:val="bottom"/>
            <w:vMerge w:val="restart"/>
          </w:tcPr>
          <w:p>
            <w:pPr>
              <w:ind w:left="40"/>
              <w:spacing w:after="0"/>
              <w:rPr>
                <w:sz w:val="20"/>
                <w:szCs w:val="20"/>
                <w:color w:val="auto"/>
              </w:rPr>
            </w:pPr>
            <w:r>
              <w:rPr>
                <w:rFonts w:ascii="Arial" w:cs="Arial" w:eastAsia="Arial" w:hAnsi="Arial"/>
                <w:sz w:val="14"/>
                <w:szCs w:val="14"/>
                <w:color w:val="auto"/>
              </w:rPr>
              <w:t>Strategic Goal</w:t>
            </w:r>
          </w:p>
        </w:tc>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Technical Upskilling</w:t>
            </w:r>
          </w:p>
        </w:tc>
        <w:tc>
          <w:tcPr>
            <w:tcW w:w="110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w w:val="98"/>
              </w:rPr>
              <w:t>5%</w:t>
            </w:r>
          </w:p>
        </w:tc>
        <w:tc>
          <w:tcPr>
            <w:tcW w:w="4620" w:type="dxa"/>
            <w:vAlign w:val="bottom"/>
            <w:shd w:val="clear" w:color="auto" w:fill="CCEEF0"/>
          </w:tcPr>
          <w:p>
            <w:pPr>
              <w:spacing w:after="0" w:line="146" w:lineRule="exact"/>
              <w:rPr>
                <w:sz w:val="20"/>
                <w:szCs w:val="20"/>
                <w:color w:val="auto"/>
              </w:rPr>
            </w:pPr>
            <w:r>
              <w:rPr>
                <w:rFonts w:ascii="Arial" w:cs="Arial" w:eastAsia="Arial" w:hAnsi="Arial"/>
                <w:sz w:val="14"/>
                <w:szCs w:val="14"/>
                <w:color w:val="auto"/>
              </w:rPr>
              <w:t>periods by aligning to innovation projects and upskilling opportunities in</w:t>
            </w: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1100" w:type="dxa"/>
            <w:vAlign w:val="bottom"/>
            <w:vMerge w:val="continue"/>
            <w:shd w:val="clear" w:color="auto" w:fill="CCEEF0"/>
          </w:tcPr>
          <w:p>
            <w:pPr>
              <w:spacing w:after="0"/>
              <w:rPr>
                <w:sz w:val="9"/>
                <w:szCs w:val="9"/>
                <w:color w:val="auto"/>
              </w:rPr>
            </w:pPr>
          </w:p>
        </w:tc>
        <w:tc>
          <w:tcPr>
            <w:tcW w:w="4620" w:type="dxa"/>
            <w:vAlign w:val="bottom"/>
            <w:vMerge w:val="restart"/>
            <w:shd w:val="clear" w:color="auto" w:fill="CCEEF0"/>
          </w:tcPr>
          <w:p>
            <w:pPr>
              <w:spacing w:after="0" w:line="142" w:lineRule="exact"/>
              <w:rPr>
                <w:sz w:val="20"/>
                <w:szCs w:val="20"/>
                <w:color w:val="auto"/>
              </w:rPr>
            </w:pPr>
            <w:r>
              <w:rPr>
                <w:rFonts w:ascii="Arial" w:cs="Arial" w:eastAsia="Arial" w:hAnsi="Arial"/>
                <w:sz w:val="14"/>
                <w:szCs w:val="14"/>
                <w:color w:val="auto"/>
              </w:rPr>
              <w:t>high-demand technologies measured against performance targets set</w:t>
            </w:r>
          </w:p>
        </w:tc>
        <w:tc>
          <w:tcPr>
            <w:tcW w:w="0" w:type="dxa"/>
            <w:vAlign w:val="bottom"/>
          </w:tcPr>
          <w:p>
            <w:pPr>
              <w:spacing w:after="0"/>
              <w:rPr>
                <w:sz w:val="1"/>
                <w:szCs w:val="1"/>
                <w:color w:val="auto"/>
              </w:rPr>
            </w:pPr>
          </w:p>
        </w:tc>
      </w:tr>
      <w:tr>
        <w:trPr>
          <w:trHeight w:val="35"/>
        </w:trPr>
        <w:tc>
          <w:tcPr>
            <w:tcW w:w="13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100" w:type="dxa"/>
            <w:vAlign w:val="bottom"/>
            <w:shd w:val="clear" w:color="auto" w:fill="CCEEF0"/>
          </w:tcPr>
          <w:p>
            <w:pPr>
              <w:spacing w:after="0"/>
              <w:rPr>
                <w:sz w:val="3"/>
                <w:szCs w:val="3"/>
                <w:color w:val="auto"/>
              </w:rPr>
            </w:pPr>
          </w:p>
        </w:tc>
        <w:tc>
          <w:tcPr>
            <w:tcW w:w="4620" w:type="dxa"/>
            <w:vAlign w:val="bottom"/>
            <w:vMerge w:val="continue"/>
            <w:shd w:val="clear" w:color="auto" w:fill="CCEEF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shd w:val="clear" w:color="auto" w:fill="CCEEF0"/>
          </w:tcPr>
          <w:p>
            <w:pPr>
              <w:spacing w:after="0"/>
              <w:rPr>
                <w:sz w:val="16"/>
                <w:szCs w:val="16"/>
                <w:color w:val="auto"/>
              </w:rPr>
            </w:pPr>
          </w:p>
        </w:tc>
        <w:tc>
          <w:tcPr>
            <w:tcW w:w="4620" w:type="dxa"/>
            <w:vAlign w:val="bottom"/>
            <w:shd w:val="clear" w:color="auto" w:fill="CCEEF0"/>
          </w:tcPr>
          <w:p>
            <w:pPr>
              <w:spacing w:after="0"/>
              <w:rPr>
                <w:sz w:val="20"/>
                <w:szCs w:val="20"/>
                <w:color w:val="auto"/>
              </w:rPr>
            </w:pPr>
            <w:r>
              <w:rPr>
                <w:rFonts w:ascii="Arial" w:cs="Arial" w:eastAsia="Arial" w:hAnsi="Arial"/>
                <w:sz w:val="14"/>
                <w:szCs w:val="14"/>
                <w:color w:val="auto"/>
              </w:rPr>
              <w:t>near the start of the performance period.</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Arial" w:cs="Arial" w:eastAsia="Arial" w:hAnsi="Arial"/>
                <w:sz w:val="14"/>
                <w:szCs w:val="14"/>
                <w:color w:val="auto"/>
              </w:rPr>
              <w:t>Strategic Goal</w:t>
            </w:r>
          </w:p>
        </w:tc>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Advanced Technology Demonstration</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8"/>
              </w:rPr>
              <w:t>5%</w:t>
            </w: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Increasing client awareness of our advanced technology capabilities by</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620" w:type="dxa"/>
            <w:vAlign w:val="bottom"/>
          </w:tcPr>
          <w:p>
            <w:pPr>
              <w:spacing w:after="0" w:line="159" w:lineRule="exact"/>
              <w:rPr>
                <w:sz w:val="20"/>
                <w:szCs w:val="20"/>
                <w:color w:val="auto"/>
              </w:rPr>
            </w:pPr>
            <w:r>
              <w:rPr>
                <w:rFonts w:ascii="Arial" w:cs="Arial" w:eastAsia="Arial" w:hAnsi="Arial"/>
                <w:sz w:val="14"/>
                <w:szCs w:val="14"/>
                <w:color w:val="auto"/>
              </w:rPr>
              <w:t>demonstrating our solutions and products measured against performance</w:t>
            </w:r>
          </w:p>
        </w:tc>
        <w:tc>
          <w:tcPr>
            <w:tcW w:w="0" w:type="dxa"/>
            <w:vAlign w:val="bottom"/>
          </w:tcPr>
          <w:p>
            <w:pPr>
              <w:spacing w:after="0"/>
              <w:rPr>
                <w:sz w:val="1"/>
                <w:szCs w:val="1"/>
                <w:color w:val="auto"/>
              </w:rPr>
            </w:pPr>
          </w:p>
        </w:tc>
      </w:tr>
    </w:tbl>
    <w:p>
      <w:pPr>
        <w:ind w:left="5940"/>
        <w:spacing w:after="0"/>
        <w:rPr>
          <w:sz w:val="20"/>
          <w:szCs w:val="20"/>
          <w:color w:val="auto"/>
        </w:rPr>
      </w:pPr>
      <w:r>
        <w:rPr>
          <w:rFonts w:ascii="Arial" w:cs="Arial" w:eastAsia="Arial" w:hAnsi="Arial"/>
          <w:sz w:val="14"/>
          <w:szCs w:val="14"/>
          <w:color w:val="auto"/>
        </w:rPr>
        <w:t>targets set near the start of the performance period.</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 See Appendix A to this proxy statement for information as to how these non-GAAP financial measures are calculated from our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9" w:name="page50"/>
    <w:bookmarkEnd w:id="49"/>
    <w:p>
      <w:pPr>
        <w:jc w:val="both"/>
        <w:ind w:right="100" w:firstLine="318"/>
        <w:spacing w:after="0" w:line="250" w:lineRule="auto"/>
        <w:rPr>
          <w:sz w:val="20"/>
          <w:szCs w:val="20"/>
          <w:color w:val="auto"/>
        </w:rPr>
      </w:pPr>
      <w:r>
        <w:rPr>
          <w:rFonts w:ascii="Arial" w:cs="Arial" w:eastAsia="Arial" w:hAnsi="Arial"/>
          <w:sz w:val="18"/>
          <w:szCs w:val="18"/>
          <w:color w:val="auto"/>
        </w:rPr>
        <w:t>The Adjusted EBITDA portion of the annual incentive is determined based on the Company's performance relative to a target Adjusted EBITDA range. This incentive is subject to upward or downward adjustments based on how the performance compares to the specified range. Payment of the annual incentive approximating target levels would generally occur when actual Adjusted EBITDA is within the established Adjusted EBITDA range. A portion of any variance between the established range and actual Adjusted EBITDA is reflected as an adjustment to the pool of funds available for the annual incentive payment, or the bonus pool. The amount of the adjustment is determined by the Compensation, Culture and People Committee in its sole discretion. A positive variance between the range and actual Adjusted EBITDA would generally result in an increase in the bonus pool and a negative variance would generally result in a decrease in the bonus pool.</w:t>
      </w:r>
    </w:p>
    <w:p>
      <w:pPr>
        <w:spacing w:after="0" w:line="132" w:lineRule="exact"/>
        <w:rPr>
          <w:sz w:val="20"/>
          <w:szCs w:val="20"/>
          <w:color w:val="auto"/>
        </w:rPr>
      </w:pPr>
    </w:p>
    <w:p>
      <w:pPr>
        <w:jc w:val="both"/>
        <w:ind w:right="180" w:firstLine="318"/>
        <w:spacing w:after="0" w:line="251" w:lineRule="auto"/>
        <w:rPr>
          <w:sz w:val="20"/>
          <w:szCs w:val="20"/>
          <w:color w:val="auto"/>
        </w:rPr>
      </w:pPr>
      <w:r>
        <w:rPr>
          <w:rFonts w:ascii="Arial" w:cs="Arial" w:eastAsia="Arial" w:hAnsi="Arial"/>
          <w:sz w:val="18"/>
          <w:szCs w:val="18"/>
          <w:color w:val="auto"/>
        </w:rPr>
        <w:t>Adjusted EBITDA represents net income before income taxes, net interest and other expense and depreciation and amortization, and before certain other items, including transaction costs, fees, losses, and expenses, including fees associated with debt prepayments. We base the majority of the annual incentive portion of our executives' compensation on Adjusted EBITDA because we believe it is a direct reflection of the cash flow and operating profitability of our business and represents the element of our performance that executives can most directly impact through their management of the business. For fiscal year 2026, the Adjusted EBITDA goal was weighted as 85% of the overall annual incentive opportunity.</w:t>
      </w:r>
    </w:p>
    <w:p>
      <w:pPr>
        <w:spacing w:after="0" w:line="154" w:lineRule="exact"/>
        <w:rPr>
          <w:sz w:val="20"/>
          <w:szCs w:val="20"/>
          <w:color w:val="auto"/>
        </w:rPr>
      </w:pPr>
    </w:p>
    <w:tbl>
      <w:tblPr>
        <w:tblLayout w:type="fixed"/>
        <w:tblInd w:w="2310" w:type="dxa"/>
        <w:tblCellMar>
          <w:top w:w="0" w:type="dxa"/>
          <w:left w:w="0" w:type="dxa"/>
          <w:bottom w:w="0" w:type="dxa"/>
          <w:right w:w="0" w:type="dxa"/>
        </w:tblCellMar>
      </w:tblPr>
      <w:tr>
        <w:trPr>
          <w:trHeight w:val="212"/>
        </w:trPr>
        <w:tc>
          <w:tcPr>
            <w:tcW w:w="1720" w:type="dxa"/>
            <w:vAlign w:val="bottom"/>
            <w:tcBorders>
              <w:top w:val="single" w:sz="8" w:color="auto"/>
              <w:left w:val="single" w:sz="8" w:color="auto"/>
            </w:tcBorders>
            <w:shd w:val="clear" w:color="auto" w:fill="00A5B5"/>
          </w:tcPr>
          <w:p>
            <w:pPr>
              <w:spacing w:after="0"/>
              <w:rPr>
                <w:sz w:val="18"/>
                <w:szCs w:val="18"/>
                <w:color w:val="auto"/>
              </w:rPr>
            </w:pPr>
          </w:p>
        </w:tc>
        <w:tc>
          <w:tcPr>
            <w:tcW w:w="2620" w:type="dxa"/>
            <w:vAlign w:val="bottom"/>
            <w:tcBorders>
              <w:top w:val="single" w:sz="8" w:color="auto"/>
              <w:right w:val="single" w:sz="8" w:color="929292"/>
            </w:tcBorders>
            <w:shd w:val="clear" w:color="auto" w:fill="00A5B5"/>
          </w:tcPr>
          <w:p>
            <w:pPr>
              <w:jc w:val="center"/>
              <w:ind w:right="9"/>
              <w:spacing w:after="0"/>
              <w:rPr>
                <w:sz w:val="20"/>
                <w:szCs w:val="20"/>
                <w:color w:val="auto"/>
              </w:rPr>
            </w:pPr>
            <w:r>
              <w:rPr>
                <w:rFonts w:ascii="Arial" w:cs="Arial" w:eastAsia="Arial" w:hAnsi="Arial"/>
                <w:sz w:val="14"/>
                <w:szCs w:val="14"/>
                <w:b w:val="1"/>
                <w:bCs w:val="1"/>
                <w:color w:val="FFFFFF"/>
                <w:w w:val="99"/>
              </w:rPr>
              <w:t>FY26 Target Range</w:t>
            </w:r>
          </w:p>
        </w:tc>
        <w:tc>
          <w:tcPr>
            <w:tcW w:w="2660" w:type="dxa"/>
            <w:vAlign w:val="bottom"/>
            <w:tcBorders>
              <w:top w:val="single" w:sz="8" w:color="auto"/>
              <w:right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rPr>
              <w:t>FY26 Actual</w:t>
            </w:r>
          </w:p>
        </w:tc>
      </w:tr>
      <w:tr>
        <w:trPr>
          <w:trHeight w:val="212"/>
        </w:trPr>
        <w:tc>
          <w:tcPr>
            <w:tcW w:w="1720" w:type="dxa"/>
            <w:vAlign w:val="bottom"/>
            <w:tcBorders>
              <w:left w:val="single" w:sz="8" w:color="auto"/>
              <w:bottom w:val="single" w:sz="8" w:color="auto"/>
            </w:tcBorders>
            <w:shd w:val="clear" w:color="auto" w:fill="CCEEF0"/>
          </w:tcPr>
          <w:p>
            <w:pPr>
              <w:ind w:left="26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1</w:t>
            </w:r>
          </w:p>
        </w:tc>
        <w:tc>
          <w:tcPr>
            <w:tcW w:w="2620" w:type="dxa"/>
            <w:vAlign w:val="bottom"/>
            <w:tcBorders>
              <w:bottom w:val="single" w:sz="8" w:color="auto"/>
              <w:right w:val="single" w:sz="8" w:color="929292"/>
            </w:tcBorders>
            <w:shd w:val="clear" w:color="auto" w:fill="CCEEF0"/>
          </w:tcPr>
          <w:p>
            <w:pPr>
              <w:jc w:val="center"/>
              <w:ind w:right="9"/>
              <w:spacing w:after="0"/>
              <w:rPr>
                <w:sz w:val="20"/>
                <w:szCs w:val="20"/>
                <w:color w:val="auto"/>
              </w:rPr>
            </w:pPr>
            <w:r>
              <w:rPr>
                <w:rFonts w:ascii="Arial" w:cs="Arial" w:eastAsia="Arial" w:hAnsi="Arial"/>
                <w:sz w:val="14"/>
                <w:szCs w:val="14"/>
                <w:color w:val="auto"/>
              </w:rPr>
              <w:t>$1,289 million - $1,341 million</w:t>
            </w:r>
          </w:p>
        </w:tc>
        <w:tc>
          <w:tcPr>
            <w:tcW w:w="2660" w:type="dxa"/>
            <w:vAlign w:val="bottom"/>
            <w:tcBorders>
              <w:bottom w:val="single" w:sz="8" w:color="auto"/>
              <w:right w:val="single" w:sz="8" w:color="auto"/>
            </w:tcBorders>
            <w:shd w:val="clear" w:color="auto" w:fill="CCEEF0"/>
          </w:tcPr>
          <w:p>
            <w:pPr>
              <w:jc w:val="center"/>
              <w:spacing w:after="0"/>
              <w:rPr>
                <w:sz w:val="20"/>
                <w:szCs w:val="20"/>
                <w:color w:val="auto"/>
              </w:rPr>
            </w:pPr>
            <w:r>
              <w:rPr>
                <w:rFonts w:ascii="Arial" w:cs="Arial" w:eastAsia="Arial" w:hAnsi="Arial"/>
                <w:sz w:val="14"/>
                <w:szCs w:val="14"/>
                <w:color w:val="auto"/>
                <w:w w:val="99"/>
              </w:rPr>
              <w:t>$1,229 million</w:t>
            </w:r>
          </w:p>
        </w:tc>
      </w:tr>
    </w:tbl>
    <w:p>
      <w:pPr>
        <w:spacing w:after="0" w:line="83" w:lineRule="exact"/>
        <w:rPr>
          <w:sz w:val="20"/>
          <w:szCs w:val="20"/>
          <w:color w:val="auto"/>
        </w:rPr>
      </w:pPr>
    </w:p>
    <w:p>
      <w:pPr>
        <w:ind w:left="1680" w:right="2180" w:hanging="7"/>
        <w:spacing w:after="0" w:line="273" w:lineRule="auto"/>
        <w:tabs>
          <w:tab w:leader="none" w:pos="1892"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Appendix A to this proxy statement for information as to how these non-GAAP financial measures are calculated from our audited financial statements.</w:t>
      </w:r>
    </w:p>
    <w:p>
      <w:pPr>
        <w:spacing w:after="0" w:line="116"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For fiscal year 2026, the Compensation, Culture and People Committee, with guidance from management and our outside compensation consultant, Pay Governance, approved three strategic goals for the annual cash incentive, each with an equal 5% weighting, associated with our fiscal year 2026 priorities, as described in the table above. The Compensation, Culture, and People Committee determined to include these goals in our annual incentive plan for fiscal year 2026 based on combined engagement across both our executive and Vice President populations to further drive strategic alignment among our leadership, rather than specific individual goals. The performance associated with each of these strategic goals could each result in a payout ranging from zero percent for performance that falls below the minimum performance threshold and up to 150% for performance at the maximum level, in each case, as set and approved by the Compensation, Culture and People Committee near the beginning of each fiscal year.</w:t>
      </w:r>
    </w:p>
    <w:p>
      <w:pPr>
        <w:spacing w:after="0" w:line="158" w:lineRule="exact"/>
        <w:rPr>
          <w:sz w:val="20"/>
          <w:szCs w:val="20"/>
          <w:color w:val="auto"/>
        </w:rPr>
      </w:pPr>
    </w:p>
    <w:tbl>
      <w:tblPr>
        <w:tblLayout w:type="fixed"/>
        <w:tblInd w:w="330" w:type="dxa"/>
        <w:tblCellMar>
          <w:top w:w="0" w:type="dxa"/>
          <w:left w:w="0" w:type="dxa"/>
          <w:bottom w:w="0" w:type="dxa"/>
          <w:right w:w="0" w:type="dxa"/>
        </w:tblCellMar>
      </w:tblPr>
      <w:tr>
        <w:trPr>
          <w:trHeight w:val="290"/>
        </w:trPr>
        <w:tc>
          <w:tcPr>
            <w:tcW w:w="3140" w:type="dxa"/>
            <w:vAlign w:val="bottom"/>
            <w:tcBorders>
              <w:top w:val="single" w:sz="8" w:color="auto"/>
              <w:left w:val="single" w:sz="8" w:color="auto"/>
            </w:tcBorders>
            <w:vMerge w:val="restart"/>
            <w:shd w:val="clear" w:color="auto" w:fill="00A5B5"/>
          </w:tcPr>
          <w:p>
            <w:pPr>
              <w:ind w:left="880"/>
              <w:spacing w:after="0"/>
              <w:rPr>
                <w:sz w:val="20"/>
                <w:szCs w:val="20"/>
                <w:color w:val="auto"/>
              </w:rPr>
            </w:pPr>
            <w:r>
              <w:rPr>
                <w:rFonts w:ascii="Arial" w:cs="Arial" w:eastAsia="Arial" w:hAnsi="Arial"/>
                <w:sz w:val="14"/>
                <w:szCs w:val="14"/>
                <w:b w:val="1"/>
                <w:bCs w:val="1"/>
                <w:color w:val="FFFFFF"/>
              </w:rPr>
              <w:t>FY26 Strategic Goals</w:t>
            </w:r>
          </w:p>
        </w:tc>
        <w:tc>
          <w:tcPr>
            <w:tcW w:w="136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rPr>
              <w:t>Below Threshold</w:t>
            </w:r>
          </w:p>
        </w:tc>
        <w:tc>
          <w:tcPr>
            <w:tcW w:w="132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rPr>
              <w:t>Threshold</w:t>
            </w:r>
          </w:p>
        </w:tc>
        <w:tc>
          <w:tcPr>
            <w:tcW w:w="136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80" w:type="dxa"/>
            <w:vAlign w:val="bottom"/>
            <w:tcBorders>
              <w:top w:val="single" w:sz="8" w:color="auto"/>
              <w:right w:val="single" w:sz="8" w:color="B6B6B6"/>
            </w:tcBorders>
            <w:shd w:val="clear" w:color="auto" w:fill="00A5B5"/>
          </w:tcPr>
          <w:p>
            <w:pPr>
              <w:jc w:val="center"/>
              <w:spacing w:after="0"/>
              <w:rPr>
                <w:sz w:val="20"/>
                <w:szCs w:val="20"/>
                <w:color w:val="auto"/>
              </w:rPr>
            </w:pPr>
            <w:r>
              <w:rPr>
                <w:rFonts w:ascii="Arial" w:cs="Arial" w:eastAsia="Arial" w:hAnsi="Arial"/>
                <w:sz w:val="14"/>
                <w:szCs w:val="14"/>
                <w:b w:val="1"/>
                <w:bCs w:val="1"/>
                <w:color w:val="FFFFFF"/>
                <w:w w:val="99"/>
              </w:rPr>
              <w:t>Maximum</w:t>
            </w:r>
          </w:p>
        </w:tc>
        <w:tc>
          <w:tcPr>
            <w:tcW w:w="1340" w:type="dxa"/>
            <w:vAlign w:val="bottom"/>
            <w:tcBorders>
              <w:top w:val="single" w:sz="8" w:color="auto"/>
              <w:right w:val="single" w:sz="8" w:color="B6B6B6"/>
            </w:tcBorders>
            <w:vMerge w:val="restart"/>
            <w:shd w:val="clear" w:color="auto" w:fill="00A5B5"/>
          </w:tcPr>
          <w:p>
            <w:pPr>
              <w:ind w:left="440"/>
              <w:spacing w:after="0"/>
              <w:rPr>
                <w:sz w:val="20"/>
                <w:szCs w:val="20"/>
                <w:color w:val="auto"/>
              </w:rPr>
            </w:pPr>
            <w:r>
              <w:rPr>
                <w:rFonts w:ascii="Arial" w:cs="Arial" w:eastAsia="Arial" w:hAnsi="Arial"/>
                <w:sz w:val="14"/>
                <w:szCs w:val="14"/>
                <w:b w:val="1"/>
                <w:bCs w:val="1"/>
                <w:color w:val="FFFFFF"/>
              </w:rPr>
              <w:t>Actual</w:t>
            </w:r>
          </w:p>
        </w:tc>
        <w:tc>
          <w:tcPr>
            <w:tcW w:w="1120" w:type="dxa"/>
            <w:vAlign w:val="bottom"/>
            <w:tcBorders>
              <w:top w:val="single" w:sz="8" w:color="auto"/>
            </w:tcBorders>
            <w:vMerge w:val="restart"/>
            <w:shd w:val="clear" w:color="auto" w:fill="00A5B5"/>
          </w:tcPr>
          <w:p>
            <w:pPr>
              <w:ind w:left="200"/>
              <w:spacing w:after="0"/>
              <w:rPr>
                <w:sz w:val="20"/>
                <w:szCs w:val="20"/>
                <w:color w:val="auto"/>
              </w:rPr>
            </w:pPr>
            <w:r>
              <w:rPr>
                <w:rFonts w:ascii="Arial" w:cs="Arial" w:eastAsia="Arial" w:hAnsi="Arial"/>
                <w:sz w:val="14"/>
                <w:szCs w:val="14"/>
                <w:b w:val="1"/>
                <w:bCs w:val="1"/>
                <w:color w:val="FFFFFF"/>
                <w:w w:val="96"/>
              </w:rPr>
              <w:t>Payout Factor</w:t>
            </w:r>
          </w:p>
        </w:tc>
        <w:tc>
          <w:tcPr>
            <w:tcW w:w="0" w:type="dxa"/>
            <w:vAlign w:val="bottom"/>
          </w:tcPr>
          <w:p>
            <w:pPr>
              <w:spacing w:after="0"/>
              <w:rPr>
                <w:sz w:val="1"/>
                <w:szCs w:val="1"/>
                <w:color w:val="auto"/>
              </w:rPr>
            </w:pPr>
          </w:p>
        </w:tc>
      </w:tr>
      <w:tr>
        <w:trPr>
          <w:trHeight w:val="80"/>
        </w:trPr>
        <w:tc>
          <w:tcPr>
            <w:tcW w:w="3140" w:type="dxa"/>
            <w:vAlign w:val="bottom"/>
            <w:tcBorders>
              <w:left w:val="single" w:sz="8" w:color="auto"/>
            </w:tcBorders>
            <w:vMerge w:val="continue"/>
            <w:shd w:val="clear" w:color="auto" w:fill="00A5B5"/>
          </w:tcPr>
          <w:p>
            <w:pPr>
              <w:spacing w:after="0"/>
              <w:rPr>
                <w:sz w:val="6"/>
                <w:szCs w:val="6"/>
                <w:color w:val="auto"/>
              </w:rPr>
            </w:pPr>
          </w:p>
        </w:tc>
        <w:tc>
          <w:tcPr>
            <w:tcW w:w="1360" w:type="dxa"/>
            <w:vAlign w:val="bottom"/>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rPr>
              <w:t>0% Payout</w:t>
            </w:r>
          </w:p>
        </w:tc>
        <w:tc>
          <w:tcPr>
            <w:tcW w:w="1320" w:type="dxa"/>
            <w:vAlign w:val="bottom"/>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rPr>
              <w:t>50% Payout</w:t>
            </w:r>
          </w:p>
        </w:tc>
        <w:tc>
          <w:tcPr>
            <w:tcW w:w="1360" w:type="dxa"/>
            <w:vAlign w:val="bottom"/>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rPr>
              <w:t>100% Payout</w:t>
            </w:r>
          </w:p>
        </w:tc>
        <w:tc>
          <w:tcPr>
            <w:tcW w:w="1380" w:type="dxa"/>
            <w:vAlign w:val="bottom"/>
            <w:tcBorders>
              <w:right w:val="single" w:sz="8" w:color="B6B6B6"/>
            </w:tcBorders>
            <w:vMerge w:val="restart"/>
            <w:shd w:val="clear" w:color="auto" w:fill="00A5B5"/>
          </w:tcPr>
          <w:p>
            <w:pPr>
              <w:jc w:val="center"/>
              <w:spacing w:after="0"/>
              <w:rPr>
                <w:sz w:val="20"/>
                <w:szCs w:val="20"/>
                <w:color w:val="auto"/>
              </w:rPr>
            </w:pPr>
            <w:r>
              <w:rPr>
                <w:rFonts w:ascii="Arial" w:cs="Arial" w:eastAsia="Arial" w:hAnsi="Arial"/>
                <w:sz w:val="14"/>
                <w:szCs w:val="14"/>
                <w:b w:val="1"/>
                <w:bCs w:val="1"/>
                <w:color w:val="FFFFFF"/>
              </w:rPr>
              <w:t>150% Payout</w:t>
            </w:r>
          </w:p>
        </w:tc>
        <w:tc>
          <w:tcPr>
            <w:tcW w:w="1340" w:type="dxa"/>
            <w:vAlign w:val="bottom"/>
            <w:tcBorders>
              <w:right w:val="single" w:sz="8" w:color="B6B6B6"/>
            </w:tcBorders>
            <w:vMerge w:val="continue"/>
            <w:shd w:val="clear" w:color="auto" w:fill="00A5B5"/>
          </w:tcPr>
          <w:p>
            <w:pPr>
              <w:spacing w:after="0"/>
              <w:rPr>
                <w:sz w:val="6"/>
                <w:szCs w:val="6"/>
                <w:color w:val="auto"/>
              </w:rPr>
            </w:pPr>
          </w:p>
        </w:tc>
        <w:tc>
          <w:tcPr>
            <w:tcW w:w="1120" w:type="dxa"/>
            <w:vAlign w:val="bottom"/>
            <w:vMerge w:val="continue"/>
            <w:shd w:val="clear" w:color="auto" w:fill="00A5B5"/>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3140" w:type="dxa"/>
            <w:vAlign w:val="bottom"/>
            <w:tcBorders>
              <w:left w:val="single" w:sz="8" w:color="auto"/>
            </w:tcBorders>
            <w:shd w:val="clear" w:color="auto" w:fill="00A5B5"/>
          </w:tcPr>
          <w:p>
            <w:pPr>
              <w:spacing w:after="0"/>
              <w:rPr>
                <w:sz w:val="17"/>
                <w:szCs w:val="17"/>
                <w:color w:val="auto"/>
              </w:rPr>
            </w:pPr>
          </w:p>
        </w:tc>
        <w:tc>
          <w:tcPr>
            <w:tcW w:w="1360" w:type="dxa"/>
            <w:vAlign w:val="bottom"/>
            <w:vMerge w:val="continue"/>
            <w:shd w:val="clear" w:color="auto" w:fill="00A5B5"/>
          </w:tcPr>
          <w:p>
            <w:pPr>
              <w:spacing w:after="0"/>
              <w:rPr>
                <w:sz w:val="17"/>
                <w:szCs w:val="17"/>
                <w:color w:val="auto"/>
              </w:rPr>
            </w:pPr>
          </w:p>
        </w:tc>
        <w:tc>
          <w:tcPr>
            <w:tcW w:w="1320" w:type="dxa"/>
            <w:vAlign w:val="bottom"/>
            <w:vMerge w:val="continue"/>
            <w:shd w:val="clear" w:color="auto" w:fill="00A5B5"/>
          </w:tcPr>
          <w:p>
            <w:pPr>
              <w:spacing w:after="0"/>
              <w:rPr>
                <w:sz w:val="17"/>
                <w:szCs w:val="17"/>
                <w:color w:val="auto"/>
              </w:rPr>
            </w:pPr>
          </w:p>
        </w:tc>
        <w:tc>
          <w:tcPr>
            <w:tcW w:w="1360" w:type="dxa"/>
            <w:vAlign w:val="bottom"/>
            <w:vMerge w:val="continue"/>
            <w:shd w:val="clear" w:color="auto" w:fill="00A5B5"/>
          </w:tcPr>
          <w:p>
            <w:pPr>
              <w:spacing w:after="0"/>
              <w:rPr>
                <w:sz w:val="17"/>
                <w:szCs w:val="17"/>
                <w:color w:val="auto"/>
              </w:rPr>
            </w:pPr>
          </w:p>
        </w:tc>
        <w:tc>
          <w:tcPr>
            <w:tcW w:w="1380" w:type="dxa"/>
            <w:vAlign w:val="bottom"/>
            <w:tcBorders>
              <w:right w:val="single" w:sz="8" w:color="B6B6B6"/>
            </w:tcBorders>
            <w:vMerge w:val="continue"/>
            <w:shd w:val="clear" w:color="auto" w:fill="00A5B5"/>
          </w:tcPr>
          <w:p>
            <w:pPr>
              <w:spacing w:after="0"/>
              <w:rPr>
                <w:sz w:val="17"/>
                <w:szCs w:val="17"/>
                <w:color w:val="auto"/>
              </w:rPr>
            </w:pPr>
          </w:p>
        </w:tc>
        <w:tc>
          <w:tcPr>
            <w:tcW w:w="1340" w:type="dxa"/>
            <w:vAlign w:val="bottom"/>
            <w:tcBorders>
              <w:right w:val="single" w:sz="8" w:color="B6B6B6"/>
            </w:tcBorders>
            <w:shd w:val="clear" w:color="auto" w:fill="00A5B5"/>
          </w:tcPr>
          <w:p>
            <w:pPr>
              <w:spacing w:after="0"/>
              <w:rPr>
                <w:sz w:val="17"/>
                <w:szCs w:val="17"/>
                <w:color w:val="auto"/>
              </w:rPr>
            </w:pPr>
          </w:p>
        </w:tc>
        <w:tc>
          <w:tcPr>
            <w:tcW w:w="1120" w:type="dxa"/>
            <w:vAlign w:val="bottom"/>
            <w:shd w:val="clear" w:color="auto" w:fill="00A5B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tcBorders>
            <w:shd w:val="clear" w:color="auto" w:fill="CCEEF0"/>
          </w:tcPr>
          <w:p>
            <w:pPr>
              <w:ind w:left="40"/>
              <w:spacing w:after="0" w:line="149" w:lineRule="exact"/>
              <w:rPr>
                <w:sz w:val="20"/>
                <w:szCs w:val="20"/>
                <w:color w:val="auto"/>
              </w:rPr>
            </w:pPr>
            <w:r>
              <w:rPr>
                <w:rFonts w:ascii="Arial" w:cs="Arial" w:eastAsia="Arial" w:hAnsi="Arial"/>
                <w:sz w:val="14"/>
                <w:szCs w:val="14"/>
                <w:b w:val="1"/>
                <w:bCs w:val="1"/>
                <w:color w:val="auto"/>
              </w:rPr>
              <w:t>Capability Amplification</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&lt; 6,500</w:t>
            </w:r>
          </w:p>
        </w:tc>
        <w:tc>
          <w:tcPr>
            <w:tcW w:w="132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6,500</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8,500</w:t>
            </w:r>
          </w:p>
        </w:tc>
        <w:tc>
          <w:tcPr>
            <w:tcW w:w="138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10,500</w:t>
            </w:r>
          </w:p>
        </w:tc>
        <w:tc>
          <w:tcPr>
            <w:tcW w:w="134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9,122</w:t>
            </w:r>
          </w:p>
        </w:tc>
        <w:tc>
          <w:tcPr>
            <w:tcW w:w="1120" w:type="dxa"/>
            <w:vAlign w:val="bottom"/>
            <w:vMerge w:val="restart"/>
            <w:shd w:val="clear" w:color="auto" w:fill="CCEEF0"/>
          </w:tcPr>
          <w:p>
            <w:pPr>
              <w:jc w:val="center"/>
              <w:ind w:left="149"/>
              <w:spacing w:after="0"/>
              <w:rPr>
                <w:sz w:val="20"/>
                <w:szCs w:val="20"/>
                <w:color w:val="auto"/>
              </w:rPr>
            </w:pPr>
            <w:r>
              <w:rPr>
                <w:rFonts w:ascii="Arial" w:cs="Arial" w:eastAsia="Arial" w:hAnsi="Arial"/>
                <w:sz w:val="14"/>
                <w:szCs w:val="14"/>
                <w:color w:val="auto"/>
                <w:w w:val="96"/>
              </w:rPr>
              <w:t>115.6%</w:t>
            </w:r>
          </w:p>
        </w:tc>
        <w:tc>
          <w:tcPr>
            <w:tcW w:w="0" w:type="dxa"/>
            <w:vAlign w:val="bottom"/>
          </w:tcPr>
          <w:p>
            <w:pPr>
              <w:spacing w:after="0"/>
              <w:rPr>
                <w:sz w:val="1"/>
                <w:szCs w:val="1"/>
                <w:color w:val="auto"/>
              </w:rPr>
            </w:pPr>
          </w:p>
        </w:tc>
      </w:tr>
      <w:tr>
        <w:trPr>
          <w:trHeight w:val="146"/>
        </w:trPr>
        <w:tc>
          <w:tcPr>
            <w:tcW w:w="3140" w:type="dxa"/>
            <w:vAlign w:val="bottom"/>
            <w:tcBorders>
              <w:left w:val="single" w:sz="8" w:color="auto"/>
            </w:tcBorders>
            <w:shd w:val="clear" w:color="auto" w:fill="CCEEF0"/>
          </w:tcPr>
          <w:p>
            <w:pPr>
              <w:ind w:left="40"/>
              <w:spacing w:after="0" w:line="146" w:lineRule="exact"/>
              <w:rPr>
                <w:sz w:val="20"/>
                <w:szCs w:val="20"/>
                <w:color w:val="auto"/>
              </w:rPr>
            </w:pPr>
            <w:r>
              <w:rPr>
                <w:rFonts w:ascii="Arial" w:cs="Arial" w:eastAsia="Arial" w:hAnsi="Arial"/>
                <w:sz w:val="14"/>
                <w:szCs w:val="14"/>
                <w:color w:val="auto"/>
              </w:rPr>
              <w:t>Count of content shared by participants across</w:t>
            </w:r>
          </w:p>
        </w:tc>
        <w:tc>
          <w:tcPr>
            <w:tcW w:w="1360" w:type="dxa"/>
            <w:vAlign w:val="bottom"/>
            <w:vMerge w:val="continue"/>
            <w:shd w:val="clear" w:color="auto" w:fill="CCEEF0"/>
          </w:tcPr>
          <w:p>
            <w:pPr>
              <w:spacing w:after="0"/>
              <w:rPr>
                <w:sz w:val="12"/>
                <w:szCs w:val="12"/>
                <w:color w:val="auto"/>
              </w:rPr>
            </w:pPr>
          </w:p>
        </w:tc>
        <w:tc>
          <w:tcPr>
            <w:tcW w:w="1320" w:type="dxa"/>
            <w:vAlign w:val="bottom"/>
            <w:vMerge w:val="continue"/>
            <w:shd w:val="clear" w:color="auto" w:fill="CCEEF0"/>
          </w:tcPr>
          <w:p>
            <w:pPr>
              <w:spacing w:after="0"/>
              <w:rPr>
                <w:sz w:val="12"/>
                <w:szCs w:val="12"/>
                <w:color w:val="auto"/>
              </w:rPr>
            </w:pPr>
          </w:p>
        </w:tc>
        <w:tc>
          <w:tcPr>
            <w:tcW w:w="1360" w:type="dxa"/>
            <w:vAlign w:val="bottom"/>
            <w:vMerge w:val="continue"/>
            <w:shd w:val="clear" w:color="auto" w:fill="CCEEF0"/>
          </w:tcPr>
          <w:p>
            <w:pPr>
              <w:spacing w:after="0"/>
              <w:rPr>
                <w:sz w:val="12"/>
                <w:szCs w:val="12"/>
                <w:color w:val="auto"/>
              </w:rPr>
            </w:pPr>
          </w:p>
        </w:tc>
        <w:tc>
          <w:tcPr>
            <w:tcW w:w="1380" w:type="dxa"/>
            <w:vAlign w:val="bottom"/>
            <w:tcBorders>
              <w:right w:val="single" w:sz="8" w:color="B6B6B6"/>
            </w:tcBorders>
            <w:vMerge w:val="continue"/>
            <w:shd w:val="clear" w:color="auto" w:fill="CCEEF0"/>
          </w:tcPr>
          <w:p>
            <w:pPr>
              <w:spacing w:after="0"/>
              <w:rPr>
                <w:sz w:val="12"/>
                <w:szCs w:val="12"/>
                <w:color w:val="auto"/>
              </w:rPr>
            </w:pPr>
          </w:p>
        </w:tc>
        <w:tc>
          <w:tcPr>
            <w:tcW w:w="1340" w:type="dxa"/>
            <w:vAlign w:val="bottom"/>
            <w:tcBorders>
              <w:right w:val="single" w:sz="8" w:color="B6B6B6"/>
            </w:tcBorders>
            <w:vMerge w:val="continue"/>
            <w:shd w:val="clear" w:color="auto" w:fill="CCEEF0"/>
          </w:tcPr>
          <w:p>
            <w:pPr>
              <w:spacing w:after="0"/>
              <w:rPr>
                <w:sz w:val="12"/>
                <w:szCs w:val="12"/>
                <w:color w:val="auto"/>
              </w:rPr>
            </w:pPr>
          </w:p>
        </w:tc>
        <w:tc>
          <w:tcPr>
            <w:tcW w:w="1120" w:type="dxa"/>
            <w:vAlign w:val="bottom"/>
            <w:vMerge w:val="continue"/>
            <w:shd w:val="clear" w:color="auto" w:fill="CCEEF0"/>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various media platforms</w:t>
            </w:r>
          </w:p>
        </w:tc>
        <w:tc>
          <w:tcPr>
            <w:tcW w:w="1360" w:type="dxa"/>
            <w:vAlign w:val="bottom"/>
            <w:shd w:val="clear" w:color="auto" w:fill="CCEEF0"/>
          </w:tcPr>
          <w:p>
            <w:pPr>
              <w:spacing w:after="0"/>
              <w:rPr>
                <w:sz w:val="15"/>
                <w:szCs w:val="15"/>
                <w:color w:val="auto"/>
              </w:rPr>
            </w:pPr>
          </w:p>
        </w:tc>
        <w:tc>
          <w:tcPr>
            <w:tcW w:w="1320" w:type="dxa"/>
            <w:vAlign w:val="bottom"/>
            <w:shd w:val="clear" w:color="auto" w:fill="CCEEF0"/>
          </w:tcPr>
          <w:p>
            <w:pPr>
              <w:spacing w:after="0"/>
              <w:rPr>
                <w:sz w:val="15"/>
                <w:szCs w:val="15"/>
                <w:color w:val="auto"/>
              </w:rPr>
            </w:pPr>
          </w:p>
        </w:tc>
        <w:tc>
          <w:tcPr>
            <w:tcW w:w="1360" w:type="dxa"/>
            <w:vAlign w:val="bottom"/>
            <w:shd w:val="clear" w:color="auto" w:fill="CCEEF0"/>
          </w:tcPr>
          <w:p>
            <w:pPr>
              <w:spacing w:after="0"/>
              <w:rPr>
                <w:sz w:val="15"/>
                <w:szCs w:val="15"/>
                <w:color w:val="auto"/>
              </w:rPr>
            </w:pPr>
          </w:p>
        </w:tc>
        <w:tc>
          <w:tcPr>
            <w:tcW w:w="1380" w:type="dxa"/>
            <w:vAlign w:val="bottom"/>
            <w:tcBorders>
              <w:right w:val="single" w:sz="8" w:color="B6B6B6"/>
            </w:tcBorders>
            <w:shd w:val="clear" w:color="auto" w:fill="CCEEF0"/>
          </w:tcPr>
          <w:p>
            <w:pPr>
              <w:spacing w:after="0"/>
              <w:rPr>
                <w:sz w:val="15"/>
                <w:szCs w:val="15"/>
                <w:color w:val="auto"/>
              </w:rPr>
            </w:pPr>
          </w:p>
        </w:tc>
        <w:tc>
          <w:tcPr>
            <w:tcW w:w="1340" w:type="dxa"/>
            <w:vAlign w:val="bottom"/>
            <w:tcBorders>
              <w:right w:val="single" w:sz="8" w:color="B6B6B6"/>
            </w:tcBorders>
            <w:shd w:val="clear" w:color="auto" w:fill="CCEEF0"/>
          </w:tcPr>
          <w:p>
            <w:pPr>
              <w:spacing w:after="0"/>
              <w:rPr>
                <w:sz w:val="15"/>
                <w:szCs w:val="15"/>
                <w:color w:val="auto"/>
              </w:rPr>
            </w:pPr>
          </w:p>
        </w:tc>
        <w:tc>
          <w:tcPr>
            <w:tcW w:w="1120" w:type="dxa"/>
            <w:vAlign w:val="bottom"/>
            <w:shd w:val="clear" w:color="auto" w:fill="CCEEF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tcBorders>
            <w:shd w:val="clear" w:color="auto" w:fill="CCEEF0"/>
          </w:tcPr>
          <w:p>
            <w:pPr>
              <w:ind w:left="40"/>
              <w:spacing w:after="0" w:line="149" w:lineRule="exact"/>
              <w:rPr>
                <w:sz w:val="20"/>
                <w:szCs w:val="20"/>
                <w:color w:val="auto"/>
              </w:rPr>
            </w:pPr>
            <w:r>
              <w:rPr>
                <w:rFonts w:ascii="Arial" w:cs="Arial" w:eastAsia="Arial" w:hAnsi="Arial"/>
                <w:sz w:val="14"/>
                <w:szCs w:val="14"/>
                <w:b w:val="1"/>
                <w:bCs w:val="1"/>
                <w:color w:val="auto"/>
              </w:rPr>
              <w:t>Technical Upskilling</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&lt; 20.0%</w:t>
            </w:r>
          </w:p>
        </w:tc>
        <w:tc>
          <w:tcPr>
            <w:tcW w:w="132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20.0%</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30.0%</w:t>
            </w:r>
          </w:p>
        </w:tc>
        <w:tc>
          <w:tcPr>
            <w:tcW w:w="138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40.0%</w:t>
            </w:r>
          </w:p>
        </w:tc>
        <w:tc>
          <w:tcPr>
            <w:tcW w:w="134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20.0%</w:t>
            </w:r>
          </w:p>
        </w:tc>
        <w:tc>
          <w:tcPr>
            <w:tcW w:w="1120" w:type="dxa"/>
            <w:vAlign w:val="bottom"/>
            <w:vMerge w:val="restart"/>
            <w:shd w:val="clear" w:color="auto" w:fill="CCEEF0"/>
          </w:tcPr>
          <w:p>
            <w:pPr>
              <w:jc w:val="center"/>
              <w:ind w:left="129"/>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6"/>
        </w:trPr>
        <w:tc>
          <w:tcPr>
            <w:tcW w:w="3140" w:type="dxa"/>
            <w:vAlign w:val="bottom"/>
            <w:tcBorders>
              <w:left w:val="single" w:sz="8" w:color="auto"/>
            </w:tcBorders>
            <w:shd w:val="clear" w:color="auto" w:fill="CCEEF0"/>
          </w:tcPr>
          <w:p>
            <w:pPr>
              <w:ind w:left="40"/>
              <w:spacing w:after="0" w:line="146" w:lineRule="exact"/>
              <w:rPr>
                <w:sz w:val="20"/>
                <w:szCs w:val="20"/>
                <w:color w:val="auto"/>
              </w:rPr>
            </w:pPr>
            <w:r>
              <w:rPr>
                <w:rFonts w:ascii="Arial" w:cs="Arial" w:eastAsia="Arial" w:hAnsi="Arial"/>
                <w:sz w:val="14"/>
                <w:szCs w:val="14"/>
                <w:color w:val="auto"/>
              </w:rPr>
              <w:t>Percent of employee non-billable time focused</w:t>
            </w:r>
          </w:p>
        </w:tc>
        <w:tc>
          <w:tcPr>
            <w:tcW w:w="1360" w:type="dxa"/>
            <w:vAlign w:val="bottom"/>
            <w:vMerge w:val="continue"/>
            <w:shd w:val="clear" w:color="auto" w:fill="CCEEF0"/>
          </w:tcPr>
          <w:p>
            <w:pPr>
              <w:spacing w:after="0"/>
              <w:rPr>
                <w:sz w:val="12"/>
                <w:szCs w:val="12"/>
                <w:color w:val="auto"/>
              </w:rPr>
            </w:pPr>
          </w:p>
        </w:tc>
        <w:tc>
          <w:tcPr>
            <w:tcW w:w="1320" w:type="dxa"/>
            <w:vAlign w:val="bottom"/>
            <w:vMerge w:val="continue"/>
            <w:shd w:val="clear" w:color="auto" w:fill="CCEEF0"/>
          </w:tcPr>
          <w:p>
            <w:pPr>
              <w:spacing w:after="0"/>
              <w:rPr>
                <w:sz w:val="12"/>
                <w:szCs w:val="12"/>
                <w:color w:val="auto"/>
              </w:rPr>
            </w:pPr>
          </w:p>
        </w:tc>
        <w:tc>
          <w:tcPr>
            <w:tcW w:w="1360" w:type="dxa"/>
            <w:vAlign w:val="bottom"/>
            <w:vMerge w:val="continue"/>
            <w:shd w:val="clear" w:color="auto" w:fill="CCEEF0"/>
          </w:tcPr>
          <w:p>
            <w:pPr>
              <w:spacing w:after="0"/>
              <w:rPr>
                <w:sz w:val="12"/>
                <w:szCs w:val="12"/>
                <w:color w:val="auto"/>
              </w:rPr>
            </w:pPr>
          </w:p>
        </w:tc>
        <w:tc>
          <w:tcPr>
            <w:tcW w:w="1380" w:type="dxa"/>
            <w:vAlign w:val="bottom"/>
            <w:tcBorders>
              <w:right w:val="single" w:sz="8" w:color="B6B6B6"/>
            </w:tcBorders>
            <w:vMerge w:val="continue"/>
            <w:shd w:val="clear" w:color="auto" w:fill="CCEEF0"/>
          </w:tcPr>
          <w:p>
            <w:pPr>
              <w:spacing w:after="0"/>
              <w:rPr>
                <w:sz w:val="12"/>
                <w:szCs w:val="12"/>
                <w:color w:val="auto"/>
              </w:rPr>
            </w:pPr>
          </w:p>
        </w:tc>
        <w:tc>
          <w:tcPr>
            <w:tcW w:w="1340" w:type="dxa"/>
            <w:vAlign w:val="bottom"/>
            <w:tcBorders>
              <w:right w:val="single" w:sz="8" w:color="B6B6B6"/>
            </w:tcBorders>
            <w:vMerge w:val="continue"/>
            <w:shd w:val="clear" w:color="auto" w:fill="CCEEF0"/>
          </w:tcPr>
          <w:p>
            <w:pPr>
              <w:spacing w:after="0"/>
              <w:rPr>
                <w:sz w:val="12"/>
                <w:szCs w:val="12"/>
                <w:color w:val="auto"/>
              </w:rPr>
            </w:pPr>
          </w:p>
        </w:tc>
        <w:tc>
          <w:tcPr>
            <w:tcW w:w="1120" w:type="dxa"/>
            <w:vAlign w:val="bottom"/>
            <w:vMerge w:val="continue"/>
            <w:shd w:val="clear" w:color="auto" w:fill="CCEEF0"/>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on specific training criteria</w:t>
            </w:r>
          </w:p>
        </w:tc>
        <w:tc>
          <w:tcPr>
            <w:tcW w:w="1360" w:type="dxa"/>
            <w:vAlign w:val="bottom"/>
            <w:shd w:val="clear" w:color="auto" w:fill="CCEEF0"/>
          </w:tcPr>
          <w:p>
            <w:pPr>
              <w:spacing w:after="0"/>
              <w:rPr>
                <w:sz w:val="15"/>
                <w:szCs w:val="15"/>
                <w:color w:val="auto"/>
              </w:rPr>
            </w:pPr>
          </w:p>
        </w:tc>
        <w:tc>
          <w:tcPr>
            <w:tcW w:w="1320" w:type="dxa"/>
            <w:vAlign w:val="bottom"/>
            <w:shd w:val="clear" w:color="auto" w:fill="CCEEF0"/>
          </w:tcPr>
          <w:p>
            <w:pPr>
              <w:spacing w:after="0"/>
              <w:rPr>
                <w:sz w:val="15"/>
                <w:szCs w:val="15"/>
                <w:color w:val="auto"/>
              </w:rPr>
            </w:pPr>
          </w:p>
        </w:tc>
        <w:tc>
          <w:tcPr>
            <w:tcW w:w="1360" w:type="dxa"/>
            <w:vAlign w:val="bottom"/>
            <w:shd w:val="clear" w:color="auto" w:fill="CCEEF0"/>
          </w:tcPr>
          <w:p>
            <w:pPr>
              <w:spacing w:after="0"/>
              <w:rPr>
                <w:sz w:val="15"/>
                <w:szCs w:val="15"/>
                <w:color w:val="auto"/>
              </w:rPr>
            </w:pPr>
          </w:p>
        </w:tc>
        <w:tc>
          <w:tcPr>
            <w:tcW w:w="1380" w:type="dxa"/>
            <w:vAlign w:val="bottom"/>
            <w:tcBorders>
              <w:right w:val="single" w:sz="8" w:color="B6B6B6"/>
            </w:tcBorders>
            <w:shd w:val="clear" w:color="auto" w:fill="CCEEF0"/>
          </w:tcPr>
          <w:p>
            <w:pPr>
              <w:spacing w:after="0"/>
              <w:rPr>
                <w:sz w:val="15"/>
                <w:szCs w:val="15"/>
                <w:color w:val="auto"/>
              </w:rPr>
            </w:pPr>
          </w:p>
        </w:tc>
        <w:tc>
          <w:tcPr>
            <w:tcW w:w="1340" w:type="dxa"/>
            <w:vAlign w:val="bottom"/>
            <w:tcBorders>
              <w:right w:val="single" w:sz="8" w:color="B6B6B6"/>
            </w:tcBorders>
            <w:shd w:val="clear" w:color="auto" w:fill="CCEEF0"/>
          </w:tcPr>
          <w:p>
            <w:pPr>
              <w:spacing w:after="0"/>
              <w:rPr>
                <w:sz w:val="15"/>
                <w:szCs w:val="15"/>
                <w:color w:val="auto"/>
              </w:rPr>
            </w:pPr>
          </w:p>
        </w:tc>
        <w:tc>
          <w:tcPr>
            <w:tcW w:w="1120" w:type="dxa"/>
            <w:vAlign w:val="bottom"/>
            <w:shd w:val="clear" w:color="auto" w:fill="CCEEF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tcBorders>
              <w:left w:val="single" w:sz="8" w:color="auto"/>
            </w:tcBorders>
            <w:shd w:val="clear" w:color="auto" w:fill="CCEEF0"/>
          </w:tcPr>
          <w:p>
            <w:pPr>
              <w:ind w:left="40"/>
              <w:spacing w:after="0" w:line="149" w:lineRule="exact"/>
              <w:rPr>
                <w:sz w:val="20"/>
                <w:szCs w:val="20"/>
                <w:color w:val="auto"/>
              </w:rPr>
            </w:pPr>
            <w:r>
              <w:rPr>
                <w:rFonts w:ascii="Arial" w:cs="Arial" w:eastAsia="Arial" w:hAnsi="Arial"/>
                <w:sz w:val="14"/>
                <w:szCs w:val="14"/>
                <w:b w:val="1"/>
                <w:bCs w:val="1"/>
                <w:color w:val="auto"/>
              </w:rPr>
              <w:t>Advanced Technology Demonstration</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&lt; 225</w:t>
            </w:r>
          </w:p>
        </w:tc>
        <w:tc>
          <w:tcPr>
            <w:tcW w:w="132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225</w:t>
            </w:r>
          </w:p>
        </w:tc>
        <w:tc>
          <w:tcPr>
            <w:tcW w:w="1360" w:type="dxa"/>
            <w:vAlign w:val="bottom"/>
            <w:vMerge w:val="restart"/>
            <w:shd w:val="clear" w:color="auto" w:fill="CCEEF0"/>
          </w:tcPr>
          <w:p>
            <w:pPr>
              <w:jc w:val="center"/>
              <w:spacing w:after="0"/>
              <w:rPr>
                <w:sz w:val="20"/>
                <w:szCs w:val="20"/>
                <w:color w:val="auto"/>
              </w:rPr>
            </w:pPr>
            <w:r>
              <w:rPr>
                <w:rFonts w:ascii="Arial" w:cs="Arial" w:eastAsia="Arial" w:hAnsi="Arial"/>
                <w:sz w:val="14"/>
                <w:szCs w:val="14"/>
                <w:color w:val="auto"/>
              </w:rPr>
              <w:t>250</w:t>
            </w:r>
          </w:p>
        </w:tc>
        <w:tc>
          <w:tcPr>
            <w:tcW w:w="138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275</w:t>
            </w:r>
          </w:p>
        </w:tc>
        <w:tc>
          <w:tcPr>
            <w:tcW w:w="1340" w:type="dxa"/>
            <w:vAlign w:val="bottom"/>
            <w:tcBorders>
              <w:right w:val="single" w:sz="8" w:color="B6B6B6"/>
            </w:tcBorders>
            <w:vMerge w:val="restart"/>
            <w:shd w:val="clear" w:color="auto" w:fill="CCEEF0"/>
          </w:tcPr>
          <w:p>
            <w:pPr>
              <w:jc w:val="center"/>
              <w:spacing w:after="0"/>
              <w:rPr>
                <w:sz w:val="20"/>
                <w:szCs w:val="20"/>
                <w:color w:val="auto"/>
              </w:rPr>
            </w:pPr>
            <w:r>
              <w:rPr>
                <w:rFonts w:ascii="Arial" w:cs="Arial" w:eastAsia="Arial" w:hAnsi="Arial"/>
                <w:sz w:val="14"/>
                <w:szCs w:val="14"/>
                <w:color w:val="auto"/>
              </w:rPr>
              <w:t>571</w:t>
            </w:r>
          </w:p>
        </w:tc>
        <w:tc>
          <w:tcPr>
            <w:tcW w:w="1120" w:type="dxa"/>
            <w:vAlign w:val="bottom"/>
            <w:vMerge w:val="restart"/>
            <w:shd w:val="clear" w:color="auto" w:fill="CCEEF0"/>
          </w:tcPr>
          <w:p>
            <w:pPr>
              <w:jc w:val="center"/>
              <w:ind w:left="129"/>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6"/>
        </w:trPr>
        <w:tc>
          <w:tcPr>
            <w:tcW w:w="3140" w:type="dxa"/>
            <w:vAlign w:val="bottom"/>
            <w:tcBorders>
              <w:left w:val="single" w:sz="8" w:color="auto"/>
            </w:tcBorders>
            <w:shd w:val="clear" w:color="auto" w:fill="CCEEF0"/>
          </w:tcPr>
          <w:p>
            <w:pPr>
              <w:ind w:left="40"/>
              <w:spacing w:after="0" w:line="146" w:lineRule="exact"/>
              <w:rPr>
                <w:sz w:val="20"/>
                <w:szCs w:val="20"/>
                <w:color w:val="auto"/>
              </w:rPr>
            </w:pPr>
            <w:r>
              <w:rPr>
                <w:rFonts w:ascii="Arial" w:cs="Arial" w:eastAsia="Arial" w:hAnsi="Arial"/>
                <w:sz w:val="14"/>
                <w:szCs w:val="14"/>
                <w:color w:val="auto"/>
              </w:rPr>
              <w:t>Count of demonstrations of our advanced</w:t>
            </w:r>
          </w:p>
        </w:tc>
        <w:tc>
          <w:tcPr>
            <w:tcW w:w="1360" w:type="dxa"/>
            <w:vAlign w:val="bottom"/>
            <w:vMerge w:val="continue"/>
            <w:shd w:val="clear" w:color="auto" w:fill="CCEEF0"/>
          </w:tcPr>
          <w:p>
            <w:pPr>
              <w:spacing w:after="0"/>
              <w:rPr>
                <w:sz w:val="12"/>
                <w:szCs w:val="12"/>
                <w:color w:val="auto"/>
              </w:rPr>
            </w:pPr>
          </w:p>
        </w:tc>
        <w:tc>
          <w:tcPr>
            <w:tcW w:w="1320" w:type="dxa"/>
            <w:vAlign w:val="bottom"/>
            <w:vMerge w:val="continue"/>
            <w:shd w:val="clear" w:color="auto" w:fill="CCEEF0"/>
          </w:tcPr>
          <w:p>
            <w:pPr>
              <w:spacing w:after="0"/>
              <w:rPr>
                <w:sz w:val="12"/>
                <w:szCs w:val="12"/>
                <w:color w:val="auto"/>
              </w:rPr>
            </w:pPr>
          </w:p>
        </w:tc>
        <w:tc>
          <w:tcPr>
            <w:tcW w:w="1360" w:type="dxa"/>
            <w:vAlign w:val="bottom"/>
            <w:vMerge w:val="continue"/>
            <w:shd w:val="clear" w:color="auto" w:fill="CCEEF0"/>
          </w:tcPr>
          <w:p>
            <w:pPr>
              <w:spacing w:after="0"/>
              <w:rPr>
                <w:sz w:val="12"/>
                <w:szCs w:val="12"/>
                <w:color w:val="auto"/>
              </w:rPr>
            </w:pPr>
          </w:p>
        </w:tc>
        <w:tc>
          <w:tcPr>
            <w:tcW w:w="1380" w:type="dxa"/>
            <w:vAlign w:val="bottom"/>
            <w:tcBorders>
              <w:right w:val="single" w:sz="8" w:color="B6B6B6"/>
            </w:tcBorders>
            <w:vMerge w:val="continue"/>
            <w:shd w:val="clear" w:color="auto" w:fill="CCEEF0"/>
          </w:tcPr>
          <w:p>
            <w:pPr>
              <w:spacing w:after="0"/>
              <w:rPr>
                <w:sz w:val="12"/>
                <w:szCs w:val="12"/>
                <w:color w:val="auto"/>
              </w:rPr>
            </w:pPr>
          </w:p>
        </w:tc>
        <w:tc>
          <w:tcPr>
            <w:tcW w:w="1340" w:type="dxa"/>
            <w:vAlign w:val="bottom"/>
            <w:tcBorders>
              <w:right w:val="single" w:sz="8" w:color="B6B6B6"/>
            </w:tcBorders>
            <w:vMerge w:val="continue"/>
            <w:shd w:val="clear" w:color="auto" w:fill="CCEEF0"/>
          </w:tcPr>
          <w:p>
            <w:pPr>
              <w:spacing w:after="0"/>
              <w:rPr>
                <w:sz w:val="12"/>
                <w:szCs w:val="12"/>
                <w:color w:val="auto"/>
              </w:rPr>
            </w:pPr>
          </w:p>
        </w:tc>
        <w:tc>
          <w:tcPr>
            <w:tcW w:w="1120" w:type="dxa"/>
            <w:vAlign w:val="bottom"/>
            <w:vMerge w:val="continue"/>
            <w:shd w:val="clear" w:color="auto" w:fill="CCEEF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40" w:type="dxa"/>
            <w:vAlign w:val="bottom"/>
            <w:tcBorders>
              <w:left w:val="single" w:sz="8" w:color="auto"/>
              <w:bottom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technology capabilities and offerings</w:t>
            </w:r>
          </w:p>
        </w:tc>
        <w:tc>
          <w:tcPr>
            <w:tcW w:w="1360" w:type="dxa"/>
            <w:vAlign w:val="bottom"/>
            <w:tcBorders>
              <w:bottom w:val="single" w:sz="8" w:color="auto"/>
            </w:tcBorders>
            <w:shd w:val="clear" w:color="auto" w:fill="CCEEF0"/>
          </w:tcPr>
          <w:p>
            <w:pPr>
              <w:spacing w:after="0"/>
              <w:rPr>
                <w:sz w:val="16"/>
                <w:szCs w:val="16"/>
                <w:color w:val="auto"/>
              </w:rPr>
            </w:pPr>
          </w:p>
        </w:tc>
        <w:tc>
          <w:tcPr>
            <w:tcW w:w="1320" w:type="dxa"/>
            <w:vAlign w:val="bottom"/>
            <w:tcBorders>
              <w:bottom w:val="single" w:sz="8" w:color="auto"/>
            </w:tcBorders>
            <w:shd w:val="clear" w:color="auto" w:fill="CCEEF0"/>
          </w:tcPr>
          <w:p>
            <w:pPr>
              <w:spacing w:after="0"/>
              <w:rPr>
                <w:sz w:val="16"/>
                <w:szCs w:val="16"/>
                <w:color w:val="auto"/>
              </w:rPr>
            </w:pPr>
          </w:p>
        </w:tc>
        <w:tc>
          <w:tcPr>
            <w:tcW w:w="1360" w:type="dxa"/>
            <w:vAlign w:val="bottom"/>
            <w:tcBorders>
              <w:bottom w:val="single" w:sz="8" w:color="auto"/>
            </w:tcBorders>
            <w:shd w:val="clear" w:color="auto" w:fill="CCEEF0"/>
          </w:tcPr>
          <w:p>
            <w:pPr>
              <w:spacing w:after="0"/>
              <w:rPr>
                <w:sz w:val="16"/>
                <w:szCs w:val="16"/>
                <w:color w:val="auto"/>
              </w:rPr>
            </w:pPr>
          </w:p>
        </w:tc>
        <w:tc>
          <w:tcPr>
            <w:tcW w:w="1380" w:type="dxa"/>
            <w:vAlign w:val="bottom"/>
            <w:tcBorders>
              <w:bottom w:val="single" w:sz="8" w:color="auto"/>
              <w:right w:val="single" w:sz="8" w:color="B6B6B6"/>
            </w:tcBorders>
            <w:shd w:val="clear" w:color="auto" w:fill="CCEEF0"/>
          </w:tcPr>
          <w:p>
            <w:pPr>
              <w:spacing w:after="0"/>
              <w:rPr>
                <w:sz w:val="16"/>
                <w:szCs w:val="16"/>
                <w:color w:val="auto"/>
              </w:rPr>
            </w:pPr>
          </w:p>
        </w:tc>
        <w:tc>
          <w:tcPr>
            <w:tcW w:w="1340" w:type="dxa"/>
            <w:vAlign w:val="bottom"/>
            <w:tcBorders>
              <w:bottom w:val="single" w:sz="8" w:color="auto"/>
              <w:right w:val="single" w:sz="8" w:color="B6B6B6"/>
            </w:tcBorders>
            <w:shd w:val="clear" w:color="auto" w:fill="CCEEF0"/>
          </w:tcPr>
          <w:p>
            <w:pPr>
              <w:spacing w:after="0"/>
              <w:rPr>
                <w:sz w:val="16"/>
                <w:szCs w:val="16"/>
                <w:color w:val="auto"/>
              </w:rPr>
            </w:pPr>
          </w:p>
        </w:tc>
        <w:tc>
          <w:tcPr>
            <w:tcW w:w="1120" w:type="dxa"/>
            <w:vAlign w:val="bottom"/>
            <w:tcBorders>
              <w:bottom w:val="single" w:sz="8" w:color="auto"/>
            </w:tcBorders>
            <w:shd w:val="clear" w:color="auto" w:fill="CCEEF0"/>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color w:val="auto"/>
        </w:rPr>
        <w:t>Our Compensation, Culture and People Committee reviews and approves the Adjusted EBITDA and operational goal performance and any adjustments to the plan bonus pool based on year-end results. The final bonus pool, as approved by our Compensation, Culture and People Committee, is distributed to our executives as a consistent percentage of the target value.</w:t>
      </w:r>
    </w:p>
    <w:p>
      <w:pPr>
        <w:spacing w:after="0" w:line="12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fiscal year 2026, the Company's performance faced a difficult procurement and funding landscape. Although revenue declined, strong contract performance and disciplined operations sustained profitability, and leading indicators going into fiscal year 2027 showed positive momentum. Based on these results, the Compensation, Culture and People Committee, in its discretion, approved the executive bonus payout equal to approximately 90%. The short-term incentive target opportunities and cash payments received by each of our named executive officers for fiscal year 2026 are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66666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36" w:right="2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12"/>
        </w:trPr>
        <w:tc>
          <w:tcPr>
            <w:tcW w:w="2180" w:type="dxa"/>
            <w:vAlign w:val="bottom"/>
            <w:tcBorders>
              <w:top w:val="single" w:sz="8" w:color="auto"/>
              <w:left w:val="single" w:sz="8" w:color="auto"/>
            </w:tcBorders>
            <w:shd w:val="clear" w:color="auto" w:fill="00A5B5"/>
          </w:tcPr>
          <w:p>
            <w:pPr>
              <w:ind w:left="40"/>
              <w:spacing w:after="0"/>
              <w:rPr>
                <w:sz w:val="20"/>
                <w:szCs w:val="20"/>
                <w:color w:val="auto"/>
              </w:rPr>
            </w:pPr>
            <w:r>
              <w:rPr>
                <w:rFonts w:ascii="Arial" w:cs="Arial" w:eastAsia="Arial" w:hAnsi="Arial"/>
                <w:sz w:val="14"/>
                <w:szCs w:val="14"/>
                <w:b w:val="1"/>
                <w:bCs w:val="1"/>
                <w:color w:val="FFFFFF"/>
              </w:rPr>
              <w:t>Name</w:t>
            </w:r>
          </w:p>
        </w:tc>
        <w:tc>
          <w:tcPr>
            <w:tcW w:w="3180" w:type="dxa"/>
            <w:vAlign w:val="bottom"/>
            <w:tcBorders>
              <w:top w:val="single" w:sz="8" w:color="auto"/>
            </w:tcBorders>
            <w:shd w:val="clear" w:color="auto" w:fill="00A5B5"/>
          </w:tcPr>
          <w:p>
            <w:pPr>
              <w:ind w:left="600"/>
              <w:spacing w:after="0"/>
              <w:rPr>
                <w:sz w:val="20"/>
                <w:szCs w:val="20"/>
                <w:color w:val="auto"/>
              </w:rPr>
            </w:pPr>
            <w:r>
              <w:rPr>
                <w:rFonts w:ascii="Arial" w:cs="Arial" w:eastAsia="Arial" w:hAnsi="Arial"/>
                <w:sz w:val="14"/>
                <w:szCs w:val="14"/>
                <w:b w:val="1"/>
                <w:bCs w:val="1"/>
                <w:color w:val="FFFFFF"/>
              </w:rPr>
              <w:t>FY26 Annual Cash Incentive Target</w:t>
            </w:r>
          </w:p>
        </w:tc>
        <w:tc>
          <w:tcPr>
            <w:tcW w:w="2580" w:type="dxa"/>
            <w:vAlign w:val="bottom"/>
            <w:tcBorders>
              <w:top w:val="single" w:sz="8" w:color="auto"/>
            </w:tcBorders>
            <w:shd w:val="clear" w:color="auto" w:fill="00A5B5"/>
          </w:tcPr>
          <w:p>
            <w:pPr>
              <w:jc w:val="center"/>
              <w:ind w:right="49"/>
              <w:spacing w:after="0"/>
              <w:rPr>
                <w:sz w:val="20"/>
                <w:szCs w:val="20"/>
                <w:color w:val="auto"/>
              </w:rPr>
            </w:pPr>
            <w:r>
              <w:rPr>
                <w:rFonts w:ascii="Arial" w:cs="Arial" w:eastAsia="Arial" w:hAnsi="Arial"/>
                <w:sz w:val="14"/>
                <w:szCs w:val="14"/>
                <w:b w:val="1"/>
                <w:bCs w:val="1"/>
                <w:color w:val="FFFFFF"/>
              </w:rPr>
              <w:t>Annual Cash Incentive Payout</w:t>
            </w:r>
          </w:p>
        </w:tc>
        <w:tc>
          <w:tcPr>
            <w:tcW w:w="2600" w:type="dxa"/>
            <w:vAlign w:val="bottom"/>
            <w:tcBorders>
              <w:top w:val="single" w:sz="8" w:color="auto"/>
              <w:right w:val="single" w:sz="8" w:color="auto"/>
            </w:tcBorders>
            <w:shd w:val="clear" w:color="auto" w:fill="00A5B5"/>
          </w:tcPr>
          <w:p>
            <w:pPr>
              <w:ind w:left="340"/>
              <w:spacing w:after="0"/>
              <w:rPr>
                <w:sz w:val="20"/>
                <w:szCs w:val="20"/>
                <w:color w:val="auto"/>
              </w:rPr>
            </w:pPr>
            <w:r>
              <w:rPr>
                <w:rFonts w:ascii="Arial" w:cs="Arial" w:eastAsia="Arial" w:hAnsi="Arial"/>
                <w:sz w:val="14"/>
                <w:szCs w:val="14"/>
                <w:b w:val="1"/>
                <w:bCs w:val="1"/>
                <w:color w:val="FFFFFF"/>
              </w:rPr>
              <w:t>Annual Cash Incentive Paid</w:t>
            </w:r>
          </w:p>
        </w:tc>
      </w:tr>
      <w:tr>
        <w:trPr>
          <w:trHeight w:val="199"/>
        </w:trPr>
        <w:tc>
          <w:tcPr>
            <w:tcW w:w="218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Horacio D. Rozanski</w:t>
            </w:r>
          </w:p>
        </w:tc>
        <w:tc>
          <w:tcPr>
            <w:tcW w:w="3180" w:type="dxa"/>
            <w:vAlign w:val="bottom"/>
            <w:shd w:val="clear" w:color="auto" w:fill="CCEEF0"/>
          </w:tcPr>
          <w:p>
            <w:pPr>
              <w:jc w:val="center"/>
              <w:ind w:left="309"/>
              <w:spacing w:after="0"/>
              <w:rPr>
                <w:sz w:val="20"/>
                <w:szCs w:val="20"/>
                <w:color w:val="auto"/>
              </w:rPr>
            </w:pPr>
            <w:r>
              <w:rPr>
                <w:rFonts w:ascii="Arial" w:cs="Arial" w:eastAsia="Arial" w:hAnsi="Arial"/>
                <w:sz w:val="14"/>
                <w:szCs w:val="14"/>
                <w:color w:val="auto"/>
              </w:rPr>
              <w:t>$2,000,000</w:t>
            </w:r>
          </w:p>
        </w:tc>
        <w:tc>
          <w:tcPr>
            <w:tcW w:w="2580" w:type="dxa"/>
            <w:vAlign w:val="bottom"/>
            <w:shd w:val="clear" w:color="auto" w:fill="CCEEF0"/>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right w:val="single" w:sz="8" w:color="auto"/>
            </w:tcBorders>
            <w:shd w:val="clear" w:color="auto" w:fill="CCEEF0"/>
          </w:tcPr>
          <w:p>
            <w:pPr>
              <w:jc w:val="center"/>
              <w:ind w:right="9"/>
              <w:spacing w:after="0"/>
              <w:rPr>
                <w:sz w:val="20"/>
                <w:szCs w:val="20"/>
                <w:color w:val="auto"/>
              </w:rPr>
            </w:pPr>
            <w:r>
              <w:rPr>
                <w:rFonts w:ascii="Arial" w:cs="Arial" w:eastAsia="Arial" w:hAnsi="Arial"/>
                <w:sz w:val="14"/>
                <w:szCs w:val="14"/>
                <w:color w:val="auto"/>
              </w:rPr>
              <w:t>$1,800,000</w:t>
            </w:r>
          </w:p>
        </w:tc>
      </w:tr>
      <w:tr>
        <w:trPr>
          <w:trHeight w:val="194"/>
        </w:trPr>
        <w:tc>
          <w:tcPr>
            <w:tcW w:w="2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Kristine Martin Anderson</w:t>
            </w:r>
          </w:p>
        </w:tc>
        <w:tc>
          <w:tcPr>
            <w:tcW w:w="3180" w:type="dxa"/>
            <w:vAlign w:val="bottom"/>
          </w:tcPr>
          <w:p>
            <w:pPr>
              <w:jc w:val="center"/>
              <w:ind w:left="309"/>
              <w:spacing w:after="0"/>
              <w:rPr>
                <w:sz w:val="20"/>
                <w:szCs w:val="20"/>
                <w:color w:val="auto"/>
              </w:rPr>
            </w:pPr>
            <w:r>
              <w:rPr>
                <w:rFonts w:ascii="Arial" w:cs="Arial" w:eastAsia="Arial" w:hAnsi="Arial"/>
                <w:sz w:val="14"/>
                <w:szCs w:val="14"/>
                <w:color w:val="auto"/>
              </w:rPr>
              <w:t>$775,000</w:t>
            </w:r>
          </w:p>
        </w:tc>
        <w:tc>
          <w:tcPr>
            <w:tcW w:w="2580" w:type="dxa"/>
            <w:vAlign w:val="bottom"/>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right w:val="single" w:sz="8" w:color="auto"/>
            </w:tcBorders>
          </w:tcPr>
          <w:p>
            <w:pPr>
              <w:jc w:val="center"/>
              <w:ind w:right="9"/>
              <w:spacing w:after="0"/>
              <w:rPr>
                <w:sz w:val="20"/>
                <w:szCs w:val="20"/>
                <w:color w:val="auto"/>
              </w:rPr>
            </w:pPr>
            <w:r>
              <w:rPr>
                <w:rFonts w:ascii="Arial" w:cs="Arial" w:eastAsia="Arial" w:hAnsi="Arial"/>
                <w:sz w:val="14"/>
                <w:szCs w:val="14"/>
                <w:color w:val="auto"/>
              </w:rPr>
              <w:t>$697,500</w:t>
            </w:r>
          </w:p>
        </w:tc>
      </w:tr>
      <w:tr>
        <w:trPr>
          <w:trHeight w:val="203"/>
        </w:trPr>
        <w:tc>
          <w:tcPr>
            <w:tcW w:w="218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Richard C. Crowe</w:t>
            </w:r>
          </w:p>
        </w:tc>
        <w:tc>
          <w:tcPr>
            <w:tcW w:w="3180" w:type="dxa"/>
            <w:vAlign w:val="bottom"/>
            <w:shd w:val="clear" w:color="auto" w:fill="CCEEF0"/>
          </w:tcPr>
          <w:p>
            <w:pPr>
              <w:jc w:val="center"/>
              <w:ind w:left="309"/>
              <w:spacing w:after="0"/>
              <w:rPr>
                <w:sz w:val="20"/>
                <w:szCs w:val="20"/>
                <w:color w:val="auto"/>
              </w:rPr>
            </w:pPr>
            <w:r>
              <w:rPr>
                <w:rFonts w:ascii="Arial" w:cs="Arial" w:eastAsia="Arial" w:hAnsi="Arial"/>
                <w:sz w:val="14"/>
                <w:szCs w:val="14"/>
                <w:color w:val="auto"/>
              </w:rPr>
              <w:t>$650,000</w:t>
            </w:r>
          </w:p>
        </w:tc>
        <w:tc>
          <w:tcPr>
            <w:tcW w:w="2580" w:type="dxa"/>
            <w:vAlign w:val="bottom"/>
            <w:shd w:val="clear" w:color="auto" w:fill="CCEEF0"/>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right w:val="single" w:sz="8" w:color="auto"/>
            </w:tcBorders>
            <w:shd w:val="clear" w:color="auto" w:fill="CCEEF0"/>
          </w:tcPr>
          <w:p>
            <w:pPr>
              <w:jc w:val="center"/>
              <w:ind w:right="9"/>
              <w:spacing w:after="0"/>
              <w:rPr>
                <w:sz w:val="20"/>
                <w:szCs w:val="20"/>
                <w:color w:val="auto"/>
              </w:rPr>
            </w:pPr>
            <w:r>
              <w:rPr>
                <w:rFonts w:ascii="Arial" w:cs="Arial" w:eastAsia="Arial" w:hAnsi="Arial"/>
                <w:sz w:val="14"/>
                <w:szCs w:val="14"/>
                <w:color w:val="auto"/>
              </w:rPr>
              <w:t>$585,000</w:t>
            </w:r>
          </w:p>
        </w:tc>
      </w:tr>
      <w:tr>
        <w:trPr>
          <w:trHeight w:val="194"/>
        </w:trPr>
        <w:tc>
          <w:tcPr>
            <w:tcW w:w="2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Andrea D. Inserra</w:t>
            </w:r>
          </w:p>
        </w:tc>
        <w:tc>
          <w:tcPr>
            <w:tcW w:w="3180" w:type="dxa"/>
            <w:vAlign w:val="bottom"/>
          </w:tcPr>
          <w:p>
            <w:pPr>
              <w:jc w:val="center"/>
              <w:ind w:left="309"/>
              <w:spacing w:after="0"/>
              <w:rPr>
                <w:sz w:val="20"/>
                <w:szCs w:val="20"/>
                <w:color w:val="auto"/>
              </w:rPr>
            </w:pPr>
            <w:r>
              <w:rPr>
                <w:rFonts w:ascii="Arial" w:cs="Arial" w:eastAsia="Arial" w:hAnsi="Arial"/>
                <w:sz w:val="14"/>
                <w:szCs w:val="14"/>
                <w:color w:val="auto"/>
              </w:rPr>
              <w:t>$600,000</w:t>
            </w:r>
          </w:p>
        </w:tc>
        <w:tc>
          <w:tcPr>
            <w:tcW w:w="2580" w:type="dxa"/>
            <w:vAlign w:val="bottom"/>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right w:val="single" w:sz="8" w:color="auto"/>
            </w:tcBorders>
          </w:tcPr>
          <w:p>
            <w:pPr>
              <w:jc w:val="center"/>
              <w:ind w:right="9"/>
              <w:spacing w:after="0"/>
              <w:rPr>
                <w:sz w:val="20"/>
                <w:szCs w:val="20"/>
                <w:color w:val="auto"/>
              </w:rPr>
            </w:pPr>
            <w:r>
              <w:rPr>
                <w:rFonts w:ascii="Arial" w:cs="Arial" w:eastAsia="Arial" w:hAnsi="Arial"/>
                <w:sz w:val="14"/>
                <w:szCs w:val="14"/>
                <w:color w:val="auto"/>
              </w:rPr>
              <w:t>$540,000</w:t>
            </w:r>
          </w:p>
        </w:tc>
      </w:tr>
      <w:tr>
        <w:trPr>
          <w:trHeight w:val="203"/>
        </w:trPr>
        <w:tc>
          <w:tcPr>
            <w:tcW w:w="218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Thomas J. Pfeifer</w:t>
            </w:r>
          </w:p>
        </w:tc>
        <w:tc>
          <w:tcPr>
            <w:tcW w:w="3180" w:type="dxa"/>
            <w:vAlign w:val="bottom"/>
            <w:shd w:val="clear" w:color="auto" w:fill="CCEEF0"/>
          </w:tcPr>
          <w:p>
            <w:pPr>
              <w:jc w:val="center"/>
              <w:ind w:left="309"/>
              <w:spacing w:after="0"/>
              <w:rPr>
                <w:sz w:val="20"/>
                <w:szCs w:val="20"/>
                <w:color w:val="auto"/>
              </w:rPr>
            </w:pPr>
            <w:r>
              <w:rPr>
                <w:rFonts w:ascii="Arial" w:cs="Arial" w:eastAsia="Arial" w:hAnsi="Arial"/>
                <w:sz w:val="14"/>
                <w:szCs w:val="14"/>
                <w:color w:val="auto"/>
              </w:rPr>
              <w:t>$600,000</w:t>
            </w:r>
          </w:p>
        </w:tc>
        <w:tc>
          <w:tcPr>
            <w:tcW w:w="2580" w:type="dxa"/>
            <w:vAlign w:val="bottom"/>
            <w:shd w:val="clear" w:color="auto" w:fill="CCEEF0"/>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right w:val="single" w:sz="8" w:color="auto"/>
            </w:tcBorders>
            <w:shd w:val="clear" w:color="auto" w:fill="CCEEF0"/>
          </w:tcPr>
          <w:p>
            <w:pPr>
              <w:jc w:val="center"/>
              <w:ind w:right="9"/>
              <w:spacing w:after="0"/>
              <w:rPr>
                <w:sz w:val="20"/>
                <w:szCs w:val="20"/>
                <w:color w:val="auto"/>
              </w:rPr>
            </w:pPr>
            <w:r>
              <w:rPr>
                <w:rFonts w:ascii="Arial" w:cs="Arial" w:eastAsia="Arial" w:hAnsi="Arial"/>
                <w:sz w:val="14"/>
                <w:szCs w:val="14"/>
                <w:color w:val="auto"/>
              </w:rPr>
              <w:t>$540,000</w:t>
            </w:r>
          </w:p>
        </w:tc>
      </w:tr>
      <w:tr>
        <w:trPr>
          <w:trHeight w:val="199"/>
        </w:trPr>
        <w:tc>
          <w:tcPr>
            <w:tcW w:w="2180" w:type="dxa"/>
            <w:vAlign w:val="bottom"/>
            <w:tcBorders>
              <w:left w:val="single" w:sz="8" w:color="auto"/>
              <w:bottom w:val="single" w:sz="8" w:color="auto"/>
            </w:tcBorders>
          </w:tcPr>
          <w:p>
            <w:pPr>
              <w:ind w:left="40"/>
              <w:spacing w:after="0" w:line="199" w:lineRule="exact"/>
              <w:rPr>
                <w:sz w:val="20"/>
                <w:szCs w:val="20"/>
                <w:color w:val="auto"/>
              </w:rPr>
            </w:pPr>
            <w:r>
              <w:rPr>
                <w:rFonts w:ascii="Arial" w:cs="Arial" w:eastAsia="Arial" w:hAnsi="Arial"/>
                <w:sz w:val="14"/>
                <w:szCs w:val="14"/>
                <w:color w:val="auto"/>
              </w:rPr>
              <w:t xml:space="preserve">Matthew A. Calderone </w:t>
            </w:r>
            <w:r>
              <w:rPr>
                <w:rFonts w:ascii="Arial" w:cs="Arial" w:eastAsia="Arial" w:hAnsi="Arial"/>
                <w:sz w:val="18"/>
                <w:szCs w:val="18"/>
                <w:color w:val="auto"/>
                <w:vertAlign w:val="superscript"/>
              </w:rPr>
              <w:t>(1)</w:t>
            </w:r>
          </w:p>
        </w:tc>
        <w:tc>
          <w:tcPr>
            <w:tcW w:w="318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auto"/>
              </w:rPr>
              <w:t>$750,000</w:t>
            </w:r>
          </w:p>
        </w:tc>
        <w:tc>
          <w:tcPr>
            <w:tcW w:w="25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9"/>
              </w:rPr>
              <w:t>90%</w:t>
            </w:r>
          </w:p>
        </w:tc>
        <w:tc>
          <w:tcPr>
            <w:tcW w:w="260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4"/>
                <w:szCs w:val="14"/>
                <w:color w:val="auto"/>
              </w:rPr>
              <w:t>$567,743</w:t>
            </w:r>
          </w:p>
        </w:tc>
      </w:tr>
    </w:tbl>
    <w:p>
      <w:pPr>
        <w:spacing w:after="0" w:line="242" w:lineRule="exact"/>
        <w:rPr>
          <w:sz w:val="20"/>
          <w:szCs w:val="20"/>
          <w:color w:val="auto"/>
        </w:rPr>
      </w:pPr>
    </w:p>
    <w:p>
      <w:pPr>
        <w:jc w:val="both"/>
        <w:ind w:left="160" w:firstLine="2"/>
        <w:spacing w:after="0" w:line="265"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Calderone retired from the Company effective February 1, 2026. Pursuant to the terms of the retirement letter agreement, as discussed below under the heading "Potential Payments upon Termination or Change in Control - Retirement Benefits", Mr. Calderone received a prorated annual bonus for fiscal year 2026 for the period from April 1, 2025 to February 1, 2026.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666666"/>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67945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640" w:top="1059" w:right="419" w:bottom="1440" w:gutter="0" w:footer="0" w:header="0"/>
        </w:sectPr>
      </w:pPr>
    </w:p>
    <w:bookmarkStart w:id="51" w:name="page52"/>
    <w:bookmarkEnd w:id="51"/>
    <w:p>
      <w:pPr>
        <w:ind w:left="320"/>
        <w:spacing w:after="0"/>
        <w:rPr>
          <w:sz w:val="20"/>
          <w:szCs w:val="20"/>
          <w:color w:val="auto"/>
        </w:rPr>
      </w:pPr>
      <w:r>
        <w:rPr>
          <w:rFonts w:ascii="Arial" w:cs="Arial" w:eastAsia="Arial" w:hAnsi="Arial"/>
          <w:sz w:val="19"/>
          <w:szCs w:val="19"/>
          <w:color w:val="00A4B5"/>
        </w:rPr>
        <w:t>Long-Term Equity Incentives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It is our philosophy that executives should hold meaningful amounts of long-term equity compensation to align the personal financial interests of our executives with the interests of long-term stockholders and to encourage a long-term perspective with regard to Company performance and growth. The equity compensation for our executives is delivered in the form of annual grants and new hire/advancement and retention grants.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4B5"/>
        </w:rPr>
        <w:t>Fiscal Year 2026 Annual Grants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named executive officers receive long-term equity incentive grants as part of their annual compensation that have two components: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time-based restricted stock units (RSUs) and performance-based RSUs.</w:t>
      </w:r>
    </w:p>
    <w:p>
      <w:pPr>
        <w:spacing w:after="0" w:line="148" w:lineRule="exact"/>
        <w:rPr>
          <w:sz w:val="20"/>
          <w:szCs w:val="20"/>
          <w:color w:val="auto"/>
        </w:rPr>
      </w:pPr>
    </w:p>
    <w:p>
      <w:pPr>
        <w:ind w:left="640" w:hanging="316"/>
        <w:spacing w:after="0" w:line="274" w:lineRule="auto"/>
        <w:tabs>
          <w:tab w:leader="none" w:pos="60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Time-Based RSUs</w:t>
      </w:r>
      <w:r>
        <w:rPr>
          <w:rFonts w:ascii="Arial" w:cs="Arial" w:eastAsia="Arial" w:hAnsi="Arial"/>
          <w:sz w:val="18"/>
          <w:szCs w:val="18"/>
          <w:color w:val="auto"/>
        </w:rPr>
        <w:t>: Settle into shares of Class A common stock in three equal installments over three years, subject solely to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through each applicable vesting date.</w:t>
      </w:r>
    </w:p>
    <w:p>
      <w:pPr>
        <w:spacing w:after="0" w:line="109" w:lineRule="exact"/>
        <w:rPr>
          <w:rFonts w:ascii="Arial" w:cs="Arial" w:eastAsia="Arial" w:hAnsi="Arial"/>
          <w:sz w:val="18"/>
          <w:szCs w:val="18"/>
          <w:color w:val="auto"/>
        </w:rPr>
      </w:pPr>
    </w:p>
    <w:p>
      <w:pPr>
        <w:jc w:val="both"/>
        <w:ind w:left="640" w:hanging="316"/>
        <w:spacing w:after="0" w:line="259" w:lineRule="auto"/>
        <w:tabs>
          <w:tab w:leader="none" w:pos="60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Performance-Based RSUs</w:t>
      </w:r>
      <w:r>
        <w:rPr>
          <w:rFonts w:ascii="Arial" w:cs="Arial" w:eastAsia="Arial" w:hAnsi="Arial"/>
          <w:sz w:val="18"/>
          <w:szCs w:val="18"/>
          <w:color w:val="auto"/>
        </w:rPr>
        <w:t>: Settle into shares of Class A common stock at the end of a three-year performance period.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2026, the performance-based RSU goals are based on the Company's performance against two internal financial metrics — Adjusted EBITDA and Revenue and a total shareholder return (TSR) multiplier.</w:t>
      </w:r>
    </w:p>
    <w:p>
      <w:pPr>
        <w:spacing w:after="0" w:line="147" w:lineRule="exact"/>
        <w:rPr>
          <w:sz w:val="20"/>
          <w:szCs w:val="20"/>
          <w:color w:val="auto"/>
        </w:rPr>
      </w:pPr>
    </w:p>
    <w:tbl>
      <w:tblPr>
        <w:tblLayout w:type="fixed"/>
        <w:tblInd w:w="770" w:type="dxa"/>
        <w:tblCellMar>
          <w:top w:w="0" w:type="dxa"/>
          <w:left w:w="0" w:type="dxa"/>
          <w:bottom w:w="0" w:type="dxa"/>
          <w:right w:w="0" w:type="dxa"/>
        </w:tblCellMar>
      </w:tblPr>
      <w:tr>
        <w:trPr>
          <w:trHeight w:val="225"/>
        </w:trPr>
        <w:tc>
          <w:tcPr>
            <w:tcW w:w="3960" w:type="dxa"/>
            <w:vAlign w:val="bottom"/>
            <w:tcBorders>
              <w:top w:val="single" w:sz="8" w:color="auto"/>
              <w:left w:val="single" w:sz="8" w:color="auto"/>
              <w:right w:val="single" w:sz="8" w:color="00A5B5"/>
            </w:tcBorders>
            <w:gridSpan w:val="2"/>
            <w:shd w:val="clear" w:color="auto" w:fill="00A5B5"/>
          </w:tcPr>
          <w:p>
            <w:pPr>
              <w:ind w:left="700"/>
              <w:spacing w:after="0"/>
              <w:rPr>
                <w:sz w:val="20"/>
                <w:szCs w:val="20"/>
                <w:color w:val="auto"/>
              </w:rPr>
            </w:pPr>
            <w:r>
              <w:rPr>
                <w:rFonts w:ascii="Arial" w:cs="Arial" w:eastAsia="Arial" w:hAnsi="Arial"/>
                <w:sz w:val="14"/>
                <w:szCs w:val="14"/>
                <w:b w:val="1"/>
                <w:bCs w:val="1"/>
                <w:color w:val="FFFFFF"/>
              </w:rPr>
              <w:t>Fiscal Year 2026 Performance Metrics</w:t>
            </w:r>
          </w:p>
        </w:tc>
        <w:tc>
          <w:tcPr>
            <w:tcW w:w="1160" w:type="dxa"/>
            <w:vAlign w:val="bottom"/>
            <w:tcBorders>
              <w:top w:val="single" w:sz="8" w:color="auto"/>
              <w:right w:val="single" w:sz="8" w:color="00A5B5"/>
            </w:tcBorders>
            <w:shd w:val="clear" w:color="auto" w:fill="00A5B5"/>
          </w:tcPr>
          <w:p>
            <w:pPr>
              <w:jc w:val="center"/>
              <w:spacing w:after="0"/>
              <w:rPr>
                <w:sz w:val="20"/>
                <w:szCs w:val="20"/>
                <w:color w:val="auto"/>
              </w:rPr>
            </w:pPr>
            <w:r>
              <w:rPr>
                <w:rFonts w:ascii="Arial" w:cs="Arial" w:eastAsia="Arial" w:hAnsi="Arial"/>
                <w:sz w:val="14"/>
                <w:szCs w:val="14"/>
                <w:b w:val="1"/>
                <w:bCs w:val="1"/>
                <w:color w:val="FFFFFF"/>
              </w:rPr>
              <w:t>Weighting</w:t>
            </w:r>
          </w:p>
        </w:tc>
        <w:tc>
          <w:tcPr>
            <w:tcW w:w="4640" w:type="dxa"/>
            <w:vAlign w:val="bottom"/>
            <w:tcBorders>
              <w:top w:val="single" w:sz="8" w:color="auto"/>
              <w:right w:val="single" w:sz="8" w:color="auto"/>
            </w:tcBorders>
            <w:shd w:val="clear" w:color="auto" w:fill="00A5B5"/>
          </w:tcPr>
          <w:p>
            <w:pPr>
              <w:spacing w:after="0"/>
              <w:rPr>
                <w:sz w:val="20"/>
                <w:szCs w:val="20"/>
                <w:color w:val="auto"/>
              </w:rPr>
            </w:pPr>
            <w:r>
              <w:rPr>
                <w:rFonts w:ascii="Arial" w:cs="Arial" w:eastAsia="Arial" w:hAnsi="Arial"/>
                <w:sz w:val="14"/>
                <w:szCs w:val="14"/>
                <w:b w:val="1"/>
                <w:bCs w:val="1"/>
                <w:color w:val="FFFFFF"/>
              </w:rPr>
              <w:t>Performance Metric Description</w:t>
            </w:r>
          </w:p>
        </w:tc>
        <w:tc>
          <w:tcPr>
            <w:tcW w:w="0" w:type="dxa"/>
            <w:vAlign w:val="bottom"/>
          </w:tcPr>
          <w:p>
            <w:pPr>
              <w:spacing w:after="0"/>
              <w:rPr>
                <w:sz w:val="1"/>
                <w:szCs w:val="1"/>
                <w:color w:val="auto"/>
              </w:rPr>
            </w:pPr>
          </w:p>
        </w:tc>
      </w:tr>
      <w:tr>
        <w:trPr>
          <w:trHeight w:val="159"/>
        </w:trPr>
        <w:tc>
          <w:tcPr>
            <w:tcW w:w="1360" w:type="dxa"/>
            <w:vAlign w:val="bottom"/>
            <w:tcBorders>
              <w:left w:val="single" w:sz="8" w:color="auto"/>
              <w:right w:val="single" w:sz="8" w:color="DBDBDB"/>
            </w:tcBorders>
            <w:shd w:val="clear" w:color="auto" w:fill="CCEEF0"/>
          </w:tcPr>
          <w:p>
            <w:pPr>
              <w:spacing w:after="0"/>
              <w:rPr>
                <w:sz w:val="13"/>
                <w:szCs w:val="13"/>
                <w:color w:val="auto"/>
              </w:rPr>
            </w:pPr>
          </w:p>
        </w:tc>
        <w:tc>
          <w:tcPr>
            <w:tcW w:w="2600" w:type="dxa"/>
            <w:vAlign w:val="bottom"/>
            <w:tcBorders>
              <w:right w:val="single" w:sz="8" w:color="DBDBDB"/>
            </w:tcBorders>
            <w:shd w:val="clear" w:color="auto" w:fill="CCEEF0"/>
          </w:tcPr>
          <w:p>
            <w:pPr>
              <w:spacing w:after="0" w:line="159" w:lineRule="exact"/>
              <w:rPr>
                <w:sz w:val="20"/>
                <w:szCs w:val="20"/>
                <w:color w:val="auto"/>
              </w:rPr>
            </w:pPr>
            <w:r>
              <w:rPr>
                <w:rFonts w:ascii="Arial" w:cs="Arial" w:eastAsia="Arial" w:hAnsi="Arial"/>
                <w:sz w:val="14"/>
                <w:szCs w:val="14"/>
                <w:color w:val="auto"/>
              </w:rPr>
              <w:t>Adjusted Earnings before Interest,</w:t>
            </w:r>
          </w:p>
        </w:tc>
        <w:tc>
          <w:tcPr>
            <w:tcW w:w="1160" w:type="dxa"/>
            <w:vAlign w:val="bottom"/>
            <w:tcBorders>
              <w:right w:val="single" w:sz="8" w:color="DBDBDB"/>
            </w:tcBorders>
            <w:vMerge w:val="restart"/>
            <w:shd w:val="clear" w:color="auto" w:fill="CCEEF0"/>
          </w:tcPr>
          <w:p>
            <w:pPr>
              <w:jc w:val="center"/>
              <w:spacing w:after="0"/>
              <w:rPr>
                <w:sz w:val="20"/>
                <w:szCs w:val="20"/>
                <w:color w:val="auto"/>
              </w:rPr>
            </w:pPr>
            <w:r>
              <w:rPr>
                <w:rFonts w:ascii="Arial" w:cs="Arial" w:eastAsia="Arial" w:hAnsi="Arial"/>
                <w:sz w:val="14"/>
                <w:szCs w:val="14"/>
                <w:color w:val="auto"/>
                <w:w w:val="99"/>
              </w:rPr>
              <w:t>75%</w:t>
            </w:r>
          </w:p>
        </w:tc>
        <w:tc>
          <w:tcPr>
            <w:tcW w:w="4640" w:type="dxa"/>
            <w:vAlign w:val="bottom"/>
            <w:tcBorders>
              <w:right w:val="single" w:sz="8" w:color="auto"/>
            </w:tcBorders>
            <w:shd w:val="clear" w:color="auto" w:fill="CCEEF0"/>
          </w:tcPr>
          <w:p>
            <w:pPr>
              <w:spacing w:after="0" w:line="159" w:lineRule="exact"/>
              <w:rPr>
                <w:sz w:val="20"/>
                <w:szCs w:val="20"/>
                <w:color w:val="auto"/>
              </w:rPr>
            </w:pPr>
            <w:r>
              <w:rPr>
                <w:rFonts w:ascii="Arial" w:cs="Arial" w:eastAsia="Arial" w:hAnsi="Arial"/>
                <w:sz w:val="14"/>
                <w:szCs w:val="14"/>
                <w:color w:val="auto"/>
              </w:rPr>
              <w:t>Three-year adjusted EBITDA measured based on the average annual</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DBDBDB"/>
            </w:tcBorders>
            <w:shd w:val="clear" w:color="auto" w:fill="CCEEF0"/>
          </w:tcPr>
          <w:p>
            <w:pPr>
              <w:spacing w:after="0"/>
              <w:rPr>
                <w:sz w:val="12"/>
                <w:szCs w:val="12"/>
                <w:color w:val="auto"/>
              </w:rPr>
            </w:pPr>
          </w:p>
        </w:tc>
        <w:tc>
          <w:tcPr>
            <w:tcW w:w="2600" w:type="dxa"/>
            <w:vAlign w:val="bottom"/>
            <w:tcBorders>
              <w:right w:val="single" w:sz="8" w:color="DBDBDB"/>
            </w:tcBorders>
            <w:shd w:val="clear" w:color="auto" w:fill="CCEEF0"/>
          </w:tcPr>
          <w:p>
            <w:pPr>
              <w:spacing w:after="0" w:line="142" w:lineRule="exact"/>
              <w:rPr>
                <w:sz w:val="20"/>
                <w:szCs w:val="20"/>
                <w:color w:val="auto"/>
              </w:rPr>
            </w:pPr>
            <w:r>
              <w:rPr>
                <w:rFonts w:ascii="Arial" w:cs="Arial" w:eastAsia="Arial" w:hAnsi="Arial"/>
                <w:sz w:val="14"/>
                <w:szCs w:val="14"/>
                <w:color w:val="auto"/>
              </w:rPr>
              <w:t>Taxes, Depreciation, and Amortization</w:t>
            </w:r>
          </w:p>
        </w:tc>
        <w:tc>
          <w:tcPr>
            <w:tcW w:w="1160" w:type="dxa"/>
            <w:vAlign w:val="bottom"/>
            <w:tcBorders>
              <w:right w:val="single" w:sz="8" w:color="DBDBDB"/>
            </w:tcBorders>
            <w:vMerge w:val="continue"/>
            <w:shd w:val="clear" w:color="auto" w:fill="CCEEF0"/>
          </w:tcPr>
          <w:p>
            <w:pPr>
              <w:spacing w:after="0"/>
              <w:rPr>
                <w:sz w:val="12"/>
                <w:szCs w:val="12"/>
                <w:color w:val="auto"/>
              </w:rPr>
            </w:pPr>
          </w:p>
        </w:tc>
        <w:tc>
          <w:tcPr>
            <w:tcW w:w="4640" w:type="dxa"/>
            <w:vAlign w:val="bottom"/>
            <w:tcBorders>
              <w:right w:val="single" w:sz="8" w:color="auto"/>
            </w:tcBorders>
            <w:shd w:val="clear" w:color="auto" w:fill="CCEEF0"/>
          </w:tcPr>
          <w:p>
            <w:pPr>
              <w:spacing w:after="0" w:line="142" w:lineRule="exact"/>
              <w:rPr>
                <w:sz w:val="20"/>
                <w:szCs w:val="20"/>
                <w:color w:val="auto"/>
              </w:rPr>
            </w:pPr>
            <w:r>
              <w:rPr>
                <w:rFonts w:ascii="Arial" w:cs="Arial" w:eastAsia="Arial" w:hAnsi="Arial"/>
                <w:sz w:val="14"/>
                <w:szCs w:val="14"/>
                <w:color w:val="auto"/>
              </w:rPr>
              <w:t>growth rate against performance targets set near the start of the</w:t>
            </w:r>
          </w:p>
        </w:tc>
        <w:tc>
          <w:tcPr>
            <w:tcW w:w="0" w:type="dxa"/>
            <w:vAlign w:val="bottom"/>
          </w:tcPr>
          <w:p>
            <w:pPr>
              <w:spacing w:after="0"/>
              <w:rPr>
                <w:sz w:val="1"/>
                <w:szCs w:val="1"/>
                <w:color w:val="auto"/>
              </w:rPr>
            </w:pPr>
          </w:p>
        </w:tc>
      </w:tr>
      <w:tr>
        <w:trPr>
          <w:trHeight w:val="215"/>
        </w:trPr>
        <w:tc>
          <w:tcPr>
            <w:tcW w:w="1360" w:type="dxa"/>
            <w:vAlign w:val="bottom"/>
            <w:tcBorders>
              <w:left w:val="single" w:sz="8" w:color="auto"/>
              <w:bottom w:val="single" w:sz="8" w:color="CCEEF0"/>
              <w:right w:val="single" w:sz="8" w:color="DBDBDB"/>
            </w:tcBorders>
            <w:vMerge w:val="restart"/>
            <w:shd w:val="clear" w:color="auto" w:fill="CCEEF0"/>
          </w:tcPr>
          <w:p>
            <w:pPr>
              <w:ind w:left="20"/>
              <w:spacing w:after="0"/>
              <w:rPr>
                <w:sz w:val="20"/>
                <w:szCs w:val="20"/>
                <w:color w:val="auto"/>
              </w:rPr>
            </w:pPr>
            <w:r>
              <w:rPr>
                <w:rFonts w:ascii="Arial" w:cs="Arial" w:eastAsia="Arial" w:hAnsi="Arial"/>
                <w:sz w:val="14"/>
                <w:szCs w:val="14"/>
                <w:color w:val="auto"/>
              </w:rPr>
              <w:t>Financial Metrics</w:t>
            </w:r>
          </w:p>
        </w:tc>
        <w:tc>
          <w:tcPr>
            <w:tcW w:w="2600" w:type="dxa"/>
            <w:vAlign w:val="bottom"/>
            <w:tcBorders>
              <w:bottom w:val="single" w:sz="8" w:color="DBDBDB"/>
              <w:right w:val="single" w:sz="8" w:color="DBDBDB"/>
            </w:tcBorders>
            <w:shd w:val="clear" w:color="auto" w:fill="CCEEF0"/>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1</w:t>
            </w:r>
          </w:p>
        </w:tc>
        <w:tc>
          <w:tcPr>
            <w:tcW w:w="1160" w:type="dxa"/>
            <w:vAlign w:val="bottom"/>
            <w:tcBorders>
              <w:bottom w:val="single" w:sz="8" w:color="DBDBDB"/>
              <w:right w:val="single" w:sz="8" w:color="DBDBDB"/>
            </w:tcBorders>
            <w:shd w:val="clear" w:color="auto" w:fill="CCEEF0"/>
          </w:tcPr>
          <w:p>
            <w:pPr>
              <w:spacing w:after="0"/>
              <w:rPr>
                <w:sz w:val="18"/>
                <w:szCs w:val="18"/>
                <w:color w:val="auto"/>
              </w:rPr>
            </w:pPr>
          </w:p>
        </w:tc>
        <w:tc>
          <w:tcPr>
            <w:tcW w:w="4640" w:type="dxa"/>
            <w:vAlign w:val="bottom"/>
            <w:tcBorders>
              <w:bottom w:val="single" w:sz="8" w:color="DBDBDB"/>
              <w:right w:val="single" w:sz="8" w:color="auto"/>
            </w:tcBorders>
            <w:shd w:val="clear" w:color="auto" w:fill="CCEEF0"/>
          </w:tcPr>
          <w:p>
            <w:pPr>
              <w:spacing w:after="0"/>
              <w:rPr>
                <w:sz w:val="20"/>
                <w:szCs w:val="20"/>
                <w:color w:val="auto"/>
              </w:rPr>
            </w:pPr>
            <w:r>
              <w:rPr>
                <w:rFonts w:ascii="Arial" w:cs="Arial" w:eastAsia="Arial" w:hAnsi="Arial"/>
                <w:sz w:val="14"/>
                <w:szCs w:val="14"/>
                <w:color w:val="auto"/>
              </w:rPr>
              <w:t>performance period</w:t>
            </w:r>
          </w:p>
        </w:tc>
        <w:tc>
          <w:tcPr>
            <w:tcW w:w="0" w:type="dxa"/>
            <w:vAlign w:val="bottom"/>
          </w:tcPr>
          <w:p>
            <w:pPr>
              <w:spacing w:after="0"/>
              <w:rPr>
                <w:sz w:val="1"/>
                <w:szCs w:val="1"/>
                <w:color w:val="auto"/>
              </w:rPr>
            </w:pPr>
          </w:p>
        </w:tc>
      </w:tr>
      <w:tr>
        <w:trPr>
          <w:trHeight w:val="77"/>
        </w:trPr>
        <w:tc>
          <w:tcPr>
            <w:tcW w:w="1360" w:type="dxa"/>
            <w:vAlign w:val="bottom"/>
            <w:tcBorders>
              <w:left w:val="single" w:sz="8" w:color="auto"/>
              <w:right w:val="single" w:sz="8" w:color="DBDBDB"/>
            </w:tcBorders>
            <w:vMerge w:val="continue"/>
            <w:shd w:val="clear" w:color="auto" w:fill="CCEEF0"/>
          </w:tcPr>
          <w:p>
            <w:pPr>
              <w:spacing w:after="0"/>
              <w:rPr>
                <w:sz w:val="6"/>
                <w:szCs w:val="6"/>
                <w:color w:val="auto"/>
              </w:rPr>
            </w:pPr>
          </w:p>
        </w:tc>
        <w:tc>
          <w:tcPr>
            <w:tcW w:w="2600" w:type="dxa"/>
            <w:vAlign w:val="bottom"/>
            <w:tcBorders>
              <w:right w:val="single" w:sz="8" w:color="DBDBDB"/>
            </w:tcBorders>
            <w:vMerge w:val="restart"/>
            <w:shd w:val="clear" w:color="auto" w:fill="CCEEF0"/>
          </w:tcPr>
          <w:p>
            <w:pPr>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1</w:t>
            </w:r>
          </w:p>
        </w:tc>
        <w:tc>
          <w:tcPr>
            <w:tcW w:w="1160" w:type="dxa"/>
            <w:vAlign w:val="bottom"/>
            <w:tcBorders>
              <w:right w:val="single" w:sz="8" w:color="DBDBDB"/>
            </w:tcBorders>
            <w:vMerge w:val="restart"/>
            <w:shd w:val="clear" w:color="auto" w:fill="CCEEF0"/>
          </w:tcPr>
          <w:p>
            <w:pPr>
              <w:jc w:val="center"/>
              <w:spacing w:after="0"/>
              <w:rPr>
                <w:sz w:val="20"/>
                <w:szCs w:val="20"/>
                <w:color w:val="auto"/>
              </w:rPr>
            </w:pPr>
            <w:r>
              <w:rPr>
                <w:rFonts w:ascii="Arial" w:cs="Arial" w:eastAsia="Arial" w:hAnsi="Arial"/>
                <w:sz w:val="14"/>
                <w:szCs w:val="14"/>
                <w:color w:val="auto"/>
                <w:w w:val="99"/>
              </w:rPr>
              <w:t>25%</w:t>
            </w:r>
          </w:p>
        </w:tc>
        <w:tc>
          <w:tcPr>
            <w:tcW w:w="4640" w:type="dxa"/>
            <w:vAlign w:val="bottom"/>
            <w:tcBorders>
              <w:right w:val="single" w:sz="8" w:color="auto"/>
            </w:tcBorders>
            <w:vMerge w:val="restart"/>
            <w:shd w:val="clear" w:color="auto" w:fill="CCEEF0"/>
          </w:tcPr>
          <w:p>
            <w:pPr>
              <w:spacing w:after="0" w:line="152" w:lineRule="exact"/>
              <w:rPr>
                <w:sz w:val="20"/>
                <w:szCs w:val="20"/>
                <w:color w:val="auto"/>
              </w:rPr>
            </w:pPr>
            <w:r>
              <w:rPr>
                <w:rFonts w:ascii="Arial" w:cs="Arial" w:eastAsia="Arial" w:hAnsi="Arial"/>
                <w:sz w:val="14"/>
                <w:szCs w:val="14"/>
                <w:color w:val="auto"/>
              </w:rPr>
              <w:t>Three-year cumulative revenue measured based on the average annual</w:t>
            </w:r>
          </w:p>
        </w:tc>
        <w:tc>
          <w:tcPr>
            <w:tcW w:w="0" w:type="dxa"/>
            <w:vAlign w:val="bottom"/>
          </w:tcPr>
          <w:p>
            <w:pPr>
              <w:spacing w:after="0"/>
              <w:rPr>
                <w:sz w:val="1"/>
                <w:szCs w:val="1"/>
                <w:color w:val="auto"/>
              </w:rPr>
            </w:pPr>
          </w:p>
        </w:tc>
      </w:tr>
      <w:tr>
        <w:trPr>
          <w:trHeight w:val="75"/>
        </w:trPr>
        <w:tc>
          <w:tcPr>
            <w:tcW w:w="1360" w:type="dxa"/>
            <w:vAlign w:val="bottom"/>
            <w:tcBorders>
              <w:left w:val="single" w:sz="8" w:color="auto"/>
              <w:right w:val="single" w:sz="8" w:color="DBDBDB"/>
            </w:tcBorders>
            <w:shd w:val="clear" w:color="auto" w:fill="CCEEF0"/>
          </w:tcPr>
          <w:p>
            <w:pPr>
              <w:spacing w:after="0"/>
              <w:rPr>
                <w:sz w:val="6"/>
                <w:szCs w:val="6"/>
                <w:color w:val="auto"/>
              </w:rPr>
            </w:pPr>
          </w:p>
        </w:tc>
        <w:tc>
          <w:tcPr>
            <w:tcW w:w="2600" w:type="dxa"/>
            <w:vAlign w:val="bottom"/>
            <w:tcBorders>
              <w:right w:val="single" w:sz="8" w:color="DBDBDB"/>
            </w:tcBorders>
            <w:vMerge w:val="continue"/>
            <w:shd w:val="clear" w:color="auto" w:fill="CCEEF0"/>
          </w:tcPr>
          <w:p>
            <w:pPr>
              <w:spacing w:after="0"/>
              <w:rPr>
                <w:sz w:val="6"/>
                <w:szCs w:val="6"/>
                <w:color w:val="auto"/>
              </w:rPr>
            </w:pPr>
          </w:p>
        </w:tc>
        <w:tc>
          <w:tcPr>
            <w:tcW w:w="1160" w:type="dxa"/>
            <w:vAlign w:val="bottom"/>
            <w:tcBorders>
              <w:right w:val="single" w:sz="8" w:color="DBDBDB"/>
            </w:tcBorders>
            <w:vMerge w:val="continue"/>
            <w:shd w:val="clear" w:color="auto" w:fill="CCEEF0"/>
          </w:tcPr>
          <w:p>
            <w:pPr>
              <w:spacing w:after="0"/>
              <w:rPr>
                <w:sz w:val="6"/>
                <w:szCs w:val="6"/>
                <w:color w:val="auto"/>
              </w:rPr>
            </w:pPr>
          </w:p>
        </w:tc>
        <w:tc>
          <w:tcPr>
            <w:tcW w:w="4640" w:type="dxa"/>
            <w:vAlign w:val="bottom"/>
            <w:tcBorders>
              <w:right w:val="single" w:sz="8" w:color="auto"/>
            </w:tcBorders>
            <w:vMerge w:val="continue"/>
            <w:shd w:val="clear" w:color="auto" w:fill="CCEEF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right w:val="single" w:sz="8" w:color="DBDBDB"/>
            </w:tcBorders>
            <w:shd w:val="clear" w:color="auto" w:fill="CCEEF0"/>
          </w:tcPr>
          <w:p>
            <w:pPr>
              <w:spacing w:after="0"/>
              <w:rPr>
                <w:sz w:val="12"/>
                <w:szCs w:val="12"/>
                <w:color w:val="auto"/>
              </w:rPr>
            </w:pPr>
          </w:p>
        </w:tc>
        <w:tc>
          <w:tcPr>
            <w:tcW w:w="2600" w:type="dxa"/>
            <w:vAlign w:val="bottom"/>
            <w:tcBorders>
              <w:right w:val="single" w:sz="8" w:color="DBDBDB"/>
            </w:tcBorders>
            <w:vMerge w:val="continue"/>
            <w:shd w:val="clear" w:color="auto" w:fill="CCEEF0"/>
          </w:tcPr>
          <w:p>
            <w:pPr>
              <w:spacing w:after="0"/>
              <w:rPr>
                <w:sz w:val="12"/>
                <w:szCs w:val="12"/>
                <w:color w:val="auto"/>
              </w:rPr>
            </w:pPr>
          </w:p>
        </w:tc>
        <w:tc>
          <w:tcPr>
            <w:tcW w:w="1160" w:type="dxa"/>
            <w:vAlign w:val="bottom"/>
            <w:tcBorders>
              <w:right w:val="single" w:sz="8" w:color="DBDBDB"/>
            </w:tcBorders>
            <w:vMerge w:val="continue"/>
            <w:shd w:val="clear" w:color="auto" w:fill="CCEEF0"/>
          </w:tcPr>
          <w:p>
            <w:pPr>
              <w:spacing w:after="0"/>
              <w:rPr>
                <w:sz w:val="12"/>
                <w:szCs w:val="12"/>
                <w:color w:val="auto"/>
              </w:rPr>
            </w:pPr>
          </w:p>
        </w:tc>
        <w:tc>
          <w:tcPr>
            <w:tcW w:w="4640" w:type="dxa"/>
            <w:vAlign w:val="bottom"/>
            <w:tcBorders>
              <w:right w:val="single" w:sz="8" w:color="auto"/>
            </w:tcBorders>
            <w:shd w:val="clear" w:color="auto" w:fill="CCEEF0"/>
          </w:tcPr>
          <w:p>
            <w:pPr>
              <w:spacing w:after="0" w:line="146" w:lineRule="exact"/>
              <w:rPr>
                <w:sz w:val="20"/>
                <w:szCs w:val="20"/>
                <w:color w:val="auto"/>
              </w:rPr>
            </w:pPr>
            <w:r>
              <w:rPr>
                <w:rFonts w:ascii="Arial" w:cs="Arial" w:eastAsia="Arial" w:hAnsi="Arial"/>
                <w:sz w:val="14"/>
                <w:szCs w:val="14"/>
                <w:color w:val="auto"/>
              </w:rPr>
              <w:t>growth rate against performance targets set near the start of the</w:t>
            </w:r>
          </w:p>
        </w:tc>
        <w:tc>
          <w:tcPr>
            <w:tcW w:w="0" w:type="dxa"/>
            <w:vAlign w:val="bottom"/>
          </w:tcPr>
          <w:p>
            <w:pPr>
              <w:spacing w:after="0"/>
              <w:rPr>
                <w:sz w:val="1"/>
                <w:szCs w:val="1"/>
                <w:color w:val="auto"/>
              </w:rPr>
            </w:pPr>
          </w:p>
        </w:tc>
      </w:tr>
      <w:tr>
        <w:trPr>
          <w:trHeight w:val="217"/>
        </w:trPr>
        <w:tc>
          <w:tcPr>
            <w:tcW w:w="1360" w:type="dxa"/>
            <w:vAlign w:val="bottom"/>
            <w:tcBorders>
              <w:left w:val="single" w:sz="8" w:color="auto"/>
              <w:bottom w:val="single" w:sz="8" w:color="CCEEF0"/>
              <w:right w:val="single" w:sz="8" w:color="DBDBDB"/>
            </w:tcBorders>
            <w:shd w:val="clear" w:color="auto" w:fill="CCEEF0"/>
          </w:tcPr>
          <w:p>
            <w:pPr>
              <w:spacing w:after="0"/>
              <w:rPr>
                <w:sz w:val="18"/>
                <w:szCs w:val="18"/>
                <w:color w:val="auto"/>
              </w:rPr>
            </w:pPr>
          </w:p>
        </w:tc>
        <w:tc>
          <w:tcPr>
            <w:tcW w:w="2600" w:type="dxa"/>
            <w:vAlign w:val="bottom"/>
            <w:tcBorders>
              <w:bottom w:val="single" w:sz="8" w:color="CCEEF0"/>
              <w:right w:val="single" w:sz="8" w:color="DBDBDB"/>
            </w:tcBorders>
            <w:shd w:val="clear" w:color="auto" w:fill="CCEEF0"/>
          </w:tcPr>
          <w:p>
            <w:pPr>
              <w:spacing w:after="0"/>
              <w:rPr>
                <w:sz w:val="18"/>
                <w:szCs w:val="18"/>
                <w:color w:val="auto"/>
              </w:rPr>
            </w:pPr>
          </w:p>
        </w:tc>
        <w:tc>
          <w:tcPr>
            <w:tcW w:w="1160" w:type="dxa"/>
            <w:vAlign w:val="bottom"/>
            <w:tcBorders>
              <w:bottom w:val="single" w:sz="8" w:color="CCEEF0"/>
              <w:right w:val="single" w:sz="8" w:color="DBDBDB"/>
            </w:tcBorders>
            <w:shd w:val="clear" w:color="auto" w:fill="CCEEF0"/>
          </w:tcPr>
          <w:p>
            <w:pPr>
              <w:spacing w:after="0"/>
              <w:rPr>
                <w:sz w:val="18"/>
                <w:szCs w:val="18"/>
                <w:color w:val="auto"/>
              </w:rPr>
            </w:pPr>
          </w:p>
        </w:tc>
        <w:tc>
          <w:tcPr>
            <w:tcW w:w="4640" w:type="dxa"/>
            <w:vAlign w:val="bottom"/>
            <w:tcBorders>
              <w:bottom w:val="single" w:sz="8" w:color="CCEEF0"/>
              <w:right w:val="single" w:sz="8" w:color="auto"/>
            </w:tcBorders>
            <w:shd w:val="clear" w:color="auto" w:fill="CCEEF0"/>
          </w:tcPr>
          <w:p>
            <w:pPr>
              <w:spacing w:after="0"/>
              <w:rPr>
                <w:sz w:val="20"/>
                <w:szCs w:val="20"/>
                <w:color w:val="auto"/>
              </w:rPr>
            </w:pPr>
            <w:r>
              <w:rPr>
                <w:rFonts w:ascii="Arial" w:cs="Arial" w:eastAsia="Arial" w:hAnsi="Arial"/>
                <w:sz w:val="14"/>
                <w:szCs w:val="14"/>
                <w:color w:val="auto"/>
              </w:rPr>
              <w:t>performance period</w:t>
            </w:r>
          </w:p>
        </w:tc>
        <w:tc>
          <w:tcPr>
            <w:tcW w:w="0" w:type="dxa"/>
            <w:vAlign w:val="bottom"/>
          </w:tcPr>
          <w:p>
            <w:pPr>
              <w:spacing w:after="0"/>
              <w:rPr>
                <w:sz w:val="1"/>
                <w:szCs w:val="1"/>
                <w:color w:val="auto"/>
              </w:rPr>
            </w:pPr>
          </w:p>
        </w:tc>
      </w:tr>
      <w:tr>
        <w:trPr>
          <w:trHeight w:val="139"/>
        </w:trPr>
        <w:tc>
          <w:tcPr>
            <w:tcW w:w="1360" w:type="dxa"/>
            <w:vAlign w:val="bottom"/>
            <w:tcBorders>
              <w:top w:val="single" w:sz="8" w:color="DBDBDB"/>
              <w:left w:val="single" w:sz="8" w:color="auto"/>
              <w:right w:val="single" w:sz="8" w:color="DBDBDB"/>
            </w:tcBorders>
            <w:vMerge w:val="restart"/>
            <w:shd w:val="clear" w:color="auto" w:fill="CCEEF0"/>
          </w:tcPr>
          <w:p>
            <w:pPr>
              <w:ind w:left="20"/>
              <w:spacing w:after="0"/>
              <w:rPr>
                <w:sz w:val="20"/>
                <w:szCs w:val="20"/>
                <w:color w:val="auto"/>
              </w:rPr>
            </w:pPr>
            <w:r>
              <w:rPr>
                <w:rFonts w:ascii="Arial" w:cs="Arial" w:eastAsia="Arial" w:hAnsi="Arial"/>
                <w:sz w:val="14"/>
                <w:szCs w:val="14"/>
                <w:color w:val="auto"/>
              </w:rPr>
              <w:t>TSR Multiplier</w:t>
            </w:r>
          </w:p>
        </w:tc>
        <w:tc>
          <w:tcPr>
            <w:tcW w:w="2600" w:type="dxa"/>
            <w:vAlign w:val="bottom"/>
            <w:tcBorders>
              <w:top w:val="single" w:sz="8" w:color="DBDBDB"/>
              <w:right w:val="single" w:sz="8" w:color="DBDBDB"/>
            </w:tcBorders>
            <w:vMerge w:val="restart"/>
            <w:shd w:val="clear" w:color="auto" w:fill="CCEEF0"/>
          </w:tcPr>
          <w:p>
            <w:pPr>
              <w:spacing w:after="0"/>
              <w:rPr>
                <w:sz w:val="20"/>
                <w:szCs w:val="20"/>
                <w:color w:val="auto"/>
              </w:rPr>
            </w:pPr>
            <w:r>
              <w:rPr>
                <w:rFonts w:ascii="Arial" w:cs="Arial" w:eastAsia="Arial" w:hAnsi="Arial"/>
                <w:sz w:val="14"/>
                <w:szCs w:val="14"/>
                <w:color w:val="auto"/>
              </w:rPr>
              <w:t>Total Shareholder Return</w:t>
            </w:r>
          </w:p>
        </w:tc>
        <w:tc>
          <w:tcPr>
            <w:tcW w:w="1160" w:type="dxa"/>
            <w:vAlign w:val="bottom"/>
            <w:tcBorders>
              <w:top w:val="single" w:sz="8" w:color="DBDBDB"/>
              <w:right w:val="single" w:sz="8" w:color="DBDBDB"/>
            </w:tcBorders>
            <w:shd w:val="clear" w:color="auto" w:fill="CCEEF0"/>
          </w:tcPr>
          <w:p>
            <w:pPr>
              <w:jc w:val="center"/>
              <w:spacing w:after="0" w:line="139" w:lineRule="exact"/>
              <w:rPr>
                <w:sz w:val="20"/>
                <w:szCs w:val="20"/>
                <w:color w:val="auto"/>
              </w:rPr>
            </w:pPr>
            <w:r>
              <w:rPr>
                <w:rFonts w:ascii="Arial" w:cs="Arial" w:eastAsia="Arial" w:hAnsi="Arial"/>
                <w:sz w:val="14"/>
                <w:szCs w:val="14"/>
                <w:color w:val="auto"/>
                <w:w w:val="99"/>
              </w:rPr>
              <w:t>20%</w:t>
            </w:r>
          </w:p>
        </w:tc>
        <w:tc>
          <w:tcPr>
            <w:tcW w:w="4640" w:type="dxa"/>
            <w:vAlign w:val="bottom"/>
            <w:tcBorders>
              <w:top w:val="single" w:sz="8" w:color="DBDBDB"/>
              <w:right w:val="single" w:sz="8" w:color="auto"/>
            </w:tcBorders>
            <w:shd w:val="clear" w:color="auto" w:fill="CCEEF0"/>
          </w:tcPr>
          <w:p>
            <w:pPr>
              <w:spacing w:after="0" w:line="139" w:lineRule="exact"/>
              <w:rPr>
                <w:sz w:val="20"/>
                <w:szCs w:val="20"/>
                <w:color w:val="auto"/>
              </w:rPr>
            </w:pPr>
            <w:r>
              <w:rPr>
                <w:rFonts w:ascii="Arial" w:cs="Arial" w:eastAsia="Arial" w:hAnsi="Arial"/>
                <w:sz w:val="14"/>
                <w:szCs w:val="14"/>
                <w:color w:val="auto"/>
              </w:rPr>
              <w:t>Three-year comparison of the Company's total shareholder return relative</w:t>
            </w:r>
          </w:p>
        </w:tc>
        <w:tc>
          <w:tcPr>
            <w:tcW w:w="0" w:type="dxa"/>
            <w:vAlign w:val="bottom"/>
          </w:tcPr>
          <w:p>
            <w:pPr>
              <w:spacing w:after="0"/>
              <w:rPr>
                <w:sz w:val="1"/>
                <w:szCs w:val="1"/>
                <w:color w:val="auto"/>
              </w:rPr>
            </w:pPr>
          </w:p>
        </w:tc>
      </w:tr>
      <w:tr>
        <w:trPr>
          <w:trHeight w:val="110"/>
        </w:trPr>
        <w:tc>
          <w:tcPr>
            <w:tcW w:w="1360" w:type="dxa"/>
            <w:vAlign w:val="bottom"/>
            <w:tcBorders>
              <w:left w:val="single" w:sz="8" w:color="auto"/>
              <w:right w:val="single" w:sz="8" w:color="DBDBDB"/>
            </w:tcBorders>
            <w:vMerge w:val="continue"/>
            <w:shd w:val="clear" w:color="auto" w:fill="CCEEF0"/>
          </w:tcPr>
          <w:p>
            <w:pPr>
              <w:spacing w:after="0"/>
              <w:rPr>
                <w:sz w:val="9"/>
                <w:szCs w:val="9"/>
                <w:color w:val="auto"/>
              </w:rPr>
            </w:pPr>
          </w:p>
        </w:tc>
        <w:tc>
          <w:tcPr>
            <w:tcW w:w="2600" w:type="dxa"/>
            <w:vAlign w:val="bottom"/>
            <w:tcBorders>
              <w:right w:val="single" w:sz="8" w:color="DBDBDB"/>
            </w:tcBorders>
            <w:vMerge w:val="continue"/>
            <w:shd w:val="clear" w:color="auto" w:fill="CCEEF0"/>
          </w:tcPr>
          <w:p>
            <w:pPr>
              <w:spacing w:after="0"/>
              <w:rPr>
                <w:sz w:val="9"/>
                <w:szCs w:val="9"/>
                <w:color w:val="auto"/>
              </w:rPr>
            </w:pPr>
          </w:p>
        </w:tc>
        <w:tc>
          <w:tcPr>
            <w:tcW w:w="1160" w:type="dxa"/>
            <w:vAlign w:val="bottom"/>
            <w:tcBorders>
              <w:right w:val="single" w:sz="8" w:color="DBDBDB"/>
            </w:tcBorders>
            <w:vMerge w:val="restart"/>
            <w:shd w:val="clear" w:color="auto" w:fill="CCEEF0"/>
          </w:tcPr>
          <w:p>
            <w:pPr>
              <w:jc w:val="center"/>
              <w:spacing w:after="0"/>
              <w:rPr>
                <w:sz w:val="20"/>
                <w:szCs w:val="20"/>
                <w:color w:val="auto"/>
              </w:rPr>
            </w:pPr>
            <w:r>
              <w:rPr>
                <w:rFonts w:ascii="Arial" w:cs="Arial" w:eastAsia="Arial" w:hAnsi="Arial"/>
                <w:sz w:val="14"/>
                <w:szCs w:val="14"/>
                <w:color w:val="auto"/>
                <w:w w:val="99"/>
              </w:rPr>
              <w:t>Multiplier</w:t>
            </w:r>
          </w:p>
        </w:tc>
        <w:tc>
          <w:tcPr>
            <w:tcW w:w="4640" w:type="dxa"/>
            <w:vAlign w:val="bottom"/>
            <w:tcBorders>
              <w:right w:val="single" w:sz="8" w:color="auto"/>
            </w:tcBorders>
            <w:vMerge w:val="restart"/>
            <w:shd w:val="clear" w:color="auto" w:fill="CCEEF0"/>
          </w:tcPr>
          <w:p>
            <w:pPr>
              <w:spacing w:after="0"/>
              <w:rPr>
                <w:sz w:val="20"/>
                <w:szCs w:val="20"/>
                <w:color w:val="auto"/>
              </w:rPr>
            </w:pPr>
            <w:r>
              <w:rPr>
                <w:rFonts w:ascii="Arial" w:cs="Arial" w:eastAsia="Arial" w:hAnsi="Arial"/>
                <w:sz w:val="14"/>
                <w:szCs w:val="14"/>
                <w:color w:val="auto"/>
              </w:rPr>
              <w:t>to the S&amp;P Software and Services Select Industry Index</w:t>
            </w:r>
          </w:p>
        </w:tc>
        <w:tc>
          <w:tcPr>
            <w:tcW w:w="0" w:type="dxa"/>
            <w:vAlign w:val="bottom"/>
          </w:tcPr>
          <w:p>
            <w:pPr>
              <w:spacing w:after="0"/>
              <w:rPr>
                <w:sz w:val="1"/>
                <w:szCs w:val="1"/>
                <w:color w:val="auto"/>
              </w:rPr>
            </w:pPr>
          </w:p>
        </w:tc>
      </w:tr>
      <w:tr>
        <w:trPr>
          <w:trHeight w:val="75"/>
        </w:trPr>
        <w:tc>
          <w:tcPr>
            <w:tcW w:w="1360" w:type="dxa"/>
            <w:vAlign w:val="bottom"/>
            <w:tcBorders>
              <w:left w:val="single" w:sz="8" w:color="auto"/>
              <w:bottom w:val="single" w:sz="8" w:color="auto"/>
              <w:right w:val="single" w:sz="8" w:color="DBDBDB"/>
            </w:tcBorders>
            <w:shd w:val="clear" w:color="auto" w:fill="CCEEF0"/>
          </w:tcPr>
          <w:p>
            <w:pPr>
              <w:spacing w:after="0"/>
              <w:rPr>
                <w:sz w:val="6"/>
                <w:szCs w:val="6"/>
                <w:color w:val="auto"/>
              </w:rPr>
            </w:pPr>
          </w:p>
        </w:tc>
        <w:tc>
          <w:tcPr>
            <w:tcW w:w="2600" w:type="dxa"/>
            <w:vAlign w:val="bottom"/>
            <w:tcBorders>
              <w:bottom w:val="single" w:sz="8" w:color="auto"/>
              <w:right w:val="single" w:sz="8" w:color="DBDBDB"/>
            </w:tcBorders>
            <w:shd w:val="clear" w:color="auto" w:fill="CCEEF0"/>
          </w:tcPr>
          <w:p>
            <w:pPr>
              <w:spacing w:after="0"/>
              <w:rPr>
                <w:sz w:val="6"/>
                <w:szCs w:val="6"/>
                <w:color w:val="auto"/>
              </w:rPr>
            </w:pPr>
          </w:p>
        </w:tc>
        <w:tc>
          <w:tcPr>
            <w:tcW w:w="1160" w:type="dxa"/>
            <w:vAlign w:val="bottom"/>
            <w:tcBorders>
              <w:bottom w:val="single" w:sz="8" w:color="auto"/>
              <w:right w:val="single" w:sz="8" w:color="DBDBDB"/>
            </w:tcBorders>
            <w:vMerge w:val="continue"/>
            <w:shd w:val="clear" w:color="auto" w:fill="CCEEF0"/>
          </w:tcPr>
          <w:p>
            <w:pPr>
              <w:spacing w:after="0"/>
              <w:rPr>
                <w:sz w:val="6"/>
                <w:szCs w:val="6"/>
                <w:color w:val="auto"/>
              </w:rPr>
            </w:pPr>
          </w:p>
        </w:tc>
        <w:tc>
          <w:tcPr>
            <w:tcW w:w="4640" w:type="dxa"/>
            <w:vAlign w:val="bottom"/>
            <w:tcBorders>
              <w:bottom w:val="single" w:sz="8" w:color="auto"/>
              <w:right w:val="single" w:sz="8" w:color="auto"/>
            </w:tcBorders>
            <w:vMerge w:val="continue"/>
            <w:shd w:val="clear" w:color="auto" w:fill="CCEEF0"/>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 See Appendix A to this proxy statement for information as to how these non-GAAP financial measures are calculated from our audited financial statements.</w:t>
      </w:r>
    </w:p>
    <w:p>
      <w:pPr>
        <w:spacing w:after="0" w:line="16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Compensation, Culture and People Committee approved Adjusted EBITDA and Revenue as the financial metrics for performance-based RSUs granted in fiscal year 2026 to create a direct relationship between named executive officer compensation and performance against the Company’s multi-year Investment Thesis, as presented to stockholders, which is focused on driving organic revenue and Adjusted EBITDA. The Compensation, Culture and People Committee approved the use of Adjusted EBITDA as a metric in both of the annual and long-term incentive plans in fiscal year 2026 because it is viewed as a direct reflection of the cash flow and operating profitability of our business and represents the element of performance that executives can most directly impact through their management of the business. The Company views Adjusted EBITDA as a critical metric in evaluating operating performance as a measure of the Company's ability to drive profitable growth through a combination of revenue performance and cost management to optimize earnings generation for stockholders. Further, the Compensation, Culture and People Committee approved the application of a TSR multiplier for performance-based RSUs granted in fiscal year 2026 because it views such multiplier as creating additional risk and reward for executive compensation based on significant over- or under-performance against a broad group of industry peers. The Compensation, Culture and People Committee, with input from management and our outside compensation consultant, Pay Governance, modified the Company's goal-setting framework to utilize an Average Annual Growth Rate (AAGR) methodology in place of the cumulative three-year targets used in prior years, reflecting the dynamic operating environment in our industry which has resulted in less precision in multi-year goal setting.</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Near the start of the three-year performance cycle, the Compensation, Culture and People Committee sets the threshold, target and maximum performance levels, and corresponding payouts. When establishing these performance levels, the Compensation, Culture and People Committee considers, among other things, projected Company performance and long-term strategic growth objectives, business outlook, and market growth forecasts. Since the goals are established for future performance over a three-year period, outcomes are by definition uncertain. Due to the proprietary and competitive nature of the Company's business strategy and internal budgets that inform the three-year performance program targets, the Compensation, Culture and People Committee discloses the long-term performance levels for each of the performance goals following the completion of the performance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number of performance-based RSUs that vest at the end of the three-year performance cycle based on the financial performance goals may range from zero percent for performance that falls below the minimum performance threshold and up to 200% for maximum performance. The number of restricted stock units earned based on the financial performance goals may be further increased or decreased by the application of the TSR multiplier relative to the companies within the S&amp;P</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2" w:name="page53"/>
    <w:bookmarkEnd w:id="52"/>
    <w:p>
      <w:pPr>
        <w:jc w:val="both"/>
        <w:spacing w:after="0" w:line="274" w:lineRule="auto"/>
        <w:rPr>
          <w:sz w:val="20"/>
          <w:szCs w:val="20"/>
          <w:color w:val="auto"/>
        </w:rPr>
      </w:pPr>
      <w:r>
        <w:rPr>
          <w:rFonts w:ascii="Arial" w:cs="Arial" w:eastAsia="Arial" w:hAnsi="Arial"/>
          <w:sz w:val="17"/>
          <w:szCs w:val="17"/>
          <w:color w:val="auto"/>
        </w:rPr>
        <w:t>Software and Services Select Industry Index. The TSR multiplier is dependent upon the Company’s TSR positioning against the companies within the Index during the performance period (multiplier is 120% if the Company’s TSR is at or above the 75th percentile, 80% if TSR is at or below the 25th percentile, and no modifications between the 25th and 75th percentiles). The maximum number of performance-based RSUs granted in fiscal year 2026 that may be earned by a named executive officer after application of the TSR multiplier is 240% of target value.</w:t>
      </w:r>
    </w:p>
    <w:p>
      <w:pPr>
        <w:spacing w:after="0" w:line="11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fiscal year 2026, the target annual equity mix for our CEO was 61.2% aligned to performance-based RSUs and 38.8% aligned to time-based RSUs. The average target annualized equity mix for all other named executive officers was approximately 60% aligned to performance-based RSUs and approximately 40% aligned to time-based RSUs. The performance-based RSUs allow for additional rewards based on over-achievement against our long-term performance goals, while also penalizing for under-performance. The time-based RSUs encourage retention and provide for incremental recognition of equity compensation over the vest cycle.</w:t>
      </w:r>
    </w:p>
    <w:p>
      <w:pPr>
        <w:spacing w:after="0" w:line="13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target value of the annual grants to our named executive officers of performance-based and time-based RSUs in fiscal year 2026 are presented in the table below.</w:t>
      </w:r>
    </w:p>
    <w:p>
      <w:pPr>
        <w:spacing w:after="0" w:line="226" w:lineRule="exact"/>
        <w:rPr>
          <w:sz w:val="20"/>
          <w:szCs w:val="20"/>
          <w:color w:val="auto"/>
        </w:rPr>
      </w:pPr>
    </w:p>
    <w:tbl>
      <w:tblPr>
        <w:tblLayout w:type="fixed"/>
        <w:tblInd w:w="630" w:type="dxa"/>
        <w:tblCellMar>
          <w:top w:w="0" w:type="dxa"/>
          <w:left w:w="0" w:type="dxa"/>
          <w:bottom w:w="0" w:type="dxa"/>
          <w:right w:w="0" w:type="dxa"/>
        </w:tblCellMar>
      </w:tblPr>
      <w:tr>
        <w:trPr>
          <w:trHeight w:val="185"/>
        </w:trPr>
        <w:tc>
          <w:tcPr>
            <w:tcW w:w="2400" w:type="dxa"/>
            <w:vAlign w:val="bottom"/>
            <w:tcBorders>
              <w:top w:val="single" w:sz="8" w:color="auto"/>
              <w:left w:val="single" w:sz="8" w:color="auto"/>
            </w:tcBorders>
            <w:shd w:val="clear" w:color="auto" w:fill="00A5B5"/>
          </w:tcPr>
          <w:p>
            <w:pPr>
              <w:ind w:left="40"/>
              <w:spacing w:after="0"/>
              <w:rPr>
                <w:sz w:val="20"/>
                <w:szCs w:val="20"/>
                <w:color w:val="auto"/>
              </w:rPr>
            </w:pPr>
            <w:r>
              <w:rPr>
                <w:rFonts w:ascii="Arial" w:cs="Arial" w:eastAsia="Arial" w:hAnsi="Arial"/>
                <w:sz w:val="12"/>
                <w:szCs w:val="12"/>
                <w:b w:val="1"/>
                <w:bCs w:val="1"/>
                <w:color w:val="FFFFFF"/>
              </w:rPr>
              <w:t>Name</w:t>
            </w:r>
          </w:p>
        </w:tc>
        <w:tc>
          <w:tcPr>
            <w:tcW w:w="4480" w:type="dxa"/>
            <w:vAlign w:val="bottom"/>
            <w:tcBorders>
              <w:top w:val="single" w:sz="8" w:color="auto"/>
            </w:tcBorders>
            <w:shd w:val="clear" w:color="auto" w:fill="00A5B5"/>
          </w:tcPr>
          <w:p>
            <w:pPr>
              <w:ind w:left="1020"/>
              <w:spacing w:after="0"/>
              <w:rPr>
                <w:sz w:val="20"/>
                <w:szCs w:val="20"/>
                <w:color w:val="auto"/>
              </w:rPr>
            </w:pPr>
            <w:r>
              <w:rPr>
                <w:rFonts w:ascii="Arial" w:cs="Arial" w:eastAsia="Arial" w:hAnsi="Arial"/>
                <w:sz w:val="12"/>
                <w:szCs w:val="12"/>
                <w:b w:val="1"/>
                <w:bCs w:val="1"/>
                <w:color w:val="FFFFFF"/>
              </w:rPr>
              <w:t xml:space="preserve">FY26 Annual Target Performance-Based RSU Grant </w:t>
            </w:r>
            <w:r>
              <w:rPr>
                <w:rFonts w:ascii="Arial" w:cs="Arial" w:eastAsia="Arial" w:hAnsi="Arial"/>
                <w:sz w:val="16"/>
                <w:szCs w:val="16"/>
                <w:b w:val="1"/>
                <w:bCs w:val="1"/>
                <w:color w:val="FFFFFF"/>
                <w:vertAlign w:val="superscript"/>
              </w:rPr>
              <w:t>1</w:t>
            </w:r>
          </w:p>
        </w:tc>
        <w:tc>
          <w:tcPr>
            <w:tcW w:w="3480" w:type="dxa"/>
            <w:vAlign w:val="bottom"/>
            <w:tcBorders>
              <w:top w:val="single" w:sz="8" w:color="auto"/>
              <w:right w:val="single" w:sz="8" w:color="auto"/>
            </w:tcBorders>
            <w:shd w:val="clear" w:color="auto" w:fill="00A5B5"/>
          </w:tcPr>
          <w:p>
            <w:pPr>
              <w:ind w:left="360"/>
              <w:spacing w:after="0"/>
              <w:rPr>
                <w:sz w:val="20"/>
                <w:szCs w:val="20"/>
                <w:color w:val="auto"/>
              </w:rPr>
            </w:pPr>
            <w:r>
              <w:rPr>
                <w:rFonts w:ascii="Arial" w:cs="Arial" w:eastAsia="Arial" w:hAnsi="Arial"/>
                <w:sz w:val="12"/>
                <w:szCs w:val="12"/>
                <w:b w:val="1"/>
                <w:bCs w:val="1"/>
                <w:color w:val="FFFFFF"/>
              </w:rPr>
              <w:t xml:space="preserve">FY26 Annual Target Time-Based RSU Grant </w:t>
            </w:r>
            <w:r>
              <w:rPr>
                <w:rFonts w:ascii="Arial" w:cs="Arial" w:eastAsia="Arial" w:hAnsi="Arial"/>
                <w:sz w:val="16"/>
                <w:szCs w:val="16"/>
                <w:b w:val="1"/>
                <w:bCs w:val="1"/>
                <w:color w:val="FFFFFF"/>
                <w:vertAlign w:val="superscript"/>
              </w:rPr>
              <w:t>1</w:t>
            </w:r>
          </w:p>
        </w:tc>
      </w:tr>
      <w:tr>
        <w:trPr>
          <w:trHeight w:val="168"/>
        </w:trPr>
        <w:tc>
          <w:tcPr>
            <w:tcW w:w="2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Horacio D. Rozanski</w:t>
            </w:r>
          </w:p>
        </w:tc>
        <w:tc>
          <w:tcPr>
            <w:tcW w:w="4480" w:type="dxa"/>
            <w:vAlign w:val="bottom"/>
          </w:tcPr>
          <w:p>
            <w:pPr>
              <w:jc w:val="center"/>
              <w:ind w:left="598"/>
              <w:spacing w:after="0"/>
              <w:rPr>
                <w:sz w:val="20"/>
                <w:szCs w:val="20"/>
                <w:color w:val="auto"/>
              </w:rPr>
            </w:pPr>
            <w:r>
              <w:rPr>
                <w:rFonts w:ascii="Arial" w:cs="Arial" w:eastAsia="Arial" w:hAnsi="Arial"/>
                <w:sz w:val="12"/>
                <w:szCs w:val="12"/>
                <w:color w:val="auto"/>
              </w:rPr>
              <w:t>$6,368,044</w:t>
            </w:r>
          </w:p>
        </w:tc>
        <w:tc>
          <w:tcPr>
            <w:tcW w:w="348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rPr>
              <w:t>$3,880,027</w:t>
            </w:r>
          </w:p>
        </w:tc>
      </w:tr>
      <w:tr>
        <w:trPr>
          <w:trHeight w:val="176"/>
        </w:trPr>
        <w:tc>
          <w:tcPr>
            <w:tcW w:w="240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color w:val="auto"/>
              </w:rPr>
              <w:t>Kristine Martin Anderson</w:t>
            </w:r>
          </w:p>
        </w:tc>
        <w:tc>
          <w:tcPr>
            <w:tcW w:w="4480" w:type="dxa"/>
            <w:vAlign w:val="bottom"/>
            <w:shd w:val="clear" w:color="auto" w:fill="CCEEF0"/>
          </w:tcPr>
          <w:p>
            <w:pPr>
              <w:jc w:val="center"/>
              <w:ind w:left="598"/>
              <w:spacing w:after="0"/>
              <w:rPr>
                <w:sz w:val="20"/>
                <w:szCs w:val="20"/>
                <w:color w:val="auto"/>
              </w:rPr>
            </w:pPr>
            <w:r>
              <w:rPr>
                <w:rFonts w:ascii="Arial" w:cs="Arial" w:eastAsia="Arial" w:hAnsi="Arial"/>
                <w:sz w:val="12"/>
                <w:szCs w:val="12"/>
                <w:color w:val="auto"/>
              </w:rPr>
              <w:t>$1,248,686</w:t>
            </w:r>
          </w:p>
        </w:tc>
        <w:tc>
          <w:tcPr>
            <w:tcW w:w="3480" w:type="dxa"/>
            <w:vAlign w:val="bottom"/>
            <w:tcBorders>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w w:val="99"/>
              </w:rPr>
              <w:t>$800,076</w:t>
            </w:r>
          </w:p>
        </w:tc>
      </w:tr>
      <w:tr>
        <w:trPr>
          <w:trHeight w:val="168"/>
        </w:trPr>
        <w:tc>
          <w:tcPr>
            <w:tcW w:w="2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Richard C. Crowe</w:t>
            </w:r>
          </w:p>
        </w:tc>
        <w:tc>
          <w:tcPr>
            <w:tcW w:w="4480" w:type="dxa"/>
            <w:vAlign w:val="bottom"/>
          </w:tcPr>
          <w:p>
            <w:pPr>
              <w:jc w:val="center"/>
              <w:ind w:left="598"/>
              <w:spacing w:after="0"/>
              <w:rPr>
                <w:sz w:val="20"/>
                <w:szCs w:val="20"/>
                <w:color w:val="auto"/>
              </w:rPr>
            </w:pPr>
            <w:r>
              <w:rPr>
                <w:rFonts w:ascii="Arial" w:cs="Arial" w:eastAsia="Arial" w:hAnsi="Arial"/>
                <w:sz w:val="12"/>
                <w:szCs w:val="12"/>
                <w:color w:val="auto"/>
                <w:w w:val="99"/>
              </w:rPr>
              <w:t>$811,652</w:t>
            </w:r>
          </w:p>
        </w:tc>
        <w:tc>
          <w:tcPr>
            <w:tcW w:w="348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w w:val="99"/>
              </w:rPr>
              <w:t>$520,060</w:t>
            </w:r>
          </w:p>
        </w:tc>
      </w:tr>
      <w:tr>
        <w:trPr>
          <w:trHeight w:val="176"/>
        </w:trPr>
        <w:tc>
          <w:tcPr>
            <w:tcW w:w="240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color w:val="auto"/>
              </w:rPr>
              <w:t>Andrea D. Inserra</w:t>
            </w:r>
          </w:p>
        </w:tc>
        <w:tc>
          <w:tcPr>
            <w:tcW w:w="4480" w:type="dxa"/>
            <w:vAlign w:val="bottom"/>
            <w:shd w:val="clear" w:color="auto" w:fill="CCEEF0"/>
          </w:tcPr>
          <w:p>
            <w:pPr>
              <w:jc w:val="center"/>
              <w:ind w:left="598"/>
              <w:spacing w:after="0"/>
              <w:rPr>
                <w:sz w:val="20"/>
                <w:szCs w:val="20"/>
                <w:color w:val="auto"/>
              </w:rPr>
            </w:pPr>
            <w:r>
              <w:rPr>
                <w:rFonts w:ascii="Arial" w:cs="Arial" w:eastAsia="Arial" w:hAnsi="Arial"/>
                <w:sz w:val="12"/>
                <w:szCs w:val="12"/>
                <w:color w:val="auto"/>
                <w:w w:val="99"/>
              </w:rPr>
              <w:t>$749,234</w:t>
            </w:r>
          </w:p>
        </w:tc>
        <w:tc>
          <w:tcPr>
            <w:tcW w:w="3480" w:type="dxa"/>
            <w:vAlign w:val="bottom"/>
            <w:tcBorders>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w w:val="99"/>
              </w:rPr>
              <w:t>$480,089</w:t>
            </w:r>
          </w:p>
        </w:tc>
      </w:tr>
      <w:tr>
        <w:trPr>
          <w:trHeight w:val="168"/>
        </w:trPr>
        <w:tc>
          <w:tcPr>
            <w:tcW w:w="24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Thomas J. Pfeifer</w:t>
            </w:r>
          </w:p>
        </w:tc>
        <w:tc>
          <w:tcPr>
            <w:tcW w:w="4480" w:type="dxa"/>
            <w:vAlign w:val="bottom"/>
          </w:tcPr>
          <w:p>
            <w:pPr>
              <w:jc w:val="center"/>
              <w:ind w:left="598"/>
              <w:spacing w:after="0"/>
              <w:rPr>
                <w:sz w:val="20"/>
                <w:szCs w:val="20"/>
                <w:color w:val="auto"/>
              </w:rPr>
            </w:pPr>
            <w:r>
              <w:rPr>
                <w:rFonts w:ascii="Arial" w:cs="Arial" w:eastAsia="Arial" w:hAnsi="Arial"/>
                <w:sz w:val="12"/>
                <w:szCs w:val="12"/>
                <w:color w:val="auto"/>
                <w:w w:val="99"/>
              </w:rPr>
              <w:t>$811,652</w:t>
            </w:r>
          </w:p>
        </w:tc>
        <w:tc>
          <w:tcPr>
            <w:tcW w:w="348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w w:val="99"/>
              </w:rPr>
              <w:t>$520,060</w:t>
            </w:r>
          </w:p>
        </w:tc>
      </w:tr>
      <w:tr>
        <w:trPr>
          <w:trHeight w:val="176"/>
        </w:trPr>
        <w:tc>
          <w:tcPr>
            <w:tcW w:w="2400" w:type="dxa"/>
            <w:vAlign w:val="bottom"/>
            <w:tcBorders>
              <w:left w:val="single" w:sz="8" w:color="auto"/>
              <w:bottom w:val="single" w:sz="8" w:color="auto"/>
            </w:tcBorders>
            <w:shd w:val="clear" w:color="auto" w:fill="CCEEF0"/>
          </w:tcPr>
          <w:p>
            <w:pPr>
              <w:ind w:left="40"/>
              <w:spacing w:after="0" w:line="176" w:lineRule="exact"/>
              <w:rPr>
                <w:sz w:val="20"/>
                <w:szCs w:val="20"/>
                <w:color w:val="auto"/>
              </w:rPr>
            </w:pPr>
            <w:r>
              <w:rPr>
                <w:rFonts w:ascii="Arial" w:cs="Arial" w:eastAsia="Arial" w:hAnsi="Arial"/>
                <w:sz w:val="12"/>
                <w:szCs w:val="12"/>
                <w:color w:val="auto"/>
              </w:rPr>
              <w:t xml:space="preserve">Matthew A. Calderone </w:t>
            </w:r>
            <w:r>
              <w:rPr>
                <w:rFonts w:ascii="Arial" w:cs="Arial" w:eastAsia="Arial" w:hAnsi="Arial"/>
                <w:sz w:val="16"/>
                <w:szCs w:val="16"/>
                <w:color w:val="auto"/>
                <w:vertAlign w:val="superscript"/>
              </w:rPr>
              <w:t>2</w:t>
            </w:r>
          </w:p>
        </w:tc>
        <w:tc>
          <w:tcPr>
            <w:tcW w:w="4480" w:type="dxa"/>
            <w:vAlign w:val="bottom"/>
            <w:tcBorders>
              <w:bottom w:val="single" w:sz="8" w:color="auto"/>
            </w:tcBorders>
            <w:shd w:val="clear" w:color="auto" w:fill="CCEEF0"/>
          </w:tcPr>
          <w:p>
            <w:pPr>
              <w:jc w:val="center"/>
              <w:ind w:left="598"/>
              <w:spacing w:after="0"/>
              <w:rPr>
                <w:sz w:val="20"/>
                <w:szCs w:val="20"/>
                <w:color w:val="auto"/>
              </w:rPr>
            </w:pPr>
            <w:r>
              <w:rPr>
                <w:rFonts w:ascii="Arial" w:cs="Arial" w:eastAsia="Arial" w:hAnsi="Arial"/>
                <w:sz w:val="12"/>
                <w:szCs w:val="12"/>
                <w:color w:val="auto"/>
              </w:rPr>
              <w:t>$1,061,434</w:t>
            </w:r>
          </w:p>
        </w:tc>
        <w:tc>
          <w:tcPr>
            <w:tcW w:w="3480" w:type="dxa"/>
            <w:vAlign w:val="bottom"/>
            <w:tcBorders>
              <w:bottom w:val="single" w:sz="8" w:color="auto"/>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w w:val="99"/>
              </w:rPr>
              <w:t>$680,053</w:t>
            </w:r>
          </w:p>
        </w:tc>
      </w:tr>
    </w:tbl>
    <w:p>
      <w:pPr>
        <w:spacing w:after="0" w:line="176" w:lineRule="exact"/>
        <w:rPr>
          <w:sz w:val="20"/>
          <w:szCs w:val="20"/>
          <w:color w:val="auto"/>
        </w:rPr>
      </w:pPr>
    </w:p>
    <w:p>
      <w:pPr>
        <w:ind w:left="540" w:hanging="216"/>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Grant date fair value of equity issued under the fiscal year 2026 executive annual compensation structure in accordance with FASB ASC Topic 718.</w:t>
      </w:r>
    </w:p>
    <w:p>
      <w:pPr>
        <w:spacing w:after="0" w:line="116" w:lineRule="exact"/>
        <w:rPr>
          <w:rFonts w:ascii="Arial" w:cs="Arial" w:eastAsia="Arial" w:hAnsi="Arial"/>
          <w:sz w:val="14"/>
          <w:szCs w:val="14"/>
          <w:color w:val="auto"/>
        </w:rPr>
      </w:pPr>
    </w:p>
    <w:p>
      <w:pPr>
        <w:jc w:val="both"/>
        <w:ind w:left="320" w:right="80" w:firstLine="4"/>
        <w:spacing w:after="0" w:line="274" w:lineRule="auto"/>
        <w:tabs>
          <w:tab w:leader="none" w:pos="548"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Calderone retired from the Company effective February 1, 2026. Pursuant to the terms of the retirement letter agreement as discussed below under the heading "Potential Payments upon Termination or a Change in Control — Retirement Benefits", the performance-based RSUs and time-based RSUs granted to Mr. Calderone in July 2025, the target values of which are reflected in this table, were forfeited upon Mr. Calderone's last day of employment without payment.</w:t>
      </w:r>
    </w:p>
    <w:p>
      <w:pPr>
        <w:spacing w:after="0" w:line="116"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Ms. Inserra also received a one-time grant of stock options in connection with her appointment to the Company's Leadership Team in fiscal year 2026. The stock option grant value was approximately $250,000 with an exercise price of $109.81, the fair market value of our common stock on the grant date. These stock options will vest in five equal installments over five years, subject solely to Ms. Inserra's continued employment through each applicable vesting date, and expire on the ten-year anniversary of the grant date if not exercised or otherwise terminated prior to such date.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3" w:name="page54"/>
    <w:bookmarkEnd w:id="53"/>
    <w:p>
      <w:pPr>
        <w:ind w:left="320"/>
        <w:spacing w:after="0"/>
        <w:rPr>
          <w:sz w:val="20"/>
          <w:szCs w:val="20"/>
          <w:color w:val="auto"/>
        </w:rPr>
      </w:pPr>
      <w:r>
        <w:rPr>
          <w:rFonts w:ascii="Arial" w:cs="Arial" w:eastAsia="Arial" w:hAnsi="Arial"/>
          <w:sz w:val="18"/>
          <w:szCs w:val="18"/>
          <w:b w:val="1"/>
          <w:bCs w:val="1"/>
          <w:i w:val="1"/>
          <w:iCs w:val="1"/>
          <w:color w:val="00A5B5"/>
        </w:rPr>
        <w:t>Fiscal Year 2024-2026 Performance-Based RSU Awards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May 2026, the Compensation, Culture and People Committee reviewed and certified the performance results of the performance-based RSUs granted in May 2023, applicable for the fiscal years 2024-2026 performance period, against the targets set at the beginning of the three-year period. The goals included two financial metrics, Adjusted EBITDA and Revenue, weighted 70% and 20%, respectively, two non-financial strategic goals, each with a 5% weighting, and a TSR multiplier based on the Company's TSR positioning against the companies within the S&amp;P Software and Services Select Industry Index during the three-year performance period. The Compensation, Culture and People Committee determined to eliminate the opportunity to vest the performance-based RSUs associated with one of the non-financial strategic goals for the fiscal year 2024-2026 grant, resulting in 95% target for the combined three remaining goals.</w:t>
      </w:r>
    </w:p>
    <w:p>
      <w:pPr>
        <w:spacing w:after="0" w:line="13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Compensation, Culture, and People Committee approved a final payout of 180% of target based on its assessment of the Adjusted EBITDA, Revenue, Mergers and Acquisition Activity goals, and the application of a 100% TSR multiplier, with actual financial results and threshold, target, above target, and maximum goals presented in the table below.</w:t>
      </w:r>
    </w:p>
    <w:p>
      <w:pPr>
        <w:spacing w:after="0" w:line="147" w:lineRule="exact"/>
        <w:rPr>
          <w:sz w:val="20"/>
          <w:szCs w:val="20"/>
          <w:color w:val="auto"/>
        </w:rPr>
      </w:pPr>
    </w:p>
    <w:tbl>
      <w:tblPr>
        <w:tblLayout w:type="fixed"/>
        <w:tblInd w:w="450" w:type="dxa"/>
        <w:tblCellMar>
          <w:top w:w="0" w:type="dxa"/>
          <w:left w:w="0" w:type="dxa"/>
          <w:bottom w:w="0" w:type="dxa"/>
          <w:right w:w="0" w:type="dxa"/>
        </w:tblCellMar>
      </w:tblPr>
      <w:tr>
        <w:trPr>
          <w:trHeight w:val="185"/>
        </w:trPr>
        <w:tc>
          <w:tcPr>
            <w:tcW w:w="1700" w:type="dxa"/>
            <w:vAlign w:val="bottom"/>
            <w:tcBorders>
              <w:top w:val="single" w:sz="8" w:color="auto"/>
              <w:left w:val="single" w:sz="8" w:color="auto"/>
              <w:right w:val="single" w:sz="8" w:color="929292"/>
            </w:tcBorders>
            <w:shd w:val="clear" w:color="auto" w:fill="00A5B5"/>
          </w:tcPr>
          <w:p>
            <w:pPr>
              <w:spacing w:after="0"/>
              <w:rPr>
                <w:sz w:val="16"/>
                <w:szCs w:val="16"/>
                <w:color w:val="auto"/>
              </w:rPr>
            </w:pPr>
          </w:p>
        </w:tc>
        <w:tc>
          <w:tcPr>
            <w:tcW w:w="880" w:type="dxa"/>
            <w:vAlign w:val="bottom"/>
            <w:tcBorders>
              <w:top w:val="single" w:sz="8" w:color="auto"/>
              <w:right w:val="single" w:sz="8" w:color="929292"/>
            </w:tcBorders>
            <w:shd w:val="clear" w:color="auto" w:fill="00A5B5"/>
          </w:tcPr>
          <w:p>
            <w:pPr>
              <w:spacing w:after="0"/>
              <w:rPr>
                <w:sz w:val="16"/>
                <w:szCs w:val="16"/>
                <w:color w:val="auto"/>
              </w:rPr>
            </w:pPr>
          </w:p>
        </w:tc>
        <w:tc>
          <w:tcPr>
            <w:tcW w:w="102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Below</w:t>
            </w:r>
          </w:p>
        </w:tc>
        <w:tc>
          <w:tcPr>
            <w:tcW w:w="1020" w:type="dxa"/>
            <w:vAlign w:val="bottom"/>
            <w:tcBorders>
              <w:top w:val="single" w:sz="8" w:color="auto"/>
            </w:tcBorders>
            <w:shd w:val="clear" w:color="auto" w:fill="00A5B5"/>
          </w:tcPr>
          <w:p>
            <w:pPr>
              <w:jc w:val="right"/>
              <w:ind w:right="122"/>
              <w:spacing w:after="0"/>
              <w:rPr>
                <w:sz w:val="20"/>
                <w:szCs w:val="20"/>
                <w:color w:val="auto"/>
              </w:rPr>
            </w:pPr>
            <w:r>
              <w:rPr>
                <w:rFonts w:ascii="Arial" w:cs="Arial" w:eastAsia="Arial" w:hAnsi="Arial"/>
                <w:sz w:val="8"/>
                <w:szCs w:val="8"/>
                <w:b w:val="1"/>
                <w:bCs w:val="1"/>
                <w:color w:val="FFFFFF"/>
              </w:rPr>
              <w:t>1</w:t>
            </w:r>
          </w:p>
        </w:tc>
        <w:tc>
          <w:tcPr>
            <w:tcW w:w="700" w:type="dxa"/>
            <w:vAlign w:val="bottom"/>
            <w:tcBorders>
              <w:top w:val="single" w:sz="8" w:color="auto"/>
            </w:tcBorders>
            <w:vMerge w:val="restart"/>
            <w:shd w:val="clear" w:color="auto" w:fill="00A5B5"/>
          </w:tcPr>
          <w:p>
            <w:pPr>
              <w:ind w:left="340"/>
              <w:spacing w:after="0"/>
              <w:rPr>
                <w:sz w:val="20"/>
                <w:szCs w:val="20"/>
                <w:color w:val="auto"/>
              </w:rPr>
            </w:pPr>
            <w:r>
              <w:rPr>
                <w:rFonts w:ascii="Arial" w:cs="Arial" w:eastAsia="Arial" w:hAnsi="Arial"/>
                <w:sz w:val="12"/>
                <w:szCs w:val="12"/>
                <w:b w:val="1"/>
                <w:bCs w:val="1"/>
                <w:color w:val="FFFFFF"/>
                <w:w w:val="92"/>
              </w:rPr>
              <w:t>Target</w:t>
            </w:r>
          </w:p>
        </w:tc>
        <w:tc>
          <w:tcPr>
            <w:tcW w:w="360" w:type="dxa"/>
            <w:vAlign w:val="bottom"/>
            <w:tcBorders>
              <w:top w:val="single" w:sz="8" w:color="auto"/>
            </w:tcBorders>
            <w:shd w:val="clear" w:color="auto" w:fill="00A5B5"/>
          </w:tcPr>
          <w:p>
            <w:pPr>
              <w:jc w:val="right"/>
              <w:ind w:right="295"/>
              <w:spacing w:after="0"/>
              <w:rPr>
                <w:sz w:val="20"/>
                <w:szCs w:val="20"/>
                <w:color w:val="auto"/>
              </w:rPr>
            </w:pPr>
            <w:r>
              <w:rPr>
                <w:rFonts w:ascii="Arial" w:cs="Arial" w:eastAsia="Arial" w:hAnsi="Arial"/>
                <w:sz w:val="5"/>
                <w:szCs w:val="5"/>
                <w:b w:val="1"/>
                <w:bCs w:val="1"/>
                <w:color w:val="FFFFFF"/>
                <w:w w:val="70"/>
              </w:rPr>
              <w:t>1</w:t>
            </w:r>
          </w:p>
        </w:tc>
        <w:tc>
          <w:tcPr>
            <w:tcW w:w="1060" w:type="dxa"/>
            <w:vAlign w:val="bottom"/>
            <w:tcBorders>
              <w:top w:val="single" w:sz="8" w:color="auto"/>
              <w:right w:val="single" w:sz="8" w:color="929292"/>
            </w:tcBorders>
            <w:shd w:val="clear" w:color="auto" w:fill="00A5B5"/>
          </w:tcPr>
          <w:p>
            <w:pPr>
              <w:jc w:val="right"/>
              <w:ind w:right="182"/>
              <w:spacing w:after="0"/>
              <w:rPr>
                <w:sz w:val="20"/>
                <w:szCs w:val="20"/>
                <w:color w:val="auto"/>
              </w:rPr>
            </w:pPr>
            <w:r>
              <w:rPr>
                <w:rFonts w:ascii="Arial" w:cs="Arial" w:eastAsia="Arial" w:hAnsi="Arial"/>
                <w:sz w:val="8"/>
                <w:szCs w:val="8"/>
                <w:b w:val="1"/>
                <w:bCs w:val="1"/>
                <w:color w:val="FFFFFF"/>
              </w:rPr>
              <w:t>1</w:t>
            </w:r>
          </w:p>
        </w:tc>
        <w:tc>
          <w:tcPr>
            <w:tcW w:w="1000" w:type="dxa"/>
            <w:vAlign w:val="bottom"/>
            <w:tcBorders>
              <w:top w:val="single" w:sz="8" w:color="auto"/>
              <w:right w:val="single" w:sz="8" w:color="929292"/>
            </w:tcBorders>
            <w:shd w:val="clear" w:color="auto" w:fill="00A5B5"/>
          </w:tcPr>
          <w:p>
            <w:pPr>
              <w:spacing w:after="0"/>
              <w:rPr>
                <w:sz w:val="16"/>
                <w:szCs w:val="16"/>
                <w:color w:val="auto"/>
              </w:rPr>
            </w:pPr>
          </w:p>
        </w:tc>
        <w:tc>
          <w:tcPr>
            <w:tcW w:w="1000" w:type="dxa"/>
            <w:vAlign w:val="bottom"/>
            <w:tcBorders>
              <w:top w:val="single" w:sz="8" w:color="auto"/>
              <w:right w:val="single" w:sz="8" w:color="929292"/>
            </w:tcBorders>
            <w:shd w:val="clear" w:color="auto" w:fill="00A5B5"/>
          </w:tcPr>
          <w:p>
            <w:pPr>
              <w:spacing w:after="0"/>
              <w:rPr>
                <w:sz w:val="16"/>
                <w:szCs w:val="16"/>
                <w:color w:val="auto"/>
              </w:rPr>
            </w:pPr>
          </w:p>
        </w:tc>
        <w:tc>
          <w:tcPr>
            <w:tcW w:w="940" w:type="dxa"/>
            <w:vAlign w:val="bottom"/>
            <w:tcBorders>
              <w:top w:val="single" w:sz="8" w:color="auto"/>
            </w:tcBorders>
            <w:shd w:val="clear" w:color="auto" w:fill="00A5B5"/>
          </w:tcPr>
          <w:p>
            <w:pPr>
              <w:spacing w:after="0"/>
              <w:rPr>
                <w:sz w:val="16"/>
                <w:szCs w:val="16"/>
                <w:color w:val="auto"/>
              </w:rPr>
            </w:pPr>
          </w:p>
        </w:tc>
        <w:tc>
          <w:tcPr>
            <w:tcW w:w="1040" w:type="dxa"/>
            <w:vAlign w:val="bottom"/>
            <w:tcBorders>
              <w:top w:val="single" w:sz="8" w:color="auto"/>
              <w:right w:val="single" w:sz="8" w:color="auto"/>
            </w:tcBorders>
            <w:shd w:val="clear" w:color="auto" w:fill="00A5B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tcBorders>
              <w:left w:val="single" w:sz="8" w:color="auto"/>
              <w:right w:val="single" w:sz="8" w:color="929292"/>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Performance Measures</w:t>
            </w:r>
          </w:p>
        </w:tc>
        <w:tc>
          <w:tcPr>
            <w:tcW w:w="880" w:type="dxa"/>
            <w:vAlign w:val="bottom"/>
            <w:tcBorders>
              <w:right w:val="single" w:sz="8" w:color="929292"/>
            </w:tcBorders>
            <w:vMerge w:val="restart"/>
            <w:shd w:val="clear" w:color="auto" w:fill="00A5B5"/>
          </w:tcPr>
          <w:p>
            <w:pPr>
              <w:ind w:left="120"/>
              <w:spacing w:after="0"/>
              <w:rPr>
                <w:sz w:val="20"/>
                <w:szCs w:val="20"/>
                <w:color w:val="auto"/>
              </w:rPr>
            </w:pPr>
            <w:r>
              <w:rPr>
                <w:rFonts w:ascii="Arial" w:cs="Arial" w:eastAsia="Arial" w:hAnsi="Arial"/>
                <w:sz w:val="12"/>
                <w:szCs w:val="12"/>
                <w:b w:val="1"/>
                <w:bCs w:val="1"/>
                <w:color w:val="FFFFFF"/>
              </w:rPr>
              <w:t>Weighting</w:t>
            </w:r>
          </w:p>
        </w:tc>
        <w:tc>
          <w:tcPr>
            <w:tcW w:w="102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rPr>
              <w:t>Threshold</w:t>
            </w:r>
            <w:r>
              <w:rPr>
                <w:rFonts w:ascii="Arial" w:cs="Arial" w:eastAsia="Arial" w:hAnsi="Arial"/>
                <w:sz w:val="16"/>
                <w:szCs w:val="16"/>
                <w:b w:val="1"/>
                <w:bCs w:val="1"/>
                <w:color w:val="FFFFFF"/>
                <w:vertAlign w:val="superscript"/>
              </w:rPr>
              <w:t>1</w:t>
            </w:r>
          </w:p>
        </w:tc>
        <w:tc>
          <w:tcPr>
            <w:tcW w:w="1020" w:type="dxa"/>
            <w:vAlign w:val="bottom"/>
            <w:shd w:val="clear" w:color="auto" w:fill="00A5B5"/>
          </w:tcPr>
          <w:p>
            <w:pPr>
              <w:jc w:val="right"/>
              <w:ind w:right="162"/>
              <w:spacing w:after="0"/>
              <w:rPr>
                <w:sz w:val="20"/>
                <w:szCs w:val="20"/>
                <w:color w:val="auto"/>
              </w:rPr>
            </w:pPr>
            <w:r>
              <w:rPr>
                <w:rFonts w:ascii="Arial" w:cs="Arial" w:eastAsia="Arial" w:hAnsi="Arial"/>
                <w:sz w:val="12"/>
                <w:szCs w:val="12"/>
                <w:b w:val="1"/>
                <w:bCs w:val="1"/>
                <w:color w:val="FFFFFF"/>
              </w:rPr>
              <w:t>Threshold</w:t>
            </w:r>
          </w:p>
        </w:tc>
        <w:tc>
          <w:tcPr>
            <w:tcW w:w="700" w:type="dxa"/>
            <w:vAlign w:val="bottom"/>
            <w:vMerge w:val="continue"/>
            <w:shd w:val="clear" w:color="auto" w:fill="00A5B5"/>
          </w:tcPr>
          <w:p>
            <w:pPr>
              <w:spacing w:after="0"/>
              <w:rPr>
                <w:sz w:val="16"/>
                <w:szCs w:val="16"/>
                <w:color w:val="auto"/>
              </w:rPr>
            </w:pPr>
          </w:p>
        </w:tc>
        <w:tc>
          <w:tcPr>
            <w:tcW w:w="360" w:type="dxa"/>
            <w:vAlign w:val="bottom"/>
            <w:shd w:val="clear" w:color="auto" w:fill="00A5B5"/>
          </w:tcPr>
          <w:p>
            <w:pPr>
              <w:spacing w:after="0"/>
              <w:rPr>
                <w:sz w:val="16"/>
                <w:szCs w:val="16"/>
                <w:color w:val="auto"/>
              </w:rPr>
            </w:pPr>
          </w:p>
        </w:tc>
        <w:tc>
          <w:tcPr>
            <w:tcW w:w="1060" w:type="dxa"/>
            <w:vAlign w:val="bottom"/>
            <w:tcBorders>
              <w:right w:val="single" w:sz="8" w:color="929292"/>
            </w:tcBorders>
            <w:shd w:val="clear" w:color="auto" w:fill="00A5B5"/>
          </w:tcPr>
          <w:p>
            <w:pPr>
              <w:jc w:val="right"/>
              <w:ind w:right="222"/>
              <w:spacing w:after="0"/>
              <w:rPr>
                <w:sz w:val="20"/>
                <w:szCs w:val="20"/>
                <w:color w:val="auto"/>
              </w:rPr>
            </w:pPr>
            <w:r>
              <w:rPr>
                <w:rFonts w:ascii="Arial" w:cs="Arial" w:eastAsia="Arial" w:hAnsi="Arial"/>
                <w:sz w:val="12"/>
                <w:szCs w:val="12"/>
                <w:b w:val="1"/>
                <w:bCs w:val="1"/>
                <w:color w:val="FFFFFF"/>
              </w:rPr>
              <w:t>Maximum</w:t>
            </w:r>
          </w:p>
        </w:tc>
        <w:tc>
          <w:tcPr>
            <w:tcW w:w="1000" w:type="dxa"/>
            <w:vAlign w:val="bottom"/>
            <w:tcBorders>
              <w:right w:val="single" w:sz="8" w:color="929292"/>
            </w:tcBorders>
            <w:vMerge w:val="restart"/>
            <w:shd w:val="clear" w:color="auto" w:fill="00A5B5"/>
          </w:tcPr>
          <w:p>
            <w:pPr>
              <w:ind w:left="260"/>
              <w:spacing w:after="0"/>
              <w:rPr>
                <w:sz w:val="20"/>
                <w:szCs w:val="20"/>
                <w:color w:val="auto"/>
              </w:rPr>
            </w:pPr>
            <w:r>
              <w:rPr>
                <w:rFonts w:ascii="Arial" w:cs="Arial" w:eastAsia="Arial" w:hAnsi="Arial"/>
                <w:sz w:val="12"/>
                <w:szCs w:val="12"/>
                <w:b w:val="1"/>
                <w:bCs w:val="1"/>
                <w:color w:val="FFFFFF"/>
              </w:rPr>
              <w:t xml:space="preserve">Actual </w:t>
            </w:r>
            <w:r>
              <w:rPr>
                <w:rFonts w:ascii="Arial" w:cs="Arial" w:eastAsia="Arial" w:hAnsi="Arial"/>
                <w:sz w:val="16"/>
                <w:szCs w:val="16"/>
                <w:b w:val="1"/>
                <w:bCs w:val="1"/>
                <w:color w:val="FFFFFF"/>
                <w:vertAlign w:val="superscript"/>
              </w:rPr>
              <w:t>1</w:t>
            </w:r>
          </w:p>
        </w:tc>
        <w:tc>
          <w:tcPr>
            <w:tcW w:w="1000" w:type="dxa"/>
            <w:vAlign w:val="bottom"/>
            <w:tcBorders>
              <w:right w:val="single" w:sz="8" w:color="929292"/>
            </w:tcBorders>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 of Target</w:t>
            </w:r>
          </w:p>
        </w:tc>
        <w:tc>
          <w:tcPr>
            <w:tcW w:w="940" w:type="dxa"/>
            <w:vAlign w:val="bottom"/>
            <w:vMerge w:val="restart"/>
            <w:shd w:val="clear" w:color="auto" w:fill="00A5B5"/>
          </w:tcPr>
          <w:p>
            <w:pPr>
              <w:ind w:left="80"/>
              <w:spacing w:after="0"/>
              <w:rPr>
                <w:sz w:val="20"/>
                <w:szCs w:val="20"/>
                <w:color w:val="auto"/>
              </w:rPr>
            </w:pPr>
            <w:r>
              <w:rPr>
                <w:rFonts w:ascii="Arial" w:cs="Arial" w:eastAsia="Arial" w:hAnsi="Arial"/>
                <w:sz w:val="12"/>
                <w:szCs w:val="12"/>
                <w:b w:val="1"/>
                <w:bCs w:val="1"/>
                <w:color w:val="FFFFFF"/>
              </w:rPr>
              <w:t>TSR Modifier</w:t>
            </w:r>
          </w:p>
        </w:tc>
        <w:tc>
          <w:tcPr>
            <w:tcW w:w="1040" w:type="dxa"/>
            <w:vAlign w:val="bottom"/>
            <w:tcBorders>
              <w:right w:val="single" w:sz="8" w:color="auto"/>
            </w:tcBorders>
            <w:vMerge w:val="restart"/>
            <w:shd w:val="clear" w:color="auto" w:fill="00A5B5"/>
          </w:tcPr>
          <w:p>
            <w:pPr>
              <w:ind w:left="100"/>
              <w:spacing w:after="0"/>
              <w:rPr>
                <w:sz w:val="20"/>
                <w:szCs w:val="20"/>
                <w:color w:val="auto"/>
              </w:rPr>
            </w:pPr>
            <w:r>
              <w:rPr>
                <w:rFonts w:ascii="Arial" w:cs="Arial" w:eastAsia="Arial" w:hAnsi="Arial"/>
                <w:sz w:val="12"/>
                <w:szCs w:val="12"/>
                <w:b w:val="1"/>
                <w:bCs w:val="1"/>
                <w:color w:val="FFFFFF"/>
              </w:rPr>
              <w:t>Payout Factor</w:t>
            </w:r>
          </w:p>
        </w:tc>
        <w:tc>
          <w:tcPr>
            <w:tcW w:w="0" w:type="dxa"/>
            <w:vAlign w:val="bottom"/>
          </w:tcPr>
          <w:p>
            <w:pPr>
              <w:spacing w:after="0"/>
              <w:rPr>
                <w:sz w:val="1"/>
                <w:szCs w:val="1"/>
                <w:color w:val="auto"/>
              </w:rPr>
            </w:pPr>
          </w:p>
        </w:tc>
      </w:tr>
      <w:tr>
        <w:trPr>
          <w:trHeight w:val="26"/>
        </w:trPr>
        <w:tc>
          <w:tcPr>
            <w:tcW w:w="1700" w:type="dxa"/>
            <w:vAlign w:val="bottom"/>
            <w:tcBorders>
              <w:left w:val="single" w:sz="8" w:color="auto"/>
              <w:right w:val="single" w:sz="8" w:color="929292"/>
            </w:tcBorders>
            <w:vMerge w:val="continue"/>
            <w:shd w:val="clear" w:color="auto" w:fill="00A5B5"/>
          </w:tcPr>
          <w:p>
            <w:pPr>
              <w:spacing w:after="0"/>
              <w:rPr>
                <w:sz w:val="2"/>
                <w:szCs w:val="2"/>
                <w:color w:val="auto"/>
              </w:rPr>
            </w:pPr>
          </w:p>
        </w:tc>
        <w:tc>
          <w:tcPr>
            <w:tcW w:w="880" w:type="dxa"/>
            <w:vAlign w:val="bottom"/>
            <w:tcBorders>
              <w:right w:val="single" w:sz="8" w:color="929292"/>
            </w:tcBorders>
            <w:vMerge w:val="continue"/>
            <w:shd w:val="clear" w:color="auto" w:fill="00A5B5"/>
          </w:tcPr>
          <w:p>
            <w:pPr>
              <w:spacing w:after="0"/>
              <w:rPr>
                <w:sz w:val="2"/>
                <w:szCs w:val="2"/>
                <w:color w:val="auto"/>
              </w:rPr>
            </w:pPr>
          </w:p>
        </w:tc>
        <w:tc>
          <w:tcPr>
            <w:tcW w:w="1020" w:type="dxa"/>
            <w:vAlign w:val="bottom"/>
            <w:shd w:val="clear" w:color="auto" w:fill="00A5B5"/>
          </w:tcPr>
          <w:p>
            <w:pPr>
              <w:spacing w:after="0"/>
              <w:rPr>
                <w:sz w:val="2"/>
                <w:szCs w:val="2"/>
                <w:color w:val="auto"/>
              </w:rPr>
            </w:pPr>
          </w:p>
        </w:tc>
        <w:tc>
          <w:tcPr>
            <w:tcW w:w="1020" w:type="dxa"/>
            <w:vAlign w:val="bottom"/>
            <w:shd w:val="clear" w:color="auto" w:fill="00A5B5"/>
          </w:tcPr>
          <w:p>
            <w:pPr>
              <w:spacing w:after="0"/>
              <w:rPr>
                <w:sz w:val="2"/>
                <w:szCs w:val="2"/>
                <w:color w:val="auto"/>
              </w:rPr>
            </w:pPr>
          </w:p>
        </w:tc>
        <w:tc>
          <w:tcPr>
            <w:tcW w:w="700" w:type="dxa"/>
            <w:vAlign w:val="bottom"/>
            <w:shd w:val="clear" w:color="auto" w:fill="00A5B5"/>
          </w:tcPr>
          <w:p>
            <w:pPr>
              <w:spacing w:after="0"/>
              <w:rPr>
                <w:sz w:val="2"/>
                <w:szCs w:val="2"/>
                <w:color w:val="auto"/>
              </w:rPr>
            </w:pPr>
          </w:p>
        </w:tc>
        <w:tc>
          <w:tcPr>
            <w:tcW w:w="360" w:type="dxa"/>
            <w:vAlign w:val="bottom"/>
            <w:shd w:val="clear" w:color="auto" w:fill="00A5B5"/>
          </w:tcPr>
          <w:p>
            <w:pPr>
              <w:spacing w:after="0"/>
              <w:rPr>
                <w:sz w:val="2"/>
                <w:szCs w:val="2"/>
                <w:color w:val="auto"/>
              </w:rPr>
            </w:pPr>
          </w:p>
        </w:tc>
        <w:tc>
          <w:tcPr>
            <w:tcW w:w="1060" w:type="dxa"/>
            <w:vAlign w:val="bottom"/>
            <w:tcBorders>
              <w:right w:val="single" w:sz="8" w:color="929292"/>
            </w:tcBorders>
            <w:shd w:val="clear" w:color="auto" w:fill="00A5B5"/>
          </w:tcPr>
          <w:p>
            <w:pPr>
              <w:spacing w:after="0"/>
              <w:rPr>
                <w:sz w:val="2"/>
                <w:szCs w:val="2"/>
                <w:color w:val="auto"/>
              </w:rPr>
            </w:pPr>
          </w:p>
        </w:tc>
        <w:tc>
          <w:tcPr>
            <w:tcW w:w="1000" w:type="dxa"/>
            <w:vAlign w:val="bottom"/>
            <w:tcBorders>
              <w:right w:val="single" w:sz="8" w:color="929292"/>
            </w:tcBorders>
            <w:vMerge w:val="continue"/>
            <w:shd w:val="clear" w:color="auto" w:fill="00A5B5"/>
          </w:tcPr>
          <w:p>
            <w:pPr>
              <w:spacing w:after="0"/>
              <w:rPr>
                <w:sz w:val="2"/>
                <w:szCs w:val="2"/>
                <w:color w:val="auto"/>
              </w:rPr>
            </w:pPr>
          </w:p>
        </w:tc>
        <w:tc>
          <w:tcPr>
            <w:tcW w:w="1000" w:type="dxa"/>
            <w:vAlign w:val="bottom"/>
            <w:tcBorders>
              <w:right w:val="single" w:sz="8" w:color="929292"/>
            </w:tcBorders>
            <w:vMerge w:val="continue"/>
            <w:shd w:val="clear" w:color="auto" w:fill="00A5B5"/>
          </w:tcPr>
          <w:p>
            <w:pPr>
              <w:spacing w:after="0"/>
              <w:rPr>
                <w:sz w:val="2"/>
                <w:szCs w:val="2"/>
                <w:color w:val="auto"/>
              </w:rPr>
            </w:pPr>
          </w:p>
        </w:tc>
        <w:tc>
          <w:tcPr>
            <w:tcW w:w="940" w:type="dxa"/>
            <w:vAlign w:val="bottom"/>
            <w:vMerge w:val="continue"/>
            <w:shd w:val="clear" w:color="auto" w:fill="00A5B5"/>
          </w:tcPr>
          <w:p>
            <w:pPr>
              <w:spacing w:after="0"/>
              <w:rPr>
                <w:sz w:val="2"/>
                <w:szCs w:val="2"/>
                <w:color w:val="auto"/>
              </w:rPr>
            </w:pPr>
          </w:p>
        </w:tc>
        <w:tc>
          <w:tcPr>
            <w:tcW w:w="1040" w:type="dxa"/>
            <w:vAlign w:val="bottom"/>
            <w:tcBorders>
              <w:right w:val="single" w:sz="8" w:color="auto"/>
            </w:tcBorders>
            <w:vMerge w:val="continue"/>
            <w:shd w:val="clear" w:color="auto" w:fill="00A5B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700" w:type="dxa"/>
            <w:vAlign w:val="bottom"/>
            <w:tcBorders>
              <w:left w:val="single" w:sz="8" w:color="auto"/>
              <w:right w:val="single" w:sz="8" w:color="929292"/>
            </w:tcBorders>
            <w:shd w:val="clear" w:color="auto" w:fill="00A5B5"/>
          </w:tcPr>
          <w:p>
            <w:pPr>
              <w:spacing w:after="0"/>
              <w:rPr>
                <w:sz w:val="14"/>
                <w:szCs w:val="14"/>
                <w:color w:val="auto"/>
              </w:rPr>
            </w:pPr>
          </w:p>
        </w:tc>
        <w:tc>
          <w:tcPr>
            <w:tcW w:w="880" w:type="dxa"/>
            <w:vAlign w:val="bottom"/>
            <w:tcBorders>
              <w:right w:val="single" w:sz="8" w:color="929292"/>
            </w:tcBorders>
            <w:shd w:val="clear" w:color="auto" w:fill="00A5B5"/>
          </w:tcPr>
          <w:p>
            <w:pPr>
              <w:spacing w:after="0"/>
              <w:rPr>
                <w:sz w:val="14"/>
                <w:szCs w:val="14"/>
                <w:color w:val="auto"/>
              </w:rPr>
            </w:pPr>
          </w:p>
        </w:tc>
        <w:tc>
          <w:tcPr>
            <w:tcW w:w="102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0% Payout</w:t>
            </w:r>
          </w:p>
        </w:tc>
        <w:tc>
          <w:tcPr>
            <w:tcW w:w="102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50% Payout</w:t>
            </w:r>
          </w:p>
        </w:tc>
        <w:tc>
          <w:tcPr>
            <w:tcW w:w="1060" w:type="dxa"/>
            <w:vAlign w:val="bottom"/>
            <w:gridSpan w:val="2"/>
            <w:vMerge w:val="restart"/>
            <w:shd w:val="clear" w:color="auto" w:fill="00A5B5"/>
          </w:tcPr>
          <w:p>
            <w:pPr>
              <w:jc w:val="right"/>
              <w:ind w:right="115"/>
              <w:spacing w:after="0"/>
              <w:rPr>
                <w:sz w:val="20"/>
                <w:szCs w:val="20"/>
                <w:color w:val="auto"/>
              </w:rPr>
            </w:pPr>
            <w:r>
              <w:rPr>
                <w:rFonts w:ascii="Arial" w:cs="Arial" w:eastAsia="Arial" w:hAnsi="Arial"/>
                <w:sz w:val="12"/>
                <w:szCs w:val="12"/>
                <w:b w:val="1"/>
                <w:bCs w:val="1"/>
                <w:color w:val="FFFFFF"/>
              </w:rPr>
              <w:t>100% Payout</w:t>
            </w:r>
          </w:p>
        </w:tc>
        <w:tc>
          <w:tcPr>
            <w:tcW w:w="1060" w:type="dxa"/>
            <w:vAlign w:val="bottom"/>
            <w:tcBorders>
              <w:right w:val="single" w:sz="8" w:color="929292"/>
            </w:tcBorders>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200% Payout</w:t>
            </w:r>
          </w:p>
        </w:tc>
        <w:tc>
          <w:tcPr>
            <w:tcW w:w="1000" w:type="dxa"/>
            <w:vAlign w:val="bottom"/>
            <w:tcBorders>
              <w:right w:val="single" w:sz="8" w:color="929292"/>
            </w:tcBorders>
            <w:shd w:val="clear" w:color="auto" w:fill="00A5B5"/>
          </w:tcPr>
          <w:p>
            <w:pPr>
              <w:spacing w:after="0"/>
              <w:rPr>
                <w:sz w:val="14"/>
                <w:szCs w:val="14"/>
                <w:color w:val="auto"/>
              </w:rPr>
            </w:pPr>
          </w:p>
        </w:tc>
        <w:tc>
          <w:tcPr>
            <w:tcW w:w="1000" w:type="dxa"/>
            <w:vAlign w:val="bottom"/>
            <w:tcBorders>
              <w:right w:val="single" w:sz="8" w:color="929292"/>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Achieved</w:t>
            </w:r>
          </w:p>
        </w:tc>
        <w:tc>
          <w:tcPr>
            <w:tcW w:w="940" w:type="dxa"/>
            <w:vAlign w:val="bottom"/>
            <w:shd w:val="clear" w:color="auto" w:fill="00A5B5"/>
          </w:tcPr>
          <w:p>
            <w:pPr>
              <w:spacing w:after="0"/>
              <w:rPr>
                <w:sz w:val="14"/>
                <w:szCs w:val="14"/>
                <w:color w:val="auto"/>
              </w:rPr>
            </w:pPr>
          </w:p>
        </w:tc>
        <w:tc>
          <w:tcPr>
            <w:tcW w:w="1040" w:type="dxa"/>
            <w:vAlign w:val="bottom"/>
            <w:tcBorders>
              <w:right w:val="single" w:sz="8" w:color="auto"/>
            </w:tcBorders>
            <w:shd w:val="clear" w:color="auto" w:fill="00A5B5"/>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700" w:type="dxa"/>
            <w:vAlign w:val="bottom"/>
            <w:tcBorders>
              <w:left w:val="single" w:sz="8" w:color="auto"/>
              <w:right w:val="single" w:sz="8" w:color="929292"/>
            </w:tcBorders>
            <w:shd w:val="clear" w:color="auto" w:fill="00A5B5"/>
          </w:tcPr>
          <w:p>
            <w:pPr>
              <w:spacing w:after="0"/>
              <w:rPr>
                <w:sz w:val="5"/>
                <w:szCs w:val="5"/>
                <w:color w:val="auto"/>
              </w:rPr>
            </w:pPr>
          </w:p>
        </w:tc>
        <w:tc>
          <w:tcPr>
            <w:tcW w:w="880" w:type="dxa"/>
            <w:vAlign w:val="bottom"/>
            <w:tcBorders>
              <w:right w:val="single" w:sz="8" w:color="929292"/>
            </w:tcBorders>
            <w:shd w:val="clear" w:color="auto" w:fill="00A5B5"/>
          </w:tcPr>
          <w:p>
            <w:pPr>
              <w:spacing w:after="0"/>
              <w:rPr>
                <w:sz w:val="5"/>
                <w:szCs w:val="5"/>
                <w:color w:val="auto"/>
              </w:rPr>
            </w:pPr>
          </w:p>
        </w:tc>
        <w:tc>
          <w:tcPr>
            <w:tcW w:w="1020" w:type="dxa"/>
            <w:vAlign w:val="bottom"/>
            <w:vMerge w:val="continue"/>
            <w:shd w:val="clear" w:color="auto" w:fill="00A5B5"/>
          </w:tcPr>
          <w:p>
            <w:pPr>
              <w:spacing w:after="0"/>
              <w:rPr>
                <w:sz w:val="5"/>
                <w:szCs w:val="5"/>
                <w:color w:val="auto"/>
              </w:rPr>
            </w:pPr>
          </w:p>
        </w:tc>
        <w:tc>
          <w:tcPr>
            <w:tcW w:w="1020" w:type="dxa"/>
            <w:vAlign w:val="bottom"/>
            <w:vMerge w:val="continue"/>
            <w:shd w:val="clear" w:color="auto" w:fill="00A5B5"/>
          </w:tcPr>
          <w:p>
            <w:pPr>
              <w:spacing w:after="0"/>
              <w:rPr>
                <w:sz w:val="5"/>
                <w:szCs w:val="5"/>
                <w:color w:val="auto"/>
              </w:rPr>
            </w:pPr>
          </w:p>
        </w:tc>
        <w:tc>
          <w:tcPr>
            <w:tcW w:w="1060" w:type="dxa"/>
            <w:vAlign w:val="bottom"/>
            <w:gridSpan w:val="2"/>
            <w:vMerge w:val="continue"/>
            <w:shd w:val="clear" w:color="auto" w:fill="00A5B5"/>
          </w:tcPr>
          <w:p>
            <w:pPr>
              <w:spacing w:after="0"/>
              <w:rPr>
                <w:sz w:val="5"/>
                <w:szCs w:val="5"/>
                <w:color w:val="auto"/>
              </w:rPr>
            </w:pPr>
          </w:p>
        </w:tc>
        <w:tc>
          <w:tcPr>
            <w:tcW w:w="1060" w:type="dxa"/>
            <w:vAlign w:val="bottom"/>
            <w:tcBorders>
              <w:right w:val="single" w:sz="8" w:color="929292"/>
            </w:tcBorders>
            <w:vMerge w:val="continue"/>
            <w:shd w:val="clear" w:color="auto" w:fill="00A5B5"/>
          </w:tcPr>
          <w:p>
            <w:pPr>
              <w:spacing w:after="0"/>
              <w:rPr>
                <w:sz w:val="5"/>
                <w:szCs w:val="5"/>
                <w:color w:val="auto"/>
              </w:rPr>
            </w:pPr>
          </w:p>
        </w:tc>
        <w:tc>
          <w:tcPr>
            <w:tcW w:w="1000" w:type="dxa"/>
            <w:vAlign w:val="bottom"/>
            <w:tcBorders>
              <w:right w:val="single" w:sz="8" w:color="929292"/>
            </w:tcBorders>
            <w:shd w:val="clear" w:color="auto" w:fill="00A5B5"/>
          </w:tcPr>
          <w:p>
            <w:pPr>
              <w:spacing w:after="0"/>
              <w:rPr>
                <w:sz w:val="5"/>
                <w:szCs w:val="5"/>
                <w:color w:val="auto"/>
              </w:rPr>
            </w:pPr>
          </w:p>
        </w:tc>
        <w:tc>
          <w:tcPr>
            <w:tcW w:w="1000" w:type="dxa"/>
            <w:vAlign w:val="bottom"/>
            <w:tcBorders>
              <w:right w:val="single" w:sz="8" w:color="929292"/>
            </w:tcBorders>
            <w:shd w:val="clear" w:color="auto" w:fill="00A5B5"/>
          </w:tcPr>
          <w:p>
            <w:pPr>
              <w:spacing w:after="0"/>
              <w:rPr>
                <w:sz w:val="5"/>
                <w:szCs w:val="5"/>
                <w:color w:val="auto"/>
              </w:rPr>
            </w:pPr>
          </w:p>
        </w:tc>
        <w:tc>
          <w:tcPr>
            <w:tcW w:w="940" w:type="dxa"/>
            <w:vAlign w:val="bottom"/>
            <w:shd w:val="clear" w:color="auto" w:fill="00A5B5"/>
          </w:tcPr>
          <w:p>
            <w:pPr>
              <w:spacing w:after="0"/>
              <w:rPr>
                <w:sz w:val="5"/>
                <w:szCs w:val="5"/>
                <w:color w:val="auto"/>
              </w:rPr>
            </w:pPr>
          </w:p>
        </w:tc>
        <w:tc>
          <w:tcPr>
            <w:tcW w:w="1040" w:type="dxa"/>
            <w:vAlign w:val="bottom"/>
            <w:tcBorders>
              <w:right w:val="single" w:sz="8" w:color="auto"/>
            </w:tcBorders>
            <w:shd w:val="clear" w:color="auto" w:fill="00A5B5"/>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700" w:type="dxa"/>
            <w:vAlign w:val="bottom"/>
            <w:tcBorders>
              <w:left w:val="single" w:sz="8" w:color="auto"/>
              <w:right w:val="single" w:sz="8" w:color="929292"/>
            </w:tcBorders>
            <w:shd w:val="clear" w:color="auto" w:fill="00A5B5"/>
          </w:tcPr>
          <w:p>
            <w:pPr>
              <w:spacing w:after="0"/>
              <w:rPr>
                <w:sz w:val="8"/>
                <w:szCs w:val="8"/>
                <w:color w:val="auto"/>
              </w:rPr>
            </w:pPr>
          </w:p>
        </w:tc>
        <w:tc>
          <w:tcPr>
            <w:tcW w:w="880" w:type="dxa"/>
            <w:vAlign w:val="bottom"/>
            <w:tcBorders>
              <w:right w:val="single" w:sz="8" w:color="929292"/>
            </w:tcBorders>
            <w:shd w:val="clear" w:color="auto" w:fill="00A5B5"/>
          </w:tcPr>
          <w:p>
            <w:pPr>
              <w:spacing w:after="0"/>
              <w:rPr>
                <w:sz w:val="8"/>
                <w:szCs w:val="8"/>
                <w:color w:val="auto"/>
              </w:rPr>
            </w:pPr>
          </w:p>
        </w:tc>
        <w:tc>
          <w:tcPr>
            <w:tcW w:w="1020" w:type="dxa"/>
            <w:vAlign w:val="bottom"/>
            <w:shd w:val="clear" w:color="auto" w:fill="00A5B5"/>
          </w:tcPr>
          <w:p>
            <w:pPr>
              <w:spacing w:after="0"/>
              <w:rPr>
                <w:sz w:val="8"/>
                <w:szCs w:val="8"/>
                <w:color w:val="auto"/>
              </w:rPr>
            </w:pPr>
          </w:p>
        </w:tc>
        <w:tc>
          <w:tcPr>
            <w:tcW w:w="1020" w:type="dxa"/>
            <w:vAlign w:val="bottom"/>
            <w:shd w:val="clear" w:color="auto" w:fill="00A5B5"/>
          </w:tcPr>
          <w:p>
            <w:pPr>
              <w:spacing w:after="0"/>
              <w:rPr>
                <w:sz w:val="8"/>
                <w:szCs w:val="8"/>
                <w:color w:val="auto"/>
              </w:rPr>
            </w:pPr>
          </w:p>
        </w:tc>
        <w:tc>
          <w:tcPr>
            <w:tcW w:w="700" w:type="dxa"/>
            <w:vAlign w:val="bottom"/>
            <w:shd w:val="clear" w:color="auto" w:fill="00A5B5"/>
          </w:tcPr>
          <w:p>
            <w:pPr>
              <w:spacing w:after="0"/>
              <w:rPr>
                <w:sz w:val="8"/>
                <w:szCs w:val="8"/>
                <w:color w:val="auto"/>
              </w:rPr>
            </w:pPr>
          </w:p>
        </w:tc>
        <w:tc>
          <w:tcPr>
            <w:tcW w:w="360" w:type="dxa"/>
            <w:vAlign w:val="bottom"/>
            <w:shd w:val="clear" w:color="auto" w:fill="00A5B5"/>
          </w:tcPr>
          <w:p>
            <w:pPr>
              <w:spacing w:after="0"/>
              <w:rPr>
                <w:sz w:val="8"/>
                <w:szCs w:val="8"/>
                <w:color w:val="auto"/>
              </w:rPr>
            </w:pPr>
          </w:p>
        </w:tc>
        <w:tc>
          <w:tcPr>
            <w:tcW w:w="1060" w:type="dxa"/>
            <w:vAlign w:val="bottom"/>
            <w:tcBorders>
              <w:right w:val="single" w:sz="8" w:color="929292"/>
            </w:tcBorders>
            <w:shd w:val="clear" w:color="auto" w:fill="00A5B5"/>
          </w:tcPr>
          <w:p>
            <w:pPr>
              <w:spacing w:after="0"/>
              <w:rPr>
                <w:sz w:val="8"/>
                <w:szCs w:val="8"/>
                <w:color w:val="auto"/>
              </w:rPr>
            </w:pPr>
          </w:p>
        </w:tc>
        <w:tc>
          <w:tcPr>
            <w:tcW w:w="1000" w:type="dxa"/>
            <w:vAlign w:val="bottom"/>
            <w:tcBorders>
              <w:right w:val="single" w:sz="8" w:color="929292"/>
            </w:tcBorders>
            <w:shd w:val="clear" w:color="auto" w:fill="00A5B5"/>
          </w:tcPr>
          <w:p>
            <w:pPr>
              <w:spacing w:after="0"/>
              <w:rPr>
                <w:sz w:val="8"/>
                <w:szCs w:val="8"/>
                <w:color w:val="auto"/>
              </w:rPr>
            </w:pPr>
          </w:p>
        </w:tc>
        <w:tc>
          <w:tcPr>
            <w:tcW w:w="1000" w:type="dxa"/>
            <w:vAlign w:val="bottom"/>
            <w:tcBorders>
              <w:right w:val="single" w:sz="8" w:color="929292"/>
            </w:tcBorders>
            <w:shd w:val="clear" w:color="auto" w:fill="00A5B5"/>
          </w:tcPr>
          <w:p>
            <w:pPr>
              <w:spacing w:after="0"/>
              <w:rPr>
                <w:sz w:val="8"/>
                <w:szCs w:val="8"/>
                <w:color w:val="auto"/>
              </w:rPr>
            </w:pPr>
          </w:p>
        </w:tc>
        <w:tc>
          <w:tcPr>
            <w:tcW w:w="940" w:type="dxa"/>
            <w:vAlign w:val="bottom"/>
            <w:shd w:val="clear" w:color="auto" w:fill="00A5B5"/>
          </w:tcPr>
          <w:p>
            <w:pPr>
              <w:spacing w:after="0"/>
              <w:rPr>
                <w:sz w:val="8"/>
                <w:szCs w:val="8"/>
                <w:color w:val="auto"/>
              </w:rPr>
            </w:pPr>
          </w:p>
        </w:tc>
        <w:tc>
          <w:tcPr>
            <w:tcW w:w="1040" w:type="dxa"/>
            <w:vAlign w:val="bottom"/>
            <w:tcBorders>
              <w:right w:val="single" w:sz="8" w:color="auto"/>
            </w:tcBorders>
            <w:shd w:val="clear" w:color="auto" w:fill="00A5B5"/>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700" w:type="dxa"/>
            <w:vAlign w:val="bottom"/>
            <w:tcBorders>
              <w:left w:val="single" w:sz="8" w:color="auto"/>
              <w:right w:val="single" w:sz="8" w:color="929292"/>
            </w:tcBorders>
            <w:shd w:val="clear" w:color="auto" w:fill="CCEEF0"/>
          </w:tcPr>
          <w:p>
            <w:pPr>
              <w:ind w:left="20"/>
              <w:spacing w:after="0" w:line="120" w:lineRule="exact"/>
              <w:rPr>
                <w:sz w:val="20"/>
                <w:szCs w:val="20"/>
                <w:color w:val="auto"/>
              </w:rPr>
            </w:pPr>
            <w:r>
              <w:rPr>
                <w:rFonts w:ascii="Arial" w:cs="Arial" w:eastAsia="Arial" w:hAnsi="Arial"/>
                <w:sz w:val="12"/>
                <w:szCs w:val="12"/>
                <w:color w:val="auto"/>
              </w:rPr>
              <w:t>Cumulative Three-Year</w:t>
            </w:r>
          </w:p>
        </w:tc>
        <w:tc>
          <w:tcPr>
            <w:tcW w:w="88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70%</w:t>
            </w:r>
          </w:p>
        </w:tc>
        <w:tc>
          <w:tcPr>
            <w:tcW w:w="102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rPr>
              <w:t>&lt; $3,181</w:t>
            </w:r>
          </w:p>
        </w:tc>
        <w:tc>
          <w:tcPr>
            <w:tcW w:w="1020" w:type="dxa"/>
            <w:vAlign w:val="bottom"/>
            <w:vMerge w:val="restart"/>
            <w:shd w:val="clear" w:color="auto" w:fill="CCEEF0"/>
          </w:tcPr>
          <w:p>
            <w:pPr>
              <w:jc w:val="right"/>
              <w:ind w:right="262"/>
              <w:spacing w:after="0"/>
              <w:rPr>
                <w:sz w:val="20"/>
                <w:szCs w:val="20"/>
                <w:color w:val="auto"/>
              </w:rPr>
            </w:pPr>
            <w:r>
              <w:rPr>
                <w:rFonts w:ascii="Arial" w:cs="Arial" w:eastAsia="Arial" w:hAnsi="Arial"/>
                <w:sz w:val="12"/>
                <w:szCs w:val="12"/>
                <w:color w:val="auto"/>
              </w:rPr>
              <w:t>$3,181</w:t>
            </w:r>
          </w:p>
        </w:tc>
        <w:tc>
          <w:tcPr>
            <w:tcW w:w="1060" w:type="dxa"/>
            <w:vAlign w:val="bottom"/>
            <w:gridSpan w:val="2"/>
            <w:vMerge w:val="restart"/>
            <w:shd w:val="clear" w:color="auto" w:fill="CCEEF0"/>
          </w:tcPr>
          <w:p>
            <w:pPr>
              <w:jc w:val="center"/>
              <w:spacing w:after="0"/>
              <w:rPr>
                <w:sz w:val="20"/>
                <w:szCs w:val="20"/>
                <w:color w:val="auto"/>
              </w:rPr>
            </w:pPr>
            <w:r>
              <w:rPr>
                <w:rFonts w:ascii="Arial" w:cs="Arial" w:eastAsia="Arial" w:hAnsi="Arial"/>
                <w:sz w:val="12"/>
                <w:szCs w:val="12"/>
                <w:color w:val="auto"/>
              </w:rPr>
              <w:t>$3,421</w:t>
            </w:r>
          </w:p>
        </w:tc>
        <w:tc>
          <w:tcPr>
            <w:tcW w:w="1060" w:type="dxa"/>
            <w:vAlign w:val="bottom"/>
            <w:tcBorders>
              <w:right w:val="single" w:sz="8" w:color="929292"/>
            </w:tcBorders>
            <w:vMerge w:val="restart"/>
            <w:shd w:val="clear" w:color="auto" w:fill="CCEEF0"/>
          </w:tcPr>
          <w:p>
            <w:pPr>
              <w:jc w:val="right"/>
              <w:ind w:right="242"/>
              <w:spacing w:after="0"/>
              <w:rPr>
                <w:sz w:val="20"/>
                <w:szCs w:val="20"/>
                <w:color w:val="auto"/>
              </w:rPr>
            </w:pPr>
            <w:r>
              <w:rPr>
                <w:rFonts w:ascii="Arial" w:cs="Arial" w:eastAsia="Arial" w:hAnsi="Arial"/>
                <w:sz w:val="12"/>
                <w:szCs w:val="12"/>
                <w:color w:val="auto"/>
              </w:rPr>
              <w:t>$3,660 +</w:t>
            </w:r>
          </w:p>
        </w:tc>
        <w:tc>
          <w:tcPr>
            <w:tcW w:w="100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rPr>
              <w:t>$3,722</w:t>
            </w:r>
          </w:p>
        </w:tc>
        <w:tc>
          <w:tcPr>
            <w:tcW w:w="100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rPr>
              <w:t>109%</w:t>
            </w:r>
          </w:p>
        </w:tc>
        <w:tc>
          <w:tcPr>
            <w:tcW w:w="94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Borders>
              <w:right w:val="single" w:sz="8" w:color="auto"/>
            </w:tcBorders>
            <w:vMerge w:val="restart"/>
            <w:shd w:val="clear" w:color="auto" w:fill="CCEEF0"/>
          </w:tcPr>
          <w:p>
            <w:pPr>
              <w:jc w:val="center"/>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06"/>
        </w:trPr>
        <w:tc>
          <w:tcPr>
            <w:tcW w:w="1700" w:type="dxa"/>
            <w:vAlign w:val="bottom"/>
            <w:tcBorders>
              <w:left w:val="single" w:sz="8" w:color="auto"/>
              <w:right w:val="single" w:sz="8" w:color="929292"/>
            </w:tcBorders>
            <w:vMerge w:val="restart"/>
            <w:shd w:val="clear" w:color="auto" w:fill="CCEEF0"/>
          </w:tcPr>
          <w:p>
            <w:pPr>
              <w:ind w:left="20"/>
              <w:spacing w:after="0"/>
              <w:rPr>
                <w:sz w:val="20"/>
                <w:szCs w:val="20"/>
                <w:color w:val="auto"/>
              </w:rPr>
            </w:pPr>
            <w:r>
              <w:rPr>
                <w:rFonts w:ascii="Arial" w:cs="Arial" w:eastAsia="Arial" w:hAnsi="Arial"/>
                <w:sz w:val="12"/>
                <w:szCs w:val="12"/>
                <w:color w:val="auto"/>
              </w:rPr>
              <w:t>Adjusted EBITDA</w:t>
            </w:r>
          </w:p>
        </w:tc>
        <w:tc>
          <w:tcPr>
            <w:tcW w:w="880" w:type="dxa"/>
            <w:vAlign w:val="bottom"/>
            <w:tcBorders>
              <w:right w:val="single" w:sz="8" w:color="929292"/>
            </w:tcBorders>
            <w:vMerge w:val="continue"/>
            <w:shd w:val="clear" w:color="auto" w:fill="CCEEF0"/>
          </w:tcPr>
          <w:p>
            <w:pPr>
              <w:spacing w:after="0"/>
              <w:rPr>
                <w:sz w:val="9"/>
                <w:szCs w:val="9"/>
                <w:color w:val="auto"/>
              </w:rPr>
            </w:pPr>
          </w:p>
        </w:tc>
        <w:tc>
          <w:tcPr>
            <w:tcW w:w="1020" w:type="dxa"/>
            <w:vAlign w:val="bottom"/>
            <w:vMerge w:val="continue"/>
            <w:shd w:val="clear" w:color="auto" w:fill="CCEEF0"/>
          </w:tcPr>
          <w:p>
            <w:pPr>
              <w:spacing w:after="0"/>
              <w:rPr>
                <w:sz w:val="9"/>
                <w:szCs w:val="9"/>
                <w:color w:val="auto"/>
              </w:rPr>
            </w:pPr>
          </w:p>
        </w:tc>
        <w:tc>
          <w:tcPr>
            <w:tcW w:w="1020" w:type="dxa"/>
            <w:vAlign w:val="bottom"/>
            <w:vMerge w:val="continue"/>
            <w:shd w:val="clear" w:color="auto" w:fill="CCEEF0"/>
          </w:tcPr>
          <w:p>
            <w:pPr>
              <w:spacing w:after="0"/>
              <w:rPr>
                <w:sz w:val="9"/>
                <w:szCs w:val="9"/>
                <w:color w:val="auto"/>
              </w:rPr>
            </w:pPr>
          </w:p>
        </w:tc>
        <w:tc>
          <w:tcPr>
            <w:tcW w:w="1060" w:type="dxa"/>
            <w:vAlign w:val="bottom"/>
            <w:gridSpan w:val="2"/>
            <w:vMerge w:val="continue"/>
            <w:shd w:val="clear" w:color="auto" w:fill="CCEEF0"/>
          </w:tcPr>
          <w:p>
            <w:pPr>
              <w:spacing w:after="0"/>
              <w:rPr>
                <w:sz w:val="9"/>
                <w:szCs w:val="9"/>
                <w:color w:val="auto"/>
              </w:rPr>
            </w:pPr>
          </w:p>
        </w:tc>
        <w:tc>
          <w:tcPr>
            <w:tcW w:w="1060" w:type="dxa"/>
            <w:vAlign w:val="bottom"/>
            <w:tcBorders>
              <w:right w:val="single" w:sz="8" w:color="929292"/>
            </w:tcBorders>
            <w:vMerge w:val="continue"/>
            <w:shd w:val="clear" w:color="auto" w:fill="CCEEF0"/>
          </w:tcPr>
          <w:p>
            <w:pPr>
              <w:spacing w:after="0"/>
              <w:rPr>
                <w:sz w:val="9"/>
                <w:szCs w:val="9"/>
                <w:color w:val="auto"/>
              </w:rPr>
            </w:pPr>
          </w:p>
        </w:tc>
        <w:tc>
          <w:tcPr>
            <w:tcW w:w="1000" w:type="dxa"/>
            <w:vAlign w:val="bottom"/>
            <w:tcBorders>
              <w:right w:val="single" w:sz="8" w:color="929292"/>
            </w:tcBorders>
            <w:vMerge w:val="continue"/>
            <w:shd w:val="clear" w:color="auto" w:fill="CCEEF0"/>
          </w:tcPr>
          <w:p>
            <w:pPr>
              <w:spacing w:after="0"/>
              <w:rPr>
                <w:sz w:val="9"/>
                <w:szCs w:val="9"/>
                <w:color w:val="auto"/>
              </w:rPr>
            </w:pPr>
          </w:p>
        </w:tc>
        <w:tc>
          <w:tcPr>
            <w:tcW w:w="1000" w:type="dxa"/>
            <w:vAlign w:val="bottom"/>
            <w:tcBorders>
              <w:right w:val="single" w:sz="8" w:color="929292"/>
            </w:tcBorders>
            <w:vMerge w:val="continue"/>
            <w:shd w:val="clear" w:color="auto" w:fill="CCEEF0"/>
          </w:tcPr>
          <w:p>
            <w:pPr>
              <w:spacing w:after="0"/>
              <w:rPr>
                <w:sz w:val="9"/>
                <w:szCs w:val="9"/>
                <w:color w:val="auto"/>
              </w:rPr>
            </w:pPr>
          </w:p>
        </w:tc>
        <w:tc>
          <w:tcPr>
            <w:tcW w:w="940" w:type="dxa"/>
            <w:vAlign w:val="bottom"/>
            <w:vMerge w:val="continue"/>
            <w:shd w:val="clear" w:color="auto" w:fill="CCEEF0"/>
          </w:tcPr>
          <w:p>
            <w:pPr>
              <w:spacing w:after="0"/>
              <w:rPr>
                <w:sz w:val="9"/>
                <w:szCs w:val="9"/>
                <w:color w:val="auto"/>
              </w:rPr>
            </w:pPr>
          </w:p>
        </w:tc>
        <w:tc>
          <w:tcPr>
            <w:tcW w:w="1040" w:type="dxa"/>
            <w:vAlign w:val="bottom"/>
            <w:tcBorders>
              <w:right w:val="single" w:sz="8" w:color="auto"/>
            </w:tcBorders>
            <w:vMerge w:val="continue"/>
            <w:shd w:val="clear" w:color="auto" w:fill="CCEEF0"/>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bottom w:val="single" w:sz="8" w:color="CCEEF0"/>
              <w:right w:val="single" w:sz="8" w:color="929292"/>
            </w:tcBorders>
            <w:vMerge w:val="continue"/>
            <w:shd w:val="clear" w:color="auto" w:fill="CCEEF0"/>
          </w:tcPr>
          <w:p>
            <w:pPr>
              <w:spacing w:after="0"/>
              <w:rPr>
                <w:sz w:val="5"/>
                <w:szCs w:val="5"/>
                <w:color w:val="auto"/>
              </w:rPr>
            </w:pPr>
          </w:p>
        </w:tc>
        <w:tc>
          <w:tcPr>
            <w:tcW w:w="880" w:type="dxa"/>
            <w:vAlign w:val="bottom"/>
            <w:tcBorders>
              <w:bottom w:val="single" w:sz="8" w:color="CCEEF0"/>
              <w:right w:val="single" w:sz="8" w:color="929292"/>
            </w:tcBorders>
            <w:shd w:val="clear" w:color="auto" w:fill="CCEEF0"/>
          </w:tcPr>
          <w:p>
            <w:pPr>
              <w:spacing w:after="0"/>
              <w:rPr>
                <w:sz w:val="5"/>
                <w:szCs w:val="5"/>
                <w:color w:val="auto"/>
              </w:rPr>
            </w:pPr>
          </w:p>
        </w:tc>
        <w:tc>
          <w:tcPr>
            <w:tcW w:w="1020" w:type="dxa"/>
            <w:vAlign w:val="bottom"/>
            <w:tcBorders>
              <w:bottom w:val="single" w:sz="8" w:color="CCEEF0"/>
            </w:tcBorders>
            <w:shd w:val="clear" w:color="auto" w:fill="CCEEF0"/>
          </w:tcPr>
          <w:p>
            <w:pPr>
              <w:spacing w:after="0"/>
              <w:rPr>
                <w:sz w:val="5"/>
                <w:szCs w:val="5"/>
                <w:color w:val="auto"/>
              </w:rPr>
            </w:pPr>
          </w:p>
        </w:tc>
        <w:tc>
          <w:tcPr>
            <w:tcW w:w="1020" w:type="dxa"/>
            <w:vAlign w:val="bottom"/>
            <w:tcBorders>
              <w:bottom w:val="single" w:sz="8" w:color="CCEEF0"/>
            </w:tcBorders>
            <w:shd w:val="clear" w:color="auto" w:fill="CCEEF0"/>
          </w:tcPr>
          <w:p>
            <w:pPr>
              <w:spacing w:after="0"/>
              <w:rPr>
                <w:sz w:val="5"/>
                <w:szCs w:val="5"/>
                <w:color w:val="auto"/>
              </w:rPr>
            </w:pPr>
          </w:p>
        </w:tc>
        <w:tc>
          <w:tcPr>
            <w:tcW w:w="700" w:type="dxa"/>
            <w:vAlign w:val="bottom"/>
            <w:tcBorders>
              <w:bottom w:val="single" w:sz="8" w:color="CCEEF0"/>
            </w:tcBorders>
            <w:shd w:val="clear" w:color="auto" w:fill="CCEEF0"/>
          </w:tcPr>
          <w:p>
            <w:pPr>
              <w:spacing w:after="0"/>
              <w:rPr>
                <w:sz w:val="5"/>
                <w:szCs w:val="5"/>
                <w:color w:val="auto"/>
              </w:rPr>
            </w:pPr>
          </w:p>
        </w:tc>
        <w:tc>
          <w:tcPr>
            <w:tcW w:w="360" w:type="dxa"/>
            <w:vAlign w:val="bottom"/>
            <w:tcBorders>
              <w:bottom w:val="single" w:sz="8" w:color="CCEEF0"/>
            </w:tcBorders>
            <w:shd w:val="clear" w:color="auto" w:fill="CCEEF0"/>
          </w:tcPr>
          <w:p>
            <w:pPr>
              <w:spacing w:after="0"/>
              <w:rPr>
                <w:sz w:val="5"/>
                <w:szCs w:val="5"/>
                <w:color w:val="auto"/>
              </w:rPr>
            </w:pPr>
          </w:p>
        </w:tc>
        <w:tc>
          <w:tcPr>
            <w:tcW w:w="1060" w:type="dxa"/>
            <w:vAlign w:val="bottom"/>
            <w:tcBorders>
              <w:bottom w:val="single" w:sz="8" w:color="CCEEF0"/>
              <w:right w:val="single" w:sz="8" w:color="929292"/>
            </w:tcBorders>
            <w:shd w:val="clear" w:color="auto" w:fill="CCEEF0"/>
          </w:tcPr>
          <w:p>
            <w:pPr>
              <w:spacing w:after="0"/>
              <w:rPr>
                <w:sz w:val="5"/>
                <w:szCs w:val="5"/>
                <w:color w:val="auto"/>
              </w:rPr>
            </w:pPr>
          </w:p>
        </w:tc>
        <w:tc>
          <w:tcPr>
            <w:tcW w:w="1000" w:type="dxa"/>
            <w:vAlign w:val="bottom"/>
            <w:tcBorders>
              <w:bottom w:val="single" w:sz="8" w:color="CCEEF0"/>
              <w:right w:val="single" w:sz="8" w:color="929292"/>
            </w:tcBorders>
            <w:shd w:val="clear" w:color="auto" w:fill="CCEEF0"/>
          </w:tcPr>
          <w:p>
            <w:pPr>
              <w:spacing w:after="0"/>
              <w:rPr>
                <w:sz w:val="5"/>
                <w:szCs w:val="5"/>
                <w:color w:val="auto"/>
              </w:rPr>
            </w:pPr>
          </w:p>
        </w:tc>
        <w:tc>
          <w:tcPr>
            <w:tcW w:w="1000" w:type="dxa"/>
            <w:vAlign w:val="bottom"/>
            <w:tcBorders>
              <w:bottom w:val="single" w:sz="8" w:color="CCEEF0"/>
              <w:right w:val="single" w:sz="8" w:color="929292"/>
            </w:tcBorders>
            <w:shd w:val="clear" w:color="auto" w:fill="CCEEF0"/>
          </w:tcPr>
          <w:p>
            <w:pPr>
              <w:spacing w:after="0"/>
              <w:rPr>
                <w:sz w:val="5"/>
                <w:szCs w:val="5"/>
                <w:color w:val="auto"/>
              </w:rPr>
            </w:pPr>
          </w:p>
        </w:tc>
        <w:tc>
          <w:tcPr>
            <w:tcW w:w="940" w:type="dxa"/>
            <w:vAlign w:val="bottom"/>
            <w:tcBorders>
              <w:bottom w:val="single" w:sz="8" w:color="CCEEF0"/>
            </w:tcBorders>
            <w:shd w:val="clear" w:color="auto" w:fill="CCEEF0"/>
          </w:tcPr>
          <w:p>
            <w:pPr>
              <w:spacing w:after="0"/>
              <w:rPr>
                <w:sz w:val="5"/>
                <w:szCs w:val="5"/>
                <w:color w:val="auto"/>
              </w:rPr>
            </w:pPr>
          </w:p>
        </w:tc>
        <w:tc>
          <w:tcPr>
            <w:tcW w:w="1040" w:type="dxa"/>
            <w:vAlign w:val="bottom"/>
            <w:tcBorders>
              <w:bottom w:val="single" w:sz="8" w:color="CCEEF0"/>
              <w:right w:val="single" w:sz="8" w:color="auto"/>
            </w:tcBorders>
            <w:shd w:val="clear" w:color="auto" w:fill="CCEEF0"/>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700" w:type="dxa"/>
            <w:vAlign w:val="bottom"/>
            <w:tcBorders>
              <w:left w:val="single" w:sz="8" w:color="auto"/>
              <w:right w:val="single" w:sz="8" w:color="929292"/>
            </w:tcBorders>
          </w:tcPr>
          <w:p>
            <w:pPr>
              <w:ind w:left="20"/>
              <w:spacing w:after="0" w:line="120" w:lineRule="exact"/>
              <w:rPr>
                <w:sz w:val="20"/>
                <w:szCs w:val="20"/>
                <w:color w:val="auto"/>
              </w:rPr>
            </w:pPr>
            <w:r>
              <w:rPr>
                <w:rFonts w:ascii="Arial" w:cs="Arial" w:eastAsia="Arial" w:hAnsi="Arial"/>
                <w:sz w:val="12"/>
                <w:szCs w:val="12"/>
                <w:color w:val="auto"/>
              </w:rPr>
              <w:t>Cumulative</w:t>
            </w:r>
          </w:p>
        </w:tc>
        <w:tc>
          <w:tcPr>
            <w:tcW w:w="88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2"/>
                <w:szCs w:val="12"/>
                <w:color w:val="auto"/>
                <w:w w:val="99"/>
              </w:rPr>
              <w:t>20%</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auto"/>
              </w:rPr>
              <w:t>&lt; $29,358</w:t>
            </w:r>
          </w:p>
        </w:tc>
        <w:tc>
          <w:tcPr>
            <w:tcW w:w="1020" w:type="dxa"/>
            <w:vAlign w:val="bottom"/>
            <w:vMerge w:val="restart"/>
          </w:tcPr>
          <w:p>
            <w:pPr>
              <w:jc w:val="right"/>
              <w:ind w:right="222"/>
              <w:spacing w:after="0"/>
              <w:rPr>
                <w:sz w:val="20"/>
                <w:szCs w:val="20"/>
                <w:color w:val="auto"/>
              </w:rPr>
            </w:pPr>
            <w:r>
              <w:rPr>
                <w:rFonts w:ascii="Arial" w:cs="Arial" w:eastAsia="Arial" w:hAnsi="Arial"/>
                <w:sz w:val="12"/>
                <w:szCs w:val="12"/>
                <w:color w:val="auto"/>
              </w:rPr>
              <w:t>$29,358</w:t>
            </w: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auto"/>
              </w:rPr>
              <w:t>$31,232</w:t>
            </w:r>
          </w:p>
        </w:tc>
        <w:tc>
          <w:tcPr>
            <w:tcW w:w="1060" w:type="dxa"/>
            <w:vAlign w:val="bottom"/>
            <w:tcBorders>
              <w:right w:val="single" w:sz="8" w:color="929292"/>
            </w:tcBorders>
            <w:vMerge w:val="restart"/>
          </w:tcPr>
          <w:p>
            <w:pPr>
              <w:jc w:val="right"/>
              <w:ind w:right="202"/>
              <w:spacing w:after="0"/>
              <w:rPr>
                <w:sz w:val="20"/>
                <w:szCs w:val="20"/>
                <w:color w:val="auto"/>
              </w:rPr>
            </w:pPr>
            <w:r>
              <w:rPr>
                <w:rFonts w:ascii="Arial" w:cs="Arial" w:eastAsia="Arial" w:hAnsi="Arial"/>
                <w:sz w:val="12"/>
                <w:szCs w:val="12"/>
                <w:color w:val="auto"/>
              </w:rPr>
              <w:t>$33,106 +</w:t>
            </w:r>
          </w:p>
        </w:tc>
        <w:tc>
          <w:tcPr>
            <w:tcW w:w="10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2"/>
                <w:szCs w:val="12"/>
                <w:color w:val="auto"/>
              </w:rPr>
              <w:t>$33,720</w:t>
            </w:r>
          </w:p>
        </w:tc>
        <w:tc>
          <w:tcPr>
            <w:tcW w:w="10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2"/>
                <w:szCs w:val="12"/>
                <w:color w:val="auto"/>
              </w:rPr>
              <w:t>108%</w:t>
            </w:r>
          </w:p>
        </w:tc>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06"/>
        </w:trPr>
        <w:tc>
          <w:tcPr>
            <w:tcW w:w="1700" w:type="dxa"/>
            <w:vAlign w:val="bottom"/>
            <w:tcBorders>
              <w:left w:val="single" w:sz="8" w:color="auto"/>
              <w:right w:val="single" w:sz="8" w:color="929292"/>
            </w:tcBorders>
            <w:vMerge w:val="restart"/>
          </w:tcPr>
          <w:p>
            <w:pPr>
              <w:ind w:left="20"/>
              <w:spacing w:after="0"/>
              <w:rPr>
                <w:sz w:val="20"/>
                <w:szCs w:val="20"/>
                <w:color w:val="auto"/>
              </w:rPr>
            </w:pPr>
            <w:r>
              <w:rPr>
                <w:rFonts w:ascii="Arial" w:cs="Arial" w:eastAsia="Arial" w:hAnsi="Arial"/>
                <w:sz w:val="12"/>
                <w:szCs w:val="12"/>
                <w:color w:val="auto"/>
              </w:rPr>
              <w:t>Three-Year Revenue</w:t>
            </w:r>
          </w:p>
        </w:tc>
        <w:tc>
          <w:tcPr>
            <w:tcW w:w="880" w:type="dxa"/>
            <w:vAlign w:val="bottom"/>
            <w:tcBorders>
              <w:right w:val="single" w:sz="8" w:color="929292"/>
            </w:tcBorders>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60" w:type="dxa"/>
            <w:vAlign w:val="bottom"/>
            <w:tcBorders>
              <w:right w:val="single" w:sz="8" w:color="929292"/>
            </w:tcBorders>
            <w:vMerge w:val="continue"/>
          </w:tcPr>
          <w:p>
            <w:pPr>
              <w:spacing w:after="0"/>
              <w:rPr>
                <w:sz w:val="9"/>
                <w:szCs w:val="9"/>
                <w:color w:val="auto"/>
              </w:rPr>
            </w:pPr>
          </w:p>
        </w:tc>
        <w:tc>
          <w:tcPr>
            <w:tcW w:w="1000" w:type="dxa"/>
            <w:vAlign w:val="bottom"/>
            <w:tcBorders>
              <w:right w:val="single" w:sz="8" w:color="929292"/>
            </w:tcBorders>
            <w:vMerge w:val="continue"/>
          </w:tcPr>
          <w:p>
            <w:pPr>
              <w:spacing w:after="0"/>
              <w:rPr>
                <w:sz w:val="9"/>
                <w:szCs w:val="9"/>
                <w:color w:val="auto"/>
              </w:rPr>
            </w:pPr>
          </w:p>
        </w:tc>
        <w:tc>
          <w:tcPr>
            <w:tcW w:w="1000" w:type="dxa"/>
            <w:vAlign w:val="bottom"/>
            <w:tcBorders>
              <w:right w:val="single" w:sz="8" w:color="929292"/>
            </w:tcBorders>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700" w:type="dxa"/>
            <w:vAlign w:val="bottom"/>
            <w:tcBorders>
              <w:left w:val="single" w:sz="8" w:color="auto"/>
              <w:right w:val="single" w:sz="8" w:color="929292"/>
            </w:tcBorders>
            <w:vMerge w:val="continue"/>
          </w:tcPr>
          <w:p>
            <w:pPr>
              <w:spacing w:after="0"/>
              <w:rPr>
                <w:sz w:val="5"/>
                <w:szCs w:val="5"/>
                <w:color w:val="auto"/>
              </w:rPr>
            </w:pPr>
          </w:p>
        </w:tc>
        <w:tc>
          <w:tcPr>
            <w:tcW w:w="880" w:type="dxa"/>
            <w:vAlign w:val="bottom"/>
            <w:tcBorders>
              <w:right w:val="single" w:sz="8" w:color="929292"/>
            </w:tcBorders>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Borders>
              <w:right w:val="single" w:sz="8" w:color="929292"/>
            </w:tcBorders>
          </w:tcPr>
          <w:p>
            <w:pPr>
              <w:spacing w:after="0"/>
              <w:rPr>
                <w:sz w:val="5"/>
                <w:szCs w:val="5"/>
                <w:color w:val="auto"/>
              </w:rPr>
            </w:pPr>
          </w:p>
        </w:tc>
        <w:tc>
          <w:tcPr>
            <w:tcW w:w="1000" w:type="dxa"/>
            <w:vAlign w:val="bottom"/>
            <w:tcBorders>
              <w:right w:val="single" w:sz="8" w:color="929292"/>
            </w:tcBorders>
          </w:tcPr>
          <w:p>
            <w:pPr>
              <w:spacing w:after="0"/>
              <w:rPr>
                <w:sz w:val="5"/>
                <w:szCs w:val="5"/>
                <w:color w:val="auto"/>
              </w:rPr>
            </w:pPr>
          </w:p>
        </w:tc>
        <w:tc>
          <w:tcPr>
            <w:tcW w:w="1000" w:type="dxa"/>
            <w:vAlign w:val="bottom"/>
            <w:tcBorders>
              <w:right w:val="single" w:sz="8" w:color="929292"/>
            </w:tcBorders>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700" w:type="dxa"/>
            <w:vAlign w:val="bottom"/>
            <w:tcBorders>
              <w:left w:val="single" w:sz="8" w:color="auto"/>
              <w:right w:val="single" w:sz="8" w:color="929292"/>
            </w:tcBorders>
          </w:tcPr>
          <w:p>
            <w:pPr>
              <w:spacing w:after="0" w:line="20" w:lineRule="exact"/>
              <w:rPr>
                <w:sz w:val="1"/>
                <w:szCs w:val="1"/>
                <w:color w:val="auto"/>
              </w:rPr>
            </w:pPr>
          </w:p>
        </w:tc>
        <w:tc>
          <w:tcPr>
            <w:tcW w:w="880" w:type="dxa"/>
            <w:vAlign w:val="bottom"/>
            <w:tcBorders>
              <w:right w:val="single" w:sz="8" w:color="929292"/>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right w:val="single" w:sz="8" w:color="929292"/>
            </w:tcBorders>
          </w:tcPr>
          <w:p>
            <w:pPr>
              <w:spacing w:after="0" w:line="20" w:lineRule="exact"/>
              <w:rPr>
                <w:sz w:val="1"/>
                <w:szCs w:val="1"/>
                <w:color w:val="auto"/>
              </w:rPr>
            </w:pPr>
          </w:p>
        </w:tc>
        <w:tc>
          <w:tcPr>
            <w:tcW w:w="1000" w:type="dxa"/>
            <w:vAlign w:val="bottom"/>
            <w:tcBorders>
              <w:right w:val="single" w:sz="8" w:color="929292"/>
            </w:tcBorders>
          </w:tcPr>
          <w:p>
            <w:pPr>
              <w:spacing w:after="0" w:line="20" w:lineRule="exact"/>
              <w:rPr>
                <w:sz w:val="1"/>
                <w:szCs w:val="1"/>
                <w:color w:val="auto"/>
              </w:rPr>
            </w:pPr>
          </w:p>
        </w:tc>
        <w:tc>
          <w:tcPr>
            <w:tcW w:w="1000" w:type="dxa"/>
            <w:vAlign w:val="bottom"/>
            <w:tcBorders>
              <w:right w:val="single" w:sz="8" w:color="929292"/>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00" w:type="dxa"/>
            <w:vAlign w:val="bottom"/>
            <w:tcBorders>
              <w:left w:val="single" w:sz="8" w:color="auto"/>
              <w:right w:val="single" w:sz="8" w:color="929292"/>
            </w:tcBorders>
            <w:shd w:val="clear" w:color="auto" w:fill="CCEEF0"/>
          </w:tcPr>
          <w:p>
            <w:pPr>
              <w:ind w:left="20"/>
              <w:spacing w:after="0" w:line="120" w:lineRule="exact"/>
              <w:rPr>
                <w:sz w:val="20"/>
                <w:szCs w:val="20"/>
                <w:color w:val="auto"/>
              </w:rPr>
            </w:pPr>
            <w:r>
              <w:rPr>
                <w:rFonts w:ascii="Arial" w:cs="Arial" w:eastAsia="Arial" w:hAnsi="Arial"/>
                <w:sz w:val="12"/>
                <w:szCs w:val="12"/>
                <w:color w:val="auto"/>
              </w:rPr>
              <w:t>Capital Deployment for</w:t>
            </w:r>
          </w:p>
        </w:tc>
        <w:tc>
          <w:tcPr>
            <w:tcW w:w="88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w w:val="91"/>
              </w:rPr>
              <w:t>5%</w:t>
            </w:r>
          </w:p>
        </w:tc>
        <w:tc>
          <w:tcPr>
            <w:tcW w:w="102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rPr>
              <w:t>&lt; $1,000</w:t>
            </w:r>
          </w:p>
        </w:tc>
        <w:tc>
          <w:tcPr>
            <w:tcW w:w="102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w w:val="95"/>
              </w:rPr>
              <w:t>n/a</w:t>
            </w:r>
          </w:p>
        </w:tc>
        <w:tc>
          <w:tcPr>
            <w:tcW w:w="1060" w:type="dxa"/>
            <w:vAlign w:val="bottom"/>
            <w:gridSpan w:val="2"/>
            <w:vMerge w:val="restart"/>
            <w:shd w:val="clear" w:color="auto" w:fill="CCEEF0"/>
          </w:tcPr>
          <w:p>
            <w:pPr>
              <w:jc w:val="center"/>
              <w:spacing w:after="0"/>
              <w:rPr>
                <w:sz w:val="20"/>
                <w:szCs w:val="20"/>
                <w:color w:val="auto"/>
              </w:rPr>
            </w:pPr>
            <w:r>
              <w:rPr>
                <w:rFonts w:ascii="Arial" w:cs="Arial" w:eastAsia="Arial" w:hAnsi="Arial"/>
                <w:sz w:val="12"/>
                <w:szCs w:val="12"/>
                <w:color w:val="auto"/>
              </w:rPr>
              <w:t>$1,000 +</w:t>
            </w:r>
          </w:p>
        </w:tc>
        <w:tc>
          <w:tcPr>
            <w:tcW w:w="106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w w:val="95"/>
              </w:rPr>
              <w:t>n/a</w:t>
            </w:r>
          </w:p>
        </w:tc>
        <w:tc>
          <w:tcPr>
            <w:tcW w:w="100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$97</w:t>
            </w:r>
          </w:p>
        </w:tc>
        <w:tc>
          <w:tcPr>
            <w:tcW w:w="1000" w:type="dxa"/>
            <w:vAlign w:val="bottom"/>
            <w:tcBorders>
              <w:right w:val="single" w:sz="8" w:color="929292"/>
            </w:tcBorders>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10%</w:t>
            </w:r>
          </w:p>
        </w:tc>
        <w:tc>
          <w:tcPr>
            <w:tcW w:w="94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Borders>
              <w:right w:val="single" w:sz="8" w:color="auto"/>
            </w:tcBorders>
            <w:vMerge w:val="restart"/>
            <w:shd w:val="clear" w:color="auto" w:fill="CCEEF0"/>
          </w:tcPr>
          <w:p>
            <w:pPr>
              <w:jc w:val="cente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1700" w:type="dxa"/>
            <w:vAlign w:val="bottom"/>
            <w:tcBorders>
              <w:left w:val="single" w:sz="8" w:color="auto"/>
              <w:right w:val="single" w:sz="8" w:color="929292"/>
            </w:tcBorders>
            <w:vMerge w:val="restart"/>
            <w:shd w:val="clear" w:color="auto" w:fill="CCEEF0"/>
          </w:tcPr>
          <w:p>
            <w:pPr>
              <w:ind w:left="20"/>
              <w:spacing w:after="0"/>
              <w:rPr>
                <w:sz w:val="20"/>
                <w:szCs w:val="20"/>
                <w:color w:val="auto"/>
              </w:rPr>
            </w:pPr>
            <w:r>
              <w:rPr>
                <w:rFonts w:ascii="Arial" w:cs="Arial" w:eastAsia="Arial" w:hAnsi="Arial"/>
                <w:sz w:val="12"/>
                <w:szCs w:val="12"/>
                <w:color w:val="auto"/>
              </w:rPr>
              <w:t>Merger &amp; Acquisition Activity</w:t>
            </w:r>
          </w:p>
        </w:tc>
        <w:tc>
          <w:tcPr>
            <w:tcW w:w="880" w:type="dxa"/>
            <w:vAlign w:val="bottom"/>
            <w:tcBorders>
              <w:right w:val="single" w:sz="8" w:color="929292"/>
            </w:tcBorders>
            <w:vMerge w:val="continue"/>
            <w:shd w:val="clear" w:color="auto" w:fill="CCEEF0"/>
          </w:tcPr>
          <w:p>
            <w:pPr>
              <w:spacing w:after="0"/>
              <w:rPr>
                <w:sz w:val="9"/>
                <w:szCs w:val="9"/>
                <w:color w:val="auto"/>
              </w:rPr>
            </w:pPr>
          </w:p>
        </w:tc>
        <w:tc>
          <w:tcPr>
            <w:tcW w:w="1020" w:type="dxa"/>
            <w:vAlign w:val="bottom"/>
            <w:vMerge w:val="continue"/>
            <w:shd w:val="clear" w:color="auto" w:fill="CCEEF0"/>
          </w:tcPr>
          <w:p>
            <w:pPr>
              <w:spacing w:after="0"/>
              <w:rPr>
                <w:sz w:val="9"/>
                <w:szCs w:val="9"/>
                <w:color w:val="auto"/>
              </w:rPr>
            </w:pPr>
          </w:p>
        </w:tc>
        <w:tc>
          <w:tcPr>
            <w:tcW w:w="1020" w:type="dxa"/>
            <w:vAlign w:val="bottom"/>
            <w:vMerge w:val="continue"/>
            <w:shd w:val="clear" w:color="auto" w:fill="CCEEF0"/>
          </w:tcPr>
          <w:p>
            <w:pPr>
              <w:spacing w:after="0"/>
              <w:rPr>
                <w:sz w:val="9"/>
                <w:szCs w:val="9"/>
                <w:color w:val="auto"/>
              </w:rPr>
            </w:pPr>
          </w:p>
        </w:tc>
        <w:tc>
          <w:tcPr>
            <w:tcW w:w="1060" w:type="dxa"/>
            <w:vAlign w:val="bottom"/>
            <w:gridSpan w:val="2"/>
            <w:vMerge w:val="continue"/>
            <w:shd w:val="clear" w:color="auto" w:fill="CCEEF0"/>
          </w:tcPr>
          <w:p>
            <w:pPr>
              <w:spacing w:after="0"/>
              <w:rPr>
                <w:sz w:val="9"/>
                <w:szCs w:val="9"/>
                <w:color w:val="auto"/>
              </w:rPr>
            </w:pPr>
          </w:p>
        </w:tc>
        <w:tc>
          <w:tcPr>
            <w:tcW w:w="1060" w:type="dxa"/>
            <w:vAlign w:val="bottom"/>
            <w:tcBorders>
              <w:right w:val="single" w:sz="8" w:color="929292"/>
            </w:tcBorders>
            <w:vMerge w:val="continue"/>
            <w:shd w:val="clear" w:color="auto" w:fill="CCEEF0"/>
          </w:tcPr>
          <w:p>
            <w:pPr>
              <w:spacing w:after="0"/>
              <w:rPr>
                <w:sz w:val="9"/>
                <w:szCs w:val="9"/>
                <w:color w:val="auto"/>
              </w:rPr>
            </w:pPr>
          </w:p>
        </w:tc>
        <w:tc>
          <w:tcPr>
            <w:tcW w:w="1000" w:type="dxa"/>
            <w:vAlign w:val="bottom"/>
            <w:tcBorders>
              <w:right w:val="single" w:sz="8" w:color="929292"/>
            </w:tcBorders>
            <w:vMerge w:val="continue"/>
            <w:shd w:val="clear" w:color="auto" w:fill="CCEEF0"/>
          </w:tcPr>
          <w:p>
            <w:pPr>
              <w:spacing w:after="0"/>
              <w:rPr>
                <w:sz w:val="9"/>
                <w:szCs w:val="9"/>
                <w:color w:val="auto"/>
              </w:rPr>
            </w:pPr>
          </w:p>
        </w:tc>
        <w:tc>
          <w:tcPr>
            <w:tcW w:w="1000" w:type="dxa"/>
            <w:vAlign w:val="bottom"/>
            <w:tcBorders>
              <w:right w:val="single" w:sz="8" w:color="929292"/>
            </w:tcBorders>
            <w:vMerge w:val="continue"/>
            <w:shd w:val="clear" w:color="auto" w:fill="CCEEF0"/>
          </w:tcPr>
          <w:p>
            <w:pPr>
              <w:spacing w:after="0"/>
              <w:rPr>
                <w:sz w:val="9"/>
                <w:szCs w:val="9"/>
                <w:color w:val="auto"/>
              </w:rPr>
            </w:pPr>
          </w:p>
        </w:tc>
        <w:tc>
          <w:tcPr>
            <w:tcW w:w="940" w:type="dxa"/>
            <w:vAlign w:val="bottom"/>
            <w:vMerge w:val="continue"/>
            <w:shd w:val="clear" w:color="auto" w:fill="CCEEF0"/>
          </w:tcPr>
          <w:p>
            <w:pPr>
              <w:spacing w:after="0"/>
              <w:rPr>
                <w:sz w:val="9"/>
                <w:szCs w:val="9"/>
                <w:color w:val="auto"/>
              </w:rPr>
            </w:pPr>
          </w:p>
        </w:tc>
        <w:tc>
          <w:tcPr>
            <w:tcW w:w="1040" w:type="dxa"/>
            <w:vAlign w:val="bottom"/>
            <w:tcBorders>
              <w:right w:val="single" w:sz="8" w:color="auto"/>
            </w:tcBorders>
            <w:vMerge w:val="continue"/>
            <w:shd w:val="clear" w:color="auto" w:fill="CCEEF0"/>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bottom w:val="single" w:sz="8" w:color="CCEEF0"/>
              <w:right w:val="single" w:sz="8" w:color="929292"/>
            </w:tcBorders>
            <w:vMerge w:val="continue"/>
            <w:shd w:val="clear" w:color="auto" w:fill="CCEEF0"/>
          </w:tcPr>
          <w:p>
            <w:pPr>
              <w:spacing w:after="0"/>
              <w:rPr>
                <w:sz w:val="5"/>
                <w:szCs w:val="5"/>
                <w:color w:val="auto"/>
              </w:rPr>
            </w:pPr>
          </w:p>
        </w:tc>
        <w:tc>
          <w:tcPr>
            <w:tcW w:w="880" w:type="dxa"/>
            <w:vAlign w:val="bottom"/>
            <w:tcBorders>
              <w:bottom w:val="single" w:sz="8" w:color="CCEEF0"/>
              <w:right w:val="single" w:sz="8" w:color="929292"/>
            </w:tcBorders>
            <w:shd w:val="clear" w:color="auto" w:fill="CCEEF0"/>
          </w:tcPr>
          <w:p>
            <w:pPr>
              <w:spacing w:after="0"/>
              <w:rPr>
                <w:sz w:val="5"/>
                <w:szCs w:val="5"/>
                <w:color w:val="auto"/>
              </w:rPr>
            </w:pPr>
          </w:p>
        </w:tc>
        <w:tc>
          <w:tcPr>
            <w:tcW w:w="1020" w:type="dxa"/>
            <w:vAlign w:val="bottom"/>
            <w:tcBorders>
              <w:bottom w:val="single" w:sz="8" w:color="CCEEF0"/>
            </w:tcBorders>
            <w:shd w:val="clear" w:color="auto" w:fill="CCEEF0"/>
          </w:tcPr>
          <w:p>
            <w:pPr>
              <w:spacing w:after="0"/>
              <w:rPr>
                <w:sz w:val="5"/>
                <w:szCs w:val="5"/>
                <w:color w:val="auto"/>
              </w:rPr>
            </w:pPr>
          </w:p>
        </w:tc>
        <w:tc>
          <w:tcPr>
            <w:tcW w:w="1020" w:type="dxa"/>
            <w:vAlign w:val="bottom"/>
            <w:tcBorders>
              <w:bottom w:val="single" w:sz="8" w:color="CCEEF0"/>
            </w:tcBorders>
            <w:shd w:val="clear" w:color="auto" w:fill="CCEEF0"/>
          </w:tcPr>
          <w:p>
            <w:pPr>
              <w:spacing w:after="0"/>
              <w:rPr>
                <w:sz w:val="5"/>
                <w:szCs w:val="5"/>
                <w:color w:val="auto"/>
              </w:rPr>
            </w:pPr>
          </w:p>
        </w:tc>
        <w:tc>
          <w:tcPr>
            <w:tcW w:w="700" w:type="dxa"/>
            <w:vAlign w:val="bottom"/>
            <w:tcBorders>
              <w:bottom w:val="single" w:sz="8" w:color="CCEEF0"/>
            </w:tcBorders>
            <w:shd w:val="clear" w:color="auto" w:fill="CCEEF0"/>
          </w:tcPr>
          <w:p>
            <w:pPr>
              <w:spacing w:after="0"/>
              <w:rPr>
                <w:sz w:val="5"/>
                <w:szCs w:val="5"/>
                <w:color w:val="auto"/>
              </w:rPr>
            </w:pPr>
          </w:p>
        </w:tc>
        <w:tc>
          <w:tcPr>
            <w:tcW w:w="360" w:type="dxa"/>
            <w:vAlign w:val="bottom"/>
            <w:tcBorders>
              <w:bottom w:val="single" w:sz="8" w:color="CCEEF0"/>
            </w:tcBorders>
            <w:shd w:val="clear" w:color="auto" w:fill="CCEEF0"/>
          </w:tcPr>
          <w:p>
            <w:pPr>
              <w:spacing w:after="0"/>
              <w:rPr>
                <w:sz w:val="5"/>
                <w:szCs w:val="5"/>
                <w:color w:val="auto"/>
              </w:rPr>
            </w:pPr>
          </w:p>
        </w:tc>
        <w:tc>
          <w:tcPr>
            <w:tcW w:w="1060" w:type="dxa"/>
            <w:vAlign w:val="bottom"/>
            <w:tcBorders>
              <w:bottom w:val="single" w:sz="8" w:color="CCEEF0"/>
              <w:right w:val="single" w:sz="8" w:color="929292"/>
            </w:tcBorders>
            <w:shd w:val="clear" w:color="auto" w:fill="CCEEF0"/>
          </w:tcPr>
          <w:p>
            <w:pPr>
              <w:spacing w:after="0"/>
              <w:rPr>
                <w:sz w:val="5"/>
                <w:szCs w:val="5"/>
                <w:color w:val="auto"/>
              </w:rPr>
            </w:pPr>
          </w:p>
        </w:tc>
        <w:tc>
          <w:tcPr>
            <w:tcW w:w="1000" w:type="dxa"/>
            <w:vAlign w:val="bottom"/>
            <w:tcBorders>
              <w:bottom w:val="single" w:sz="8" w:color="CCEEF0"/>
              <w:right w:val="single" w:sz="8" w:color="929292"/>
            </w:tcBorders>
            <w:shd w:val="clear" w:color="auto" w:fill="CCEEF0"/>
          </w:tcPr>
          <w:p>
            <w:pPr>
              <w:spacing w:after="0"/>
              <w:rPr>
                <w:sz w:val="5"/>
                <w:szCs w:val="5"/>
                <w:color w:val="auto"/>
              </w:rPr>
            </w:pPr>
          </w:p>
        </w:tc>
        <w:tc>
          <w:tcPr>
            <w:tcW w:w="1000" w:type="dxa"/>
            <w:vAlign w:val="bottom"/>
            <w:tcBorders>
              <w:bottom w:val="single" w:sz="8" w:color="CCEEF0"/>
              <w:right w:val="single" w:sz="8" w:color="929292"/>
            </w:tcBorders>
            <w:shd w:val="clear" w:color="auto" w:fill="CCEEF0"/>
          </w:tcPr>
          <w:p>
            <w:pPr>
              <w:spacing w:after="0"/>
              <w:rPr>
                <w:sz w:val="5"/>
                <w:szCs w:val="5"/>
                <w:color w:val="auto"/>
              </w:rPr>
            </w:pPr>
          </w:p>
        </w:tc>
        <w:tc>
          <w:tcPr>
            <w:tcW w:w="940" w:type="dxa"/>
            <w:vAlign w:val="bottom"/>
            <w:tcBorders>
              <w:bottom w:val="single" w:sz="8" w:color="CCEEF0"/>
            </w:tcBorders>
            <w:shd w:val="clear" w:color="auto" w:fill="CCEEF0"/>
          </w:tcPr>
          <w:p>
            <w:pPr>
              <w:spacing w:after="0"/>
              <w:rPr>
                <w:sz w:val="5"/>
                <w:szCs w:val="5"/>
                <w:color w:val="auto"/>
              </w:rPr>
            </w:pPr>
          </w:p>
        </w:tc>
        <w:tc>
          <w:tcPr>
            <w:tcW w:w="1040" w:type="dxa"/>
            <w:vAlign w:val="bottom"/>
            <w:tcBorders>
              <w:bottom w:val="single" w:sz="8" w:color="CCEEF0"/>
              <w:right w:val="single" w:sz="8" w:color="auto"/>
            </w:tcBorders>
            <w:shd w:val="clear" w:color="auto" w:fill="CCEEF0"/>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700" w:type="dxa"/>
            <w:vAlign w:val="bottom"/>
            <w:tcBorders>
              <w:left w:val="single" w:sz="8" w:color="auto"/>
              <w:bottom w:val="single" w:sz="8" w:color="auto"/>
              <w:right w:val="single" w:sz="8" w:color="929292"/>
            </w:tcBorders>
          </w:tcPr>
          <w:p>
            <w:pPr>
              <w:ind w:left="20"/>
              <w:spacing w:after="0"/>
              <w:rPr>
                <w:sz w:val="20"/>
                <w:szCs w:val="20"/>
                <w:color w:val="auto"/>
              </w:rPr>
            </w:pPr>
            <w:r>
              <w:rPr>
                <w:rFonts w:ascii="Arial" w:cs="Arial" w:eastAsia="Arial" w:hAnsi="Arial"/>
                <w:sz w:val="12"/>
                <w:szCs w:val="12"/>
                <w:b w:val="1"/>
                <w:bCs w:val="1"/>
                <w:color w:val="auto"/>
              </w:rPr>
              <w:t>Total</w:t>
            </w:r>
          </w:p>
        </w:tc>
        <w:tc>
          <w:tcPr>
            <w:tcW w:w="880" w:type="dxa"/>
            <w:vAlign w:val="bottom"/>
            <w:tcBorders>
              <w:bottom w:val="single" w:sz="8" w:color="auto"/>
              <w:right w:val="single" w:sz="8" w:color="929292"/>
            </w:tcBorders>
          </w:tcPr>
          <w:p>
            <w:pPr>
              <w:jc w:val="center"/>
              <w:spacing w:after="0"/>
              <w:rPr>
                <w:sz w:val="20"/>
                <w:szCs w:val="20"/>
                <w:color w:val="auto"/>
              </w:rPr>
            </w:pPr>
            <w:r>
              <w:rPr>
                <w:rFonts w:ascii="Arial" w:cs="Arial" w:eastAsia="Arial" w:hAnsi="Arial"/>
                <w:sz w:val="12"/>
                <w:szCs w:val="12"/>
                <w:color w:val="auto"/>
                <w:w w:val="99"/>
              </w:rPr>
              <w:t>95%</w:t>
            </w:r>
          </w:p>
        </w:tc>
        <w:tc>
          <w:tcPr>
            <w:tcW w:w="10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929292"/>
            </w:tcBorders>
          </w:tcPr>
          <w:p>
            <w:pPr>
              <w:spacing w:after="0"/>
              <w:rPr>
                <w:sz w:val="14"/>
                <w:szCs w:val="14"/>
                <w:color w:val="auto"/>
              </w:rPr>
            </w:pPr>
          </w:p>
        </w:tc>
        <w:tc>
          <w:tcPr>
            <w:tcW w:w="1000" w:type="dxa"/>
            <w:vAlign w:val="bottom"/>
            <w:tcBorders>
              <w:bottom w:val="single" w:sz="8" w:color="auto"/>
              <w:right w:val="single" w:sz="8" w:color="929292"/>
            </w:tcBorders>
          </w:tcPr>
          <w:p>
            <w:pPr>
              <w:spacing w:after="0"/>
              <w:rPr>
                <w:sz w:val="14"/>
                <w:szCs w:val="14"/>
                <w:color w:val="auto"/>
              </w:rPr>
            </w:pPr>
          </w:p>
        </w:tc>
        <w:tc>
          <w:tcPr>
            <w:tcW w:w="1000" w:type="dxa"/>
            <w:vAlign w:val="bottom"/>
            <w:tcBorders>
              <w:bottom w:val="single" w:sz="8" w:color="auto"/>
              <w:right w:val="single" w:sz="8" w:color="929292"/>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180%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Values In Millions</w:t>
      </w:r>
    </w:p>
    <w:p>
      <w:pPr>
        <w:spacing w:after="0" w:line="104" w:lineRule="exact"/>
        <w:rPr>
          <w:sz w:val="20"/>
          <w:szCs w:val="20"/>
          <w:color w:val="auto"/>
        </w:rPr>
      </w:pPr>
    </w:p>
    <w:p>
      <w:pPr>
        <w:ind w:left="320" w:right="80" w:firstLine="4"/>
        <w:spacing w:after="0" w:line="293" w:lineRule="auto"/>
        <w:tabs>
          <w:tab w:leader="none" w:pos="542"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 Appendix A to this proxy statement for a reconciliation between each non-GAAP financial measure and the most directly comparable financial measure calculated and presented in accordance with GAAP.</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A5B5"/>
        </w:rPr>
        <w:t>Fiscal Year 2027 Compensation Adjustments</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Compensation, Culture and People Committee approved certain changes to the compensation program for our named executive officers for fiscal year 2027, as described below.</w:t>
      </w:r>
    </w:p>
    <w:p>
      <w:pPr>
        <w:spacing w:after="0" w:line="1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Compensation, Culture and People Committee, with guidance from Pay Governance and management, approved a new equity-based performance incentive program, effective for fiscal year 2027, pursuant to which certain active named executive officers are eligible to receive grants of performance-based restricted stock units that vest at the end of a one-year performance period. Effective for fiscal year 2027, each of Ms. Inserra and Messrs. Crowe and Pfeifer have received a grant of performance- based restricted stock units pursuant to this incentive program that have a grant date fair value equal to approximately $300,000. Neither Mr. Rozanski nor Ms. Anderson are eligible to participate in the program. The number of shares earned based on a $300,000 grant date fair value for each of Ms. Inserra and Messrs. Crowe and Pfeifer is determined based on the level of achievement against pre-established performance goals at the end of the one-year performance period. These performance goals are focused on the Company's execution against financial and strategic growth goals. Shares issued upon settlement of such performance- based restricted stock units are subject to a mandatory two-year post-vesting holding period during which they may not be sold or transferred by the named executive officer.</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the Compensation, Culture and People Committee, taking into consideration the peer group benchmarking analysis, input from Pay Governance, and feedback from the CEO and/or COO (in the case of named executive officers who are direct reports to the CEO and/or COO), and the Committee's collective judgment and discretion, approved the fiscal year 2027 compensation for our named executive officers, including the compensation adjustments described below.</w:t>
      </w:r>
    </w:p>
    <w:p>
      <w:pPr>
        <w:spacing w:after="0" w:line="12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Effective for fiscal year 2027, the Compensation, Culture and People Committee approved the following compensation increases for Mr. Rozanski, Mses. Anderson and Inserra, and Mr. Pfeifer (i) Mr. Rozanski received an increase of $ 2,000,000 to the target annual equity grant amount, (ii) Ms. Anderson received an increase of $325,000 to the target annual incentive amount and $2,000,000 to the target annual equity grant amount, (iii) Ms. Inserra received an increase of $50,000 to base salary, $50,000 to the target annual incentive amount, and $100,000 to the target annual equity grant amount, and (iv) Mr. Pfeifer received an increase of $50,000 to the target annual incentive amount, and $300,000 to the target annual equity grant amount.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4" w:name="page55"/>
    <w:bookmarkEnd w:id="54"/>
    <w:p>
      <w:pPr>
        <w:ind w:left="320"/>
        <w:spacing w:after="0"/>
        <w:rPr>
          <w:sz w:val="20"/>
          <w:szCs w:val="20"/>
          <w:color w:val="auto"/>
        </w:rPr>
      </w:pPr>
      <w:r>
        <w:rPr>
          <w:rFonts w:ascii="Arial" w:cs="Arial" w:eastAsia="Arial" w:hAnsi="Arial"/>
          <w:sz w:val="19"/>
          <w:szCs w:val="19"/>
          <w:color w:val="00A5B5"/>
        </w:rPr>
        <w:t>Benefits and Perquisites</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employees are eligible to participate in a full complement of benefit plans. Our named executive officers also participate in enhanced medical and dental plans, life insurance, accidental death and dismemberment, and personal liability coverage at the Company's expense. During fiscal year 2026, our named executive officers were eligible to receive perquisites, including up to $15,000 per year for financial counseling, up to $7,500 every three years to update an estate plan, and up to $3,000 for preparation of estate plans following relocation to a new tax jurisdiction. In addition, to protect our executives from various risks, we maintain an executive protection program that provides our executives with a security assessment for their primary residence and security service for international or domestic travel. We believe that our executive benefit and perquisite programs are reasonable and necessary to provide for the well-being of our executives. For more detail on the perquisites that our named executive officers receive, see footnote 8 to the Summary Compensation Table.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Retirement Benefits</w:t>
      </w:r>
    </w:p>
    <w:p>
      <w:pPr>
        <w:spacing w:after="0" w:line="17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provide retirement benefits to our executives, including our named executive officers, to help them build financial security for retirement, while allowing them to direct the investment of their retirement savings as they choose. For a description of these benefits, see "Potential Payments upon Termination or a Change in Control — Retirement Benefits." below.</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Employees’ Capital Accumulation Plan</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All eligible employees, which includes our named executive officers, may participate in the tax-qualified Employees' Capital Accumulation Plan, or ECAP. Under this plan, eligible employees, including our named executive officers, receive an annual matching contribution based on their voluntary contributions up to 6% of their eligible annual income, as determined by the Internal Revenue Code of 1986, as amended (the "Code"). Each executive is also eligible to receive a payment that is equivalent to the annual tax-deferred contribution he or she is permitted to make to the ECAP under the Code. Executives may elect to have these funds deposited into a pre-tax or Roth 401(k), or the executive may simply receive the funds as a cash payment and be taxed accordingly.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Non-Qualified Deferred Compensation Plan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part of our executive compensation program, we offer a non-qualified deferred compensation plan for our executives to encourage employees to save for their retirement. Eligible employees, which include all named executive officers, may elect to contribute up to 100% of their annual cash bonus to this plan. Ms. Inserra was the only named executive officer who elected to participate in the non-qualified deferred compensation plan in fiscal year 2026. For a description of these benefits, see "Non-qualified Deferred Compensation Table" below.</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Additional Retirement Benefits</w:t>
      </w:r>
    </w:p>
    <w:p>
      <w:pPr>
        <w:spacing w:after="0" w:line="1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provide additional retirement benefits to our executives, including our named executive officers, in order to provide them with additional security in retirement and promote a long-term career with our Company. Our named executive officers participate in the Officers' Retirement Plan, under which the executive may retire with full benefits after a minimum of either (a) age 60 with five years of service as an executive, or</w:t>
      </w:r>
    </w:p>
    <w:p>
      <w:pPr>
        <w:spacing w:after="0" w:line="1" w:lineRule="exact"/>
        <w:rPr>
          <w:sz w:val="20"/>
          <w:szCs w:val="20"/>
          <w:color w:val="auto"/>
        </w:rPr>
      </w:pPr>
    </w:p>
    <w:p>
      <w:pPr>
        <w:jc w:val="both"/>
        <w:ind w:firstLine="6"/>
        <w:spacing w:after="0" w:line="248" w:lineRule="auto"/>
        <w:tabs>
          <w:tab w:leader="none" w:pos="2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age 50 with 10 years of service as an executive. Under the Officers' Retirement Plan, an eligible executive who retires and does not receive severance benefits is entitled to receive a single lump-sum retirement payment equal to $20,000 for each year of service as an executive, pro-rated as appropriate. Our retirees are also eligible to receive comprehensive coverage for medical, pharmacy, and dental healthcare. The premiums for this healthcare coverage are paid by the Company.</w:t>
      </w:r>
    </w:p>
    <w:p>
      <w:pPr>
        <w:spacing w:after="0" w:line="134"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Mr. Calderone retired during fiscal year 2026. We entered into a retirement letter agreement with Mr. Calderone as discussed below under "Potential Payments upon Termination or a Change in Control — Retirement Benefits"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b w:val="1"/>
          <w:bCs w:val="1"/>
          <w:u w:val="single" w:color="auto"/>
          <w:color w:val="00A5B5"/>
        </w:rPr>
        <w:t>Executive Ownership Requirements</w:t>
      </w:r>
    </w:p>
    <w:p>
      <w:pPr>
        <w:spacing w:after="0" w:line="1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Equity ownership requirements are in place for our executives, including our named executive officers, to further align their interests to those of our stockholders. Our ownership requirements extend beyond market expectations. Our named executive officers have regularly exceeded our equity ownership guidelines and demonstrate a commitment to the Company's long-term value by owning equity well above their requirements. Until an executive has satisfied the ownership requirements set forth below, the executive cannot sell any equity granted as executive equity compensation by the Company. Each executive’s required equity ownership amount is determined as a multiple of his or her base salary. The applicable multiples for our named executive officers are set forth in the table below, as well as a comparison of their approximate actual equity ownership requirement as of the end of the fiscal year:</w:t>
      </w:r>
    </w:p>
    <w:p>
      <w:pPr>
        <w:spacing w:after="0" w:line="155" w:lineRule="exact"/>
        <w:rPr>
          <w:sz w:val="20"/>
          <w:szCs w:val="20"/>
          <w:color w:val="auto"/>
        </w:rPr>
      </w:pPr>
    </w:p>
    <w:tbl>
      <w:tblPr>
        <w:tblLayout w:type="fixed"/>
        <w:tblInd w:w="430" w:type="dxa"/>
        <w:tblCellMar>
          <w:top w:w="0" w:type="dxa"/>
          <w:left w:w="0" w:type="dxa"/>
          <w:bottom w:w="0" w:type="dxa"/>
          <w:right w:w="0" w:type="dxa"/>
        </w:tblCellMar>
      </w:tblPr>
      <w:tr>
        <w:trPr>
          <w:trHeight w:val="212"/>
        </w:trPr>
        <w:tc>
          <w:tcPr>
            <w:tcW w:w="3500" w:type="dxa"/>
            <w:vAlign w:val="bottom"/>
            <w:tcBorders>
              <w:top w:val="single" w:sz="8" w:color="auto"/>
              <w:left w:val="single" w:sz="8" w:color="auto"/>
            </w:tcBorders>
            <w:shd w:val="clear" w:color="auto" w:fill="00A5B5"/>
          </w:tcPr>
          <w:p>
            <w:pPr>
              <w:ind w:left="880"/>
              <w:spacing w:after="0"/>
              <w:rPr>
                <w:sz w:val="20"/>
                <w:szCs w:val="20"/>
                <w:color w:val="auto"/>
              </w:rPr>
            </w:pPr>
            <w:r>
              <w:rPr>
                <w:rFonts w:ascii="Arial" w:cs="Arial" w:eastAsia="Arial" w:hAnsi="Arial"/>
                <w:sz w:val="14"/>
                <w:szCs w:val="14"/>
                <w:b w:val="1"/>
                <w:bCs w:val="1"/>
                <w:color w:val="FFFFFF"/>
              </w:rPr>
              <w:t>Named Executive Officers</w:t>
            </w:r>
          </w:p>
        </w:tc>
        <w:tc>
          <w:tcPr>
            <w:tcW w:w="344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rPr>
              <w:t>Ownership Requirement</w:t>
            </w:r>
          </w:p>
        </w:tc>
        <w:tc>
          <w:tcPr>
            <w:tcW w:w="3480" w:type="dxa"/>
            <w:vAlign w:val="bottom"/>
            <w:tcBorders>
              <w:top w:val="single" w:sz="8" w:color="auto"/>
              <w:right w:val="single" w:sz="8" w:color="auto"/>
            </w:tcBorders>
            <w:shd w:val="clear" w:color="auto" w:fill="00A5B5"/>
          </w:tcPr>
          <w:p>
            <w:pPr>
              <w:jc w:val="center"/>
              <w:spacing w:after="0"/>
              <w:rPr>
                <w:sz w:val="20"/>
                <w:szCs w:val="20"/>
                <w:color w:val="auto"/>
              </w:rPr>
            </w:pPr>
            <w:r>
              <w:rPr>
                <w:rFonts w:ascii="Arial" w:cs="Arial" w:eastAsia="Arial" w:hAnsi="Arial"/>
                <w:sz w:val="14"/>
                <w:szCs w:val="14"/>
                <w:b w:val="1"/>
                <w:bCs w:val="1"/>
                <w:color w:val="FFFFFF"/>
                <w:w w:val="98"/>
              </w:rPr>
              <w:t xml:space="preserve">NEO Actual Ownership </w:t>
            </w:r>
            <w:r>
              <w:rPr>
                <w:rFonts w:ascii="Arial" w:cs="Arial" w:eastAsia="Arial" w:hAnsi="Arial"/>
                <w:sz w:val="18"/>
                <w:szCs w:val="18"/>
                <w:b w:val="1"/>
                <w:bCs w:val="1"/>
                <w:color w:val="FFFFFF"/>
                <w:w w:val="98"/>
                <w:vertAlign w:val="superscript"/>
              </w:rPr>
              <w:t>1</w:t>
            </w:r>
          </w:p>
        </w:tc>
      </w:tr>
      <w:tr>
        <w:trPr>
          <w:trHeight w:val="199"/>
        </w:trPr>
        <w:tc>
          <w:tcPr>
            <w:tcW w:w="350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4"/>
                <w:szCs w:val="14"/>
                <w:color w:val="auto"/>
              </w:rPr>
              <w:t>Chief Executive Officer</w:t>
            </w:r>
          </w:p>
        </w:tc>
        <w:tc>
          <w:tcPr>
            <w:tcW w:w="3440" w:type="dxa"/>
            <w:vAlign w:val="bottom"/>
            <w:shd w:val="clear" w:color="auto" w:fill="CCEEF0"/>
          </w:tcPr>
          <w:p>
            <w:pPr>
              <w:jc w:val="center"/>
              <w:spacing w:after="0"/>
              <w:rPr>
                <w:sz w:val="20"/>
                <w:szCs w:val="20"/>
                <w:color w:val="auto"/>
              </w:rPr>
            </w:pPr>
            <w:r>
              <w:rPr>
                <w:rFonts w:ascii="Arial" w:cs="Arial" w:eastAsia="Arial" w:hAnsi="Arial"/>
                <w:sz w:val="14"/>
                <w:szCs w:val="14"/>
                <w:color w:val="auto"/>
              </w:rPr>
              <w:t>7x base salary</w:t>
            </w:r>
          </w:p>
        </w:tc>
        <w:tc>
          <w:tcPr>
            <w:tcW w:w="348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4"/>
                <w:szCs w:val="14"/>
                <w:color w:val="auto"/>
              </w:rPr>
              <w:t>43.5x base salary</w:t>
            </w:r>
          </w:p>
        </w:tc>
      </w:tr>
      <w:tr>
        <w:trPr>
          <w:trHeight w:val="194"/>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Other named executive officers</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4x base salary</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10.9x base salary</w:t>
            </w:r>
          </w:p>
        </w:tc>
      </w:tr>
    </w:tbl>
    <w:p>
      <w:pPr>
        <w:spacing w:after="0" w:line="189" w:lineRule="exact"/>
        <w:rPr>
          <w:sz w:val="20"/>
          <w:szCs w:val="20"/>
          <w:color w:val="auto"/>
        </w:rPr>
      </w:pPr>
    </w:p>
    <w:p>
      <w:pPr>
        <w:ind w:left="320" w:right="220" w:firstLine="4"/>
        <w:spacing w:after="0" w:line="265" w:lineRule="auto"/>
        <w:tabs>
          <w:tab w:leader="none" w:pos="518" w:val="left"/>
        </w:tabs>
        <w:numPr>
          <w:ilvl w:val="0"/>
          <w:numId w:val="45"/>
        </w:numPr>
        <w:rPr>
          <w:rFonts w:ascii="Arial" w:cs="Arial" w:eastAsia="Arial" w:hAnsi="Arial"/>
          <w:sz w:val="14"/>
          <w:szCs w:val="14"/>
          <w:color w:val="auto"/>
        </w:rPr>
      </w:pPr>
      <w:r>
        <w:rPr>
          <w:rFonts w:ascii="Arial" w:cs="Arial" w:eastAsia="Arial" w:hAnsi="Arial"/>
          <w:sz w:val="14"/>
          <w:szCs w:val="14"/>
          <w:color w:val="auto"/>
        </w:rPr>
        <w:t>Ownership for the "other named executive officers" is an average of their equity holdings compared to their respective base salary amounts as of fiscal year-end 2026, excluding Mr. Calderone who retired prior to the end of fiscal year 2026. Performance-based RSUs that vested on March 31, 2026 are included at target for purposes of this calculation.</w:t>
      </w:r>
    </w:p>
    <w:p>
      <w:pPr>
        <w:spacing w:after="0" w:line="12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calculating an executive's ownership, Class A Common Stock, vested in-the-money stock options, restricted stock, restricted stock units, and outstanding performance stock units at target, issued under the 2023 Equity Incentive Plan of the Company are considered as owned by the executive. Each of our named executive officers has satisfied his or her individual stock ownership requirement.</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Risk Assessment</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fiscal year 2026, our outside compensation consultant, Pay Governance, performed the annual comprehensive risk assessment of our compensation programs. Based on our approach of compensating our executives to foster the financial success of the Company as a whole and other elements of our compensation system, our Compensation, Culture and People Committee, with the information from the external review, concluded that our executive compensation program does not encourage undue risk taking and the risks arising from our compensation policies and practices for our employees are not reasonably likely to have a material adverse effect on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Advisory Vote to Approve Executive Compensation</w:t>
      </w:r>
    </w:p>
    <w:p>
      <w:pPr>
        <w:spacing w:after="0" w:line="18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2025 Annual Meeting of Stockholders, approximately 98% of the votes cast were in favor of our executive compensation structure. The Board and Compensation, Culture and People Committee viewed this strong support as an indicator of general approval of our approach to executive compensation. In 2023, the Company’s stockholders approved the recommendation of holding the say-on-pay vote annually. The next advisory vote for the frequency of holding the say-on-pay vote is scheduled for the Annual Meeting of Stockholders in 2029. We continue to engage with our stockholders and welcome feedback regarding our executive compensation programs.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Government Limitations on Reimbursement of Compensation Costs</w:t>
      </w:r>
    </w:p>
    <w:p>
      <w:pPr>
        <w:spacing w:after="0" w:line="16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are subject to applicable federal statutes and the Federal Acquisition Regulation (FAR), which govern the reimbursement of costs by our government customers. Pursuant to the FAR our contracts limit the allowability of reimbursement for compensation to certain, or in some cases all, employees, including our named executive officers, to a benchmark compensation cap established each year by the Office of Management and Budget (OMB). When comparing compensation to the benchmark cap, all wages, salary, bonuses, deferred compensation, and employer contributions to defined contribution pension plans, if any, for the year, as recorded in our books and records, must be included. Any amounts over the cap are considered unallowable and are therefore not recoverable under our government contracts. We adhere to the compensation caps published by OMB. A cap has not been published for 2026. We plan to apply the prior year cap of $671,000 until a new cap is published. Other contracts have higher caps and/or limit the allowable compensation of fewer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6" w:name="page57"/>
    <w:bookmarkEnd w:id="56"/>
    <w:p>
      <w:pPr>
        <w:spacing w:after="0"/>
        <w:rPr>
          <w:sz w:val="20"/>
          <w:szCs w:val="20"/>
          <w:color w:val="auto"/>
        </w:rPr>
      </w:pPr>
      <w:r>
        <w:rPr>
          <w:rFonts w:ascii="Arial" w:cs="Arial" w:eastAsia="Arial" w:hAnsi="Arial"/>
          <w:sz w:val="21"/>
          <w:szCs w:val="21"/>
          <w:b w:val="1"/>
          <w:bCs w:val="1"/>
          <w:u w:val="single" w:color="auto"/>
          <w:color w:val="00A5B5"/>
        </w:rPr>
        <w:t>Compensation Recovery Provisions (Clawbacks)</w:t>
      </w:r>
    </w:p>
    <w:p>
      <w:pPr>
        <w:spacing w:after="0" w:line="16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maintains a mandatory clawback policy in accordance with Section 10D of the Exchange Act and Section 303A.14 of the NYSE Listed Company Manual (the "Rule 10D-1 Clawback Policy"). The Rule 10D-1 Clawback Policy requires the Company to recover from its executive officers certain incentive-based compensation in the event that the Company is required to prepare an accounting restatement due to the material noncompliance of the Company with any financial reporting requirement under the securities laws, without regard to any misconduct on the part of the executive and subject to certain limited exceptions. The Rule 10D-1 Clawback Policy applies to incentive-based compensation (whether cash- or equity-based) received by current and former executive officers of the Company during the three fiscal years preceding an accounting restatement and after the effective date of the NYSE listing standards, which was October 2, 2023. The Compensation, Culture and People Committee administers this policy.</w:t>
      </w:r>
    </w:p>
    <w:p>
      <w:pPr>
        <w:spacing w:after="0" w:line="13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also have provisions in our incentive plans that provide us with the ability to impose the forfeiture of bonuses and all equity compensation and the recovery of certain bonus amounts and gains from equity compensation awarded under those plans. Such forfeitures and recoveries may occur:</w:t>
      </w:r>
    </w:p>
    <w:p>
      <w:pPr>
        <w:spacing w:after="0" w:line="124" w:lineRule="exact"/>
        <w:rPr>
          <w:sz w:val="20"/>
          <w:szCs w:val="20"/>
          <w:color w:val="auto"/>
        </w:rPr>
      </w:pPr>
    </w:p>
    <w:p>
      <w:pPr>
        <w:jc w:val="both"/>
        <w:ind w:left="640" w:hanging="316"/>
        <w:spacing w:after="0" w:line="259" w:lineRule="auto"/>
        <w:tabs>
          <w:tab w:leader="none" w:pos="6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an accounting restatement due to material noncompliance with any financial reporting requirements under the securities laws with respect to individuals who knowingly or grossly negligently engaged in misconduct or knowingly or grossly negligently failed to prevent the misconduct,</w:t>
      </w:r>
    </w:p>
    <w:p>
      <w:pPr>
        <w:spacing w:after="0" w:line="123" w:lineRule="exact"/>
        <w:rPr>
          <w:rFonts w:ascii="Arial" w:cs="Arial" w:eastAsia="Arial" w:hAnsi="Arial"/>
          <w:sz w:val="18"/>
          <w:szCs w:val="18"/>
          <w:color w:val="auto"/>
        </w:rPr>
      </w:pPr>
    </w:p>
    <w:p>
      <w:pPr>
        <w:ind w:left="620" w:hanging="29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individuals subject to automatic forfeiture under Section 304 of the Sarbanes-Oxley Act of 2002, and,</w:t>
      </w:r>
    </w:p>
    <w:p>
      <w:pPr>
        <w:spacing w:after="0" w:line="163" w:lineRule="exact"/>
        <w:rPr>
          <w:rFonts w:ascii="Arial" w:cs="Arial" w:eastAsia="Arial" w:hAnsi="Arial"/>
          <w:sz w:val="18"/>
          <w:szCs w:val="18"/>
          <w:color w:val="auto"/>
        </w:rPr>
      </w:pPr>
    </w:p>
    <w:p>
      <w:pPr>
        <w:jc w:val="both"/>
        <w:ind w:left="640" w:hanging="316"/>
        <w:spacing w:after="0" w:line="259" w:lineRule="auto"/>
        <w:tabs>
          <w:tab w:leader="none" w:pos="6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that, based on erroneous data, any award or payment under the Annual Incentive Plan is in excess of what would have been paid under the accounting restatement during the three-year period preceding the date on which a financial restatement is required, current or former executives, or as otherwise required under applicable laws or regulations.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if an individual engages in certain other misconduct, including if (i) the participant’s performance is deemed to contribute substantially to significant financial losses, (ii) the participant’s performance is deemed to contribute substantially to a significant downward restatement of any published results of our company or a subsidiary, (iii) the participant’s conduct results in or contributes substantially to significant reputational harm to our company, (iv) the participant materially breaches applicable legal and/or regulatory requirements, or, with respect to any conduct by other employee(s) that materially breaches or contributes substantially to a material breach of applicable legal and/or regulatory requirements, the participant had supervisory authority over the employee(s) or business area engaged in the conduct and knew of, or was willfully blind to, such conduct, (v) the participant’s conduct constitutes cause or (vi) the participant’s conduct results in or contributes substantially to a material breach of our applicable internal policies and procedures, the Company has the discretion to suspend vesting of all or a portion of any award and/or require the forfeiture or disgorgement to the Company of any equity award (including gains on the sale of the stock, if any) that vested, was paid, or settled in the 24 months prior to or any time after the individual engaged in such misconduct.</w:t>
      </w:r>
    </w:p>
    <w:p>
      <w:pPr>
        <w:spacing w:after="0" w:line="12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2023 Equity Incentive Plan of the Company and the Annual Incentive Plan also permit the Company to subject awards to forfeiture, disgorgement, and recoupment under any applicable clawback policies that may be adopted by the Board or our Compensation, Culture and People Committee, including our Rule 10D-1 Clawback Policy.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7" w:name="page58"/>
    <w:bookmarkEnd w:id="57"/>
    <w:p>
      <w:pPr>
        <w:spacing w:after="0"/>
        <w:rPr>
          <w:sz w:val="20"/>
          <w:szCs w:val="20"/>
          <w:color w:val="auto"/>
        </w:rPr>
      </w:pPr>
      <w:r>
        <w:rPr>
          <w:rFonts w:ascii="Arial" w:cs="Arial" w:eastAsia="Arial" w:hAnsi="Arial"/>
          <w:sz w:val="21"/>
          <w:szCs w:val="21"/>
          <w:b w:val="1"/>
          <w:bCs w:val="1"/>
          <w:u w:val="single" w:color="auto"/>
          <w:color w:val="00A5B5"/>
        </w:rPr>
        <w:t>Certain Change in Control Provisions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Equity Awards</w:t>
      </w:r>
    </w:p>
    <w:p>
      <w:pPr>
        <w:spacing w:after="0" w:line="2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The 2023 Equity Incentive Plan of the Company (the “Equity Incentive Plan”) was approved by our stockholders in July 2023 and governs equity awards made in fiscal years 2025 and 2026 to our named executive officers. The Equity Incentive Plan provides that, upon a change in control, unless otherwise determined by the Compensation, Culture and People Committee or as otherwise provided in an award agreement,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any unvested or unexercisable time-based and performance-based awards granted under the Equity Incentive Plan will not become fully vested upon the occurrence of a change in control, and will instead be honored, assumed or substituted following the change in control, so long as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such substitute awards (i) provide a participant with rights and entitlements (including economic value) that are substantially equivalent to or better than the rights and terms applicable to the awards held by such participant immediately prior to the change in control, and (ii) provide for accelerated vesting upon an involuntary termination of a participant’s employment without cause or for good reason within two years following the occurrence of the change in control. If the awards are not honored, assumed or substituted upon a change in control, then any time-based awards granted under the Equity Incentive Plan, including time-based options and time-based restricted stock units, will fully vest, and a portion of any outstanding performance-based awards granted under the Equity Incentive Plan, including performance-based restricted stock units, will vest based on performance achieved as of the consummation of the transaction constituting a change in control.</w:t>
      </w:r>
    </w:p>
    <w:p>
      <w:pPr>
        <w:spacing w:after="0" w:line="12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With respect to outstanding equity awards granted to our named executive officers under the Third Amended and Restated Equity Incentive Plan (the "Prior Equity Incentive Plan") in fiscal year 2024 pursuant to the terms of the applicable award agreements as approved by our Compensation, Culture and People Committee, in the event of a change in control:</w:t>
      </w:r>
    </w:p>
    <w:p>
      <w:pPr>
        <w:spacing w:after="0" w:line="136" w:lineRule="exact"/>
        <w:rPr>
          <w:sz w:val="20"/>
          <w:szCs w:val="20"/>
          <w:color w:val="auto"/>
        </w:rPr>
      </w:pPr>
    </w:p>
    <w:p>
      <w:pPr>
        <w:jc w:val="both"/>
        <w:ind w:left="640" w:hanging="316"/>
        <w:spacing w:after="0" w:line="252" w:lineRule="auto"/>
        <w:tabs>
          <w:tab w:leader="none" w:pos="6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time-based options and time-based restricted stock units shall remain outstanding and vest on the applicable vesting date, subject to the continued employment or service of the participant with the Company or any subsidiary thereof through such vesting date. However, if the participant’s employment or service is terminated by the Company without “cause” or for “good reason” (in each case, as defined in the applicable award agreement) within two years following the effective date of the change in control transaction (each, a "Qualifying Termination"), such outstanding options and restricted stock units will vest as of the date of such termination; and</w:t>
      </w:r>
    </w:p>
    <w:p>
      <w:pPr>
        <w:spacing w:after="0" w:line="130" w:lineRule="exact"/>
        <w:rPr>
          <w:rFonts w:ascii="Arial" w:cs="Arial" w:eastAsia="Arial" w:hAnsi="Arial"/>
          <w:sz w:val="18"/>
          <w:szCs w:val="18"/>
          <w:color w:val="auto"/>
        </w:rPr>
      </w:pPr>
    </w:p>
    <w:p>
      <w:pPr>
        <w:jc w:val="both"/>
        <w:ind w:left="640" w:hanging="316"/>
        <w:spacing w:after="0" w:line="252" w:lineRule="auto"/>
        <w:tabs>
          <w:tab w:leader="none" w:pos="6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unvested performance-based restricted stock units will remain outstanding at target levels and will vest on the original vesting date, subject to the continued employment or service of the participant by the Company or any subsidiary thereof through such vesting date, but without regard to achievement of any performance goals; however, if the participant’s employment or service is terminated in a Qualifying Termination within two years following the effective date of the change in control, such outstanding restricted stock units will vest as of the date of such termination.</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“Change in control” is generally defined in our Equity Incentive Plan to mean the acquisition by any person of 50% or more of the combined voting power of our Company's then outstanding voting securities, the merger of our Company if our stockholders immediately prior to the merger do not own more than 50% of the combined voting power of the merged entity, the liquidation or dissolution of our Company (other than in a bankruptcy proceeding or for the purposes of effecting a corporate restructuring or reorganization), or the sale of all or substantially all the assets of our Company to non-affiliates.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Retiree Medical Plan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during the five-year period after a change in control, our executives' retiree medical plan is terminated or modified in a manner that is materially adverse to our executives, each of our executives, including our named executive officers, will be guaranteed their existing benefits under the plan through the fifth anniversary of the change in control and receive at the end of the five-year period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giving effect to the termination or modification (but excluding the accrual on the payment itself).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8" w:name="page59"/>
    <w:bookmarkEnd w:id="58"/>
    <w:p>
      <w:pPr>
        <w:spacing w:after="0"/>
        <w:rPr>
          <w:sz w:val="20"/>
          <w:szCs w:val="20"/>
          <w:color w:val="auto"/>
        </w:rPr>
      </w:pPr>
      <w:r>
        <w:rPr>
          <w:rFonts w:ascii="Arial" w:cs="Arial" w:eastAsia="Arial" w:hAnsi="Arial"/>
          <w:sz w:val="21"/>
          <w:szCs w:val="21"/>
          <w:b w:val="1"/>
          <w:bCs w:val="1"/>
          <w:u w:val="single" w:color="auto"/>
          <w:color w:val="00A5B5"/>
        </w:rPr>
        <w:t>Policies on Timing of Equity Grants</w:t>
      </w:r>
    </w:p>
    <w:p>
      <w:pPr>
        <w:spacing w:after="0" w:line="16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It is our policy not to time the granting of equity awards, including stock option awards, in relation to the release of material non-public information. Accordingly, regularly scheduled awards are permitted to be granted at times when there is material non-public information. Annual equity awards to all officers, including the named executive officers, are typically granted by the Compensation, Culture and People Committee at its prescheduled meeting in May of each fiscal year. We generally grant equity awards to newly hired and promoted executive officers at the subsequently scheduled Compensation, Culture and People Committee or Board meeting following the respective effective date of the hire or promotion. Effective in fiscal year 2026, we amended our equity grant practices such that any equity grant made in the month of an earnings release will be made on the first business day following such release. This change is intended to better align with broader market practice. We do not time the disclosure of material non-public information for the purpose of affecting the value of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Effect of Accounting and Tax Treatment on Compensation Decisions</w:t>
      </w:r>
    </w:p>
    <w:p>
      <w:pPr>
        <w:spacing w:after="0" w:line="1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Compensation, Culture and People Committee has from time to time considered the potential impact of Section 162(m) of the Code, or Section 162(m), on elements of our compensation program. Section 162(m) imposes a limit on the amount of compensation that we may deduct in any one year with respect to certain “covered employees.” The 2017 Tax Cuts and Jobs Act made certain changes to Section 162(m), including repealing the performance-based compensation exception and expanding the scope of persons covered by the limitations on deductibility under Section 162(m). Accordingly, compensation paid after March 31, 2018 to our covered employees in excess of $1 million will not be deductible unless it qualifies for transition relief applicable to certain arrangements in place as of November 2, 2017 that are not modified in any material respect after that date.</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Our Compensation, Culture and People Committee considers it important to retain the flexibility to design compensation programs that are in the best long-term interests of our Company and our stockholders and does not have a policy requiring compensation to be fully deductible under Section 162(m). As a result of the elimination of the exemption for qualified performance-based compensation, our Compensation, Culture and People Committee pays and expects to continue paying compensation at levels that are not deductible under Section 162(m).</w:t>
      </w:r>
    </w:p>
    <w:p>
      <w:pPr>
        <w:spacing w:after="0" w:line="11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provisions of the Code can also affect compensation decisions. Section 409A of the Code, or Section 409A, which governs the form and timing of payment of deferred compensation, imposes sanctions, including a 20% penalty and an interest penalty, on a recipient of deferred compensation that does not comply with Section 409A. Our Compensation, Culture and People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13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Section 280G of the Code, or Section 280G, disallows a company's tax deduction for payments received by certain individuals in connection with a change in control to the extent that the payments exceed an amount approximately three times their average annual compensation and Section 4999 of the Code imposes a 20% excise tax on those payments. As described above, awards under our Equity Incentive Plan contain provisions that, in certain circumstances, accelerate vesting of all or a portion of the awards in connection with a change in control and Qualifying Termination within two years following the change in control. To the extent that payments upon a change in control are classified as excess parachute payments, our Company's tax deduction would be disallowed under Section 280G.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9" w:name="page60"/>
    <w:bookmarkEnd w:id="59"/>
    <w:p>
      <w:pPr>
        <w:spacing w:after="0"/>
        <w:rPr>
          <w:sz w:val="20"/>
          <w:szCs w:val="20"/>
          <w:color w:val="auto"/>
        </w:rPr>
      </w:pPr>
      <w:r>
        <w:rPr>
          <w:rFonts w:ascii="Arial" w:cs="Arial" w:eastAsia="Arial" w:hAnsi="Arial"/>
          <w:sz w:val="21"/>
          <w:szCs w:val="21"/>
          <w:b w:val="1"/>
          <w:bCs w:val="1"/>
          <w:u w:val="single" w:color="auto"/>
          <w:color w:val="00A4B5"/>
        </w:rPr>
        <w:t>Compensation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43115" cy="3117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311785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SUMMARY COMPENSATION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80" w:type="dxa"/>
            <w:vAlign w:val="bottom"/>
            <w:shd w:val="clear" w:color="auto" w:fill="00A5B5"/>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jc w:val="center"/>
              <w:ind w:right="78"/>
              <w:spacing w:after="0"/>
              <w:rPr>
                <w:sz w:val="20"/>
                <w:szCs w:val="20"/>
                <w:color w:val="auto"/>
              </w:rPr>
            </w:pPr>
            <w:r>
              <w:rPr>
                <w:rFonts w:ascii="Arial" w:cs="Arial" w:eastAsia="Arial" w:hAnsi="Arial"/>
                <w:sz w:val="12"/>
                <w:szCs w:val="12"/>
                <w:b w:val="1"/>
                <w:bCs w:val="1"/>
                <w:color w:val="FFFFFF"/>
              </w:rPr>
              <w:t>Change in</w:t>
            </w: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shd w:val="clear" w:color="auto" w:fill="00A5B5"/>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tcPr>
          <w:p>
            <w:pPr>
              <w:jc w:val="center"/>
              <w:ind w:right="78"/>
              <w:spacing w:after="0" w:line="124" w:lineRule="exact"/>
              <w:rPr>
                <w:sz w:val="20"/>
                <w:szCs w:val="20"/>
                <w:color w:val="auto"/>
              </w:rPr>
            </w:pPr>
            <w:r>
              <w:rPr>
                <w:rFonts w:ascii="Arial" w:cs="Arial" w:eastAsia="Arial" w:hAnsi="Arial"/>
                <w:sz w:val="12"/>
                <w:szCs w:val="12"/>
                <w:b w:val="1"/>
                <w:bCs w:val="1"/>
                <w:color w:val="FFFFFF"/>
              </w:rPr>
              <w:t>Pension</w:t>
            </w: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00A5B5"/>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tcPr>
          <w:p>
            <w:pPr>
              <w:jc w:val="center"/>
              <w:ind w:right="98"/>
              <w:spacing w:after="0" w:line="120" w:lineRule="exact"/>
              <w:rPr>
                <w:sz w:val="20"/>
                <w:szCs w:val="20"/>
                <w:color w:val="auto"/>
              </w:rPr>
            </w:pPr>
            <w:r>
              <w:rPr>
                <w:rFonts w:ascii="Arial" w:cs="Arial" w:eastAsia="Arial" w:hAnsi="Arial"/>
                <w:sz w:val="12"/>
                <w:szCs w:val="12"/>
                <w:b w:val="1"/>
                <w:bCs w:val="1"/>
                <w:color w:val="FFFFFF"/>
              </w:rPr>
              <w:t>Value and</w:t>
            </w: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80" w:type="dxa"/>
            <w:vAlign w:val="bottom"/>
            <w:shd w:val="clear" w:color="auto" w:fill="00A5B5"/>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FFFFFF"/>
              </w:rPr>
              <w:t>Non-Equity</w:t>
            </w:r>
          </w:p>
        </w:tc>
        <w:tc>
          <w:tcPr>
            <w:tcW w:w="1300" w:type="dxa"/>
            <w:vAlign w:val="bottom"/>
          </w:tcPr>
          <w:p>
            <w:pPr>
              <w:jc w:val="center"/>
              <w:ind w:right="98"/>
              <w:spacing w:after="0" w:line="128" w:lineRule="exact"/>
              <w:rPr>
                <w:sz w:val="20"/>
                <w:szCs w:val="20"/>
                <w:color w:val="auto"/>
              </w:rPr>
            </w:pPr>
            <w:r>
              <w:rPr>
                <w:rFonts w:ascii="Arial" w:cs="Arial" w:eastAsia="Arial" w:hAnsi="Arial"/>
                <w:sz w:val="12"/>
                <w:szCs w:val="12"/>
                <w:b w:val="1"/>
                <w:bCs w:val="1"/>
                <w:color w:val="FFFFFF"/>
              </w:rPr>
              <w:t>Nonqualified</w:t>
            </w:r>
          </w:p>
        </w:tc>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vMerge w:val="restart"/>
            <w:shd w:val="clear" w:color="auto" w:fill="00A5B5"/>
          </w:tcPr>
          <w:p>
            <w:pPr>
              <w:ind w:left="380"/>
              <w:spacing w:after="0"/>
              <w:rPr>
                <w:sz w:val="20"/>
                <w:szCs w:val="20"/>
                <w:color w:val="auto"/>
              </w:rPr>
            </w:pPr>
            <w:r>
              <w:rPr>
                <w:rFonts w:ascii="Arial" w:cs="Arial" w:eastAsia="Arial" w:hAnsi="Arial"/>
                <w:sz w:val="12"/>
                <w:szCs w:val="12"/>
                <w:b w:val="1"/>
                <w:bCs w:val="1"/>
                <w:color w:val="FFFFFF"/>
              </w:rPr>
              <w:t>Name and Principal</w:t>
            </w:r>
          </w:p>
        </w:tc>
        <w:tc>
          <w:tcPr>
            <w:tcW w:w="6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FFFFFF"/>
              </w:rPr>
              <w:t>Fiscal</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FFFFFF"/>
              </w:rPr>
              <w:t>Stock</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FFFFFF"/>
              </w:rPr>
              <w:t>Option</w:t>
            </w:r>
          </w:p>
        </w:tc>
        <w:tc>
          <w:tcPr>
            <w:tcW w:w="1400" w:type="dxa"/>
            <w:vAlign w:val="bottom"/>
            <w:vMerge w:val="continue"/>
          </w:tcPr>
          <w:p>
            <w:pPr>
              <w:spacing w:after="0"/>
              <w:rPr>
                <w:sz w:val="10"/>
                <w:szCs w:val="10"/>
                <w:color w:val="auto"/>
              </w:rPr>
            </w:pPr>
          </w:p>
        </w:tc>
        <w:tc>
          <w:tcPr>
            <w:tcW w:w="1300" w:type="dxa"/>
            <w:vAlign w:val="bottom"/>
          </w:tcPr>
          <w:p>
            <w:pPr>
              <w:jc w:val="center"/>
              <w:ind w:right="98"/>
              <w:spacing w:after="0" w:line="124" w:lineRule="exact"/>
              <w:rPr>
                <w:sz w:val="20"/>
                <w:szCs w:val="20"/>
                <w:color w:val="auto"/>
              </w:rPr>
            </w:pPr>
            <w:r>
              <w:rPr>
                <w:rFonts w:ascii="Arial" w:cs="Arial" w:eastAsia="Arial" w:hAnsi="Arial"/>
                <w:sz w:val="12"/>
                <w:szCs w:val="12"/>
                <w:b w:val="1"/>
                <w:bCs w:val="1"/>
                <w:color w:val="FFFFFF"/>
              </w:rPr>
              <w:t>Deferred</w:t>
            </w:r>
          </w:p>
        </w:tc>
        <w:tc>
          <w:tcPr>
            <w:tcW w:w="1460" w:type="dxa"/>
            <w:vAlign w:val="bottom"/>
            <w:vMerge w:val="restart"/>
          </w:tcPr>
          <w:p>
            <w:pPr>
              <w:jc w:val="center"/>
              <w:ind w:right="198"/>
              <w:spacing w:after="0"/>
              <w:rPr>
                <w:sz w:val="20"/>
                <w:szCs w:val="20"/>
                <w:color w:val="auto"/>
              </w:rPr>
            </w:pPr>
            <w:r>
              <w:rPr>
                <w:rFonts w:ascii="Arial" w:cs="Arial" w:eastAsia="Arial" w:hAnsi="Arial"/>
                <w:sz w:val="12"/>
                <w:szCs w:val="12"/>
                <w:b w:val="1"/>
                <w:bCs w:val="1"/>
                <w:color w:val="FFFFFF"/>
              </w:rPr>
              <w:t>All Other</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vMerge w:val="continue"/>
            <w:shd w:val="clear" w:color="auto" w:fill="00A5B5"/>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b w:val="1"/>
                <w:bCs w:val="1"/>
                <w:color w:val="FFFFFF"/>
              </w:rPr>
              <w:t>Salary</w:t>
            </w:r>
          </w:p>
        </w:tc>
        <w:tc>
          <w:tcPr>
            <w:tcW w:w="18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FFFFFF"/>
              </w:rPr>
              <w:t>Bonus</w:t>
            </w:r>
          </w:p>
        </w:tc>
        <w:tc>
          <w:tcPr>
            <w:tcW w:w="8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00" w:type="dxa"/>
            <w:vAlign w:val="bottom"/>
          </w:tcPr>
          <w:p>
            <w:pPr>
              <w:jc w:val="center"/>
              <w:ind w:right="118"/>
              <w:spacing w:after="0" w:line="120" w:lineRule="exact"/>
              <w:rPr>
                <w:sz w:val="20"/>
                <w:szCs w:val="20"/>
                <w:color w:val="auto"/>
              </w:rPr>
            </w:pPr>
            <w:r>
              <w:rPr>
                <w:rFonts w:ascii="Arial" w:cs="Arial" w:eastAsia="Arial" w:hAnsi="Arial"/>
                <w:sz w:val="12"/>
                <w:szCs w:val="12"/>
                <w:b w:val="1"/>
                <w:bCs w:val="1"/>
                <w:color w:val="FFFFFF"/>
              </w:rPr>
              <w:t>Incentive Plan</w:t>
            </w:r>
          </w:p>
        </w:tc>
        <w:tc>
          <w:tcPr>
            <w:tcW w:w="1300" w:type="dxa"/>
            <w:vAlign w:val="bottom"/>
          </w:tcPr>
          <w:p>
            <w:pPr>
              <w:jc w:val="center"/>
              <w:ind w:right="98"/>
              <w:spacing w:after="0" w:line="120" w:lineRule="exact"/>
              <w:rPr>
                <w:sz w:val="20"/>
                <w:szCs w:val="20"/>
                <w:color w:val="auto"/>
              </w:rPr>
            </w:pPr>
            <w:r>
              <w:rPr>
                <w:rFonts w:ascii="Arial" w:cs="Arial" w:eastAsia="Arial" w:hAnsi="Arial"/>
                <w:sz w:val="12"/>
                <w:szCs w:val="12"/>
                <w:b w:val="1"/>
                <w:bCs w:val="1"/>
                <w:color w:val="FFFFFF"/>
              </w:rPr>
              <w:t>Compensation</w:t>
            </w:r>
          </w:p>
        </w:tc>
        <w:tc>
          <w:tcPr>
            <w:tcW w:w="1460" w:type="dxa"/>
            <w:vAlign w:val="bottom"/>
            <w:vMerge w:val="continue"/>
          </w:tcPr>
          <w:p>
            <w:pPr>
              <w:spacing w:after="0"/>
              <w:rPr>
                <w:sz w:val="10"/>
                <w:szCs w:val="10"/>
                <w:color w:val="auto"/>
              </w:rPr>
            </w:pPr>
          </w:p>
        </w:tc>
        <w:tc>
          <w:tcPr>
            <w:tcW w:w="1000" w:type="dxa"/>
            <w:vAlign w:val="bottom"/>
            <w:vMerge w:val="restart"/>
          </w:tcPr>
          <w:p>
            <w:pPr>
              <w:jc w:val="right"/>
              <w:ind w:right="398"/>
              <w:spacing w:after="0"/>
              <w:rPr>
                <w:sz w:val="20"/>
                <w:szCs w:val="20"/>
                <w:color w:val="auto"/>
              </w:rPr>
            </w:pPr>
            <w:r>
              <w:rPr>
                <w:rFonts w:ascii="Arial" w:cs="Arial" w:eastAsia="Arial" w:hAnsi="Arial"/>
                <w:sz w:val="12"/>
                <w:szCs w:val="12"/>
                <w:b w:val="1"/>
                <w:bCs w:val="1"/>
                <w:color w:val="FFFFFF"/>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00A5B5"/>
          </w:tcPr>
          <w:p>
            <w:pPr>
              <w:ind w:left="700"/>
              <w:spacing w:after="0"/>
              <w:rPr>
                <w:sz w:val="20"/>
                <w:szCs w:val="20"/>
                <w:color w:val="auto"/>
              </w:rPr>
            </w:pPr>
            <w:r>
              <w:rPr>
                <w:rFonts w:ascii="Arial" w:cs="Arial" w:eastAsia="Arial" w:hAnsi="Arial"/>
                <w:sz w:val="12"/>
                <w:szCs w:val="12"/>
                <w:b w:val="1"/>
                <w:bCs w:val="1"/>
                <w:color w:val="FFFFFF"/>
              </w:rPr>
              <w:t>Position</w:t>
            </w:r>
          </w:p>
        </w:tc>
        <w:tc>
          <w:tcPr>
            <w:tcW w:w="660" w:type="dxa"/>
            <w:vAlign w:val="bottom"/>
            <w:gridSpan w:val="3"/>
          </w:tcPr>
          <w:p>
            <w:pPr>
              <w:ind w:left="160"/>
              <w:spacing w:after="0" w:line="172" w:lineRule="exact"/>
              <w:rPr>
                <w:sz w:val="20"/>
                <w:szCs w:val="20"/>
                <w:color w:val="auto"/>
              </w:rPr>
            </w:pPr>
            <w:r>
              <w:rPr>
                <w:rFonts w:ascii="Arial" w:cs="Arial" w:eastAsia="Arial" w:hAnsi="Arial"/>
                <w:sz w:val="12"/>
                <w:szCs w:val="12"/>
                <w:b w:val="1"/>
                <w:bCs w:val="1"/>
                <w:color w:val="FFFFFF"/>
              </w:rPr>
              <w:t xml:space="preserve">Year </w:t>
            </w:r>
            <w:r>
              <w:rPr>
                <w:rFonts w:ascii="Arial" w:cs="Arial" w:eastAsia="Arial" w:hAnsi="Arial"/>
                <w:sz w:val="16"/>
                <w:szCs w:val="16"/>
                <w:b w:val="1"/>
                <w:bCs w:val="1"/>
                <w:color w:val="FFFFFF"/>
                <w:vertAlign w:val="superscript"/>
              </w:rPr>
              <w:t>1</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80" w:type="dxa"/>
            <w:vAlign w:val="bottom"/>
            <w:gridSpan w:val="2"/>
          </w:tcPr>
          <w:p>
            <w:pPr>
              <w:jc w:val="center"/>
              <w:spacing w:after="0" w:line="172" w:lineRule="exact"/>
              <w:rPr>
                <w:sz w:val="20"/>
                <w:szCs w:val="20"/>
                <w:color w:val="auto"/>
              </w:rPr>
            </w:pPr>
            <w:r>
              <w:rPr>
                <w:rFonts w:ascii="Arial" w:cs="Arial" w:eastAsia="Arial" w:hAnsi="Arial"/>
                <w:sz w:val="12"/>
                <w:szCs w:val="12"/>
                <w:b w:val="1"/>
                <w:bCs w:val="1"/>
                <w:color w:val="FFFFFF"/>
                <w:w w:val="94"/>
              </w:rPr>
              <w:t xml:space="preserve">Awards </w:t>
            </w:r>
            <w:r>
              <w:rPr>
                <w:rFonts w:ascii="Arial" w:cs="Arial" w:eastAsia="Arial" w:hAnsi="Arial"/>
                <w:sz w:val="16"/>
                <w:szCs w:val="16"/>
                <w:b w:val="1"/>
                <w:bCs w:val="1"/>
                <w:color w:val="FFFFFF"/>
                <w:w w:val="94"/>
                <w:vertAlign w:val="superscript"/>
              </w:rPr>
              <w:t>2</w:t>
            </w:r>
          </w:p>
        </w:tc>
        <w:tc>
          <w:tcPr>
            <w:tcW w:w="1000" w:type="dxa"/>
            <w:vAlign w:val="bottom"/>
          </w:tcPr>
          <w:p>
            <w:pPr>
              <w:jc w:val="center"/>
              <w:spacing w:after="0" w:line="172"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6"/>
                <w:szCs w:val="16"/>
                <w:b w:val="1"/>
                <w:bCs w:val="1"/>
                <w:color w:val="FFFFFF"/>
                <w:vertAlign w:val="superscript"/>
              </w:rPr>
              <w:t>3</w:t>
            </w:r>
          </w:p>
        </w:tc>
        <w:tc>
          <w:tcPr>
            <w:tcW w:w="1400" w:type="dxa"/>
            <w:vAlign w:val="bottom"/>
          </w:tcPr>
          <w:p>
            <w:pPr>
              <w:jc w:val="center"/>
              <w:ind w:right="118"/>
              <w:spacing w:after="0" w:line="172" w:lineRule="exact"/>
              <w:rPr>
                <w:sz w:val="20"/>
                <w:szCs w:val="20"/>
                <w:color w:val="auto"/>
              </w:rPr>
            </w:pPr>
            <w:r>
              <w:rPr>
                <w:rFonts w:ascii="Arial" w:cs="Arial" w:eastAsia="Arial" w:hAnsi="Arial"/>
                <w:sz w:val="12"/>
                <w:szCs w:val="12"/>
                <w:b w:val="1"/>
                <w:bCs w:val="1"/>
                <w:color w:val="FFFFFF"/>
              </w:rPr>
              <w:t xml:space="preserve">Compensation </w:t>
            </w:r>
            <w:r>
              <w:rPr>
                <w:rFonts w:ascii="Arial" w:cs="Arial" w:eastAsia="Arial" w:hAnsi="Arial"/>
                <w:sz w:val="16"/>
                <w:szCs w:val="16"/>
                <w:b w:val="1"/>
                <w:bCs w:val="1"/>
                <w:color w:val="FFFFFF"/>
                <w:vertAlign w:val="superscript"/>
              </w:rPr>
              <w:t>4</w:t>
            </w:r>
          </w:p>
        </w:tc>
        <w:tc>
          <w:tcPr>
            <w:tcW w:w="1300" w:type="dxa"/>
            <w:vAlign w:val="bottom"/>
          </w:tcPr>
          <w:p>
            <w:pPr>
              <w:jc w:val="center"/>
              <w:ind w:right="78"/>
              <w:spacing w:after="0" w:line="172" w:lineRule="exact"/>
              <w:rPr>
                <w:sz w:val="20"/>
                <w:szCs w:val="20"/>
                <w:color w:val="auto"/>
              </w:rPr>
            </w:pPr>
            <w:r>
              <w:rPr>
                <w:rFonts w:ascii="Arial" w:cs="Arial" w:eastAsia="Arial" w:hAnsi="Arial"/>
                <w:sz w:val="12"/>
                <w:szCs w:val="12"/>
                <w:b w:val="1"/>
                <w:bCs w:val="1"/>
                <w:color w:val="FFFFFF"/>
                <w:w w:val="98"/>
              </w:rPr>
              <w:t xml:space="preserve">Earnings </w:t>
            </w:r>
            <w:r>
              <w:rPr>
                <w:rFonts w:ascii="Arial" w:cs="Arial" w:eastAsia="Arial" w:hAnsi="Arial"/>
                <w:sz w:val="16"/>
                <w:szCs w:val="16"/>
                <w:b w:val="1"/>
                <w:bCs w:val="1"/>
                <w:color w:val="FFFFFF"/>
                <w:w w:val="98"/>
                <w:vertAlign w:val="superscript"/>
              </w:rPr>
              <w:t>5</w:t>
            </w:r>
          </w:p>
        </w:tc>
        <w:tc>
          <w:tcPr>
            <w:tcW w:w="1460" w:type="dxa"/>
            <w:vAlign w:val="bottom"/>
          </w:tcPr>
          <w:p>
            <w:pPr>
              <w:jc w:val="center"/>
              <w:ind w:right="198"/>
              <w:spacing w:after="0" w:line="172" w:lineRule="exact"/>
              <w:rPr>
                <w:sz w:val="20"/>
                <w:szCs w:val="20"/>
                <w:color w:val="auto"/>
              </w:rPr>
            </w:pPr>
            <w:r>
              <w:rPr>
                <w:rFonts w:ascii="Arial" w:cs="Arial" w:eastAsia="Arial" w:hAnsi="Arial"/>
                <w:sz w:val="12"/>
                <w:szCs w:val="12"/>
                <w:b w:val="1"/>
                <w:bCs w:val="1"/>
                <w:color w:val="FFFFFF"/>
                <w:w w:val="99"/>
              </w:rPr>
              <w:t xml:space="preserve">Compensation </w:t>
            </w:r>
            <w:r>
              <w:rPr>
                <w:rFonts w:ascii="Arial" w:cs="Arial" w:eastAsia="Arial" w:hAnsi="Arial"/>
                <w:sz w:val="16"/>
                <w:szCs w:val="16"/>
                <w:b w:val="1"/>
                <w:bCs w:val="1"/>
                <w:color w:val="FFFFFF"/>
                <w:w w:val="99"/>
                <w:vertAlign w:val="superscript"/>
              </w:rPr>
              <w:t>8</w:t>
            </w: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shd w:val="clear" w:color="auto" w:fill="00A5B5"/>
          </w:tcPr>
          <w:p>
            <w:pPr>
              <w:spacing w:after="0"/>
              <w:rPr>
                <w:sz w:val="14"/>
                <w:szCs w:val="14"/>
                <w:color w:val="auto"/>
              </w:rPr>
            </w:pPr>
          </w:p>
        </w:tc>
        <w:tc>
          <w:tcPr>
            <w:tcW w:w="200" w:type="dxa"/>
            <w:vAlign w:val="bottom"/>
            <w:tcBorders>
              <w:bottom w:val="single" w:sz="8" w:color="auto"/>
            </w:tcBorders>
            <w:shd w:val="clear" w:color="auto" w:fill="00A5B5"/>
          </w:tcPr>
          <w:p>
            <w:pPr>
              <w:spacing w:after="0"/>
              <w:rPr>
                <w:sz w:val="14"/>
                <w:szCs w:val="14"/>
                <w:color w:val="auto"/>
              </w:rPr>
            </w:pPr>
          </w:p>
        </w:tc>
        <w:tc>
          <w:tcPr>
            <w:tcW w:w="260" w:type="dxa"/>
            <w:vAlign w:val="bottom"/>
            <w:tcBorders>
              <w:bottom w:val="single" w:sz="8" w:color="auto"/>
            </w:tcBorders>
            <w:shd w:val="clear" w:color="auto" w:fill="00A5B5"/>
          </w:tcPr>
          <w:p>
            <w:pPr>
              <w:spacing w:after="0"/>
              <w:rPr>
                <w:sz w:val="14"/>
                <w:szCs w:val="14"/>
                <w:color w:val="auto"/>
              </w:rPr>
            </w:pPr>
          </w:p>
        </w:tc>
        <w:tc>
          <w:tcPr>
            <w:tcW w:w="200" w:type="dxa"/>
            <w:vAlign w:val="bottom"/>
            <w:tcBorders>
              <w:bottom w:val="single" w:sz="8" w:color="auto"/>
            </w:tcBorders>
            <w:shd w:val="clear" w:color="auto" w:fill="00A5B5"/>
          </w:tcPr>
          <w:p>
            <w:pPr>
              <w:spacing w:after="0"/>
              <w:rPr>
                <w:sz w:val="14"/>
                <w:szCs w:val="14"/>
                <w:color w:val="auto"/>
              </w:rPr>
            </w:pPr>
          </w:p>
        </w:tc>
        <w:tc>
          <w:tcPr>
            <w:tcW w:w="760" w:type="dxa"/>
            <w:vAlign w:val="bottom"/>
            <w:tcBorders>
              <w:bottom w:val="single" w:sz="8" w:color="auto"/>
            </w:tcBorders>
            <w:shd w:val="clear" w:color="auto" w:fill="00A5B5"/>
          </w:tcPr>
          <w:p>
            <w:pPr>
              <w:jc w:val="center"/>
              <w:ind w:left="118"/>
              <w:spacing w:after="0"/>
              <w:rPr>
                <w:sz w:val="20"/>
                <w:szCs w:val="20"/>
                <w:color w:val="auto"/>
              </w:rPr>
            </w:pPr>
            <w:r>
              <w:rPr>
                <w:rFonts w:ascii="Arial" w:cs="Arial" w:eastAsia="Arial" w:hAnsi="Arial"/>
                <w:sz w:val="12"/>
                <w:szCs w:val="12"/>
                <w:b w:val="1"/>
                <w:bCs w:val="1"/>
                <w:color w:val="FFFFFF"/>
                <w:w w:val="95"/>
              </w:rPr>
              <w:t>($)</w:t>
            </w:r>
          </w:p>
        </w:tc>
        <w:tc>
          <w:tcPr>
            <w:tcW w:w="180" w:type="dxa"/>
            <w:vAlign w:val="bottom"/>
            <w:tcBorders>
              <w:bottom w:val="single" w:sz="8" w:color="auto"/>
            </w:tcBorders>
            <w:shd w:val="clear" w:color="auto" w:fill="00A5B5"/>
          </w:tcPr>
          <w:p>
            <w:pPr>
              <w:spacing w:after="0"/>
              <w:rPr>
                <w:sz w:val="14"/>
                <w:szCs w:val="14"/>
                <w:color w:val="auto"/>
              </w:rPr>
            </w:pPr>
          </w:p>
        </w:tc>
        <w:tc>
          <w:tcPr>
            <w:tcW w:w="560" w:type="dxa"/>
            <w:vAlign w:val="bottom"/>
            <w:tcBorders>
              <w:bottom w:val="single" w:sz="8" w:color="auto"/>
            </w:tcBorders>
            <w:shd w:val="clear" w:color="auto" w:fill="00A5B5"/>
          </w:tcPr>
          <w:p>
            <w:pPr>
              <w:jc w:val="right"/>
              <w:ind w:right="38"/>
              <w:spacing w:after="0"/>
              <w:rPr>
                <w:sz w:val="20"/>
                <w:szCs w:val="20"/>
                <w:color w:val="auto"/>
              </w:rPr>
            </w:pPr>
            <w:r>
              <w:rPr>
                <w:rFonts w:ascii="Arial" w:cs="Arial" w:eastAsia="Arial" w:hAnsi="Arial"/>
                <w:sz w:val="12"/>
                <w:szCs w:val="12"/>
                <w:b w:val="1"/>
                <w:bCs w:val="1"/>
                <w:color w:val="FFFFFF"/>
              </w:rPr>
              <w:t>($)</w:t>
            </w:r>
          </w:p>
        </w:tc>
        <w:tc>
          <w:tcPr>
            <w:tcW w:w="160" w:type="dxa"/>
            <w:vAlign w:val="bottom"/>
            <w:tcBorders>
              <w:bottom w:val="single" w:sz="8" w:color="auto"/>
            </w:tcBorders>
            <w:shd w:val="clear" w:color="auto" w:fill="00A5B5"/>
          </w:tcPr>
          <w:p>
            <w:pPr>
              <w:spacing w:after="0"/>
              <w:rPr>
                <w:sz w:val="14"/>
                <w:szCs w:val="14"/>
                <w:color w:val="auto"/>
              </w:rPr>
            </w:pPr>
          </w:p>
        </w:tc>
        <w:tc>
          <w:tcPr>
            <w:tcW w:w="720" w:type="dxa"/>
            <w:vAlign w:val="bottom"/>
            <w:tcBorders>
              <w:bottom w:val="single" w:sz="8" w:color="auto"/>
            </w:tcBorders>
            <w:shd w:val="clear" w:color="auto" w:fill="00A5B5"/>
          </w:tcPr>
          <w:p>
            <w:pPr>
              <w:jc w:val="center"/>
              <w:ind w:left="158"/>
              <w:spacing w:after="0"/>
              <w:rPr>
                <w:sz w:val="20"/>
                <w:szCs w:val="20"/>
                <w:color w:val="auto"/>
              </w:rPr>
            </w:pPr>
            <w:r>
              <w:rPr>
                <w:rFonts w:ascii="Arial" w:cs="Arial" w:eastAsia="Arial" w:hAnsi="Arial"/>
                <w:sz w:val="12"/>
                <w:szCs w:val="12"/>
                <w:b w:val="1"/>
                <w:bCs w:val="1"/>
                <w:color w:val="FFFFFF"/>
                <w:w w:val="95"/>
              </w:rPr>
              <w:t>($)</w:t>
            </w:r>
          </w:p>
        </w:tc>
        <w:tc>
          <w:tcPr>
            <w:tcW w:w="160" w:type="dxa"/>
            <w:vAlign w:val="bottom"/>
            <w:tcBorders>
              <w:bottom w:val="single" w:sz="8" w:color="auto"/>
            </w:tcBorders>
            <w:shd w:val="clear" w:color="auto" w:fill="00A5B5"/>
          </w:tcPr>
          <w:p>
            <w:pPr>
              <w:spacing w:after="0"/>
              <w:rPr>
                <w:sz w:val="14"/>
                <w:szCs w:val="14"/>
                <w:color w:val="auto"/>
              </w:rPr>
            </w:pPr>
          </w:p>
        </w:tc>
        <w:tc>
          <w:tcPr>
            <w:tcW w:w="10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5"/>
              </w:rPr>
              <w:t>($)</w:t>
            </w:r>
          </w:p>
        </w:tc>
        <w:tc>
          <w:tcPr>
            <w:tcW w:w="1400" w:type="dxa"/>
            <w:vAlign w:val="bottom"/>
            <w:tcBorders>
              <w:bottom w:val="single" w:sz="8" w:color="auto"/>
            </w:tcBorders>
            <w:shd w:val="clear" w:color="auto" w:fill="00A5B5"/>
          </w:tcPr>
          <w:p>
            <w:pPr>
              <w:jc w:val="center"/>
              <w:ind w:right="118"/>
              <w:spacing w:after="0"/>
              <w:rPr>
                <w:sz w:val="20"/>
                <w:szCs w:val="20"/>
                <w:color w:val="auto"/>
              </w:rPr>
            </w:pPr>
            <w:r>
              <w:rPr>
                <w:rFonts w:ascii="Arial" w:cs="Arial" w:eastAsia="Arial" w:hAnsi="Arial"/>
                <w:sz w:val="12"/>
                <w:szCs w:val="12"/>
                <w:b w:val="1"/>
                <w:bCs w:val="1"/>
                <w:color w:val="FFFFFF"/>
                <w:w w:val="95"/>
              </w:rPr>
              <w:t>($)</w:t>
            </w:r>
          </w:p>
        </w:tc>
        <w:tc>
          <w:tcPr>
            <w:tcW w:w="1300" w:type="dxa"/>
            <w:vAlign w:val="bottom"/>
            <w:tcBorders>
              <w:bottom w:val="single" w:sz="8" w:color="auto"/>
            </w:tcBorders>
            <w:shd w:val="clear" w:color="auto" w:fill="00A5B5"/>
          </w:tcPr>
          <w:p>
            <w:pPr>
              <w:jc w:val="center"/>
              <w:ind w:right="98"/>
              <w:spacing w:after="0"/>
              <w:rPr>
                <w:sz w:val="20"/>
                <w:szCs w:val="20"/>
                <w:color w:val="auto"/>
              </w:rPr>
            </w:pPr>
            <w:r>
              <w:rPr>
                <w:rFonts w:ascii="Arial" w:cs="Arial" w:eastAsia="Arial" w:hAnsi="Arial"/>
                <w:sz w:val="12"/>
                <w:szCs w:val="12"/>
                <w:b w:val="1"/>
                <w:bCs w:val="1"/>
                <w:color w:val="FFFFFF"/>
                <w:w w:val="95"/>
              </w:rPr>
              <w:t>($)</w:t>
            </w:r>
          </w:p>
        </w:tc>
        <w:tc>
          <w:tcPr>
            <w:tcW w:w="1460" w:type="dxa"/>
            <w:vAlign w:val="bottom"/>
            <w:tcBorders>
              <w:bottom w:val="single" w:sz="8" w:color="auto"/>
            </w:tcBorders>
            <w:shd w:val="clear" w:color="auto" w:fill="00A5B5"/>
          </w:tcPr>
          <w:p>
            <w:pPr>
              <w:jc w:val="center"/>
              <w:ind w:right="198"/>
              <w:spacing w:after="0"/>
              <w:rPr>
                <w:sz w:val="20"/>
                <w:szCs w:val="20"/>
                <w:color w:val="auto"/>
              </w:rPr>
            </w:pPr>
            <w:r>
              <w:rPr>
                <w:rFonts w:ascii="Arial" w:cs="Arial" w:eastAsia="Arial" w:hAnsi="Arial"/>
                <w:sz w:val="12"/>
                <w:szCs w:val="12"/>
                <w:b w:val="1"/>
                <w:bCs w:val="1"/>
                <w:color w:val="FFFFFF"/>
              </w:rPr>
              <w:t>($)</w:t>
            </w:r>
          </w:p>
        </w:tc>
        <w:tc>
          <w:tcPr>
            <w:tcW w:w="1000" w:type="dxa"/>
            <w:vAlign w:val="bottom"/>
            <w:tcBorders>
              <w:bottom w:val="single" w:sz="8" w:color="auto"/>
            </w:tcBorders>
            <w:shd w:val="clear" w:color="auto" w:fill="00A5B5"/>
          </w:tcPr>
          <w:p>
            <w:pPr>
              <w:jc w:val="right"/>
              <w:ind w:right="458"/>
              <w:spacing w:after="0"/>
              <w:rPr>
                <w:sz w:val="20"/>
                <w:szCs w:val="20"/>
                <w:color w:val="auto"/>
              </w:rPr>
            </w:pPr>
            <w:r>
              <w:rPr>
                <w:rFonts w:ascii="Arial" w:cs="Arial" w:eastAsia="Arial" w:hAnsi="Arial"/>
                <w:sz w:val="12"/>
                <w:szCs w:val="12"/>
                <w:b w:val="1"/>
                <w:bCs w:val="1"/>
                <w:color w:val="FFFFFF"/>
              </w:rPr>
              <w: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0"/>
          </w:tcPr>
          <w:p>
            <w:pPr>
              <w:ind w:left="40"/>
              <w:spacing w:after="0" w:line="127" w:lineRule="exact"/>
              <w:rPr>
                <w:sz w:val="20"/>
                <w:szCs w:val="20"/>
                <w:color w:val="auto"/>
              </w:rPr>
            </w:pPr>
            <w:r>
              <w:rPr>
                <w:rFonts w:ascii="Arial" w:cs="Arial" w:eastAsia="Arial" w:hAnsi="Arial"/>
                <w:sz w:val="12"/>
                <w:szCs w:val="12"/>
                <w:b w:val="1"/>
                <w:bCs w:val="1"/>
                <w:color w:val="auto"/>
              </w:rPr>
              <w:t>Horacio D. Rozanski</w:t>
            </w:r>
          </w:p>
        </w:tc>
        <w:tc>
          <w:tcPr>
            <w:tcW w:w="460" w:type="dxa"/>
            <w:vAlign w:val="bottom"/>
            <w:gridSpan w:val="2"/>
            <w:shd w:val="clear" w:color="auto" w:fill="CCEEF0"/>
          </w:tcPr>
          <w:p>
            <w:pPr>
              <w:jc w:val="right"/>
              <w:spacing w:after="0" w:line="127" w:lineRule="exact"/>
              <w:rPr>
                <w:sz w:val="20"/>
                <w:szCs w:val="20"/>
                <w:color w:val="auto"/>
              </w:rPr>
            </w:pPr>
            <w:r>
              <w:rPr>
                <w:rFonts w:ascii="Arial" w:cs="Arial" w:eastAsia="Arial" w:hAnsi="Arial"/>
                <w:sz w:val="12"/>
                <w:szCs w:val="12"/>
                <w:color w:val="auto"/>
              </w:rPr>
              <w:t>2026</w:t>
            </w:r>
          </w:p>
        </w:tc>
        <w:tc>
          <w:tcPr>
            <w:tcW w:w="200" w:type="dxa"/>
            <w:vAlign w:val="bottom"/>
            <w:shd w:val="clear" w:color="auto" w:fill="CCEEF0"/>
          </w:tcPr>
          <w:p>
            <w:pPr>
              <w:spacing w:after="0"/>
              <w:rPr>
                <w:sz w:val="11"/>
                <w:szCs w:val="11"/>
                <w:color w:val="auto"/>
              </w:rPr>
            </w:pPr>
          </w:p>
        </w:tc>
        <w:tc>
          <w:tcPr>
            <w:tcW w:w="760" w:type="dxa"/>
            <w:vAlign w:val="bottom"/>
            <w:shd w:val="clear" w:color="auto" w:fill="CCEEF0"/>
          </w:tcPr>
          <w:p>
            <w:pPr>
              <w:jc w:val="center"/>
              <w:ind w:left="118"/>
              <w:spacing w:after="0" w:line="127" w:lineRule="exact"/>
              <w:rPr>
                <w:sz w:val="20"/>
                <w:szCs w:val="20"/>
                <w:color w:val="auto"/>
              </w:rPr>
            </w:pPr>
            <w:r>
              <w:rPr>
                <w:rFonts w:ascii="Arial" w:cs="Arial" w:eastAsia="Arial" w:hAnsi="Arial"/>
                <w:sz w:val="12"/>
                <w:szCs w:val="12"/>
                <w:color w:val="auto"/>
              </w:rPr>
              <w:t>1,500,000</w:t>
            </w:r>
          </w:p>
        </w:tc>
        <w:tc>
          <w:tcPr>
            <w:tcW w:w="180" w:type="dxa"/>
            <w:vAlign w:val="bottom"/>
            <w:shd w:val="clear" w:color="auto" w:fill="CCEEF0"/>
          </w:tcPr>
          <w:p>
            <w:pPr>
              <w:spacing w:after="0"/>
              <w:rPr>
                <w:sz w:val="11"/>
                <w:szCs w:val="11"/>
                <w:color w:val="auto"/>
              </w:rPr>
            </w:pPr>
          </w:p>
        </w:tc>
        <w:tc>
          <w:tcPr>
            <w:tcW w:w="560" w:type="dxa"/>
            <w:vAlign w:val="bottom"/>
            <w:shd w:val="clear" w:color="auto" w:fill="CCEEF0"/>
          </w:tcPr>
          <w:p>
            <w:pPr>
              <w:spacing w:after="0"/>
              <w:rPr>
                <w:sz w:val="11"/>
                <w:szCs w:val="11"/>
                <w:color w:val="auto"/>
              </w:rPr>
            </w:pPr>
          </w:p>
        </w:tc>
        <w:tc>
          <w:tcPr>
            <w:tcW w:w="160" w:type="dxa"/>
            <w:vAlign w:val="bottom"/>
            <w:shd w:val="clear" w:color="auto" w:fill="CCEEF0"/>
          </w:tcPr>
          <w:p>
            <w:pPr>
              <w:spacing w:after="0" w:line="127"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0"/>
          </w:tcPr>
          <w:p>
            <w:pPr>
              <w:jc w:val="center"/>
              <w:spacing w:after="0" w:line="127" w:lineRule="exact"/>
              <w:rPr>
                <w:sz w:val="20"/>
                <w:szCs w:val="20"/>
                <w:color w:val="auto"/>
              </w:rPr>
            </w:pPr>
            <w:r>
              <w:rPr>
                <w:rFonts w:ascii="Arial" w:cs="Arial" w:eastAsia="Arial" w:hAnsi="Arial"/>
                <w:sz w:val="12"/>
                <w:szCs w:val="12"/>
                <w:color w:val="auto"/>
                <w:w w:val="99"/>
              </w:rPr>
              <w:t>10,248,071</w:t>
            </w:r>
          </w:p>
        </w:tc>
        <w:tc>
          <w:tcPr>
            <w:tcW w:w="1000" w:type="dxa"/>
            <w:vAlign w:val="bottom"/>
            <w:shd w:val="clear" w:color="auto" w:fill="CCEEF0"/>
          </w:tcPr>
          <w:p>
            <w:pPr>
              <w:jc w:val="right"/>
              <w:ind w:right="98"/>
              <w:spacing w:after="0" w:line="127" w:lineRule="exact"/>
              <w:rPr>
                <w:sz w:val="20"/>
                <w:szCs w:val="20"/>
                <w:color w:val="auto"/>
              </w:rPr>
            </w:pPr>
            <w:r>
              <w:rPr>
                <w:rFonts w:ascii="Arial" w:cs="Arial" w:eastAsia="Arial" w:hAnsi="Arial"/>
                <w:sz w:val="12"/>
                <w:szCs w:val="12"/>
                <w:color w:val="auto"/>
              </w:rPr>
              <w:t>—</w:t>
            </w:r>
          </w:p>
        </w:tc>
        <w:tc>
          <w:tcPr>
            <w:tcW w:w="1400" w:type="dxa"/>
            <w:vAlign w:val="bottom"/>
            <w:shd w:val="clear" w:color="auto" w:fill="CCEEF0"/>
          </w:tcPr>
          <w:p>
            <w:pPr>
              <w:jc w:val="right"/>
              <w:ind w:right="78"/>
              <w:spacing w:after="0" w:line="127" w:lineRule="exact"/>
              <w:rPr>
                <w:sz w:val="20"/>
                <w:szCs w:val="20"/>
                <w:color w:val="auto"/>
              </w:rPr>
            </w:pPr>
            <w:r>
              <w:rPr>
                <w:rFonts w:ascii="Arial" w:cs="Arial" w:eastAsia="Arial" w:hAnsi="Arial"/>
                <w:sz w:val="12"/>
                <w:szCs w:val="12"/>
                <w:color w:val="auto"/>
              </w:rPr>
              <w:t>1,800,000</w:t>
            </w:r>
          </w:p>
        </w:tc>
        <w:tc>
          <w:tcPr>
            <w:tcW w:w="1300" w:type="dxa"/>
            <w:vAlign w:val="bottom"/>
            <w:shd w:val="clear" w:color="auto" w:fill="CCEEF0"/>
          </w:tcPr>
          <w:p>
            <w:pPr>
              <w:jc w:val="right"/>
              <w:ind w:right="58"/>
              <w:spacing w:after="0" w:line="127" w:lineRule="exact"/>
              <w:rPr>
                <w:sz w:val="20"/>
                <w:szCs w:val="20"/>
                <w:color w:val="auto"/>
              </w:rPr>
            </w:pPr>
            <w:r>
              <w:rPr>
                <w:rFonts w:ascii="Arial" w:cs="Arial" w:eastAsia="Arial" w:hAnsi="Arial"/>
                <w:sz w:val="12"/>
                <w:szCs w:val="12"/>
                <w:color w:val="auto"/>
              </w:rPr>
              <w:t>20,000</w:t>
            </w:r>
          </w:p>
        </w:tc>
        <w:tc>
          <w:tcPr>
            <w:tcW w:w="1460" w:type="dxa"/>
            <w:vAlign w:val="bottom"/>
            <w:shd w:val="clear" w:color="auto" w:fill="CCEEF0"/>
          </w:tcPr>
          <w:p>
            <w:pPr>
              <w:jc w:val="right"/>
              <w:ind w:right="198"/>
              <w:spacing w:after="0" w:line="127" w:lineRule="exact"/>
              <w:rPr>
                <w:sz w:val="20"/>
                <w:szCs w:val="20"/>
                <w:color w:val="auto"/>
              </w:rPr>
            </w:pPr>
            <w:r>
              <w:rPr>
                <w:rFonts w:ascii="Arial" w:cs="Arial" w:eastAsia="Arial" w:hAnsi="Arial"/>
                <w:sz w:val="12"/>
                <w:szCs w:val="12"/>
                <w:color w:val="auto"/>
              </w:rPr>
              <w:t>232,706</w:t>
            </w:r>
          </w:p>
        </w:tc>
        <w:tc>
          <w:tcPr>
            <w:tcW w:w="1000" w:type="dxa"/>
            <w:vAlign w:val="bottom"/>
            <w:shd w:val="clear" w:color="auto" w:fill="CCEEF0"/>
          </w:tcPr>
          <w:p>
            <w:pPr>
              <w:jc w:val="right"/>
              <w:spacing w:after="0" w:line="127" w:lineRule="exact"/>
              <w:rPr>
                <w:sz w:val="20"/>
                <w:szCs w:val="20"/>
                <w:color w:val="auto"/>
              </w:rPr>
            </w:pPr>
            <w:r>
              <w:rPr>
                <w:rFonts w:ascii="Arial" w:cs="Arial" w:eastAsia="Arial" w:hAnsi="Arial"/>
                <w:sz w:val="12"/>
                <w:szCs w:val="12"/>
                <w:color w:val="auto"/>
              </w:rPr>
              <w:t>13,800,777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0"/>
          </w:tcPr>
          <w:p>
            <w:pPr>
              <w:ind w:left="40"/>
              <w:spacing w:after="0" w:line="120" w:lineRule="exact"/>
              <w:rPr>
                <w:sz w:val="20"/>
                <w:szCs w:val="20"/>
                <w:color w:val="auto"/>
              </w:rPr>
            </w:pPr>
            <w:r>
              <w:rPr>
                <w:rFonts w:ascii="Arial" w:cs="Arial" w:eastAsia="Arial" w:hAnsi="Arial"/>
                <w:sz w:val="12"/>
                <w:szCs w:val="12"/>
                <w:color w:val="auto"/>
              </w:rPr>
              <w:t>Chairman and Chief Executive</w:t>
            </w:r>
          </w:p>
        </w:tc>
        <w:tc>
          <w:tcPr>
            <w:tcW w:w="460" w:type="dxa"/>
            <w:vAlign w:val="bottom"/>
            <w:gridSpan w:val="2"/>
            <w:vMerge w:val="restart"/>
            <w:shd w:val="clear" w:color="auto" w:fill="CCEEF0"/>
          </w:tcPr>
          <w:p>
            <w:pPr>
              <w:jc w:val="right"/>
              <w:spacing w:after="0"/>
              <w:rPr>
                <w:sz w:val="20"/>
                <w:szCs w:val="20"/>
                <w:color w:val="auto"/>
              </w:rPr>
            </w:pPr>
            <w:r>
              <w:rPr>
                <w:rFonts w:ascii="Arial" w:cs="Arial" w:eastAsia="Arial" w:hAnsi="Arial"/>
                <w:sz w:val="12"/>
                <w:szCs w:val="12"/>
                <w:color w:val="auto"/>
              </w:rPr>
              <w:t>2025</w:t>
            </w:r>
          </w:p>
        </w:tc>
        <w:tc>
          <w:tcPr>
            <w:tcW w:w="200" w:type="dxa"/>
            <w:vAlign w:val="bottom"/>
            <w:shd w:val="clear" w:color="auto" w:fill="CCEEF0"/>
          </w:tcPr>
          <w:p>
            <w:pPr>
              <w:spacing w:after="0"/>
              <w:rPr>
                <w:sz w:val="10"/>
                <w:szCs w:val="10"/>
                <w:color w:val="auto"/>
              </w:rPr>
            </w:pPr>
          </w:p>
        </w:tc>
        <w:tc>
          <w:tcPr>
            <w:tcW w:w="760" w:type="dxa"/>
            <w:vAlign w:val="bottom"/>
            <w:vMerge w:val="restart"/>
            <w:shd w:val="clear" w:color="auto" w:fill="CCEEF0"/>
          </w:tcPr>
          <w:p>
            <w:pPr>
              <w:jc w:val="center"/>
              <w:ind w:left="118"/>
              <w:spacing w:after="0"/>
              <w:rPr>
                <w:sz w:val="20"/>
                <w:szCs w:val="20"/>
                <w:color w:val="auto"/>
              </w:rPr>
            </w:pPr>
            <w:r>
              <w:rPr>
                <w:rFonts w:ascii="Arial" w:cs="Arial" w:eastAsia="Arial" w:hAnsi="Arial"/>
                <w:sz w:val="12"/>
                <w:szCs w:val="12"/>
                <w:color w:val="auto"/>
              </w:rPr>
              <w:t>1,500,000</w:t>
            </w:r>
          </w:p>
        </w:tc>
        <w:tc>
          <w:tcPr>
            <w:tcW w:w="180" w:type="dxa"/>
            <w:vAlign w:val="bottom"/>
            <w:shd w:val="clear" w:color="auto" w:fill="CCEEF0"/>
          </w:tcPr>
          <w:p>
            <w:pPr>
              <w:spacing w:after="0"/>
              <w:rPr>
                <w:sz w:val="10"/>
                <w:szCs w:val="10"/>
                <w:color w:val="auto"/>
              </w:rPr>
            </w:pPr>
          </w:p>
        </w:tc>
        <w:tc>
          <w:tcPr>
            <w:tcW w:w="560" w:type="dxa"/>
            <w:vAlign w:val="bottom"/>
            <w:shd w:val="clear" w:color="auto" w:fill="CCEEF0"/>
          </w:tcPr>
          <w:p>
            <w:pPr>
              <w:spacing w:after="0"/>
              <w:rPr>
                <w:sz w:val="10"/>
                <w:szCs w:val="10"/>
                <w:color w:val="auto"/>
              </w:rPr>
            </w:pPr>
          </w:p>
        </w:tc>
        <w:tc>
          <w:tcPr>
            <w:tcW w:w="160" w:type="dxa"/>
            <w:vAlign w:val="bottom"/>
            <w:vMerge w:val="restart"/>
            <w:shd w:val="clear" w:color="auto" w:fill="CCEEF0"/>
          </w:tcPr>
          <w:p>
            <w:pPr>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10,531,335</w:t>
            </w:r>
          </w:p>
        </w:tc>
        <w:tc>
          <w:tcPr>
            <w:tcW w:w="1000" w:type="dxa"/>
            <w:vAlign w:val="bottom"/>
            <w:vMerge w:val="restart"/>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shd w:val="clear" w:color="auto" w:fill="CCEEF0"/>
          </w:tcPr>
          <w:p>
            <w:pPr>
              <w:jc w:val="right"/>
              <w:ind w:right="78"/>
              <w:spacing w:after="0"/>
              <w:rPr>
                <w:sz w:val="20"/>
                <w:szCs w:val="20"/>
                <w:color w:val="auto"/>
              </w:rPr>
            </w:pPr>
            <w:r>
              <w:rPr>
                <w:rFonts w:ascii="Arial" w:cs="Arial" w:eastAsia="Arial" w:hAnsi="Arial"/>
                <w:sz w:val="12"/>
                <w:szCs w:val="12"/>
                <w:color w:val="auto"/>
              </w:rPr>
              <w:t>1,720,000</w:t>
            </w:r>
          </w:p>
        </w:tc>
        <w:tc>
          <w:tcPr>
            <w:tcW w:w="1300" w:type="dxa"/>
            <w:vAlign w:val="bottom"/>
            <w:vMerge w:val="restart"/>
            <w:shd w:val="clear" w:color="auto" w:fill="CCEEF0"/>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vMerge w:val="restart"/>
            <w:shd w:val="clear" w:color="auto" w:fill="CCEEF0"/>
          </w:tcPr>
          <w:p>
            <w:pPr>
              <w:jc w:val="right"/>
              <w:ind w:right="198"/>
              <w:spacing w:after="0"/>
              <w:rPr>
                <w:sz w:val="20"/>
                <w:szCs w:val="20"/>
                <w:color w:val="auto"/>
              </w:rPr>
            </w:pPr>
            <w:r>
              <w:rPr>
                <w:rFonts w:ascii="Arial" w:cs="Arial" w:eastAsia="Arial" w:hAnsi="Arial"/>
                <w:sz w:val="12"/>
                <w:szCs w:val="12"/>
                <w:color w:val="auto"/>
              </w:rPr>
              <w:t>227,804</w:t>
            </w:r>
          </w:p>
        </w:tc>
        <w:tc>
          <w:tcPr>
            <w:tcW w:w="100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rPr>
              <w:t>13,999,139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80" w:type="dxa"/>
            <w:vAlign w:val="bottom"/>
            <w:shd w:val="clear" w:color="auto" w:fill="CCEEF0"/>
          </w:tcPr>
          <w:p>
            <w:pPr>
              <w:ind w:left="40"/>
              <w:spacing w:after="0" w:line="133" w:lineRule="exact"/>
              <w:rPr>
                <w:sz w:val="20"/>
                <w:szCs w:val="20"/>
                <w:color w:val="auto"/>
              </w:rPr>
            </w:pPr>
            <w:r>
              <w:rPr>
                <w:rFonts w:ascii="Arial" w:cs="Arial" w:eastAsia="Arial" w:hAnsi="Arial"/>
                <w:sz w:val="12"/>
                <w:szCs w:val="12"/>
                <w:color w:val="auto"/>
              </w:rPr>
              <w:t>Officer</w:t>
            </w:r>
          </w:p>
        </w:tc>
        <w:tc>
          <w:tcPr>
            <w:tcW w:w="460" w:type="dxa"/>
            <w:vAlign w:val="bottom"/>
            <w:gridSpan w:val="2"/>
            <w:vMerge w:val="continue"/>
            <w:shd w:val="clear" w:color="auto" w:fill="CCEEF0"/>
          </w:tcPr>
          <w:p>
            <w:pPr>
              <w:spacing w:after="0"/>
              <w:rPr>
                <w:sz w:val="11"/>
                <w:szCs w:val="11"/>
                <w:color w:val="auto"/>
              </w:rPr>
            </w:pPr>
          </w:p>
        </w:tc>
        <w:tc>
          <w:tcPr>
            <w:tcW w:w="200" w:type="dxa"/>
            <w:vAlign w:val="bottom"/>
            <w:shd w:val="clear" w:color="auto" w:fill="CCEEF0"/>
          </w:tcPr>
          <w:p>
            <w:pPr>
              <w:spacing w:after="0"/>
              <w:rPr>
                <w:sz w:val="11"/>
                <w:szCs w:val="11"/>
                <w:color w:val="auto"/>
              </w:rPr>
            </w:pPr>
          </w:p>
        </w:tc>
        <w:tc>
          <w:tcPr>
            <w:tcW w:w="760" w:type="dxa"/>
            <w:vAlign w:val="bottom"/>
            <w:vMerge w:val="continue"/>
            <w:shd w:val="clear" w:color="auto" w:fill="CCEEF0"/>
          </w:tcPr>
          <w:p>
            <w:pPr>
              <w:spacing w:after="0"/>
              <w:rPr>
                <w:sz w:val="11"/>
                <w:szCs w:val="11"/>
                <w:color w:val="auto"/>
              </w:rPr>
            </w:pPr>
          </w:p>
        </w:tc>
        <w:tc>
          <w:tcPr>
            <w:tcW w:w="180" w:type="dxa"/>
            <w:vAlign w:val="bottom"/>
            <w:shd w:val="clear" w:color="auto" w:fill="CCEEF0"/>
          </w:tcPr>
          <w:p>
            <w:pPr>
              <w:spacing w:after="0"/>
              <w:rPr>
                <w:sz w:val="11"/>
                <w:szCs w:val="11"/>
                <w:color w:val="auto"/>
              </w:rPr>
            </w:pPr>
          </w:p>
        </w:tc>
        <w:tc>
          <w:tcPr>
            <w:tcW w:w="560" w:type="dxa"/>
            <w:vAlign w:val="bottom"/>
            <w:shd w:val="clear" w:color="auto" w:fill="CCEEF0"/>
          </w:tcPr>
          <w:p>
            <w:pPr>
              <w:spacing w:after="0"/>
              <w:rPr>
                <w:sz w:val="11"/>
                <w:szCs w:val="11"/>
                <w:color w:val="auto"/>
              </w:rPr>
            </w:pPr>
          </w:p>
        </w:tc>
        <w:tc>
          <w:tcPr>
            <w:tcW w:w="160" w:type="dxa"/>
            <w:vAlign w:val="bottom"/>
            <w:vMerge w:val="continue"/>
            <w:shd w:val="clear" w:color="auto" w:fill="CCEEF0"/>
          </w:tcPr>
          <w:p>
            <w:pPr>
              <w:spacing w:after="0"/>
              <w:rPr>
                <w:sz w:val="11"/>
                <w:szCs w:val="11"/>
                <w:color w:val="auto"/>
              </w:rPr>
            </w:pPr>
          </w:p>
        </w:tc>
        <w:tc>
          <w:tcPr>
            <w:tcW w:w="880" w:type="dxa"/>
            <w:vAlign w:val="bottom"/>
            <w:gridSpan w:val="2"/>
            <w:vMerge w:val="continue"/>
            <w:shd w:val="clear" w:color="auto" w:fill="CCEEF0"/>
          </w:tcPr>
          <w:p>
            <w:pPr>
              <w:spacing w:after="0"/>
              <w:rPr>
                <w:sz w:val="11"/>
                <w:szCs w:val="11"/>
                <w:color w:val="auto"/>
              </w:rPr>
            </w:pPr>
          </w:p>
        </w:tc>
        <w:tc>
          <w:tcPr>
            <w:tcW w:w="1000" w:type="dxa"/>
            <w:vAlign w:val="bottom"/>
            <w:vMerge w:val="continue"/>
            <w:shd w:val="clear" w:color="auto" w:fill="CCEEF0"/>
          </w:tcPr>
          <w:p>
            <w:pPr>
              <w:spacing w:after="0"/>
              <w:rPr>
                <w:sz w:val="11"/>
                <w:szCs w:val="11"/>
                <w:color w:val="auto"/>
              </w:rPr>
            </w:pPr>
          </w:p>
        </w:tc>
        <w:tc>
          <w:tcPr>
            <w:tcW w:w="1400" w:type="dxa"/>
            <w:vAlign w:val="bottom"/>
            <w:vMerge w:val="continue"/>
            <w:shd w:val="clear" w:color="auto" w:fill="CCEEF0"/>
          </w:tcPr>
          <w:p>
            <w:pPr>
              <w:spacing w:after="0"/>
              <w:rPr>
                <w:sz w:val="11"/>
                <w:szCs w:val="11"/>
                <w:color w:val="auto"/>
              </w:rPr>
            </w:pPr>
          </w:p>
        </w:tc>
        <w:tc>
          <w:tcPr>
            <w:tcW w:w="1300" w:type="dxa"/>
            <w:vAlign w:val="bottom"/>
            <w:vMerge w:val="continue"/>
            <w:shd w:val="clear" w:color="auto" w:fill="CCEEF0"/>
          </w:tcPr>
          <w:p>
            <w:pPr>
              <w:spacing w:after="0"/>
              <w:rPr>
                <w:sz w:val="11"/>
                <w:szCs w:val="11"/>
                <w:color w:val="auto"/>
              </w:rPr>
            </w:pPr>
          </w:p>
        </w:tc>
        <w:tc>
          <w:tcPr>
            <w:tcW w:w="1460" w:type="dxa"/>
            <w:vAlign w:val="bottom"/>
            <w:vMerge w:val="continue"/>
            <w:shd w:val="clear" w:color="auto" w:fill="CCEEF0"/>
          </w:tcPr>
          <w:p>
            <w:pPr>
              <w:spacing w:after="0"/>
              <w:rPr>
                <w:sz w:val="11"/>
                <w:szCs w:val="11"/>
                <w:color w:val="auto"/>
              </w:rPr>
            </w:pPr>
          </w:p>
        </w:tc>
        <w:tc>
          <w:tcPr>
            <w:tcW w:w="1000" w:type="dxa"/>
            <w:vAlign w:val="bottom"/>
            <w:vMerge w:val="continue"/>
            <w:shd w:val="clear" w:color="auto" w:fill="CCEEF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880" w:type="dxa"/>
            <w:vAlign w:val="bottom"/>
            <w:shd w:val="clear" w:color="auto" w:fill="CCEEF0"/>
          </w:tcPr>
          <w:p>
            <w:pPr>
              <w:spacing w:after="0"/>
              <w:rPr>
                <w:sz w:val="17"/>
                <w:szCs w:val="17"/>
                <w:color w:val="auto"/>
              </w:rPr>
            </w:pPr>
          </w:p>
        </w:tc>
        <w:tc>
          <w:tcPr>
            <w:tcW w:w="460" w:type="dxa"/>
            <w:vAlign w:val="bottom"/>
            <w:gridSpan w:val="2"/>
            <w:shd w:val="clear" w:color="auto" w:fill="CCEEF0"/>
          </w:tcPr>
          <w:p>
            <w:pPr>
              <w:jc w:val="right"/>
              <w:spacing w:after="0"/>
              <w:rPr>
                <w:sz w:val="20"/>
                <w:szCs w:val="20"/>
                <w:color w:val="auto"/>
              </w:rPr>
            </w:pPr>
            <w:r>
              <w:rPr>
                <w:rFonts w:ascii="Arial" w:cs="Arial" w:eastAsia="Arial" w:hAnsi="Arial"/>
                <w:sz w:val="12"/>
                <w:szCs w:val="12"/>
                <w:color w:val="auto"/>
              </w:rPr>
              <w:t>2024</w:t>
            </w:r>
          </w:p>
        </w:tc>
        <w:tc>
          <w:tcPr>
            <w:tcW w:w="200" w:type="dxa"/>
            <w:vAlign w:val="bottom"/>
            <w:shd w:val="clear" w:color="auto" w:fill="CCEEF0"/>
          </w:tcPr>
          <w:p>
            <w:pPr>
              <w:spacing w:after="0"/>
              <w:rPr>
                <w:sz w:val="17"/>
                <w:szCs w:val="17"/>
                <w:color w:val="auto"/>
              </w:rPr>
            </w:pPr>
          </w:p>
        </w:tc>
        <w:tc>
          <w:tcPr>
            <w:tcW w:w="760" w:type="dxa"/>
            <w:vAlign w:val="bottom"/>
            <w:shd w:val="clear" w:color="auto" w:fill="CCEEF0"/>
          </w:tcPr>
          <w:p>
            <w:pPr>
              <w:jc w:val="center"/>
              <w:ind w:left="118"/>
              <w:spacing w:after="0"/>
              <w:rPr>
                <w:sz w:val="20"/>
                <w:szCs w:val="20"/>
                <w:color w:val="auto"/>
              </w:rPr>
            </w:pPr>
            <w:r>
              <w:rPr>
                <w:rFonts w:ascii="Arial" w:cs="Arial" w:eastAsia="Arial" w:hAnsi="Arial"/>
                <w:sz w:val="12"/>
                <w:szCs w:val="12"/>
                <w:color w:val="auto"/>
              </w:rPr>
              <w:t>1,500,000</w:t>
            </w:r>
          </w:p>
        </w:tc>
        <w:tc>
          <w:tcPr>
            <w:tcW w:w="180" w:type="dxa"/>
            <w:vAlign w:val="bottom"/>
            <w:shd w:val="clear" w:color="auto" w:fill="CCEEF0"/>
          </w:tcPr>
          <w:p>
            <w:pPr>
              <w:spacing w:after="0"/>
              <w:rPr>
                <w:sz w:val="17"/>
                <w:szCs w:val="17"/>
                <w:color w:val="auto"/>
              </w:rPr>
            </w:pPr>
          </w:p>
        </w:tc>
        <w:tc>
          <w:tcPr>
            <w:tcW w:w="560" w:type="dxa"/>
            <w:vAlign w:val="bottom"/>
            <w:shd w:val="clear" w:color="auto" w:fill="CCEEF0"/>
          </w:tcPr>
          <w:p>
            <w:pPr>
              <w:spacing w:after="0"/>
              <w:rPr>
                <w:sz w:val="17"/>
                <w:szCs w:val="17"/>
                <w:color w:val="auto"/>
              </w:rPr>
            </w:pPr>
          </w:p>
        </w:tc>
        <w:tc>
          <w:tcPr>
            <w:tcW w:w="160" w:type="dxa"/>
            <w:vAlign w:val="bottom"/>
            <w:shd w:val="clear" w:color="auto" w:fill="CCEEF0"/>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0"/>
          </w:tcPr>
          <w:p>
            <w:pPr>
              <w:jc w:val="center"/>
              <w:spacing w:after="0"/>
              <w:rPr>
                <w:sz w:val="20"/>
                <w:szCs w:val="20"/>
                <w:color w:val="auto"/>
              </w:rPr>
            </w:pPr>
            <w:r>
              <w:rPr>
                <w:rFonts w:ascii="Arial" w:cs="Arial" w:eastAsia="Arial" w:hAnsi="Arial"/>
                <w:sz w:val="12"/>
                <w:szCs w:val="12"/>
                <w:color w:val="auto"/>
                <w:w w:val="99"/>
              </w:rPr>
              <w:t>10,406,765</w:t>
            </w:r>
          </w:p>
        </w:tc>
        <w:tc>
          <w:tcPr>
            <w:tcW w:w="100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0"/>
          </w:tcPr>
          <w:p>
            <w:pPr>
              <w:jc w:val="right"/>
              <w:ind w:right="78"/>
              <w:spacing w:after="0"/>
              <w:rPr>
                <w:sz w:val="20"/>
                <w:szCs w:val="20"/>
                <w:color w:val="auto"/>
              </w:rPr>
            </w:pPr>
            <w:r>
              <w:rPr>
                <w:rFonts w:ascii="Arial" w:cs="Arial" w:eastAsia="Arial" w:hAnsi="Arial"/>
                <w:sz w:val="12"/>
                <w:szCs w:val="12"/>
                <w:color w:val="auto"/>
              </w:rPr>
              <w:t>3,200,000</w:t>
            </w:r>
          </w:p>
        </w:tc>
        <w:tc>
          <w:tcPr>
            <w:tcW w:w="1300" w:type="dxa"/>
            <w:vAlign w:val="bottom"/>
            <w:shd w:val="clear" w:color="auto" w:fill="CCEEF0"/>
          </w:tcPr>
          <w:p>
            <w:pPr>
              <w:jc w:val="right"/>
              <w:ind w:right="58"/>
              <w:spacing w:after="0"/>
              <w:rPr>
                <w:sz w:val="20"/>
                <w:szCs w:val="20"/>
                <w:color w:val="auto"/>
              </w:rPr>
            </w:pPr>
            <w:r>
              <w:rPr>
                <w:rFonts w:ascii="Arial" w:cs="Arial" w:eastAsia="Arial" w:hAnsi="Arial"/>
                <w:sz w:val="12"/>
                <w:szCs w:val="12"/>
                <w:color w:val="auto"/>
              </w:rPr>
              <w:t>255,000</w:t>
            </w:r>
          </w:p>
        </w:tc>
        <w:tc>
          <w:tcPr>
            <w:tcW w:w="146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auto"/>
              </w:rPr>
              <w:t>231,993</w:t>
            </w:r>
          </w:p>
        </w:tc>
        <w:tc>
          <w:tcPr>
            <w:tcW w:w="1000" w:type="dxa"/>
            <w:vAlign w:val="bottom"/>
            <w:shd w:val="clear" w:color="auto" w:fill="CCEEF0"/>
          </w:tcPr>
          <w:p>
            <w:pPr>
              <w:jc w:val="right"/>
              <w:spacing w:after="0"/>
              <w:rPr>
                <w:sz w:val="20"/>
                <w:szCs w:val="20"/>
                <w:color w:val="auto"/>
              </w:rPr>
            </w:pPr>
            <w:r>
              <w:rPr>
                <w:rFonts w:ascii="Arial" w:cs="Arial" w:eastAsia="Arial" w:hAnsi="Arial"/>
                <w:sz w:val="12"/>
                <w:szCs w:val="12"/>
                <w:color w:val="auto"/>
              </w:rPr>
              <w:t>15,593,758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880" w:type="dxa"/>
            <w:vAlign w:val="bottom"/>
          </w:tcPr>
          <w:p>
            <w:pPr>
              <w:ind w:left="40"/>
              <w:spacing w:after="0"/>
              <w:rPr>
                <w:sz w:val="20"/>
                <w:szCs w:val="20"/>
                <w:color w:val="auto"/>
              </w:rPr>
            </w:pPr>
            <w:r>
              <w:rPr>
                <w:rFonts w:ascii="Arial" w:cs="Arial" w:eastAsia="Arial" w:hAnsi="Arial"/>
                <w:sz w:val="12"/>
                <w:szCs w:val="12"/>
                <w:b w:val="1"/>
                <w:bCs w:val="1"/>
                <w:color w:val="auto"/>
              </w:rPr>
              <w:t>Kristine Martin Anderson</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2026</w:t>
            </w:r>
          </w:p>
        </w:tc>
        <w:tc>
          <w:tcPr>
            <w:tcW w:w="200" w:type="dxa"/>
            <w:vAlign w:val="bottom"/>
          </w:tcPr>
          <w:p>
            <w:pPr>
              <w:spacing w:after="0"/>
              <w:rPr>
                <w:sz w:val="12"/>
                <w:szCs w:val="12"/>
                <w:color w:val="auto"/>
              </w:rPr>
            </w:pPr>
          </w:p>
        </w:tc>
        <w:tc>
          <w:tcPr>
            <w:tcW w:w="760" w:type="dxa"/>
            <w:vAlign w:val="bottom"/>
          </w:tcPr>
          <w:p>
            <w:pPr>
              <w:jc w:val="center"/>
              <w:ind w:left="118"/>
              <w:spacing w:after="0"/>
              <w:rPr>
                <w:sz w:val="20"/>
                <w:szCs w:val="20"/>
                <w:color w:val="auto"/>
              </w:rPr>
            </w:pPr>
            <w:r>
              <w:rPr>
                <w:rFonts w:ascii="Arial" w:cs="Arial" w:eastAsia="Arial" w:hAnsi="Arial"/>
                <w:sz w:val="12"/>
                <w:szCs w:val="12"/>
                <w:color w:val="auto"/>
              </w:rPr>
              <w:t>900,000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2,048,762</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78"/>
              <w:spacing w:after="0"/>
              <w:rPr>
                <w:sz w:val="20"/>
                <w:szCs w:val="20"/>
                <w:color w:val="auto"/>
              </w:rPr>
            </w:pPr>
            <w:r>
              <w:rPr>
                <w:rFonts w:ascii="Arial" w:cs="Arial" w:eastAsia="Arial" w:hAnsi="Arial"/>
                <w:sz w:val="12"/>
                <w:szCs w:val="12"/>
                <w:color w:val="auto"/>
              </w:rPr>
              <w:t>697,500</w:t>
            </w:r>
          </w:p>
        </w:tc>
        <w:tc>
          <w:tcPr>
            <w:tcW w:w="1300" w:type="dxa"/>
            <w:vAlign w:val="bottom"/>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194,961</w:t>
            </w:r>
          </w:p>
        </w:tc>
        <w:tc>
          <w:tcPr>
            <w:tcW w:w="1000" w:type="dxa"/>
            <w:vAlign w:val="bottom"/>
          </w:tcPr>
          <w:p>
            <w:pPr>
              <w:jc w:val="right"/>
              <w:spacing w:after="0"/>
              <w:rPr>
                <w:sz w:val="20"/>
                <w:szCs w:val="20"/>
                <w:color w:val="auto"/>
              </w:rPr>
            </w:pPr>
            <w:r>
              <w:rPr>
                <w:rFonts w:ascii="Arial" w:cs="Arial" w:eastAsia="Arial" w:hAnsi="Arial"/>
                <w:sz w:val="12"/>
                <w:szCs w:val="12"/>
                <w:color w:val="auto"/>
              </w:rPr>
              <w:t>3,861,223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80" w:type="dxa"/>
            <w:vAlign w:val="bottom"/>
          </w:tcPr>
          <w:p>
            <w:pPr>
              <w:ind w:left="40"/>
              <w:spacing w:after="0" w:line="106" w:lineRule="exact"/>
              <w:rPr>
                <w:sz w:val="20"/>
                <w:szCs w:val="20"/>
                <w:color w:val="auto"/>
              </w:rPr>
            </w:pPr>
            <w:r>
              <w:rPr>
                <w:rFonts w:ascii="Arial" w:cs="Arial" w:eastAsia="Arial" w:hAnsi="Arial"/>
                <w:sz w:val="12"/>
                <w:szCs w:val="12"/>
                <w:color w:val="auto"/>
              </w:rPr>
              <w:t>President and Chief Operating</w:t>
            </w: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color w:val="auto"/>
              </w:rPr>
              <w:t>2025</w:t>
            </w:r>
          </w:p>
        </w:tc>
        <w:tc>
          <w:tcPr>
            <w:tcW w:w="200" w:type="dxa"/>
            <w:vAlign w:val="bottom"/>
          </w:tcPr>
          <w:p>
            <w:pPr>
              <w:spacing w:after="0"/>
              <w:rPr>
                <w:sz w:val="9"/>
                <w:szCs w:val="9"/>
                <w:color w:val="auto"/>
              </w:rPr>
            </w:pPr>
          </w:p>
        </w:tc>
        <w:tc>
          <w:tcPr>
            <w:tcW w:w="760" w:type="dxa"/>
            <w:vAlign w:val="bottom"/>
            <w:vMerge w:val="restart"/>
          </w:tcPr>
          <w:p>
            <w:pPr>
              <w:jc w:val="center"/>
              <w:ind w:left="118"/>
              <w:spacing w:after="0"/>
              <w:rPr>
                <w:sz w:val="20"/>
                <w:szCs w:val="20"/>
                <w:color w:val="auto"/>
              </w:rPr>
            </w:pPr>
            <w:r>
              <w:rPr>
                <w:rFonts w:ascii="Arial" w:cs="Arial" w:eastAsia="Arial" w:hAnsi="Arial"/>
                <w:sz w:val="12"/>
                <w:szCs w:val="12"/>
                <w:color w:val="auto"/>
              </w:rPr>
              <w:t>900,000</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auto"/>
              </w:rPr>
              <w:t>5,234,753</w:t>
            </w:r>
          </w:p>
        </w:tc>
        <w:tc>
          <w:tcPr>
            <w:tcW w:w="1000" w:type="dxa"/>
            <w:vAlign w:val="bottom"/>
            <w:vMerge w:val="restart"/>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tcPr>
          <w:p>
            <w:pPr>
              <w:jc w:val="right"/>
              <w:ind w:right="78"/>
              <w:spacing w:after="0"/>
              <w:rPr>
                <w:sz w:val="20"/>
                <w:szCs w:val="20"/>
                <w:color w:val="auto"/>
              </w:rPr>
            </w:pPr>
            <w:r>
              <w:rPr>
                <w:rFonts w:ascii="Arial" w:cs="Arial" w:eastAsia="Arial" w:hAnsi="Arial"/>
                <w:sz w:val="12"/>
                <w:szCs w:val="12"/>
                <w:color w:val="auto"/>
              </w:rPr>
              <w:t>666,500</w:t>
            </w:r>
          </w:p>
        </w:tc>
        <w:tc>
          <w:tcPr>
            <w:tcW w:w="1300" w:type="dxa"/>
            <w:vAlign w:val="bottom"/>
            <w:vMerge w:val="restart"/>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vMerge w:val="restart"/>
          </w:tcPr>
          <w:p>
            <w:pPr>
              <w:jc w:val="right"/>
              <w:ind w:right="198"/>
              <w:spacing w:after="0"/>
              <w:rPr>
                <w:sz w:val="20"/>
                <w:szCs w:val="20"/>
                <w:color w:val="auto"/>
              </w:rPr>
            </w:pPr>
            <w:r>
              <w:rPr>
                <w:rFonts w:ascii="Arial" w:cs="Arial" w:eastAsia="Arial" w:hAnsi="Arial"/>
                <w:sz w:val="12"/>
                <w:szCs w:val="12"/>
                <w:color w:val="auto"/>
              </w:rPr>
              <w:t>191,393</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7,012,646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80" w:type="dxa"/>
            <w:vAlign w:val="bottom"/>
          </w:tcPr>
          <w:p>
            <w:pPr>
              <w:ind w:left="40"/>
              <w:spacing w:after="0"/>
              <w:rPr>
                <w:sz w:val="20"/>
                <w:szCs w:val="20"/>
                <w:color w:val="auto"/>
              </w:rPr>
            </w:pPr>
            <w:r>
              <w:rPr>
                <w:rFonts w:ascii="Arial" w:cs="Arial" w:eastAsia="Arial" w:hAnsi="Arial"/>
                <w:sz w:val="12"/>
                <w:szCs w:val="12"/>
                <w:color w:val="auto"/>
              </w:rPr>
              <w:t>Officer</w:t>
            </w: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2024</w:t>
            </w:r>
          </w:p>
        </w:tc>
        <w:tc>
          <w:tcPr>
            <w:tcW w:w="200" w:type="dxa"/>
            <w:vAlign w:val="bottom"/>
          </w:tcPr>
          <w:p>
            <w:pPr>
              <w:spacing w:after="0"/>
              <w:rPr>
                <w:sz w:val="15"/>
                <w:szCs w:val="15"/>
                <w:color w:val="auto"/>
              </w:rPr>
            </w:pPr>
          </w:p>
        </w:tc>
        <w:tc>
          <w:tcPr>
            <w:tcW w:w="760" w:type="dxa"/>
            <w:vAlign w:val="bottom"/>
          </w:tcPr>
          <w:p>
            <w:pPr>
              <w:jc w:val="center"/>
              <w:ind w:left="118"/>
              <w:spacing w:after="0"/>
              <w:rPr>
                <w:sz w:val="20"/>
                <w:szCs w:val="20"/>
                <w:color w:val="auto"/>
              </w:rPr>
            </w:pPr>
            <w:r>
              <w:rPr>
                <w:rFonts w:ascii="Arial" w:cs="Arial" w:eastAsia="Arial" w:hAnsi="Arial"/>
                <w:sz w:val="12"/>
                <w:szCs w:val="12"/>
                <w:color w:val="auto"/>
              </w:rPr>
              <w:t>900,000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1,819,869</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78"/>
              <w:spacing w:after="0"/>
              <w:rPr>
                <w:sz w:val="20"/>
                <w:szCs w:val="20"/>
                <w:color w:val="auto"/>
              </w:rPr>
            </w:pPr>
            <w:r>
              <w:rPr>
                <w:rFonts w:ascii="Arial" w:cs="Arial" w:eastAsia="Arial" w:hAnsi="Arial"/>
                <w:sz w:val="12"/>
                <w:szCs w:val="12"/>
                <w:color w:val="auto"/>
              </w:rPr>
              <w:t>1,040,000</w:t>
            </w:r>
          </w:p>
        </w:tc>
        <w:tc>
          <w:tcPr>
            <w:tcW w:w="1300" w:type="dxa"/>
            <w:vAlign w:val="bottom"/>
          </w:tcPr>
          <w:p>
            <w:pPr>
              <w:jc w:val="right"/>
              <w:ind w:right="58"/>
              <w:spacing w:after="0"/>
              <w:rPr>
                <w:sz w:val="20"/>
                <w:szCs w:val="20"/>
                <w:color w:val="auto"/>
              </w:rPr>
            </w:pPr>
            <w:r>
              <w:rPr>
                <w:rFonts w:ascii="Arial" w:cs="Arial" w:eastAsia="Arial" w:hAnsi="Arial"/>
                <w:sz w:val="12"/>
                <w:szCs w:val="12"/>
                <w:color w:val="auto"/>
              </w:rPr>
              <w:t>150,000</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162,650</w:t>
            </w:r>
          </w:p>
        </w:tc>
        <w:tc>
          <w:tcPr>
            <w:tcW w:w="1000" w:type="dxa"/>
            <w:vAlign w:val="bottom"/>
          </w:tcPr>
          <w:p>
            <w:pPr>
              <w:jc w:val="right"/>
              <w:spacing w:after="0"/>
              <w:rPr>
                <w:sz w:val="20"/>
                <w:szCs w:val="20"/>
                <w:color w:val="auto"/>
              </w:rPr>
            </w:pPr>
            <w:r>
              <w:rPr>
                <w:rFonts w:ascii="Arial" w:cs="Arial" w:eastAsia="Arial" w:hAnsi="Arial"/>
                <w:sz w:val="12"/>
                <w:szCs w:val="12"/>
                <w:color w:val="auto"/>
              </w:rPr>
              <w:t>4,072,519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80" w:type="dxa"/>
            <w:vAlign w:val="bottom"/>
            <w:shd w:val="clear" w:color="auto" w:fill="CCEEF0"/>
          </w:tcPr>
          <w:p>
            <w:pPr>
              <w:ind w:left="40"/>
              <w:spacing w:after="0" w:line="152" w:lineRule="exact"/>
              <w:rPr>
                <w:sz w:val="20"/>
                <w:szCs w:val="20"/>
                <w:color w:val="auto"/>
              </w:rPr>
            </w:pPr>
            <w:r>
              <w:rPr>
                <w:rFonts w:ascii="Arial" w:cs="Arial" w:eastAsia="Arial" w:hAnsi="Arial"/>
                <w:sz w:val="12"/>
                <w:szCs w:val="12"/>
                <w:b w:val="1"/>
                <w:bCs w:val="1"/>
                <w:color w:val="auto"/>
              </w:rPr>
              <w:t xml:space="preserve">Richard C. Crowe </w:t>
            </w:r>
            <w:r>
              <w:rPr>
                <w:rFonts w:ascii="Arial" w:cs="Arial" w:eastAsia="Arial" w:hAnsi="Arial"/>
                <w:sz w:val="16"/>
                <w:szCs w:val="16"/>
                <w:b w:val="1"/>
                <w:bCs w:val="1"/>
                <w:color w:val="auto"/>
                <w:vertAlign w:val="superscript"/>
              </w:rPr>
              <w:t>6</w:t>
            </w:r>
          </w:p>
        </w:tc>
        <w:tc>
          <w:tcPr>
            <w:tcW w:w="460" w:type="dxa"/>
            <w:vAlign w:val="bottom"/>
            <w:gridSpan w:val="2"/>
            <w:shd w:val="clear" w:color="auto" w:fill="CCEEF0"/>
          </w:tcPr>
          <w:p>
            <w:pPr>
              <w:jc w:val="right"/>
              <w:spacing w:after="0"/>
              <w:rPr>
                <w:sz w:val="20"/>
                <w:szCs w:val="20"/>
                <w:color w:val="auto"/>
              </w:rPr>
            </w:pPr>
            <w:r>
              <w:rPr>
                <w:rFonts w:ascii="Arial" w:cs="Arial" w:eastAsia="Arial" w:hAnsi="Arial"/>
                <w:sz w:val="12"/>
                <w:szCs w:val="12"/>
                <w:color w:val="auto"/>
              </w:rPr>
              <w:t>2026</w:t>
            </w:r>
          </w:p>
        </w:tc>
        <w:tc>
          <w:tcPr>
            <w:tcW w:w="200" w:type="dxa"/>
            <w:vAlign w:val="bottom"/>
            <w:shd w:val="clear" w:color="auto" w:fill="CCEEF0"/>
          </w:tcPr>
          <w:p>
            <w:pPr>
              <w:spacing w:after="0"/>
              <w:rPr>
                <w:sz w:val="13"/>
                <w:szCs w:val="13"/>
                <w:color w:val="auto"/>
              </w:rPr>
            </w:pPr>
          </w:p>
        </w:tc>
        <w:tc>
          <w:tcPr>
            <w:tcW w:w="760" w:type="dxa"/>
            <w:vAlign w:val="bottom"/>
            <w:shd w:val="clear" w:color="auto" w:fill="CCEEF0"/>
          </w:tcPr>
          <w:p>
            <w:pPr>
              <w:jc w:val="center"/>
              <w:ind w:left="118"/>
              <w:spacing w:after="0"/>
              <w:rPr>
                <w:sz w:val="20"/>
                <w:szCs w:val="20"/>
                <w:color w:val="auto"/>
              </w:rPr>
            </w:pPr>
            <w:r>
              <w:rPr>
                <w:rFonts w:ascii="Arial" w:cs="Arial" w:eastAsia="Arial" w:hAnsi="Arial"/>
                <w:sz w:val="12"/>
                <w:szCs w:val="12"/>
                <w:color w:val="auto"/>
              </w:rPr>
              <w:t>650,000</w:t>
            </w:r>
          </w:p>
        </w:tc>
        <w:tc>
          <w:tcPr>
            <w:tcW w:w="180" w:type="dxa"/>
            <w:vAlign w:val="bottom"/>
            <w:shd w:val="clear" w:color="auto" w:fill="CCEEF0"/>
          </w:tcPr>
          <w:p>
            <w:pPr>
              <w:spacing w:after="0"/>
              <w:rPr>
                <w:sz w:val="13"/>
                <w:szCs w:val="13"/>
                <w:color w:val="auto"/>
              </w:rPr>
            </w:pPr>
          </w:p>
        </w:tc>
        <w:tc>
          <w:tcPr>
            <w:tcW w:w="560" w:type="dxa"/>
            <w:vAlign w:val="bottom"/>
            <w:shd w:val="clear" w:color="auto" w:fill="CCEEF0"/>
          </w:tcPr>
          <w:p>
            <w:pPr>
              <w:spacing w:after="0"/>
              <w:rPr>
                <w:sz w:val="13"/>
                <w:szCs w:val="13"/>
                <w:color w:val="auto"/>
              </w:rPr>
            </w:pPr>
          </w:p>
        </w:tc>
        <w:tc>
          <w:tcPr>
            <w:tcW w:w="160" w:type="dxa"/>
            <w:vAlign w:val="bottom"/>
            <w:shd w:val="clear" w:color="auto" w:fill="CCEEF0"/>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0"/>
          </w:tcPr>
          <w:p>
            <w:pPr>
              <w:jc w:val="right"/>
              <w:spacing w:after="0"/>
              <w:rPr>
                <w:sz w:val="20"/>
                <w:szCs w:val="20"/>
                <w:color w:val="auto"/>
              </w:rPr>
            </w:pPr>
            <w:r>
              <w:rPr>
                <w:rFonts w:ascii="Arial" w:cs="Arial" w:eastAsia="Arial" w:hAnsi="Arial"/>
                <w:sz w:val="12"/>
                <w:szCs w:val="12"/>
                <w:color w:val="auto"/>
              </w:rPr>
              <w:t>1,331,712</w:t>
            </w:r>
          </w:p>
        </w:tc>
        <w:tc>
          <w:tcPr>
            <w:tcW w:w="100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0"/>
          </w:tcPr>
          <w:p>
            <w:pPr>
              <w:jc w:val="right"/>
              <w:ind w:right="78"/>
              <w:spacing w:after="0"/>
              <w:rPr>
                <w:sz w:val="20"/>
                <w:szCs w:val="20"/>
                <w:color w:val="auto"/>
              </w:rPr>
            </w:pPr>
            <w:r>
              <w:rPr>
                <w:rFonts w:ascii="Arial" w:cs="Arial" w:eastAsia="Arial" w:hAnsi="Arial"/>
                <w:sz w:val="12"/>
                <w:szCs w:val="12"/>
                <w:color w:val="auto"/>
              </w:rPr>
              <w:t>585,000</w:t>
            </w:r>
          </w:p>
        </w:tc>
        <w:tc>
          <w:tcPr>
            <w:tcW w:w="1300" w:type="dxa"/>
            <w:vAlign w:val="bottom"/>
            <w:shd w:val="clear" w:color="auto" w:fill="CCEEF0"/>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auto"/>
              </w:rPr>
              <w:t>207,957</w:t>
            </w:r>
          </w:p>
        </w:tc>
        <w:tc>
          <w:tcPr>
            <w:tcW w:w="1000" w:type="dxa"/>
            <w:vAlign w:val="bottom"/>
            <w:shd w:val="clear" w:color="auto" w:fill="CCEEF0"/>
          </w:tcPr>
          <w:p>
            <w:pPr>
              <w:jc w:val="right"/>
              <w:spacing w:after="0"/>
              <w:rPr>
                <w:sz w:val="20"/>
                <w:szCs w:val="20"/>
                <w:color w:val="auto"/>
              </w:rPr>
            </w:pPr>
            <w:r>
              <w:rPr>
                <w:rFonts w:ascii="Arial" w:cs="Arial" w:eastAsia="Arial" w:hAnsi="Arial"/>
                <w:sz w:val="12"/>
                <w:szCs w:val="12"/>
                <w:color w:val="auto"/>
              </w:rPr>
              <w:t>2,794,669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880" w:type="dxa"/>
            <w:vAlign w:val="bottom"/>
            <w:shd w:val="clear" w:color="auto" w:fill="CCEEF0"/>
          </w:tcPr>
          <w:p>
            <w:pPr>
              <w:ind w:left="40"/>
              <w:spacing w:after="0" w:line="106" w:lineRule="exact"/>
              <w:rPr>
                <w:sz w:val="20"/>
                <w:szCs w:val="20"/>
                <w:color w:val="auto"/>
              </w:rPr>
            </w:pPr>
            <w:r>
              <w:rPr>
                <w:rFonts w:ascii="Arial" w:cs="Arial" w:eastAsia="Arial" w:hAnsi="Arial"/>
                <w:sz w:val="12"/>
                <w:szCs w:val="12"/>
                <w:color w:val="auto"/>
              </w:rPr>
              <w:t>Executive Vice President, Chief</w:t>
            </w:r>
          </w:p>
        </w:tc>
        <w:tc>
          <w:tcPr>
            <w:tcW w:w="460" w:type="dxa"/>
            <w:vAlign w:val="bottom"/>
            <w:gridSpan w:val="2"/>
            <w:vMerge w:val="restart"/>
            <w:shd w:val="clear" w:color="auto" w:fill="CCEEF0"/>
          </w:tcPr>
          <w:p>
            <w:pPr>
              <w:jc w:val="right"/>
              <w:spacing w:after="0"/>
              <w:rPr>
                <w:sz w:val="20"/>
                <w:szCs w:val="20"/>
                <w:color w:val="auto"/>
              </w:rPr>
            </w:pPr>
            <w:r>
              <w:rPr>
                <w:rFonts w:ascii="Arial" w:cs="Arial" w:eastAsia="Arial" w:hAnsi="Arial"/>
                <w:sz w:val="12"/>
                <w:szCs w:val="12"/>
                <w:color w:val="auto"/>
              </w:rPr>
              <w:t>2025</w:t>
            </w:r>
          </w:p>
        </w:tc>
        <w:tc>
          <w:tcPr>
            <w:tcW w:w="200" w:type="dxa"/>
            <w:vAlign w:val="bottom"/>
            <w:shd w:val="clear" w:color="auto" w:fill="CCEEF0"/>
          </w:tcPr>
          <w:p>
            <w:pPr>
              <w:spacing w:after="0"/>
              <w:rPr>
                <w:sz w:val="9"/>
                <w:szCs w:val="9"/>
                <w:color w:val="auto"/>
              </w:rPr>
            </w:pPr>
          </w:p>
        </w:tc>
        <w:tc>
          <w:tcPr>
            <w:tcW w:w="760" w:type="dxa"/>
            <w:vAlign w:val="bottom"/>
            <w:vMerge w:val="restart"/>
            <w:shd w:val="clear" w:color="auto" w:fill="CCEEF0"/>
          </w:tcPr>
          <w:p>
            <w:pPr>
              <w:jc w:val="center"/>
              <w:ind w:left="118"/>
              <w:spacing w:after="0"/>
              <w:rPr>
                <w:sz w:val="20"/>
                <w:szCs w:val="20"/>
                <w:color w:val="auto"/>
              </w:rPr>
            </w:pPr>
            <w:r>
              <w:rPr>
                <w:rFonts w:ascii="Arial" w:cs="Arial" w:eastAsia="Arial" w:hAnsi="Arial"/>
                <w:sz w:val="12"/>
                <w:szCs w:val="12"/>
                <w:color w:val="auto"/>
              </w:rPr>
              <w:t>650,000</w:t>
            </w:r>
          </w:p>
        </w:tc>
        <w:tc>
          <w:tcPr>
            <w:tcW w:w="180" w:type="dxa"/>
            <w:vAlign w:val="bottom"/>
            <w:shd w:val="clear" w:color="auto" w:fill="CCEEF0"/>
          </w:tcPr>
          <w:p>
            <w:pPr>
              <w:spacing w:after="0"/>
              <w:rPr>
                <w:sz w:val="9"/>
                <w:szCs w:val="9"/>
                <w:color w:val="auto"/>
              </w:rPr>
            </w:pPr>
          </w:p>
        </w:tc>
        <w:tc>
          <w:tcPr>
            <w:tcW w:w="560" w:type="dxa"/>
            <w:vAlign w:val="bottom"/>
            <w:shd w:val="clear" w:color="auto" w:fill="CCEEF0"/>
          </w:tcPr>
          <w:p>
            <w:pPr>
              <w:spacing w:after="0"/>
              <w:rPr>
                <w:sz w:val="9"/>
                <w:szCs w:val="9"/>
                <w:color w:val="auto"/>
              </w:rPr>
            </w:pPr>
          </w:p>
        </w:tc>
        <w:tc>
          <w:tcPr>
            <w:tcW w:w="160" w:type="dxa"/>
            <w:vAlign w:val="bottom"/>
            <w:vMerge w:val="restart"/>
            <w:shd w:val="clear" w:color="auto" w:fill="CCEEF0"/>
          </w:tcPr>
          <w:p>
            <w:pPr>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0"/>
          </w:tcPr>
          <w:p>
            <w:pPr>
              <w:jc w:val="right"/>
              <w:spacing w:after="0"/>
              <w:rPr>
                <w:sz w:val="20"/>
                <w:szCs w:val="20"/>
                <w:color w:val="auto"/>
              </w:rPr>
            </w:pPr>
            <w:r>
              <w:rPr>
                <w:rFonts w:ascii="Arial" w:cs="Arial" w:eastAsia="Arial" w:hAnsi="Arial"/>
                <w:sz w:val="12"/>
                <w:szCs w:val="12"/>
                <w:color w:val="auto"/>
              </w:rPr>
              <w:t>4,498,212</w:t>
            </w:r>
          </w:p>
        </w:tc>
        <w:tc>
          <w:tcPr>
            <w:tcW w:w="1000" w:type="dxa"/>
            <w:vAlign w:val="bottom"/>
            <w:vMerge w:val="restart"/>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shd w:val="clear" w:color="auto" w:fill="CCEEF0"/>
          </w:tcPr>
          <w:p>
            <w:pPr>
              <w:jc w:val="right"/>
              <w:ind w:right="78"/>
              <w:spacing w:after="0"/>
              <w:rPr>
                <w:sz w:val="20"/>
                <w:szCs w:val="20"/>
                <w:color w:val="auto"/>
              </w:rPr>
            </w:pPr>
            <w:r>
              <w:rPr>
                <w:rFonts w:ascii="Arial" w:cs="Arial" w:eastAsia="Arial" w:hAnsi="Arial"/>
                <w:sz w:val="12"/>
                <w:szCs w:val="12"/>
                <w:color w:val="auto"/>
              </w:rPr>
              <w:t>559,000</w:t>
            </w:r>
          </w:p>
        </w:tc>
        <w:tc>
          <w:tcPr>
            <w:tcW w:w="1300" w:type="dxa"/>
            <w:vAlign w:val="bottom"/>
            <w:vMerge w:val="restart"/>
            <w:shd w:val="clear" w:color="auto" w:fill="CCEEF0"/>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vMerge w:val="restart"/>
            <w:shd w:val="clear" w:color="auto" w:fill="CCEEF0"/>
          </w:tcPr>
          <w:p>
            <w:pPr>
              <w:jc w:val="right"/>
              <w:ind w:right="198"/>
              <w:spacing w:after="0"/>
              <w:rPr>
                <w:sz w:val="20"/>
                <w:szCs w:val="20"/>
                <w:color w:val="auto"/>
              </w:rPr>
            </w:pPr>
            <w:r>
              <w:rPr>
                <w:rFonts w:ascii="Arial" w:cs="Arial" w:eastAsia="Arial" w:hAnsi="Arial"/>
                <w:sz w:val="12"/>
                <w:szCs w:val="12"/>
                <w:color w:val="auto"/>
              </w:rPr>
              <w:t>156,892</w:t>
            </w:r>
          </w:p>
        </w:tc>
        <w:tc>
          <w:tcPr>
            <w:tcW w:w="100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rPr>
              <w:t>5,884,104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880" w:type="dxa"/>
            <w:vAlign w:val="bottom"/>
            <w:vMerge w:val="restart"/>
            <w:shd w:val="clear" w:color="auto" w:fill="CCEEF0"/>
          </w:tcPr>
          <w:p>
            <w:pPr>
              <w:ind w:left="40"/>
              <w:spacing w:after="0"/>
              <w:rPr>
                <w:sz w:val="20"/>
                <w:szCs w:val="20"/>
                <w:color w:val="auto"/>
              </w:rPr>
            </w:pPr>
            <w:r>
              <w:rPr>
                <w:rFonts w:ascii="Arial" w:cs="Arial" w:eastAsia="Arial" w:hAnsi="Arial"/>
                <w:sz w:val="12"/>
                <w:szCs w:val="12"/>
                <w:color w:val="auto"/>
              </w:rPr>
              <w:t>Growth Officer</w:t>
            </w:r>
          </w:p>
        </w:tc>
        <w:tc>
          <w:tcPr>
            <w:tcW w:w="460" w:type="dxa"/>
            <w:vAlign w:val="bottom"/>
            <w:gridSpan w:val="2"/>
            <w:vMerge w:val="continue"/>
            <w:shd w:val="clear" w:color="auto" w:fill="CCEEF0"/>
          </w:tcPr>
          <w:p>
            <w:pPr>
              <w:spacing w:after="0"/>
              <w:rPr>
                <w:sz w:val="9"/>
                <w:szCs w:val="9"/>
                <w:color w:val="auto"/>
              </w:rPr>
            </w:pPr>
          </w:p>
        </w:tc>
        <w:tc>
          <w:tcPr>
            <w:tcW w:w="200" w:type="dxa"/>
            <w:vAlign w:val="bottom"/>
            <w:shd w:val="clear" w:color="auto" w:fill="CCEEF0"/>
          </w:tcPr>
          <w:p>
            <w:pPr>
              <w:spacing w:after="0"/>
              <w:rPr>
                <w:sz w:val="9"/>
                <w:szCs w:val="9"/>
                <w:color w:val="auto"/>
              </w:rPr>
            </w:pPr>
          </w:p>
        </w:tc>
        <w:tc>
          <w:tcPr>
            <w:tcW w:w="760" w:type="dxa"/>
            <w:vAlign w:val="bottom"/>
            <w:vMerge w:val="continue"/>
            <w:shd w:val="clear" w:color="auto" w:fill="CCEEF0"/>
          </w:tcPr>
          <w:p>
            <w:pPr>
              <w:spacing w:after="0"/>
              <w:rPr>
                <w:sz w:val="9"/>
                <w:szCs w:val="9"/>
                <w:color w:val="auto"/>
              </w:rPr>
            </w:pPr>
          </w:p>
        </w:tc>
        <w:tc>
          <w:tcPr>
            <w:tcW w:w="180" w:type="dxa"/>
            <w:vAlign w:val="bottom"/>
            <w:shd w:val="clear" w:color="auto" w:fill="CCEEF0"/>
          </w:tcPr>
          <w:p>
            <w:pPr>
              <w:spacing w:after="0"/>
              <w:rPr>
                <w:sz w:val="9"/>
                <w:szCs w:val="9"/>
                <w:color w:val="auto"/>
              </w:rPr>
            </w:pPr>
          </w:p>
        </w:tc>
        <w:tc>
          <w:tcPr>
            <w:tcW w:w="560" w:type="dxa"/>
            <w:vAlign w:val="bottom"/>
            <w:shd w:val="clear" w:color="auto" w:fill="CCEEF0"/>
          </w:tcPr>
          <w:p>
            <w:pPr>
              <w:spacing w:after="0"/>
              <w:rPr>
                <w:sz w:val="9"/>
                <w:szCs w:val="9"/>
                <w:color w:val="auto"/>
              </w:rPr>
            </w:pPr>
          </w:p>
        </w:tc>
        <w:tc>
          <w:tcPr>
            <w:tcW w:w="160" w:type="dxa"/>
            <w:vAlign w:val="bottom"/>
            <w:vMerge w:val="continue"/>
            <w:shd w:val="clear" w:color="auto" w:fill="CCEEF0"/>
          </w:tcPr>
          <w:p>
            <w:pPr>
              <w:spacing w:after="0"/>
              <w:rPr>
                <w:sz w:val="9"/>
                <w:szCs w:val="9"/>
                <w:color w:val="auto"/>
              </w:rPr>
            </w:pPr>
          </w:p>
        </w:tc>
        <w:tc>
          <w:tcPr>
            <w:tcW w:w="880" w:type="dxa"/>
            <w:vAlign w:val="bottom"/>
            <w:gridSpan w:val="2"/>
            <w:vMerge w:val="continue"/>
            <w:shd w:val="clear" w:color="auto" w:fill="CCEEF0"/>
          </w:tcPr>
          <w:p>
            <w:pPr>
              <w:spacing w:after="0"/>
              <w:rPr>
                <w:sz w:val="9"/>
                <w:szCs w:val="9"/>
                <w:color w:val="auto"/>
              </w:rPr>
            </w:pPr>
          </w:p>
        </w:tc>
        <w:tc>
          <w:tcPr>
            <w:tcW w:w="1000" w:type="dxa"/>
            <w:vAlign w:val="bottom"/>
            <w:vMerge w:val="continue"/>
            <w:shd w:val="clear" w:color="auto" w:fill="CCEEF0"/>
          </w:tcPr>
          <w:p>
            <w:pPr>
              <w:spacing w:after="0"/>
              <w:rPr>
                <w:sz w:val="9"/>
                <w:szCs w:val="9"/>
                <w:color w:val="auto"/>
              </w:rPr>
            </w:pPr>
          </w:p>
        </w:tc>
        <w:tc>
          <w:tcPr>
            <w:tcW w:w="1400" w:type="dxa"/>
            <w:vAlign w:val="bottom"/>
            <w:vMerge w:val="continue"/>
            <w:shd w:val="clear" w:color="auto" w:fill="CCEEF0"/>
          </w:tcPr>
          <w:p>
            <w:pPr>
              <w:spacing w:after="0"/>
              <w:rPr>
                <w:sz w:val="9"/>
                <w:szCs w:val="9"/>
                <w:color w:val="auto"/>
              </w:rPr>
            </w:pPr>
          </w:p>
        </w:tc>
        <w:tc>
          <w:tcPr>
            <w:tcW w:w="1300" w:type="dxa"/>
            <w:vAlign w:val="bottom"/>
            <w:vMerge w:val="continue"/>
            <w:shd w:val="clear" w:color="auto" w:fill="CCEEF0"/>
          </w:tcPr>
          <w:p>
            <w:pPr>
              <w:spacing w:after="0"/>
              <w:rPr>
                <w:sz w:val="9"/>
                <w:szCs w:val="9"/>
                <w:color w:val="auto"/>
              </w:rPr>
            </w:pPr>
          </w:p>
        </w:tc>
        <w:tc>
          <w:tcPr>
            <w:tcW w:w="1460" w:type="dxa"/>
            <w:vAlign w:val="bottom"/>
            <w:vMerge w:val="continue"/>
            <w:shd w:val="clear" w:color="auto" w:fill="CCEEF0"/>
          </w:tcPr>
          <w:p>
            <w:pPr>
              <w:spacing w:after="0"/>
              <w:rPr>
                <w:sz w:val="9"/>
                <w:szCs w:val="9"/>
                <w:color w:val="auto"/>
              </w:rPr>
            </w:pPr>
          </w:p>
        </w:tc>
        <w:tc>
          <w:tcPr>
            <w:tcW w:w="1000" w:type="dxa"/>
            <w:vAlign w:val="bottom"/>
            <w:vMerge w:val="continue"/>
            <w:shd w:val="clear" w:color="auto" w:fill="CCEEF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880" w:type="dxa"/>
            <w:vAlign w:val="bottom"/>
            <w:vMerge w:val="continue"/>
            <w:shd w:val="clear" w:color="auto" w:fill="CCEEF0"/>
          </w:tcPr>
          <w:p>
            <w:pPr>
              <w:spacing w:after="0"/>
              <w:rPr>
                <w:sz w:val="4"/>
                <w:szCs w:val="4"/>
                <w:color w:val="auto"/>
              </w:rPr>
            </w:pPr>
          </w:p>
        </w:tc>
        <w:tc>
          <w:tcPr>
            <w:tcW w:w="200" w:type="dxa"/>
            <w:vAlign w:val="bottom"/>
            <w:shd w:val="clear" w:color="auto" w:fill="CCEEF0"/>
          </w:tcPr>
          <w:p>
            <w:pPr>
              <w:spacing w:after="0"/>
              <w:rPr>
                <w:sz w:val="4"/>
                <w:szCs w:val="4"/>
                <w:color w:val="auto"/>
              </w:rPr>
            </w:pPr>
          </w:p>
        </w:tc>
        <w:tc>
          <w:tcPr>
            <w:tcW w:w="26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w w:val="89"/>
                <w:shd w:val="clear" w:color="auto" w:fill="CCEEF0"/>
              </w:rPr>
              <w:t>2024</w:t>
            </w:r>
          </w:p>
        </w:tc>
        <w:tc>
          <w:tcPr>
            <w:tcW w:w="200" w:type="dxa"/>
            <w:vAlign w:val="bottom"/>
            <w:shd w:val="clear" w:color="auto" w:fill="CCEEF0"/>
          </w:tcPr>
          <w:p>
            <w:pPr>
              <w:spacing w:after="0"/>
              <w:rPr>
                <w:sz w:val="4"/>
                <w:szCs w:val="4"/>
                <w:color w:val="auto"/>
              </w:rPr>
            </w:pPr>
          </w:p>
        </w:tc>
        <w:tc>
          <w:tcPr>
            <w:tcW w:w="760" w:type="dxa"/>
            <w:vAlign w:val="bottom"/>
            <w:shd w:val="clear" w:color="auto" w:fill="CCEEF0"/>
          </w:tcPr>
          <w:p>
            <w:pPr>
              <w:spacing w:after="0"/>
              <w:rPr>
                <w:sz w:val="4"/>
                <w:szCs w:val="4"/>
                <w:color w:val="auto"/>
              </w:rPr>
            </w:pPr>
          </w:p>
        </w:tc>
        <w:tc>
          <w:tcPr>
            <w:tcW w:w="180" w:type="dxa"/>
            <w:vAlign w:val="bottom"/>
            <w:vMerge w:val="restart"/>
            <w:shd w:val="clear" w:color="auto" w:fill="CCEEF0"/>
          </w:tcPr>
          <w:p>
            <w:pPr>
              <w:spacing w:after="0"/>
              <w:rPr>
                <w:sz w:val="20"/>
                <w:szCs w:val="20"/>
                <w:color w:val="auto"/>
              </w:rPr>
            </w:pPr>
            <w:r>
              <w:rPr>
                <w:rFonts w:ascii="Arial" w:cs="Arial" w:eastAsia="Arial" w:hAnsi="Arial"/>
                <w:sz w:val="12"/>
                <w:szCs w:val="12"/>
                <w:color w:val="auto"/>
                <w:shd w:val="clear" w:color="auto" w:fill="CCEEF0"/>
              </w:rPr>
              <w:t>—</w:t>
            </w:r>
          </w:p>
        </w:tc>
        <w:tc>
          <w:tcPr>
            <w:tcW w:w="560" w:type="dxa"/>
            <w:vAlign w:val="bottom"/>
            <w:shd w:val="clear" w:color="auto" w:fill="CCEEF0"/>
          </w:tcPr>
          <w:p>
            <w:pPr>
              <w:spacing w:after="0"/>
              <w:rPr>
                <w:sz w:val="4"/>
                <w:szCs w:val="4"/>
                <w:color w:val="auto"/>
              </w:rPr>
            </w:pPr>
          </w:p>
        </w:tc>
        <w:tc>
          <w:tcPr>
            <w:tcW w:w="160" w:type="dxa"/>
            <w:vAlign w:val="bottom"/>
            <w:vMerge w:val="restart"/>
            <w:shd w:val="clear" w:color="auto" w:fill="CCEEF0"/>
          </w:tcPr>
          <w:p>
            <w:pPr>
              <w:spacing w:after="0"/>
              <w:rPr>
                <w:sz w:val="20"/>
                <w:szCs w:val="20"/>
                <w:color w:val="auto"/>
              </w:rPr>
            </w:pPr>
            <w:r>
              <w:rPr>
                <w:rFonts w:ascii="Arial" w:cs="Arial" w:eastAsia="Arial" w:hAnsi="Arial"/>
                <w:sz w:val="12"/>
                <w:szCs w:val="12"/>
                <w:color w:val="auto"/>
                <w:shd w:val="clear" w:color="auto" w:fill="CCEEF0"/>
              </w:rPr>
              <w:t>—</w:t>
            </w:r>
          </w:p>
        </w:tc>
        <w:tc>
          <w:tcPr>
            <w:tcW w:w="720" w:type="dxa"/>
            <w:vAlign w:val="bottom"/>
            <w:shd w:val="clear" w:color="auto" w:fill="CCEEF0"/>
          </w:tcPr>
          <w:p>
            <w:pPr>
              <w:spacing w:after="0"/>
              <w:rPr>
                <w:sz w:val="4"/>
                <w:szCs w:val="4"/>
                <w:color w:val="auto"/>
              </w:rPr>
            </w:pPr>
          </w:p>
        </w:tc>
        <w:tc>
          <w:tcPr>
            <w:tcW w:w="16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w w:val="99"/>
                <w:shd w:val="clear" w:color="auto" w:fill="CCEEF0"/>
              </w:rPr>
              <w:t>—</w:t>
            </w:r>
          </w:p>
        </w:tc>
        <w:tc>
          <w:tcPr>
            <w:tcW w:w="1000" w:type="dxa"/>
            <w:vAlign w:val="bottom"/>
            <w:vMerge w:val="restart"/>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shd w:val="clear" w:color="auto" w:fill="CCEEF0"/>
          </w:tcPr>
          <w:p>
            <w:pPr>
              <w:jc w:val="right"/>
              <w:ind w:right="78"/>
              <w:spacing w:after="0"/>
              <w:rPr>
                <w:sz w:val="20"/>
                <w:szCs w:val="20"/>
                <w:color w:val="auto"/>
              </w:rPr>
            </w:pPr>
            <w:r>
              <w:rPr>
                <w:rFonts w:ascii="Arial" w:cs="Arial" w:eastAsia="Arial" w:hAnsi="Arial"/>
                <w:sz w:val="12"/>
                <w:szCs w:val="12"/>
                <w:color w:val="auto"/>
              </w:rPr>
              <w:t>—</w:t>
            </w:r>
          </w:p>
        </w:tc>
        <w:tc>
          <w:tcPr>
            <w:tcW w:w="1300" w:type="dxa"/>
            <w:vAlign w:val="bottom"/>
            <w:vMerge w:val="restart"/>
            <w:shd w:val="clear" w:color="auto" w:fill="CCEEF0"/>
          </w:tcPr>
          <w:p>
            <w:pPr>
              <w:jc w:val="right"/>
              <w:ind w:right="58"/>
              <w:spacing w:after="0"/>
              <w:rPr>
                <w:sz w:val="20"/>
                <w:szCs w:val="20"/>
                <w:color w:val="auto"/>
              </w:rPr>
            </w:pPr>
            <w:r>
              <w:rPr>
                <w:rFonts w:ascii="Arial" w:cs="Arial" w:eastAsia="Arial" w:hAnsi="Arial"/>
                <w:sz w:val="12"/>
                <w:szCs w:val="12"/>
                <w:color w:val="auto"/>
              </w:rPr>
              <w:t>—</w:t>
            </w:r>
          </w:p>
        </w:tc>
        <w:tc>
          <w:tcPr>
            <w:tcW w:w="1460" w:type="dxa"/>
            <w:vAlign w:val="bottom"/>
            <w:vMerge w:val="restart"/>
            <w:shd w:val="clear" w:color="auto" w:fill="CCEEF0"/>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880" w:type="dxa"/>
            <w:vAlign w:val="bottom"/>
            <w:tcBorders>
              <w:bottom w:val="single" w:sz="8" w:color="CCEEF0"/>
            </w:tcBorders>
            <w:shd w:val="clear" w:color="auto" w:fill="CCEEF0"/>
          </w:tcPr>
          <w:p>
            <w:pPr>
              <w:spacing w:after="0"/>
              <w:rPr>
                <w:sz w:val="14"/>
                <w:szCs w:val="14"/>
                <w:color w:val="auto"/>
              </w:rPr>
            </w:pPr>
          </w:p>
        </w:tc>
        <w:tc>
          <w:tcPr>
            <w:tcW w:w="200" w:type="dxa"/>
            <w:vAlign w:val="bottom"/>
            <w:tcBorders>
              <w:bottom w:val="single" w:sz="8" w:color="CCEEF0"/>
            </w:tcBorders>
            <w:shd w:val="clear" w:color="auto" w:fill="CCEEF0"/>
          </w:tcPr>
          <w:p>
            <w:pPr>
              <w:spacing w:after="0"/>
              <w:rPr>
                <w:sz w:val="14"/>
                <w:szCs w:val="14"/>
                <w:color w:val="auto"/>
              </w:rPr>
            </w:pPr>
          </w:p>
        </w:tc>
        <w:tc>
          <w:tcPr>
            <w:tcW w:w="260" w:type="dxa"/>
            <w:vAlign w:val="bottom"/>
            <w:tcBorders>
              <w:bottom w:val="single" w:sz="8" w:color="CCEEF0"/>
            </w:tcBorders>
            <w:vMerge w:val="continue"/>
            <w:shd w:val="clear" w:color="auto" w:fill="CCEEF0"/>
          </w:tcPr>
          <w:p>
            <w:pPr>
              <w:spacing w:after="0"/>
              <w:rPr>
                <w:sz w:val="14"/>
                <w:szCs w:val="14"/>
                <w:color w:val="auto"/>
              </w:rPr>
            </w:pPr>
          </w:p>
        </w:tc>
        <w:tc>
          <w:tcPr>
            <w:tcW w:w="200" w:type="dxa"/>
            <w:vAlign w:val="bottom"/>
            <w:tcBorders>
              <w:bottom w:val="single" w:sz="8" w:color="CCEEF0"/>
            </w:tcBorders>
            <w:shd w:val="clear" w:color="auto" w:fill="CCEEF0"/>
          </w:tcPr>
          <w:p>
            <w:pPr>
              <w:spacing w:after="0"/>
              <w:rPr>
                <w:sz w:val="14"/>
                <w:szCs w:val="14"/>
                <w:color w:val="auto"/>
              </w:rPr>
            </w:pPr>
          </w:p>
        </w:tc>
        <w:tc>
          <w:tcPr>
            <w:tcW w:w="760" w:type="dxa"/>
            <w:vAlign w:val="bottom"/>
            <w:tcBorders>
              <w:bottom w:val="single" w:sz="8" w:color="CCEEF0"/>
            </w:tcBorders>
            <w:shd w:val="clear" w:color="auto" w:fill="CCEEF0"/>
          </w:tcPr>
          <w:p>
            <w:pPr>
              <w:spacing w:after="0"/>
              <w:rPr>
                <w:sz w:val="14"/>
                <w:szCs w:val="14"/>
                <w:color w:val="auto"/>
              </w:rPr>
            </w:pPr>
          </w:p>
        </w:tc>
        <w:tc>
          <w:tcPr>
            <w:tcW w:w="180" w:type="dxa"/>
            <w:vAlign w:val="bottom"/>
            <w:tcBorders>
              <w:bottom w:val="single" w:sz="8" w:color="CCEEF0"/>
            </w:tcBorders>
            <w:vMerge w:val="continue"/>
            <w:shd w:val="clear" w:color="auto" w:fill="CCEEF0"/>
          </w:tcPr>
          <w:p>
            <w:pPr>
              <w:spacing w:after="0"/>
              <w:rPr>
                <w:sz w:val="14"/>
                <w:szCs w:val="14"/>
                <w:color w:val="auto"/>
              </w:rPr>
            </w:pPr>
          </w:p>
        </w:tc>
        <w:tc>
          <w:tcPr>
            <w:tcW w:w="560" w:type="dxa"/>
            <w:vAlign w:val="bottom"/>
            <w:tcBorders>
              <w:bottom w:val="single" w:sz="8" w:color="CCEEF0"/>
            </w:tcBorders>
            <w:shd w:val="clear" w:color="auto" w:fill="CCEEF0"/>
          </w:tcPr>
          <w:p>
            <w:pPr>
              <w:spacing w:after="0"/>
              <w:rPr>
                <w:sz w:val="14"/>
                <w:szCs w:val="14"/>
                <w:color w:val="auto"/>
              </w:rPr>
            </w:pPr>
          </w:p>
        </w:tc>
        <w:tc>
          <w:tcPr>
            <w:tcW w:w="160" w:type="dxa"/>
            <w:vAlign w:val="bottom"/>
            <w:tcBorders>
              <w:bottom w:val="single" w:sz="8" w:color="CCEEF0"/>
            </w:tcBorders>
            <w:vMerge w:val="continue"/>
            <w:shd w:val="clear" w:color="auto" w:fill="CCEEF0"/>
          </w:tcPr>
          <w:p>
            <w:pPr>
              <w:spacing w:after="0"/>
              <w:rPr>
                <w:sz w:val="14"/>
                <w:szCs w:val="14"/>
                <w:color w:val="auto"/>
              </w:rPr>
            </w:pPr>
          </w:p>
        </w:tc>
        <w:tc>
          <w:tcPr>
            <w:tcW w:w="720" w:type="dxa"/>
            <w:vAlign w:val="bottom"/>
            <w:tcBorders>
              <w:bottom w:val="single" w:sz="8" w:color="CCEEF0"/>
            </w:tcBorders>
            <w:shd w:val="clear" w:color="auto" w:fill="CCEEF0"/>
          </w:tcPr>
          <w:p>
            <w:pPr>
              <w:spacing w:after="0"/>
              <w:rPr>
                <w:sz w:val="14"/>
                <w:szCs w:val="14"/>
                <w:color w:val="auto"/>
              </w:rPr>
            </w:pPr>
          </w:p>
        </w:tc>
        <w:tc>
          <w:tcPr>
            <w:tcW w:w="160" w:type="dxa"/>
            <w:vAlign w:val="bottom"/>
            <w:tcBorders>
              <w:bottom w:val="single" w:sz="8" w:color="CCEEF0"/>
            </w:tcBorders>
            <w:vMerge w:val="continue"/>
            <w:shd w:val="clear" w:color="auto" w:fill="CCEEF0"/>
          </w:tcPr>
          <w:p>
            <w:pPr>
              <w:spacing w:after="0"/>
              <w:rPr>
                <w:sz w:val="14"/>
                <w:szCs w:val="14"/>
                <w:color w:val="auto"/>
              </w:rPr>
            </w:pPr>
          </w:p>
        </w:tc>
        <w:tc>
          <w:tcPr>
            <w:tcW w:w="1000" w:type="dxa"/>
            <w:vAlign w:val="bottom"/>
            <w:tcBorders>
              <w:bottom w:val="single" w:sz="8" w:color="CCEEF0"/>
            </w:tcBorders>
            <w:vMerge w:val="continue"/>
            <w:shd w:val="clear" w:color="auto" w:fill="CCEEF0"/>
          </w:tcPr>
          <w:p>
            <w:pPr>
              <w:spacing w:after="0"/>
              <w:rPr>
                <w:sz w:val="14"/>
                <w:szCs w:val="14"/>
                <w:color w:val="auto"/>
              </w:rPr>
            </w:pPr>
          </w:p>
        </w:tc>
        <w:tc>
          <w:tcPr>
            <w:tcW w:w="1400" w:type="dxa"/>
            <w:vAlign w:val="bottom"/>
            <w:tcBorders>
              <w:bottom w:val="single" w:sz="8" w:color="CCEEF0"/>
            </w:tcBorders>
            <w:vMerge w:val="continue"/>
            <w:shd w:val="clear" w:color="auto" w:fill="CCEEF0"/>
          </w:tcPr>
          <w:p>
            <w:pPr>
              <w:spacing w:after="0"/>
              <w:rPr>
                <w:sz w:val="14"/>
                <w:szCs w:val="14"/>
                <w:color w:val="auto"/>
              </w:rPr>
            </w:pPr>
          </w:p>
        </w:tc>
        <w:tc>
          <w:tcPr>
            <w:tcW w:w="1300" w:type="dxa"/>
            <w:vAlign w:val="bottom"/>
            <w:tcBorders>
              <w:bottom w:val="single" w:sz="8" w:color="CCEEF0"/>
            </w:tcBorders>
            <w:vMerge w:val="continue"/>
            <w:shd w:val="clear" w:color="auto" w:fill="CCEEF0"/>
          </w:tcPr>
          <w:p>
            <w:pPr>
              <w:spacing w:after="0"/>
              <w:rPr>
                <w:sz w:val="14"/>
                <w:szCs w:val="14"/>
                <w:color w:val="auto"/>
              </w:rPr>
            </w:pPr>
          </w:p>
        </w:tc>
        <w:tc>
          <w:tcPr>
            <w:tcW w:w="1460" w:type="dxa"/>
            <w:vAlign w:val="bottom"/>
            <w:tcBorders>
              <w:bottom w:val="single" w:sz="8" w:color="CCEEF0"/>
            </w:tcBorders>
            <w:vMerge w:val="continue"/>
            <w:shd w:val="clear" w:color="auto" w:fill="CCEEF0"/>
          </w:tcPr>
          <w:p>
            <w:pPr>
              <w:spacing w:after="0"/>
              <w:rPr>
                <w:sz w:val="14"/>
                <w:szCs w:val="14"/>
                <w:color w:val="auto"/>
              </w:rPr>
            </w:pPr>
          </w:p>
        </w:tc>
        <w:tc>
          <w:tcPr>
            <w:tcW w:w="1000" w:type="dxa"/>
            <w:vAlign w:val="bottom"/>
            <w:tcBorders>
              <w:bottom w:val="single" w:sz="8" w:color="CCEEF0"/>
            </w:tcBorders>
            <w:vMerge w:val="continue"/>
            <w:shd w:val="clear" w:color="auto" w:fill="CCEEF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ind w:left="40"/>
              <w:spacing w:after="0" w:line="128" w:lineRule="exact"/>
              <w:rPr>
                <w:sz w:val="20"/>
                <w:szCs w:val="20"/>
                <w:color w:val="auto"/>
              </w:rPr>
            </w:pPr>
            <w:r>
              <w:rPr>
                <w:rFonts w:ascii="Arial" w:cs="Arial" w:eastAsia="Arial" w:hAnsi="Arial"/>
                <w:sz w:val="11"/>
                <w:szCs w:val="11"/>
                <w:b w:val="1"/>
                <w:bCs w:val="1"/>
                <w:color w:val="auto"/>
              </w:rPr>
              <w:t xml:space="preserve">Andrea D. Inserra </w:t>
            </w:r>
            <w:r>
              <w:rPr>
                <w:rFonts w:ascii="Arial" w:cs="Arial" w:eastAsia="Arial" w:hAnsi="Arial"/>
                <w:sz w:val="14"/>
                <w:szCs w:val="14"/>
                <w:b w:val="1"/>
                <w:bCs w:val="1"/>
                <w:color w:val="auto"/>
                <w:vertAlign w:val="superscript"/>
              </w:rPr>
              <w:t>6</w:t>
            </w:r>
          </w:p>
        </w:tc>
        <w:tc>
          <w:tcPr>
            <w:tcW w:w="4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2026</w:t>
            </w:r>
          </w:p>
        </w:tc>
        <w:tc>
          <w:tcPr>
            <w:tcW w:w="200" w:type="dxa"/>
            <w:vAlign w:val="bottom"/>
          </w:tcPr>
          <w:p>
            <w:pPr>
              <w:spacing w:after="0"/>
              <w:rPr>
                <w:sz w:val="11"/>
                <w:szCs w:val="11"/>
                <w:color w:val="auto"/>
              </w:rPr>
            </w:pPr>
          </w:p>
        </w:tc>
        <w:tc>
          <w:tcPr>
            <w:tcW w:w="760" w:type="dxa"/>
            <w:vAlign w:val="bottom"/>
          </w:tcPr>
          <w:p>
            <w:pPr>
              <w:jc w:val="center"/>
              <w:ind w:left="118"/>
              <w:spacing w:after="0" w:line="128" w:lineRule="exact"/>
              <w:rPr>
                <w:sz w:val="20"/>
                <w:szCs w:val="20"/>
                <w:color w:val="auto"/>
              </w:rPr>
            </w:pPr>
            <w:r>
              <w:rPr>
                <w:rFonts w:ascii="Arial" w:cs="Arial" w:eastAsia="Arial" w:hAnsi="Arial"/>
                <w:sz w:val="12"/>
                <w:szCs w:val="12"/>
                <w:color w:val="auto"/>
              </w:rPr>
              <w:t>600,000</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line="128"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1,229,323</w:t>
            </w:r>
          </w:p>
        </w:tc>
        <w:tc>
          <w:tcPr>
            <w:tcW w:w="1000" w:type="dxa"/>
            <w:vAlign w:val="bottom"/>
          </w:tcPr>
          <w:p>
            <w:pPr>
              <w:jc w:val="right"/>
              <w:ind w:right="98"/>
              <w:spacing w:after="0" w:line="128" w:lineRule="exact"/>
              <w:rPr>
                <w:sz w:val="20"/>
                <w:szCs w:val="20"/>
                <w:color w:val="auto"/>
              </w:rPr>
            </w:pPr>
            <w:r>
              <w:rPr>
                <w:rFonts w:ascii="Arial" w:cs="Arial" w:eastAsia="Arial" w:hAnsi="Arial"/>
                <w:sz w:val="12"/>
                <w:szCs w:val="12"/>
                <w:color w:val="auto"/>
              </w:rPr>
              <w:t>250,021</w:t>
            </w:r>
          </w:p>
        </w:tc>
        <w:tc>
          <w:tcPr>
            <w:tcW w:w="1400" w:type="dxa"/>
            <w:vAlign w:val="bottom"/>
          </w:tcPr>
          <w:p>
            <w:pPr>
              <w:jc w:val="right"/>
              <w:ind w:right="78"/>
              <w:spacing w:after="0" w:line="128" w:lineRule="exact"/>
              <w:rPr>
                <w:sz w:val="20"/>
                <w:szCs w:val="20"/>
                <w:color w:val="auto"/>
              </w:rPr>
            </w:pPr>
            <w:r>
              <w:rPr>
                <w:rFonts w:ascii="Arial" w:cs="Arial" w:eastAsia="Arial" w:hAnsi="Arial"/>
                <w:sz w:val="12"/>
                <w:szCs w:val="12"/>
                <w:color w:val="auto"/>
              </w:rPr>
              <w:t>540,000</w:t>
            </w:r>
          </w:p>
        </w:tc>
        <w:tc>
          <w:tcPr>
            <w:tcW w:w="13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20,000</w:t>
            </w:r>
          </w:p>
        </w:tc>
        <w:tc>
          <w:tcPr>
            <w:tcW w:w="14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226,550</w:t>
            </w:r>
          </w:p>
        </w:tc>
        <w:tc>
          <w:tcPr>
            <w:tcW w:w="1000" w:type="dxa"/>
            <w:vAlign w:val="bottom"/>
          </w:tcPr>
          <w:p>
            <w:pPr>
              <w:jc w:val="right"/>
              <w:spacing w:after="0" w:line="128" w:lineRule="exact"/>
              <w:rPr>
                <w:sz w:val="20"/>
                <w:szCs w:val="20"/>
                <w:color w:val="auto"/>
              </w:rPr>
            </w:pPr>
            <w:r>
              <w:rPr>
                <w:rFonts w:ascii="Arial" w:cs="Arial" w:eastAsia="Arial" w:hAnsi="Arial"/>
                <w:sz w:val="12"/>
                <w:szCs w:val="12"/>
                <w:color w:val="auto"/>
              </w:rPr>
              <w:t>2,865,894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tcPr>
          <w:p>
            <w:pPr>
              <w:ind w:left="40"/>
              <w:spacing w:after="0" w:line="124"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color w:val="auto"/>
              </w:rPr>
              <w:t>2025</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w w:val="99"/>
              </w:rPr>
              <w:t>—</w:t>
            </w:r>
          </w:p>
        </w:tc>
        <w:tc>
          <w:tcPr>
            <w:tcW w:w="1000" w:type="dxa"/>
            <w:vAlign w:val="bottom"/>
            <w:vMerge w:val="restart"/>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tcPr>
          <w:p>
            <w:pPr>
              <w:jc w:val="right"/>
              <w:ind w:right="78"/>
              <w:spacing w:after="0"/>
              <w:rPr>
                <w:sz w:val="20"/>
                <w:szCs w:val="20"/>
                <w:color w:val="auto"/>
              </w:rPr>
            </w:pPr>
            <w:r>
              <w:rPr>
                <w:rFonts w:ascii="Arial" w:cs="Arial" w:eastAsia="Arial" w:hAnsi="Arial"/>
                <w:sz w:val="12"/>
                <w:szCs w:val="12"/>
                <w:color w:val="auto"/>
              </w:rPr>
              <w:t>—</w:t>
            </w:r>
          </w:p>
        </w:tc>
        <w:tc>
          <w:tcPr>
            <w:tcW w:w="1300" w:type="dxa"/>
            <w:vAlign w:val="bottom"/>
            <w:vMerge w:val="restart"/>
          </w:tcPr>
          <w:p>
            <w:pPr>
              <w:jc w:val="right"/>
              <w:ind w:right="58"/>
              <w:spacing w:after="0"/>
              <w:rPr>
                <w:sz w:val="20"/>
                <w:szCs w:val="20"/>
                <w:color w:val="auto"/>
              </w:rPr>
            </w:pPr>
            <w:r>
              <w:rPr>
                <w:rFonts w:ascii="Arial" w:cs="Arial" w:eastAsia="Arial" w:hAnsi="Arial"/>
                <w:sz w:val="12"/>
                <w:szCs w:val="12"/>
                <w:color w:val="auto"/>
              </w:rPr>
              <w:t>—</w:t>
            </w:r>
          </w:p>
        </w:tc>
        <w:tc>
          <w:tcPr>
            <w:tcW w:w="1460" w:type="dxa"/>
            <w:vAlign w:val="bottom"/>
            <w:vMerge w:val="restart"/>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40"/>
              <w:spacing w:after="0" w:line="120" w:lineRule="exact"/>
              <w:rPr>
                <w:sz w:val="20"/>
                <w:szCs w:val="20"/>
                <w:color w:val="auto"/>
              </w:rPr>
            </w:pPr>
            <w:r>
              <w:rPr>
                <w:rFonts w:ascii="Arial" w:cs="Arial" w:eastAsia="Arial" w:hAnsi="Arial"/>
                <w:sz w:val="12"/>
                <w:szCs w:val="12"/>
                <w:color w:val="auto"/>
              </w:rPr>
              <w:t>President of Global Defense</w:t>
            </w:r>
          </w:p>
        </w:tc>
        <w:tc>
          <w:tcPr>
            <w:tcW w:w="4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40"/>
              <w:spacing w:after="0"/>
              <w:rPr>
                <w:sz w:val="20"/>
                <w:szCs w:val="20"/>
                <w:color w:val="auto"/>
              </w:rPr>
            </w:pPr>
            <w:r>
              <w:rPr>
                <w:rFonts w:ascii="Arial" w:cs="Arial" w:eastAsia="Arial" w:hAnsi="Arial"/>
                <w:sz w:val="12"/>
                <w:szCs w:val="12"/>
                <w:color w:val="auto"/>
              </w:rPr>
              <w:t>Sector</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2024</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shd w:val="clear" w:color="auto" w:fill="CCEEF0"/>
          </w:tcPr>
          <w:p>
            <w:pPr>
              <w:ind w:left="40"/>
              <w:spacing w:after="0" w:line="128" w:lineRule="exact"/>
              <w:rPr>
                <w:sz w:val="20"/>
                <w:szCs w:val="20"/>
                <w:color w:val="auto"/>
              </w:rPr>
            </w:pPr>
            <w:r>
              <w:rPr>
                <w:rFonts w:ascii="Arial" w:cs="Arial" w:eastAsia="Arial" w:hAnsi="Arial"/>
                <w:sz w:val="11"/>
                <w:szCs w:val="11"/>
                <w:b w:val="1"/>
                <w:bCs w:val="1"/>
                <w:color w:val="auto"/>
              </w:rPr>
              <w:t xml:space="preserve">Thomas J. Pfeifer </w:t>
            </w:r>
            <w:r>
              <w:rPr>
                <w:rFonts w:ascii="Arial" w:cs="Arial" w:eastAsia="Arial" w:hAnsi="Arial"/>
                <w:sz w:val="14"/>
                <w:szCs w:val="14"/>
                <w:b w:val="1"/>
                <w:bCs w:val="1"/>
                <w:color w:val="auto"/>
                <w:vertAlign w:val="superscript"/>
              </w:rPr>
              <w:t>6</w:t>
            </w:r>
          </w:p>
        </w:tc>
        <w:tc>
          <w:tcPr>
            <w:tcW w:w="460" w:type="dxa"/>
            <w:vAlign w:val="bottom"/>
            <w:gridSpan w:val="2"/>
            <w:shd w:val="clear" w:color="auto" w:fill="CCEEF0"/>
          </w:tcPr>
          <w:p>
            <w:pPr>
              <w:jc w:val="right"/>
              <w:spacing w:after="0" w:line="128" w:lineRule="exact"/>
              <w:rPr>
                <w:sz w:val="20"/>
                <w:szCs w:val="20"/>
                <w:color w:val="auto"/>
              </w:rPr>
            </w:pPr>
            <w:r>
              <w:rPr>
                <w:rFonts w:ascii="Arial" w:cs="Arial" w:eastAsia="Arial" w:hAnsi="Arial"/>
                <w:sz w:val="12"/>
                <w:szCs w:val="12"/>
                <w:color w:val="auto"/>
              </w:rPr>
              <w:t>2026</w:t>
            </w:r>
          </w:p>
        </w:tc>
        <w:tc>
          <w:tcPr>
            <w:tcW w:w="200" w:type="dxa"/>
            <w:vAlign w:val="bottom"/>
            <w:shd w:val="clear" w:color="auto" w:fill="CCEEF0"/>
          </w:tcPr>
          <w:p>
            <w:pPr>
              <w:spacing w:after="0"/>
              <w:rPr>
                <w:sz w:val="11"/>
                <w:szCs w:val="11"/>
                <w:color w:val="auto"/>
              </w:rPr>
            </w:pPr>
          </w:p>
        </w:tc>
        <w:tc>
          <w:tcPr>
            <w:tcW w:w="760" w:type="dxa"/>
            <w:vAlign w:val="bottom"/>
            <w:shd w:val="clear" w:color="auto" w:fill="CCEEF0"/>
          </w:tcPr>
          <w:p>
            <w:pPr>
              <w:jc w:val="center"/>
              <w:ind w:left="118"/>
              <w:spacing w:after="0" w:line="128" w:lineRule="exact"/>
              <w:rPr>
                <w:sz w:val="20"/>
                <w:szCs w:val="20"/>
                <w:color w:val="auto"/>
              </w:rPr>
            </w:pPr>
            <w:r>
              <w:rPr>
                <w:rFonts w:ascii="Arial" w:cs="Arial" w:eastAsia="Arial" w:hAnsi="Arial"/>
                <w:sz w:val="12"/>
                <w:szCs w:val="12"/>
                <w:color w:val="auto"/>
              </w:rPr>
              <w:t>650,000</w:t>
            </w:r>
          </w:p>
        </w:tc>
        <w:tc>
          <w:tcPr>
            <w:tcW w:w="180" w:type="dxa"/>
            <w:vAlign w:val="bottom"/>
            <w:shd w:val="clear" w:color="auto" w:fill="CCEEF0"/>
          </w:tcPr>
          <w:p>
            <w:pPr>
              <w:spacing w:after="0"/>
              <w:rPr>
                <w:sz w:val="11"/>
                <w:szCs w:val="11"/>
                <w:color w:val="auto"/>
              </w:rPr>
            </w:pPr>
          </w:p>
        </w:tc>
        <w:tc>
          <w:tcPr>
            <w:tcW w:w="560" w:type="dxa"/>
            <w:vAlign w:val="bottom"/>
            <w:shd w:val="clear" w:color="auto" w:fill="CCEEF0"/>
          </w:tcPr>
          <w:p>
            <w:pPr>
              <w:spacing w:after="0"/>
              <w:rPr>
                <w:sz w:val="11"/>
                <w:szCs w:val="11"/>
                <w:color w:val="auto"/>
              </w:rPr>
            </w:pPr>
          </w:p>
        </w:tc>
        <w:tc>
          <w:tcPr>
            <w:tcW w:w="160" w:type="dxa"/>
            <w:vAlign w:val="bottom"/>
            <w:shd w:val="clear" w:color="auto" w:fill="CCEEF0"/>
          </w:tcPr>
          <w:p>
            <w:pPr>
              <w:spacing w:after="0" w:line="128"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0"/>
          </w:tcPr>
          <w:p>
            <w:pPr>
              <w:jc w:val="right"/>
              <w:spacing w:after="0" w:line="128" w:lineRule="exact"/>
              <w:rPr>
                <w:sz w:val="20"/>
                <w:szCs w:val="20"/>
                <w:color w:val="auto"/>
              </w:rPr>
            </w:pPr>
            <w:r>
              <w:rPr>
                <w:rFonts w:ascii="Arial" w:cs="Arial" w:eastAsia="Arial" w:hAnsi="Arial"/>
                <w:sz w:val="12"/>
                <w:szCs w:val="12"/>
                <w:color w:val="auto"/>
              </w:rPr>
              <w:t>1,331,712</w:t>
            </w:r>
          </w:p>
        </w:tc>
        <w:tc>
          <w:tcPr>
            <w:tcW w:w="1000" w:type="dxa"/>
            <w:vAlign w:val="bottom"/>
            <w:shd w:val="clear" w:color="auto" w:fill="CCEEF0"/>
          </w:tcPr>
          <w:p>
            <w:pPr>
              <w:jc w:val="right"/>
              <w:ind w:right="98"/>
              <w:spacing w:after="0" w:line="128" w:lineRule="exact"/>
              <w:rPr>
                <w:sz w:val="20"/>
                <w:szCs w:val="20"/>
                <w:color w:val="auto"/>
              </w:rPr>
            </w:pPr>
            <w:r>
              <w:rPr>
                <w:rFonts w:ascii="Arial" w:cs="Arial" w:eastAsia="Arial" w:hAnsi="Arial"/>
                <w:sz w:val="12"/>
                <w:szCs w:val="12"/>
                <w:color w:val="auto"/>
              </w:rPr>
              <w:t>—</w:t>
            </w:r>
          </w:p>
        </w:tc>
        <w:tc>
          <w:tcPr>
            <w:tcW w:w="1400" w:type="dxa"/>
            <w:vAlign w:val="bottom"/>
            <w:shd w:val="clear" w:color="auto" w:fill="CCEEF0"/>
          </w:tcPr>
          <w:p>
            <w:pPr>
              <w:jc w:val="right"/>
              <w:ind w:right="78"/>
              <w:spacing w:after="0" w:line="128" w:lineRule="exact"/>
              <w:rPr>
                <w:sz w:val="20"/>
                <w:szCs w:val="20"/>
                <w:color w:val="auto"/>
              </w:rPr>
            </w:pPr>
            <w:r>
              <w:rPr>
                <w:rFonts w:ascii="Arial" w:cs="Arial" w:eastAsia="Arial" w:hAnsi="Arial"/>
                <w:sz w:val="12"/>
                <w:szCs w:val="12"/>
                <w:color w:val="auto"/>
              </w:rPr>
              <w:t>540,000</w:t>
            </w:r>
          </w:p>
        </w:tc>
        <w:tc>
          <w:tcPr>
            <w:tcW w:w="1300" w:type="dxa"/>
            <w:vAlign w:val="bottom"/>
            <w:shd w:val="clear" w:color="auto" w:fill="CCEEF0"/>
          </w:tcPr>
          <w:p>
            <w:pPr>
              <w:jc w:val="right"/>
              <w:ind w:right="58"/>
              <w:spacing w:after="0" w:line="128" w:lineRule="exact"/>
              <w:rPr>
                <w:sz w:val="20"/>
                <w:szCs w:val="20"/>
                <w:color w:val="auto"/>
              </w:rPr>
            </w:pPr>
            <w:r>
              <w:rPr>
                <w:rFonts w:ascii="Arial" w:cs="Arial" w:eastAsia="Arial" w:hAnsi="Arial"/>
                <w:sz w:val="12"/>
                <w:szCs w:val="12"/>
                <w:color w:val="auto"/>
              </w:rPr>
              <w:t>20,000</w:t>
            </w:r>
          </w:p>
        </w:tc>
        <w:tc>
          <w:tcPr>
            <w:tcW w:w="1460" w:type="dxa"/>
            <w:vAlign w:val="bottom"/>
            <w:shd w:val="clear" w:color="auto" w:fill="CCEEF0"/>
          </w:tcPr>
          <w:p>
            <w:pPr>
              <w:jc w:val="right"/>
              <w:ind w:right="198"/>
              <w:spacing w:after="0" w:line="128" w:lineRule="exact"/>
              <w:rPr>
                <w:sz w:val="20"/>
                <w:szCs w:val="20"/>
                <w:color w:val="auto"/>
              </w:rPr>
            </w:pPr>
            <w:r>
              <w:rPr>
                <w:rFonts w:ascii="Arial" w:cs="Arial" w:eastAsia="Arial" w:hAnsi="Arial"/>
                <w:sz w:val="12"/>
                <w:szCs w:val="12"/>
                <w:color w:val="auto"/>
              </w:rPr>
              <w:t>193,240</w:t>
            </w:r>
          </w:p>
        </w:tc>
        <w:tc>
          <w:tcPr>
            <w:tcW w:w="1000" w:type="dxa"/>
            <w:vAlign w:val="bottom"/>
            <w:shd w:val="clear" w:color="auto" w:fill="CCEEF0"/>
          </w:tcPr>
          <w:p>
            <w:pPr>
              <w:jc w:val="right"/>
              <w:spacing w:after="0" w:line="128" w:lineRule="exact"/>
              <w:rPr>
                <w:sz w:val="20"/>
                <w:szCs w:val="20"/>
                <w:color w:val="auto"/>
              </w:rPr>
            </w:pPr>
            <w:r>
              <w:rPr>
                <w:rFonts w:ascii="Arial" w:cs="Arial" w:eastAsia="Arial" w:hAnsi="Arial"/>
                <w:sz w:val="12"/>
                <w:szCs w:val="12"/>
                <w:color w:val="auto"/>
              </w:rPr>
              <w:t>2,734,952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80" w:type="dxa"/>
            <w:vAlign w:val="bottom"/>
            <w:shd w:val="clear" w:color="auto" w:fill="CCEEF0"/>
          </w:tcPr>
          <w:p>
            <w:pPr>
              <w:ind w:left="40"/>
              <w:spacing w:after="0" w:line="124"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vMerge w:val="restart"/>
            <w:shd w:val="clear" w:color="auto" w:fill="CCEEF0"/>
          </w:tcPr>
          <w:p>
            <w:pPr>
              <w:jc w:val="right"/>
              <w:spacing w:after="0"/>
              <w:rPr>
                <w:sz w:val="20"/>
                <w:szCs w:val="20"/>
                <w:color w:val="auto"/>
              </w:rPr>
            </w:pPr>
            <w:r>
              <w:rPr>
                <w:rFonts w:ascii="Arial" w:cs="Arial" w:eastAsia="Arial" w:hAnsi="Arial"/>
                <w:sz w:val="12"/>
                <w:szCs w:val="12"/>
                <w:color w:val="auto"/>
              </w:rPr>
              <w:t>2025</w:t>
            </w:r>
          </w:p>
        </w:tc>
        <w:tc>
          <w:tcPr>
            <w:tcW w:w="200" w:type="dxa"/>
            <w:vAlign w:val="bottom"/>
            <w:shd w:val="clear" w:color="auto" w:fill="CCEEF0"/>
          </w:tcPr>
          <w:p>
            <w:pPr>
              <w:spacing w:after="0"/>
              <w:rPr>
                <w:sz w:val="10"/>
                <w:szCs w:val="10"/>
                <w:color w:val="auto"/>
              </w:rPr>
            </w:pPr>
          </w:p>
        </w:tc>
        <w:tc>
          <w:tcPr>
            <w:tcW w:w="760" w:type="dxa"/>
            <w:vAlign w:val="bottom"/>
            <w:shd w:val="clear" w:color="auto" w:fill="CCEEF0"/>
          </w:tcPr>
          <w:p>
            <w:pPr>
              <w:spacing w:after="0"/>
              <w:rPr>
                <w:sz w:val="10"/>
                <w:szCs w:val="10"/>
                <w:color w:val="auto"/>
              </w:rPr>
            </w:pPr>
          </w:p>
        </w:tc>
        <w:tc>
          <w:tcPr>
            <w:tcW w:w="180" w:type="dxa"/>
            <w:vAlign w:val="bottom"/>
            <w:vMerge w:val="restart"/>
            <w:shd w:val="clear" w:color="auto" w:fill="CCEEF0"/>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0"/>
          </w:tcPr>
          <w:p>
            <w:pPr>
              <w:spacing w:after="0"/>
              <w:rPr>
                <w:sz w:val="10"/>
                <w:szCs w:val="10"/>
                <w:color w:val="auto"/>
              </w:rPr>
            </w:pPr>
          </w:p>
        </w:tc>
        <w:tc>
          <w:tcPr>
            <w:tcW w:w="160" w:type="dxa"/>
            <w:vAlign w:val="bottom"/>
            <w:vMerge w:val="restart"/>
            <w:shd w:val="clear" w:color="auto" w:fill="CCEEF0"/>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0"/>
          </w:tcPr>
          <w:p>
            <w:pPr>
              <w:spacing w:after="0"/>
              <w:rPr>
                <w:sz w:val="10"/>
                <w:szCs w:val="10"/>
                <w:color w:val="auto"/>
              </w:rPr>
            </w:pPr>
          </w:p>
        </w:tc>
        <w:tc>
          <w:tcPr>
            <w:tcW w:w="16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w w:val="99"/>
              </w:rPr>
              <w:t>—</w:t>
            </w:r>
          </w:p>
        </w:tc>
        <w:tc>
          <w:tcPr>
            <w:tcW w:w="1000" w:type="dxa"/>
            <w:vAlign w:val="bottom"/>
            <w:vMerge w:val="restart"/>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shd w:val="clear" w:color="auto" w:fill="CCEEF0"/>
          </w:tcPr>
          <w:p>
            <w:pPr>
              <w:jc w:val="right"/>
              <w:ind w:right="78"/>
              <w:spacing w:after="0"/>
              <w:rPr>
                <w:sz w:val="20"/>
                <w:szCs w:val="20"/>
                <w:color w:val="auto"/>
              </w:rPr>
            </w:pPr>
            <w:r>
              <w:rPr>
                <w:rFonts w:ascii="Arial" w:cs="Arial" w:eastAsia="Arial" w:hAnsi="Arial"/>
                <w:sz w:val="12"/>
                <w:szCs w:val="12"/>
                <w:color w:val="auto"/>
              </w:rPr>
              <w:t>—</w:t>
            </w:r>
          </w:p>
        </w:tc>
        <w:tc>
          <w:tcPr>
            <w:tcW w:w="1300" w:type="dxa"/>
            <w:vAlign w:val="bottom"/>
            <w:vMerge w:val="restart"/>
            <w:shd w:val="clear" w:color="auto" w:fill="CCEEF0"/>
          </w:tcPr>
          <w:p>
            <w:pPr>
              <w:jc w:val="right"/>
              <w:ind w:right="58"/>
              <w:spacing w:after="0"/>
              <w:rPr>
                <w:sz w:val="20"/>
                <w:szCs w:val="20"/>
                <w:color w:val="auto"/>
              </w:rPr>
            </w:pPr>
            <w:r>
              <w:rPr>
                <w:rFonts w:ascii="Arial" w:cs="Arial" w:eastAsia="Arial" w:hAnsi="Arial"/>
                <w:sz w:val="12"/>
                <w:szCs w:val="12"/>
                <w:color w:val="auto"/>
              </w:rPr>
              <w:t>—</w:t>
            </w:r>
          </w:p>
        </w:tc>
        <w:tc>
          <w:tcPr>
            <w:tcW w:w="1460" w:type="dxa"/>
            <w:vAlign w:val="bottom"/>
            <w:vMerge w:val="restart"/>
            <w:shd w:val="clear" w:color="auto" w:fill="CCEEF0"/>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0"/>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0"/>
          </w:tcPr>
          <w:p>
            <w:pPr>
              <w:ind w:left="40"/>
              <w:spacing w:after="0" w:line="120" w:lineRule="exact"/>
              <w:rPr>
                <w:sz w:val="20"/>
                <w:szCs w:val="20"/>
                <w:color w:val="auto"/>
              </w:rPr>
            </w:pPr>
            <w:r>
              <w:rPr>
                <w:rFonts w:ascii="Arial" w:cs="Arial" w:eastAsia="Arial" w:hAnsi="Arial"/>
                <w:sz w:val="12"/>
                <w:szCs w:val="12"/>
                <w:color w:val="auto"/>
              </w:rPr>
              <w:t>President of National Security</w:t>
            </w:r>
          </w:p>
        </w:tc>
        <w:tc>
          <w:tcPr>
            <w:tcW w:w="460" w:type="dxa"/>
            <w:vAlign w:val="bottom"/>
            <w:gridSpan w:val="2"/>
            <w:vMerge w:val="continue"/>
            <w:shd w:val="clear" w:color="auto" w:fill="CCEEF0"/>
          </w:tcPr>
          <w:p>
            <w:pPr>
              <w:spacing w:after="0"/>
              <w:rPr>
                <w:sz w:val="10"/>
                <w:szCs w:val="10"/>
                <w:color w:val="auto"/>
              </w:rPr>
            </w:pPr>
          </w:p>
        </w:tc>
        <w:tc>
          <w:tcPr>
            <w:tcW w:w="200" w:type="dxa"/>
            <w:vAlign w:val="bottom"/>
            <w:shd w:val="clear" w:color="auto" w:fill="CCEEF0"/>
          </w:tcPr>
          <w:p>
            <w:pPr>
              <w:spacing w:after="0"/>
              <w:rPr>
                <w:sz w:val="10"/>
                <w:szCs w:val="10"/>
                <w:color w:val="auto"/>
              </w:rPr>
            </w:pPr>
          </w:p>
        </w:tc>
        <w:tc>
          <w:tcPr>
            <w:tcW w:w="760" w:type="dxa"/>
            <w:vAlign w:val="bottom"/>
            <w:shd w:val="clear" w:color="auto" w:fill="CCEEF0"/>
          </w:tcPr>
          <w:p>
            <w:pPr>
              <w:spacing w:after="0"/>
              <w:rPr>
                <w:sz w:val="10"/>
                <w:szCs w:val="10"/>
                <w:color w:val="auto"/>
              </w:rPr>
            </w:pPr>
          </w:p>
        </w:tc>
        <w:tc>
          <w:tcPr>
            <w:tcW w:w="180" w:type="dxa"/>
            <w:vAlign w:val="bottom"/>
            <w:vMerge w:val="continue"/>
            <w:shd w:val="clear" w:color="auto" w:fill="CCEEF0"/>
          </w:tcPr>
          <w:p>
            <w:pPr>
              <w:spacing w:after="0"/>
              <w:rPr>
                <w:sz w:val="10"/>
                <w:szCs w:val="10"/>
                <w:color w:val="auto"/>
              </w:rPr>
            </w:pPr>
          </w:p>
        </w:tc>
        <w:tc>
          <w:tcPr>
            <w:tcW w:w="560" w:type="dxa"/>
            <w:vAlign w:val="bottom"/>
            <w:shd w:val="clear" w:color="auto" w:fill="CCEEF0"/>
          </w:tcPr>
          <w:p>
            <w:pPr>
              <w:spacing w:after="0"/>
              <w:rPr>
                <w:sz w:val="10"/>
                <w:szCs w:val="10"/>
                <w:color w:val="auto"/>
              </w:rPr>
            </w:pPr>
          </w:p>
        </w:tc>
        <w:tc>
          <w:tcPr>
            <w:tcW w:w="160" w:type="dxa"/>
            <w:vAlign w:val="bottom"/>
            <w:vMerge w:val="continue"/>
            <w:shd w:val="clear" w:color="auto" w:fill="CCEEF0"/>
          </w:tcPr>
          <w:p>
            <w:pPr>
              <w:spacing w:after="0"/>
              <w:rPr>
                <w:sz w:val="10"/>
                <w:szCs w:val="10"/>
                <w:color w:val="auto"/>
              </w:rPr>
            </w:pPr>
          </w:p>
        </w:tc>
        <w:tc>
          <w:tcPr>
            <w:tcW w:w="720" w:type="dxa"/>
            <w:vAlign w:val="bottom"/>
            <w:shd w:val="clear" w:color="auto" w:fill="CCEEF0"/>
          </w:tcPr>
          <w:p>
            <w:pPr>
              <w:spacing w:after="0"/>
              <w:rPr>
                <w:sz w:val="10"/>
                <w:szCs w:val="10"/>
                <w:color w:val="auto"/>
              </w:rPr>
            </w:pPr>
          </w:p>
        </w:tc>
        <w:tc>
          <w:tcPr>
            <w:tcW w:w="160" w:type="dxa"/>
            <w:vAlign w:val="bottom"/>
            <w:vMerge w:val="continue"/>
            <w:shd w:val="clear" w:color="auto" w:fill="CCEEF0"/>
          </w:tcPr>
          <w:p>
            <w:pPr>
              <w:spacing w:after="0"/>
              <w:rPr>
                <w:sz w:val="10"/>
                <w:szCs w:val="10"/>
                <w:color w:val="auto"/>
              </w:rPr>
            </w:pPr>
          </w:p>
        </w:tc>
        <w:tc>
          <w:tcPr>
            <w:tcW w:w="1000" w:type="dxa"/>
            <w:vAlign w:val="bottom"/>
            <w:vMerge w:val="continue"/>
            <w:shd w:val="clear" w:color="auto" w:fill="CCEEF0"/>
          </w:tcPr>
          <w:p>
            <w:pPr>
              <w:spacing w:after="0"/>
              <w:rPr>
                <w:sz w:val="10"/>
                <w:szCs w:val="10"/>
                <w:color w:val="auto"/>
              </w:rPr>
            </w:pPr>
          </w:p>
        </w:tc>
        <w:tc>
          <w:tcPr>
            <w:tcW w:w="1400" w:type="dxa"/>
            <w:vAlign w:val="bottom"/>
            <w:vMerge w:val="continue"/>
            <w:shd w:val="clear" w:color="auto" w:fill="CCEEF0"/>
          </w:tcPr>
          <w:p>
            <w:pPr>
              <w:spacing w:after="0"/>
              <w:rPr>
                <w:sz w:val="10"/>
                <w:szCs w:val="10"/>
                <w:color w:val="auto"/>
              </w:rPr>
            </w:pPr>
          </w:p>
        </w:tc>
        <w:tc>
          <w:tcPr>
            <w:tcW w:w="1300" w:type="dxa"/>
            <w:vAlign w:val="bottom"/>
            <w:vMerge w:val="continue"/>
            <w:shd w:val="clear" w:color="auto" w:fill="CCEEF0"/>
          </w:tcPr>
          <w:p>
            <w:pPr>
              <w:spacing w:after="0"/>
              <w:rPr>
                <w:sz w:val="10"/>
                <w:szCs w:val="10"/>
                <w:color w:val="auto"/>
              </w:rPr>
            </w:pPr>
          </w:p>
        </w:tc>
        <w:tc>
          <w:tcPr>
            <w:tcW w:w="1460" w:type="dxa"/>
            <w:vAlign w:val="bottom"/>
            <w:vMerge w:val="continue"/>
            <w:shd w:val="clear" w:color="auto" w:fill="CCEEF0"/>
          </w:tcPr>
          <w:p>
            <w:pPr>
              <w:spacing w:after="0"/>
              <w:rPr>
                <w:sz w:val="10"/>
                <w:szCs w:val="10"/>
                <w:color w:val="auto"/>
              </w:rPr>
            </w:pPr>
          </w:p>
        </w:tc>
        <w:tc>
          <w:tcPr>
            <w:tcW w:w="1000" w:type="dxa"/>
            <w:vAlign w:val="bottom"/>
            <w:vMerge w:val="continue"/>
            <w:shd w:val="clear" w:color="auto" w:fill="CCEEF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880" w:type="dxa"/>
            <w:vAlign w:val="bottom"/>
            <w:shd w:val="clear" w:color="auto" w:fill="CCEEF0"/>
          </w:tcPr>
          <w:p>
            <w:pPr>
              <w:ind w:left="40"/>
              <w:spacing w:after="0"/>
              <w:rPr>
                <w:sz w:val="20"/>
                <w:szCs w:val="20"/>
                <w:color w:val="auto"/>
              </w:rPr>
            </w:pPr>
            <w:r>
              <w:rPr>
                <w:rFonts w:ascii="Arial" w:cs="Arial" w:eastAsia="Arial" w:hAnsi="Arial"/>
                <w:sz w:val="12"/>
                <w:szCs w:val="12"/>
                <w:color w:val="auto"/>
              </w:rPr>
              <w:t>Sector</w:t>
            </w:r>
          </w:p>
        </w:tc>
        <w:tc>
          <w:tcPr>
            <w:tcW w:w="460" w:type="dxa"/>
            <w:vAlign w:val="bottom"/>
            <w:gridSpan w:val="2"/>
            <w:shd w:val="clear" w:color="auto" w:fill="CCEEF0"/>
          </w:tcPr>
          <w:p>
            <w:pPr>
              <w:jc w:val="right"/>
              <w:spacing w:after="0"/>
              <w:rPr>
                <w:sz w:val="20"/>
                <w:szCs w:val="20"/>
                <w:color w:val="auto"/>
              </w:rPr>
            </w:pPr>
            <w:r>
              <w:rPr>
                <w:rFonts w:ascii="Arial" w:cs="Arial" w:eastAsia="Arial" w:hAnsi="Arial"/>
                <w:sz w:val="12"/>
                <w:szCs w:val="12"/>
                <w:color w:val="auto"/>
              </w:rPr>
              <w:t>2024</w:t>
            </w:r>
          </w:p>
        </w:tc>
        <w:tc>
          <w:tcPr>
            <w:tcW w:w="200" w:type="dxa"/>
            <w:vAlign w:val="bottom"/>
            <w:shd w:val="clear" w:color="auto" w:fill="CCEEF0"/>
          </w:tcPr>
          <w:p>
            <w:pPr>
              <w:spacing w:after="0"/>
              <w:rPr>
                <w:sz w:val="19"/>
                <w:szCs w:val="19"/>
                <w:color w:val="auto"/>
              </w:rPr>
            </w:pPr>
          </w:p>
        </w:tc>
        <w:tc>
          <w:tcPr>
            <w:tcW w:w="760" w:type="dxa"/>
            <w:vAlign w:val="bottom"/>
            <w:shd w:val="clear" w:color="auto" w:fill="CCEEF0"/>
          </w:tcPr>
          <w:p>
            <w:pPr>
              <w:spacing w:after="0"/>
              <w:rPr>
                <w:sz w:val="19"/>
                <w:szCs w:val="19"/>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0"/>
          </w:tcPr>
          <w:p>
            <w:pPr>
              <w:spacing w:after="0"/>
              <w:rPr>
                <w:sz w:val="19"/>
                <w:szCs w:val="19"/>
                <w:color w:val="auto"/>
              </w:rPr>
            </w:pPr>
          </w:p>
        </w:tc>
        <w:tc>
          <w:tcPr>
            <w:tcW w:w="160" w:type="dxa"/>
            <w:vAlign w:val="bottom"/>
            <w:shd w:val="clear" w:color="auto" w:fill="CCEEF0"/>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0"/>
          </w:tcPr>
          <w:p>
            <w:pPr>
              <w:spacing w:after="0"/>
              <w:rPr>
                <w:sz w:val="19"/>
                <w:szCs w:val="19"/>
                <w:color w:val="auto"/>
              </w:rPr>
            </w:pPr>
          </w:p>
        </w:tc>
        <w:tc>
          <w:tcPr>
            <w:tcW w:w="160" w:type="dxa"/>
            <w:vAlign w:val="bottom"/>
            <w:shd w:val="clear" w:color="auto" w:fill="CCEEF0"/>
          </w:tcPr>
          <w:p>
            <w:pPr>
              <w:jc w:val="right"/>
              <w:spacing w:after="0"/>
              <w:rPr>
                <w:sz w:val="20"/>
                <w:szCs w:val="20"/>
                <w:color w:val="auto"/>
              </w:rPr>
            </w:pPr>
            <w:r>
              <w:rPr>
                <w:rFonts w:ascii="Arial" w:cs="Arial" w:eastAsia="Arial" w:hAnsi="Arial"/>
                <w:sz w:val="12"/>
                <w:szCs w:val="12"/>
                <w:color w:val="auto"/>
                <w:w w:val="99"/>
              </w:rPr>
              <w:t>—</w:t>
            </w:r>
          </w:p>
        </w:tc>
        <w:tc>
          <w:tcPr>
            <w:tcW w:w="100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0"/>
          </w:tcPr>
          <w:p>
            <w:pPr>
              <w:jc w:val="right"/>
              <w:ind w:right="78"/>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0"/>
          </w:tcPr>
          <w:p>
            <w:pPr>
              <w:jc w:val="right"/>
              <w:ind w:right="58"/>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0"/>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80" w:type="dxa"/>
            <w:vAlign w:val="bottom"/>
          </w:tcPr>
          <w:p>
            <w:pPr>
              <w:ind w:left="40"/>
              <w:spacing w:after="0" w:line="145" w:lineRule="exact"/>
              <w:rPr>
                <w:sz w:val="20"/>
                <w:szCs w:val="20"/>
                <w:color w:val="auto"/>
              </w:rPr>
            </w:pPr>
            <w:r>
              <w:rPr>
                <w:rFonts w:ascii="Arial" w:cs="Arial" w:eastAsia="Arial" w:hAnsi="Arial"/>
                <w:sz w:val="12"/>
                <w:szCs w:val="12"/>
                <w:b w:val="1"/>
                <w:bCs w:val="1"/>
                <w:color w:val="auto"/>
              </w:rPr>
              <w:t xml:space="preserve">Matthew A. Calderone </w:t>
            </w:r>
            <w:r>
              <w:rPr>
                <w:rFonts w:ascii="Arial" w:cs="Arial" w:eastAsia="Arial" w:hAnsi="Arial"/>
                <w:sz w:val="16"/>
                <w:szCs w:val="16"/>
                <w:b w:val="1"/>
                <w:bCs w:val="1"/>
                <w:color w:val="auto"/>
                <w:vertAlign w:val="superscript"/>
              </w:rPr>
              <w:t>7</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2026</w:t>
            </w:r>
          </w:p>
        </w:tc>
        <w:tc>
          <w:tcPr>
            <w:tcW w:w="200" w:type="dxa"/>
            <w:vAlign w:val="bottom"/>
          </w:tcPr>
          <w:p>
            <w:pPr>
              <w:spacing w:after="0"/>
              <w:rPr>
                <w:sz w:val="12"/>
                <w:szCs w:val="12"/>
                <w:color w:val="auto"/>
              </w:rPr>
            </w:pPr>
          </w:p>
        </w:tc>
        <w:tc>
          <w:tcPr>
            <w:tcW w:w="760" w:type="dxa"/>
            <w:vAlign w:val="bottom"/>
          </w:tcPr>
          <w:p>
            <w:pPr>
              <w:jc w:val="center"/>
              <w:ind w:left="118"/>
              <w:spacing w:after="0"/>
              <w:rPr>
                <w:sz w:val="20"/>
                <w:szCs w:val="20"/>
                <w:color w:val="auto"/>
              </w:rPr>
            </w:pPr>
            <w:r>
              <w:rPr>
                <w:rFonts w:ascii="Arial" w:cs="Arial" w:eastAsia="Arial" w:hAnsi="Arial"/>
                <w:sz w:val="12"/>
                <w:szCs w:val="12"/>
                <w:color w:val="auto"/>
              </w:rPr>
              <w:t>625,000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1,741,486</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78"/>
              <w:spacing w:after="0"/>
              <w:rPr>
                <w:sz w:val="20"/>
                <w:szCs w:val="20"/>
                <w:color w:val="auto"/>
              </w:rPr>
            </w:pPr>
            <w:r>
              <w:rPr>
                <w:rFonts w:ascii="Arial" w:cs="Arial" w:eastAsia="Arial" w:hAnsi="Arial"/>
                <w:sz w:val="12"/>
                <w:szCs w:val="12"/>
                <w:color w:val="auto"/>
              </w:rPr>
              <w:t>567,743</w:t>
            </w:r>
          </w:p>
        </w:tc>
        <w:tc>
          <w:tcPr>
            <w:tcW w:w="1300" w:type="dxa"/>
            <w:vAlign w:val="bottom"/>
          </w:tcPr>
          <w:p>
            <w:pPr>
              <w:jc w:val="right"/>
              <w:ind w:right="58"/>
              <w:spacing w:after="0"/>
              <w:rPr>
                <w:sz w:val="20"/>
                <w:szCs w:val="20"/>
                <w:color w:val="auto"/>
              </w:rPr>
            </w:pPr>
            <w:r>
              <w:rPr>
                <w:rFonts w:ascii="Arial" w:cs="Arial" w:eastAsia="Arial" w:hAnsi="Arial"/>
                <w:sz w:val="12"/>
                <w:szCs w:val="12"/>
                <w:color w:val="auto"/>
              </w:rPr>
              <w:t>16,800</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186,272</w:t>
            </w:r>
          </w:p>
        </w:tc>
        <w:tc>
          <w:tcPr>
            <w:tcW w:w="1000" w:type="dxa"/>
            <w:vAlign w:val="bottom"/>
          </w:tcPr>
          <w:p>
            <w:pPr>
              <w:jc w:val="right"/>
              <w:spacing w:after="0"/>
              <w:rPr>
                <w:sz w:val="20"/>
                <w:szCs w:val="20"/>
                <w:color w:val="auto"/>
              </w:rPr>
            </w:pPr>
            <w:r>
              <w:rPr>
                <w:rFonts w:ascii="Arial" w:cs="Arial" w:eastAsia="Arial" w:hAnsi="Arial"/>
                <w:sz w:val="12"/>
                <w:szCs w:val="12"/>
                <w:color w:val="auto"/>
              </w:rPr>
              <w:t>3,137,301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80" w:type="dxa"/>
            <w:vAlign w:val="bottom"/>
          </w:tcPr>
          <w:p>
            <w:pPr>
              <w:ind w:left="40"/>
              <w:spacing w:after="0" w:line="106" w:lineRule="exact"/>
              <w:rPr>
                <w:sz w:val="20"/>
                <w:szCs w:val="20"/>
                <w:color w:val="auto"/>
              </w:rPr>
            </w:pPr>
            <w:r>
              <w:rPr>
                <w:rFonts w:ascii="Arial" w:cs="Arial" w:eastAsia="Arial" w:hAnsi="Arial"/>
                <w:sz w:val="12"/>
                <w:szCs w:val="12"/>
                <w:color w:val="auto"/>
              </w:rPr>
              <w:t>Former Executive Vice President,</w:t>
            </w: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color w:val="auto"/>
              </w:rPr>
              <w:t>2025</w:t>
            </w:r>
          </w:p>
        </w:tc>
        <w:tc>
          <w:tcPr>
            <w:tcW w:w="200" w:type="dxa"/>
            <w:vAlign w:val="bottom"/>
          </w:tcPr>
          <w:p>
            <w:pPr>
              <w:spacing w:after="0"/>
              <w:rPr>
                <w:sz w:val="9"/>
                <w:szCs w:val="9"/>
                <w:color w:val="auto"/>
              </w:rPr>
            </w:pPr>
          </w:p>
        </w:tc>
        <w:tc>
          <w:tcPr>
            <w:tcW w:w="760" w:type="dxa"/>
            <w:vAlign w:val="bottom"/>
            <w:vMerge w:val="restart"/>
          </w:tcPr>
          <w:p>
            <w:pPr>
              <w:jc w:val="center"/>
              <w:ind w:left="118"/>
              <w:spacing w:after="0"/>
              <w:rPr>
                <w:sz w:val="20"/>
                <w:szCs w:val="20"/>
                <w:color w:val="auto"/>
              </w:rPr>
            </w:pPr>
            <w:r>
              <w:rPr>
                <w:rFonts w:ascii="Arial" w:cs="Arial" w:eastAsia="Arial" w:hAnsi="Arial"/>
                <w:sz w:val="12"/>
                <w:szCs w:val="12"/>
                <w:color w:val="auto"/>
              </w:rPr>
              <w:t>750,000</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auto"/>
              </w:rPr>
              <w:t>4,919,130</w:t>
            </w:r>
          </w:p>
        </w:tc>
        <w:tc>
          <w:tcPr>
            <w:tcW w:w="1000" w:type="dxa"/>
            <w:vAlign w:val="bottom"/>
            <w:vMerge w:val="restart"/>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vMerge w:val="restart"/>
          </w:tcPr>
          <w:p>
            <w:pPr>
              <w:jc w:val="right"/>
              <w:ind w:right="78"/>
              <w:spacing w:after="0"/>
              <w:rPr>
                <w:sz w:val="20"/>
                <w:szCs w:val="20"/>
                <w:color w:val="auto"/>
              </w:rPr>
            </w:pPr>
            <w:r>
              <w:rPr>
                <w:rFonts w:ascii="Arial" w:cs="Arial" w:eastAsia="Arial" w:hAnsi="Arial"/>
                <w:sz w:val="12"/>
                <w:szCs w:val="12"/>
                <w:color w:val="auto"/>
              </w:rPr>
              <w:t>645,000</w:t>
            </w:r>
          </w:p>
        </w:tc>
        <w:tc>
          <w:tcPr>
            <w:tcW w:w="1300" w:type="dxa"/>
            <w:vAlign w:val="bottom"/>
            <w:vMerge w:val="restart"/>
          </w:tcPr>
          <w:p>
            <w:pPr>
              <w:jc w:val="right"/>
              <w:ind w:right="58"/>
              <w:spacing w:after="0"/>
              <w:rPr>
                <w:sz w:val="20"/>
                <w:szCs w:val="20"/>
                <w:color w:val="auto"/>
              </w:rPr>
            </w:pPr>
            <w:r>
              <w:rPr>
                <w:rFonts w:ascii="Arial" w:cs="Arial" w:eastAsia="Arial" w:hAnsi="Arial"/>
                <w:sz w:val="12"/>
                <w:szCs w:val="12"/>
                <w:color w:val="auto"/>
              </w:rPr>
              <w:t>20,000</w:t>
            </w:r>
          </w:p>
        </w:tc>
        <w:tc>
          <w:tcPr>
            <w:tcW w:w="1460" w:type="dxa"/>
            <w:vAlign w:val="bottom"/>
            <w:vMerge w:val="restart"/>
          </w:tcPr>
          <w:p>
            <w:pPr>
              <w:jc w:val="right"/>
              <w:ind w:right="198"/>
              <w:spacing w:after="0"/>
              <w:rPr>
                <w:sz w:val="20"/>
                <w:szCs w:val="20"/>
                <w:color w:val="auto"/>
              </w:rPr>
            </w:pPr>
            <w:r>
              <w:rPr>
                <w:rFonts w:ascii="Arial" w:cs="Arial" w:eastAsia="Arial" w:hAnsi="Arial"/>
                <w:sz w:val="12"/>
                <w:szCs w:val="12"/>
                <w:color w:val="auto"/>
              </w:rPr>
              <w:t>164,613</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6,498,743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880" w:type="dxa"/>
            <w:vAlign w:val="bottom"/>
          </w:tcPr>
          <w:p>
            <w:pPr>
              <w:ind w:left="40"/>
              <w:spacing w:after="0"/>
              <w:rPr>
                <w:sz w:val="20"/>
                <w:szCs w:val="20"/>
                <w:color w:val="auto"/>
              </w:rPr>
            </w:pPr>
            <w:r>
              <w:rPr>
                <w:rFonts w:ascii="Arial" w:cs="Arial" w:eastAsia="Arial" w:hAnsi="Arial"/>
                <w:sz w:val="12"/>
                <w:szCs w:val="12"/>
                <w:color w:val="auto"/>
              </w:rPr>
              <w:t>Chief Financial Officer</w:t>
            </w: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2024</w:t>
            </w:r>
          </w:p>
        </w:tc>
        <w:tc>
          <w:tcPr>
            <w:tcW w:w="200" w:type="dxa"/>
            <w:vAlign w:val="bottom"/>
          </w:tcPr>
          <w:p>
            <w:pPr>
              <w:spacing w:after="0"/>
              <w:rPr>
                <w:sz w:val="14"/>
                <w:szCs w:val="14"/>
                <w:color w:val="auto"/>
              </w:rPr>
            </w:pPr>
          </w:p>
        </w:tc>
        <w:tc>
          <w:tcPr>
            <w:tcW w:w="760" w:type="dxa"/>
            <w:vAlign w:val="bottom"/>
          </w:tcPr>
          <w:p>
            <w:pPr>
              <w:jc w:val="center"/>
              <w:ind w:left="118"/>
              <w:spacing w:after="0"/>
              <w:rPr>
                <w:sz w:val="20"/>
                <w:szCs w:val="20"/>
                <w:color w:val="auto"/>
              </w:rPr>
            </w:pPr>
            <w:r>
              <w:rPr>
                <w:rFonts w:ascii="Arial" w:cs="Arial" w:eastAsia="Arial" w:hAnsi="Arial"/>
                <w:sz w:val="12"/>
                <w:szCs w:val="12"/>
                <w:color w:val="auto"/>
              </w:rPr>
              <w:t>650,000</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1,455,856</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78"/>
              <w:spacing w:after="0"/>
              <w:rPr>
                <w:sz w:val="20"/>
                <w:szCs w:val="20"/>
                <w:color w:val="auto"/>
              </w:rPr>
            </w:pPr>
            <w:r>
              <w:rPr>
                <w:rFonts w:ascii="Arial" w:cs="Arial" w:eastAsia="Arial" w:hAnsi="Arial"/>
                <w:sz w:val="12"/>
                <w:szCs w:val="12"/>
                <w:color w:val="auto"/>
              </w:rPr>
              <w:t>1,040,000</w:t>
            </w:r>
          </w:p>
        </w:tc>
        <w:tc>
          <w:tcPr>
            <w:tcW w:w="1300" w:type="dxa"/>
            <w:vAlign w:val="bottom"/>
          </w:tcPr>
          <w:p>
            <w:pPr>
              <w:jc w:val="right"/>
              <w:ind w:right="58"/>
              <w:spacing w:after="0"/>
              <w:rPr>
                <w:sz w:val="20"/>
                <w:szCs w:val="20"/>
                <w:color w:val="auto"/>
              </w:rPr>
            </w:pPr>
            <w:r>
              <w:rPr>
                <w:rFonts w:ascii="Arial" w:cs="Arial" w:eastAsia="Arial" w:hAnsi="Arial"/>
                <w:sz w:val="12"/>
                <w:szCs w:val="12"/>
                <w:color w:val="auto"/>
              </w:rPr>
              <w:t>130,000</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154,948</w:t>
            </w:r>
          </w:p>
        </w:tc>
        <w:tc>
          <w:tcPr>
            <w:tcW w:w="1000" w:type="dxa"/>
            <w:vAlign w:val="bottom"/>
          </w:tcPr>
          <w:p>
            <w:pPr>
              <w:jc w:val="right"/>
              <w:spacing w:after="0"/>
              <w:rPr>
                <w:sz w:val="20"/>
                <w:szCs w:val="20"/>
                <w:color w:val="auto"/>
              </w:rPr>
            </w:pPr>
            <w:r>
              <w:rPr>
                <w:rFonts w:ascii="Arial" w:cs="Arial" w:eastAsia="Arial" w:hAnsi="Arial"/>
                <w:sz w:val="12"/>
                <w:szCs w:val="12"/>
                <w:color w:val="auto"/>
              </w:rPr>
              <w:t>3,430,804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80" w:right="20" w:hanging="315"/>
        <w:spacing w:after="0" w:line="293"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Compensation is provided only for fiscal years for which each individual qualified as a named executive officer. The fiscal year runs from April 1 through March 31 of the subsequent calendar year. Mr. Calderone's base salary for fiscal year 2026 reflects partial- year service through his retirement date.</w:t>
      </w:r>
    </w:p>
    <w:p>
      <w:pPr>
        <w:spacing w:after="0" w:line="58" w:lineRule="exact"/>
        <w:rPr>
          <w:rFonts w:ascii="Arial" w:cs="Arial" w:eastAsia="Arial" w:hAnsi="Arial"/>
          <w:sz w:val="13"/>
          <w:szCs w:val="13"/>
          <w:color w:val="auto"/>
        </w:rPr>
      </w:pPr>
    </w:p>
    <w:p>
      <w:pPr>
        <w:jc w:val="both"/>
        <w:ind w:left="480" w:right="20" w:hanging="315"/>
        <w:spacing w:after="0" w:line="259"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of the time- and performance-based restricted stock units granted to our named executive officers in fiscal year 2026. The grant date fair value of the time-based restricted stock units is measured in accordance with FASB ASC 718 and based on the closing price of the Company’s common stock on the date of grant. The grant date fair value of the performance-based restricted stock units is calculated using a Monte-Carlo model for each award on the date of grant, as determined under FASB ASC 718 based on the probable outcome of the performance condition as of the grant date. This column reflects the grant assumptions set forth in Note 17 to our financial statements included in our Annual Report on Form 10-K for the fiscal year ended March 31, 2026, which are incorporated by reference herein, modified to exclude any forfeiture assumptions related to service-based vesting conditions. The amounts in this column do not reflect the value, if any, that ultimately may be realized by the executive. Assuming the maximum level of performance is achieved, the value at the grant date of the fiscal year 2026 performance-based restricted stock units reflected in this column would be as follows: Mr. Rozanski, $15,283,284; Ms. Anderson, $2,996,825, Mr. Crowe, $1,947,875, Ms. Inserra, $1,798,073, Mr. Pfeifer, $1,947,875, and Mr. Calderone, $2,547,418. Pursuant to the terms of the Equity Incentive Plan and applicable award agreements, Mr. Calderone forfeited the grants of time- and performance-based restricted stock units received in fiscal year 2026 upon his retirement from the Company effective February 1, 2026.</w:t>
      </w:r>
    </w:p>
    <w:p>
      <w:pPr>
        <w:spacing w:after="0" w:line="80" w:lineRule="exact"/>
        <w:rPr>
          <w:rFonts w:ascii="Arial" w:cs="Arial" w:eastAsia="Arial" w:hAnsi="Arial"/>
          <w:sz w:val="13"/>
          <w:szCs w:val="13"/>
          <w:color w:val="auto"/>
        </w:rPr>
      </w:pPr>
    </w:p>
    <w:p>
      <w:pPr>
        <w:jc w:val="both"/>
        <w:ind w:left="480" w:right="20" w:hanging="315"/>
        <w:spacing w:after="0" w:line="267"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of the stock options granted to Ms. Inserra in fiscal year 2026 in connection with her appointment to the Leadership Team, computed in accordance with FASB ASC Topic 718 using the valuation methodology and assumptions set forth in Note 17 to our financial statements included in our Annual Report on Form 10-K for the fiscal year ended March 31, 2026, which are incorporated by reference herein, modified to exclude any forfeiture assumptions related to service-based vesting conditions. The amount in this column does not reflect the value, if any, that ultimately may be realized by the executive.</w:t>
      </w:r>
    </w:p>
    <w:p>
      <w:pPr>
        <w:spacing w:after="0" w:line="75" w:lineRule="exact"/>
        <w:rPr>
          <w:rFonts w:ascii="Arial" w:cs="Arial" w:eastAsia="Arial" w:hAnsi="Arial"/>
          <w:sz w:val="13"/>
          <w:szCs w:val="13"/>
          <w:color w:val="auto"/>
        </w:rPr>
      </w:pPr>
    </w:p>
    <w:p>
      <w:pPr>
        <w:jc w:val="both"/>
        <w:ind w:left="480" w:right="20" w:hanging="315"/>
        <w:spacing w:after="0" w:line="267"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column reflects the fiscal year 2026 annual cash incentive bonus program, which provides awards based on the achievement of corporate performance objectives. The amounts reported in this column relate to the year in which such bonuses were earned by each of our named executive officers. For Mr. Calderone, his annual cash incentive bonus was prorated for the portion of fiscal year 2026 that elapsed prior to his retirement date. See “Compensation Discussion and Analysis—Compensation Elements—Annual Cash Incentive” for additional detail regarding the annual performance bonus program.</w:t>
      </w:r>
    </w:p>
    <w:p>
      <w:pPr>
        <w:spacing w:after="0" w:line="75" w:lineRule="exact"/>
        <w:rPr>
          <w:rFonts w:ascii="Arial" w:cs="Arial" w:eastAsia="Arial" w:hAnsi="Arial"/>
          <w:sz w:val="13"/>
          <w:szCs w:val="13"/>
          <w:color w:val="auto"/>
        </w:rPr>
      </w:pPr>
    </w:p>
    <w:p>
      <w:pPr>
        <w:ind w:left="480" w:right="20" w:hanging="315"/>
        <w:spacing w:after="0" w:line="293"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column reflects the change in the actuarial present value of the cash retirement benefit accrued under the Officers' Retirement Plan for each of our named executive officers from fiscal year-end 2025 to fiscal year-end 2026.</w:t>
      </w:r>
    </w:p>
    <w:p>
      <w:pPr>
        <w:spacing w:after="0" w:line="58" w:lineRule="exact"/>
        <w:rPr>
          <w:rFonts w:ascii="Arial" w:cs="Arial" w:eastAsia="Arial" w:hAnsi="Arial"/>
          <w:sz w:val="13"/>
          <w:szCs w:val="13"/>
          <w:color w:val="auto"/>
        </w:rPr>
      </w:pPr>
    </w:p>
    <w:p>
      <w:pPr>
        <w:ind w:left="480" w:right="20" w:hanging="315"/>
        <w:spacing w:after="0" w:line="293" w:lineRule="auto"/>
        <w:tabs>
          <w:tab w:leader="none" w:pos="483" w:val="left"/>
        </w:tabs>
        <w:numPr>
          <w:ilvl w:val="0"/>
          <w:numId w:val="48"/>
        </w:numPr>
        <w:rPr>
          <w:rFonts w:ascii="Arial" w:cs="Arial" w:eastAsia="Arial" w:hAnsi="Arial"/>
          <w:sz w:val="13"/>
          <w:szCs w:val="13"/>
          <w:color w:val="auto"/>
        </w:rPr>
      </w:pPr>
      <w:r>
        <w:rPr>
          <w:rFonts w:ascii="Arial" w:cs="Arial" w:eastAsia="Arial" w:hAnsi="Arial"/>
          <w:sz w:val="13"/>
          <w:szCs w:val="13"/>
          <w:color w:val="auto"/>
        </w:rPr>
        <w:t>Ms. Inserra and Mr. Pfeifer were not named executive officers in fiscal years 2024 and 2025. Mr. Crowe was not a named executive officer in fiscal year 2024. Accordingly, no compensation information is provided for Ms. Inserra, and Messrs. Pfeifer and Crowe for those respective fiscal years.</w:t>
      </w:r>
    </w:p>
    <w:p>
      <w:pPr>
        <w:spacing w:after="0" w:line="58" w:lineRule="exact"/>
        <w:rPr>
          <w:rFonts w:ascii="Arial" w:cs="Arial" w:eastAsia="Arial" w:hAnsi="Arial"/>
          <w:sz w:val="13"/>
          <w:szCs w:val="13"/>
          <w:color w:val="auto"/>
        </w:rPr>
      </w:pPr>
    </w:p>
    <w:p>
      <w:pPr>
        <w:ind w:left="480" w:hanging="315"/>
        <w:spacing w:after="0"/>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Calderone, former Executive Vice President, Chief Financial Officer, retired in fiscal year 2026.</w:t>
      </w:r>
    </w:p>
    <w:p>
      <w:pPr>
        <w:spacing w:after="0" w:line="115" w:lineRule="exact"/>
        <w:rPr>
          <w:rFonts w:ascii="Arial" w:cs="Arial" w:eastAsia="Arial" w:hAnsi="Arial"/>
          <w:sz w:val="13"/>
          <w:szCs w:val="13"/>
          <w:color w:val="auto"/>
        </w:rPr>
      </w:pPr>
    </w:p>
    <w:p>
      <w:pPr>
        <w:ind w:left="480" w:hanging="315"/>
        <w:spacing w:after="0"/>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table below describes the elements included in All Other Compensation for fiscal year 2026.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038" w:right="31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828675</wp:posOffset>
            </wp:positionH>
            <wp:positionV relativeFrom="page">
              <wp:posOffset>685800</wp:posOffset>
            </wp:positionV>
            <wp:extent cx="5908040" cy="1361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08040" cy="1361440"/>
                    </a:xfrm>
                    <a:prstGeom prst="rect">
                      <a:avLst/>
                    </a:prstGeom>
                    <a:noFill/>
                  </pic:spPr>
                </pic:pic>
              </a:graphicData>
            </a:graphic>
          </wp:anchor>
        </w:drawing>
        <w:t>OTHER COMPENSATION TABLE</w:t>
      </w:r>
    </w:p>
    <w:p>
      <w:pPr>
        <w:spacing w:after="0" w:line="23"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1680" w:type="dxa"/>
            <w:vAlign w:val="bottom"/>
            <w:shd w:val="clear" w:color="auto" w:fill="00A5B5"/>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2"/>
                <w:szCs w:val="12"/>
                <w:b w:val="1"/>
                <w:bCs w:val="1"/>
                <w:color w:val="FFFFFF"/>
              </w:rPr>
              <w:t>Qualified</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FFFFFF"/>
              </w:rPr>
              <w:t>Company Non-</w:t>
            </w:r>
          </w:p>
        </w:tc>
        <w:tc>
          <w:tcPr>
            <w:tcW w:w="1400" w:type="dxa"/>
            <w:vAlign w:val="bottom"/>
            <w:vMerge w:val="restart"/>
          </w:tcPr>
          <w:p>
            <w:pPr>
              <w:jc w:val="center"/>
              <w:spacing w:after="0"/>
              <w:rPr>
                <w:sz w:val="20"/>
                <w:szCs w:val="20"/>
                <w:color w:val="auto"/>
              </w:rPr>
            </w:pPr>
            <w:r>
              <w:rPr>
                <w:rFonts w:ascii="Arial" w:cs="Arial" w:eastAsia="Arial" w:hAnsi="Arial"/>
                <w:sz w:val="12"/>
                <w:szCs w:val="12"/>
                <w:b w:val="1"/>
                <w:bCs w:val="1"/>
                <w:color w:val="FFFFFF"/>
              </w:rPr>
              <w:t>Executive</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80" w:type="dxa"/>
            <w:vAlign w:val="bottom"/>
            <w:shd w:val="clear" w:color="auto" w:fill="00A5B5"/>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Qualified</w:t>
            </w:r>
          </w:p>
        </w:tc>
        <w:tc>
          <w:tcPr>
            <w:tcW w:w="14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80" w:type="dxa"/>
            <w:vAlign w:val="bottom"/>
            <w:shd w:val="clear" w:color="auto" w:fill="00A5B5"/>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FFFFFF"/>
              </w:rPr>
              <w:t>Financial</w:t>
            </w:r>
          </w:p>
        </w:tc>
        <w:tc>
          <w:tcPr>
            <w:tcW w:w="1160" w:type="dxa"/>
            <w:vAlign w:val="bottom"/>
          </w:tcPr>
          <w:p>
            <w:pPr>
              <w:jc w:val="center"/>
              <w:spacing w:after="0" w:line="120" w:lineRule="exact"/>
              <w:rPr>
                <w:sz w:val="20"/>
                <w:szCs w:val="20"/>
                <w:color w:val="auto"/>
              </w:rPr>
            </w:pPr>
            <w:r>
              <w:rPr>
                <w:rFonts w:ascii="Arial" w:cs="Arial" w:eastAsia="Arial" w:hAnsi="Arial"/>
                <w:sz w:val="12"/>
                <w:szCs w:val="12"/>
                <w:b w:val="1"/>
                <w:bCs w:val="1"/>
                <w:color w:val="FFFFFF"/>
              </w:rPr>
              <w:t>Company</w:t>
            </w:r>
          </w:p>
        </w:tc>
        <w:tc>
          <w:tcPr>
            <w:tcW w:w="1180" w:type="dxa"/>
            <w:vAlign w:val="bottom"/>
          </w:tcPr>
          <w:p>
            <w:pPr>
              <w:jc w:val="center"/>
              <w:spacing w:after="0" w:line="120" w:lineRule="exact"/>
              <w:rPr>
                <w:sz w:val="20"/>
                <w:szCs w:val="20"/>
                <w:color w:val="auto"/>
              </w:rPr>
            </w:pPr>
            <w:r>
              <w:rPr>
                <w:rFonts w:ascii="Arial" w:cs="Arial" w:eastAsia="Arial" w:hAnsi="Arial"/>
                <w:sz w:val="12"/>
                <w:szCs w:val="12"/>
                <w:b w:val="1"/>
                <w:bCs w:val="1"/>
                <w:color w:val="FFFFFF"/>
              </w:rPr>
              <w:t>Retirement</w:t>
            </w:r>
          </w:p>
        </w:tc>
        <w:tc>
          <w:tcPr>
            <w:tcW w:w="1400" w:type="dxa"/>
            <w:vAlign w:val="bottom"/>
          </w:tcPr>
          <w:p>
            <w:pPr>
              <w:jc w:val="center"/>
              <w:spacing w:after="0" w:line="120" w:lineRule="exact"/>
              <w:rPr>
                <w:sz w:val="20"/>
                <w:szCs w:val="20"/>
                <w:color w:val="auto"/>
              </w:rPr>
            </w:pPr>
            <w:r>
              <w:rPr>
                <w:rFonts w:ascii="Arial" w:cs="Arial" w:eastAsia="Arial" w:hAnsi="Arial"/>
                <w:sz w:val="12"/>
                <w:szCs w:val="12"/>
                <w:b w:val="1"/>
                <w:bCs w:val="1"/>
                <w:color w:val="FFFFFF"/>
              </w:rPr>
              <w:t>Medical and Retiree</w:t>
            </w:r>
          </w:p>
        </w:tc>
        <w:tc>
          <w:tcPr>
            <w:tcW w:w="96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FFFFFF"/>
              </w:rPr>
              <w:t>Life</w:t>
            </w: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80" w:type="dxa"/>
            <w:vAlign w:val="bottom"/>
            <w:vMerge w:val="restart"/>
            <w:shd w:val="clear" w:color="auto" w:fill="00A5B5"/>
          </w:tcPr>
          <w:p>
            <w:pPr>
              <w:ind w:left="20"/>
              <w:spacing w:after="0"/>
              <w:rPr>
                <w:sz w:val="20"/>
                <w:szCs w:val="20"/>
                <w:color w:val="auto"/>
              </w:rPr>
            </w:pPr>
            <w:r>
              <w:rPr>
                <w:rFonts w:ascii="Arial" w:cs="Arial" w:eastAsia="Arial" w:hAnsi="Arial"/>
                <w:sz w:val="12"/>
                <w:szCs w:val="12"/>
                <w:b w:val="1"/>
                <w:bCs w:val="1"/>
                <w:color w:val="FFFFFF"/>
              </w:rPr>
              <w:t>Name</w:t>
            </w:r>
          </w:p>
        </w:tc>
        <w:tc>
          <w:tcPr>
            <w:tcW w:w="1100" w:type="dxa"/>
            <w:vAlign w:val="bottom"/>
            <w:vMerge w:val="continue"/>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Contributions</w:t>
            </w: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Contributions</w:t>
            </w:r>
          </w:p>
        </w:tc>
        <w:tc>
          <w:tcPr>
            <w:tcW w:w="140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Plan</w:t>
            </w:r>
          </w:p>
        </w:tc>
        <w:tc>
          <w:tcPr>
            <w:tcW w:w="960" w:type="dxa"/>
            <w:vAlign w:val="bottom"/>
            <w:vMerge w:val="continue"/>
          </w:tcPr>
          <w:p>
            <w:pPr>
              <w:spacing w:after="0"/>
              <w:rPr>
                <w:sz w:val="11"/>
                <w:szCs w:val="11"/>
                <w:color w:val="auto"/>
              </w:rPr>
            </w:pPr>
          </w:p>
        </w:tc>
        <w:tc>
          <w:tcPr>
            <w:tcW w:w="880" w:type="dxa"/>
            <w:vAlign w:val="bottom"/>
            <w:vMerge w:val="restart"/>
          </w:tcPr>
          <w:p>
            <w:pPr>
              <w:ind w:left="220"/>
              <w:spacing w:after="0"/>
              <w:rPr>
                <w:sz w:val="20"/>
                <w:szCs w:val="20"/>
                <w:color w:val="auto"/>
              </w:rPr>
            </w:pPr>
            <w:r>
              <w:rPr>
                <w:rFonts w:ascii="Arial" w:cs="Arial" w:eastAsia="Arial" w:hAnsi="Arial"/>
                <w:sz w:val="12"/>
                <w:szCs w:val="12"/>
                <w:b w:val="1"/>
                <w:bCs w:val="1"/>
                <w:color w:val="FFFFFF"/>
              </w:rPr>
              <w:t xml:space="preserve">Other </w:t>
            </w:r>
            <w:r>
              <w:rPr>
                <w:rFonts w:ascii="Arial" w:cs="Arial" w:eastAsia="Arial" w:hAnsi="Arial"/>
                <w:sz w:val="16"/>
                <w:szCs w:val="16"/>
                <w:b w:val="1"/>
                <w:bCs w:val="1"/>
                <w:color w:val="FFFFFF"/>
                <w:vertAlign w:val="superscript"/>
              </w:rPr>
              <w:t>c</w:t>
            </w:r>
          </w:p>
        </w:tc>
        <w:tc>
          <w:tcPr>
            <w:tcW w:w="940" w:type="dxa"/>
            <w:vAlign w:val="bottom"/>
            <w:vMerge w:val="restart"/>
          </w:tcPr>
          <w:p>
            <w:pPr>
              <w:ind w:left="320"/>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72"/>
        </w:trPr>
        <w:tc>
          <w:tcPr>
            <w:tcW w:w="1680" w:type="dxa"/>
            <w:vAlign w:val="bottom"/>
            <w:vMerge w:val="continue"/>
            <w:shd w:val="clear" w:color="auto" w:fill="00A5B5"/>
          </w:tcPr>
          <w:p>
            <w:pPr>
              <w:spacing w:after="0"/>
              <w:rPr>
                <w:sz w:val="14"/>
                <w:szCs w:val="14"/>
                <w:color w:val="auto"/>
              </w:rPr>
            </w:pPr>
          </w:p>
        </w:tc>
        <w:tc>
          <w:tcPr>
            <w:tcW w:w="1100" w:type="dxa"/>
            <w:vAlign w:val="bottom"/>
          </w:tcPr>
          <w:p>
            <w:pPr>
              <w:jc w:val="center"/>
              <w:spacing w:after="0" w:line="172" w:lineRule="exact"/>
              <w:rPr>
                <w:sz w:val="20"/>
                <w:szCs w:val="20"/>
                <w:color w:val="auto"/>
              </w:rPr>
            </w:pPr>
            <w:r>
              <w:rPr>
                <w:rFonts w:ascii="Arial" w:cs="Arial" w:eastAsia="Arial" w:hAnsi="Arial"/>
                <w:sz w:val="12"/>
                <w:szCs w:val="12"/>
                <w:b w:val="1"/>
                <w:bCs w:val="1"/>
                <w:color w:val="FFFFFF"/>
              </w:rPr>
              <w:t xml:space="preserve">Counseling </w:t>
            </w:r>
            <w:r>
              <w:rPr>
                <w:rFonts w:ascii="Arial" w:cs="Arial" w:eastAsia="Arial" w:hAnsi="Arial"/>
                <w:sz w:val="16"/>
                <w:szCs w:val="16"/>
                <w:b w:val="1"/>
                <w:bCs w:val="1"/>
                <w:color w:val="FFFFFF"/>
                <w:vertAlign w:val="superscript"/>
              </w:rPr>
              <w:t>a</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FFFFFF"/>
              </w:rPr>
              <w:t>to 401(k)</w:t>
            </w:r>
          </w:p>
        </w:tc>
        <w:tc>
          <w:tcPr>
            <w:tcW w:w="1180" w:type="dxa"/>
            <w:vAlign w:val="bottom"/>
          </w:tcPr>
          <w:p>
            <w:pPr>
              <w:jc w:val="center"/>
              <w:spacing w:after="0" w:line="172" w:lineRule="exact"/>
              <w:rPr>
                <w:sz w:val="20"/>
                <w:szCs w:val="20"/>
                <w:color w:val="auto"/>
              </w:rPr>
            </w:pPr>
            <w:r>
              <w:rPr>
                <w:rFonts w:ascii="Arial" w:cs="Arial" w:eastAsia="Arial" w:hAnsi="Arial"/>
                <w:sz w:val="12"/>
                <w:szCs w:val="12"/>
                <w:b w:val="1"/>
                <w:bCs w:val="1"/>
                <w:color w:val="FFFFFF"/>
              </w:rPr>
              <w:t xml:space="preserve">to Employees </w:t>
            </w:r>
            <w:r>
              <w:rPr>
                <w:rFonts w:ascii="Arial" w:cs="Arial" w:eastAsia="Arial" w:hAnsi="Arial"/>
                <w:sz w:val="16"/>
                <w:szCs w:val="16"/>
                <w:b w:val="1"/>
                <w:bCs w:val="1"/>
                <w:color w:val="FFFFFF"/>
                <w:vertAlign w:val="superscript"/>
              </w:rPr>
              <w:t>b</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FFFFFF"/>
              </w:rPr>
              <w:t>Contributions</w:t>
            </w:r>
          </w:p>
        </w:tc>
        <w:tc>
          <w:tcPr>
            <w:tcW w:w="960" w:type="dxa"/>
            <w:vAlign w:val="bottom"/>
          </w:tcPr>
          <w:p>
            <w:pPr>
              <w:jc w:val="center"/>
              <w:ind w:right="38"/>
              <w:spacing w:after="0"/>
              <w:rPr>
                <w:sz w:val="20"/>
                <w:szCs w:val="20"/>
                <w:color w:val="auto"/>
              </w:rPr>
            </w:pPr>
            <w:r>
              <w:rPr>
                <w:rFonts w:ascii="Arial" w:cs="Arial" w:eastAsia="Arial" w:hAnsi="Arial"/>
                <w:sz w:val="12"/>
                <w:szCs w:val="12"/>
                <w:b w:val="1"/>
                <w:bCs w:val="1"/>
                <w:color w:val="FFFFFF"/>
              </w:rPr>
              <w:t>Insurance</w:t>
            </w: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shd w:val="clear" w:color="auto" w:fill="00A5B5"/>
          </w:tcPr>
          <w:p>
            <w:pPr>
              <w:spacing w:after="0"/>
              <w:rPr>
                <w:sz w:val="14"/>
                <w:szCs w:val="14"/>
                <w:color w:val="auto"/>
              </w:rPr>
            </w:pPr>
          </w:p>
        </w:tc>
        <w:tc>
          <w:tcPr>
            <w:tcW w:w="11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116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118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14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960" w:type="dxa"/>
            <w:vAlign w:val="bottom"/>
            <w:tcBorders>
              <w:bottom w:val="single" w:sz="8" w:color="auto"/>
            </w:tcBorders>
            <w:shd w:val="clear" w:color="auto" w:fill="00A5B5"/>
          </w:tcPr>
          <w:p>
            <w:pPr>
              <w:jc w:val="center"/>
              <w:ind w:right="38"/>
              <w:spacing w:after="0"/>
              <w:rPr>
                <w:sz w:val="20"/>
                <w:szCs w:val="20"/>
                <w:color w:val="auto"/>
              </w:rPr>
            </w:pPr>
            <w:r>
              <w:rPr>
                <w:rFonts w:ascii="Arial" w:cs="Arial" w:eastAsia="Arial" w:hAnsi="Arial"/>
                <w:sz w:val="12"/>
                <w:szCs w:val="12"/>
                <w:b w:val="1"/>
                <w:bCs w:val="1"/>
                <w:color w:val="FFFFFF"/>
                <w:w w:val="95"/>
              </w:rPr>
              <w:t>($)</w:t>
            </w:r>
          </w:p>
        </w:tc>
        <w:tc>
          <w:tcPr>
            <w:tcW w:w="88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5"/>
              </w:rPr>
              <w:t>($)</w:t>
            </w:r>
          </w:p>
        </w:tc>
        <w:tc>
          <w:tcPr>
            <w:tcW w:w="94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66"/>
        </w:trPr>
        <w:tc>
          <w:tcPr>
            <w:tcW w:w="168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243746"/>
              </w:rPr>
              <w:t>Horacio D. Rozanski</w:t>
            </w:r>
          </w:p>
        </w:tc>
        <w:tc>
          <w:tcPr>
            <w:tcW w:w="11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15,830</w:t>
            </w:r>
          </w:p>
        </w:tc>
        <w:tc>
          <w:tcPr>
            <w:tcW w:w="116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72,129</w:t>
            </w:r>
          </w:p>
        </w:tc>
        <w:tc>
          <w:tcPr>
            <w:tcW w:w="960" w:type="dxa"/>
            <w:vAlign w:val="bottom"/>
            <w:shd w:val="clear" w:color="auto" w:fill="CCEEF0"/>
          </w:tcPr>
          <w:p>
            <w:pPr>
              <w:jc w:val="center"/>
              <w:ind w:right="38"/>
              <w:spacing w:after="0"/>
              <w:rPr>
                <w:sz w:val="20"/>
                <w:szCs w:val="20"/>
                <w:color w:val="auto"/>
              </w:rPr>
            </w:pPr>
            <w:r>
              <w:rPr>
                <w:rFonts w:ascii="Arial" w:cs="Arial" w:eastAsia="Arial" w:hAnsi="Arial"/>
                <w:sz w:val="12"/>
                <w:szCs w:val="12"/>
                <w:color w:val="auto"/>
                <w:w w:val="99"/>
              </w:rPr>
              <w:t>6,426</w:t>
            </w:r>
          </w:p>
        </w:tc>
        <w:tc>
          <w:tcPr>
            <w:tcW w:w="8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86,321</w:t>
            </w:r>
          </w:p>
        </w:tc>
        <w:tc>
          <w:tcPr>
            <w:tcW w:w="94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232,706</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2"/>
                <w:szCs w:val="12"/>
                <w:b w:val="1"/>
                <w:bCs w:val="1"/>
                <w:color w:val="243746"/>
              </w:rPr>
              <w:t>Kristine Martin Anderson</w:t>
            </w:r>
          </w:p>
        </w:tc>
        <w:tc>
          <w:tcPr>
            <w:tcW w:w="1100" w:type="dxa"/>
            <w:vAlign w:val="bottom"/>
          </w:tcPr>
          <w:p>
            <w:pPr>
              <w:jc w:val="center"/>
              <w:spacing w:after="0"/>
              <w:rPr>
                <w:sz w:val="20"/>
                <w:szCs w:val="20"/>
                <w:color w:val="auto"/>
              </w:rPr>
            </w:pPr>
            <w:r>
              <w:rPr>
                <w:rFonts w:ascii="Arial" w:cs="Arial" w:eastAsia="Arial" w:hAnsi="Arial"/>
                <w:sz w:val="12"/>
                <w:szCs w:val="12"/>
                <w:color w:val="auto"/>
              </w:rPr>
              <w:t>14,999</w:t>
            </w:r>
          </w:p>
        </w:tc>
        <w:tc>
          <w:tcPr>
            <w:tcW w:w="1160" w:type="dxa"/>
            <w:vAlign w:val="bottom"/>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tcPr>
          <w:p>
            <w:pPr>
              <w:jc w:val="center"/>
              <w:spacing w:after="0"/>
              <w:rPr>
                <w:sz w:val="20"/>
                <w:szCs w:val="20"/>
                <w:color w:val="auto"/>
              </w:rPr>
            </w:pPr>
            <w:r>
              <w:rPr>
                <w:rFonts w:ascii="Arial" w:cs="Arial" w:eastAsia="Arial" w:hAnsi="Arial"/>
                <w:sz w:val="12"/>
                <w:szCs w:val="12"/>
                <w:color w:val="auto"/>
              </w:rPr>
              <w:t>72,129</w:t>
            </w:r>
          </w:p>
        </w:tc>
        <w:tc>
          <w:tcPr>
            <w:tcW w:w="960" w:type="dxa"/>
            <w:vAlign w:val="bottom"/>
          </w:tcPr>
          <w:p>
            <w:pPr>
              <w:jc w:val="center"/>
              <w:ind w:right="38"/>
              <w:spacing w:after="0"/>
              <w:rPr>
                <w:sz w:val="20"/>
                <w:szCs w:val="20"/>
                <w:color w:val="auto"/>
              </w:rPr>
            </w:pPr>
            <w:r>
              <w:rPr>
                <w:rFonts w:ascii="Arial" w:cs="Arial" w:eastAsia="Arial" w:hAnsi="Arial"/>
                <w:sz w:val="12"/>
                <w:szCs w:val="12"/>
                <w:color w:val="auto"/>
                <w:w w:val="99"/>
              </w:rPr>
              <w:t>6,426</w:t>
            </w:r>
          </w:p>
        </w:tc>
        <w:tc>
          <w:tcPr>
            <w:tcW w:w="880" w:type="dxa"/>
            <w:vAlign w:val="bottom"/>
          </w:tcPr>
          <w:p>
            <w:pPr>
              <w:jc w:val="center"/>
              <w:spacing w:after="0"/>
              <w:rPr>
                <w:sz w:val="20"/>
                <w:szCs w:val="20"/>
                <w:color w:val="auto"/>
              </w:rPr>
            </w:pPr>
            <w:r>
              <w:rPr>
                <w:rFonts w:ascii="Arial" w:cs="Arial" w:eastAsia="Arial" w:hAnsi="Arial"/>
                <w:sz w:val="12"/>
                <w:szCs w:val="12"/>
                <w:color w:val="auto"/>
              </w:rPr>
              <w:t>49,407</w:t>
            </w:r>
          </w:p>
        </w:tc>
        <w:tc>
          <w:tcPr>
            <w:tcW w:w="940" w:type="dxa"/>
            <w:vAlign w:val="bottom"/>
          </w:tcPr>
          <w:p>
            <w:pPr>
              <w:jc w:val="center"/>
              <w:spacing w:after="0"/>
              <w:rPr>
                <w:sz w:val="20"/>
                <w:szCs w:val="20"/>
                <w:color w:val="auto"/>
              </w:rPr>
            </w:pPr>
            <w:r>
              <w:rPr>
                <w:rFonts w:ascii="Arial" w:cs="Arial" w:eastAsia="Arial" w:hAnsi="Arial"/>
                <w:sz w:val="12"/>
                <w:szCs w:val="12"/>
                <w:color w:val="auto"/>
              </w:rPr>
              <w:t>194,961</w:t>
            </w:r>
          </w:p>
        </w:tc>
        <w:tc>
          <w:tcPr>
            <w:tcW w:w="0" w:type="dxa"/>
            <w:vAlign w:val="bottom"/>
          </w:tcPr>
          <w:p>
            <w:pPr>
              <w:spacing w:after="0"/>
              <w:rPr>
                <w:sz w:val="1"/>
                <w:szCs w:val="1"/>
                <w:color w:val="auto"/>
              </w:rPr>
            </w:pPr>
          </w:p>
        </w:tc>
      </w:tr>
      <w:tr>
        <w:trPr>
          <w:trHeight w:val="173"/>
        </w:trPr>
        <w:tc>
          <w:tcPr>
            <w:tcW w:w="168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243746"/>
              </w:rPr>
              <w:t>Richard C. Crowe</w:t>
            </w:r>
          </w:p>
        </w:tc>
        <w:tc>
          <w:tcPr>
            <w:tcW w:w="11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18,107</w:t>
            </w:r>
          </w:p>
        </w:tc>
        <w:tc>
          <w:tcPr>
            <w:tcW w:w="116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72,129</w:t>
            </w:r>
          </w:p>
        </w:tc>
        <w:tc>
          <w:tcPr>
            <w:tcW w:w="960" w:type="dxa"/>
            <w:vAlign w:val="bottom"/>
            <w:shd w:val="clear" w:color="auto" w:fill="CCEEF0"/>
          </w:tcPr>
          <w:p>
            <w:pPr>
              <w:jc w:val="center"/>
              <w:ind w:right="38"/>
              <w:spacing w:after="0"/>
              <w:rPr>
                <w:sz w:val="20"/>
                <w:szCs w:val="20"/>
                <w:color w:val="auto"/>
              </w:rPr>
            </w:pPr>
            <w:r>
              <w:rPr>
                <w:rFonts w:ascii="Arial" w:cs="Arial" w:eastAsia="Arial" w:hAnsi="Arial"/>
                <w:sz w:val="12"/>
                <w:szCs w:val="12"/>
                <w:color w:val="auto"/>
                <w:w w:val="99"/>
              </w:rPr>
              <w:t>7,218</w:t>
            </w:r>
          </w:p>
        </w:tc>
        <w:tc>
          <w:tcPr>
            <w:tcW w:w="8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58,503</w:t>
            </w:r>
          </w:p>
        </w:tc>
        <w:tc>
          <w:tcPr>
            <w:tcW w:w="94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207,957</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2"/>
                <w:szCs w:val="12"/>
                <w:b w:val="1"/>
                <w:bCs w:val="1"/>
                <w:color w:val="243746"/>
              </w:rPr>
              <w:t>Andrea D. Inserra</w:t>
            </w:r>
          </w:p>
        </w:tc>
        <w:tc>
          <w:tcPr>
            <w:tcW w:w="1100" w:type="dxa"/>
            <w:vAlign w:val="bottom"/>
          </w:tcPr>
          <w:p>
            <w:pPr>
              <w:jc w:val="center"/>
              <w:spacing w:after="0"/>
              <w:rPr>
                <w:sz w:val="20"/>
                <w:szCs w:val="20"/>
                <w:color w:val="auto"/>
              </w:rPr>
            </w:pPr>
            <w:r>
              <w:rPr>
                <w:rFonts w:ascii="Arial" w:cs="Arial" w:eastAsia="Arial" w:hAnsi="Arial"/>
                <w:sz w:val="12"/>
                <w:szCs w:val="12"/>
                <w:color w:val="auto"/>
              </w:rPr>
              <w:t>15,088</w:t>
            </w:r>
          </w:p>
        </w:tc>
        <w:tc>
          <w:tcPr>
            <w:tcW w:w="1160" w:type="dxa"/>
            <w:vAlign w:val="bottom"/>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tcPr>
          <w:p>
            <w:pPr>
              <w:jc w:val="center"/>
              <w:spacing w:after="0"/>
              <w:rPr>
                <w:sz w:val="20"/>
                <w:szCs w:val="20"/>
                <w:color w:val="auto"/>
              </w:rPr>
            </w:pPr>
            <w:r>
              <w:rPr>
                <w:rFonts w:ascii="Arial" w:cs="Arial" w:eastAsia="Arial" w:hAnsi="Arial"/>
                <w:sz w:val="12"/>
                <w:szCs w:val="12"/>
                <w:color w:val="auto"/>
              </w:rPr>
              <w:t>72,129</w:t>
            </w:r>
          </w:p>
        </w:tc>
        <w:tc>
          <w:tcPr>
            <w:tcW w:w="960" w:type="dxa"/>
            <w:vAlign w:val="bottom"/>
          </w:tcPr>
          <w:p>
            <w:pPr>
              <w:jc w:val="center"/>
              <w:ind w:right="38"/>
              <w:spacing w:after="0"/>
              <w:rPr>
                <w:sz w:val="20"/>
                <w:szCs w:val="20"/>
                <w:color w:val="auto"/>
              </w:rPr>
            </w:pPr>
            <w:r>
              <w:rPr>
                <w:rFonts w:ascii="Arial" w:cs="Arial" w:eastAsia="Arial" w:hAnsi="Arial"/>
                <w:sz w:val="12"/>
                <w:szCs w:val="12"/>
                <w:color w:val="auto"/>
                <w:w w:val="99"/>
              </w:rPr>
              <w:t>5,070</w:t>
            </w:r>
          </w:p>
        </w:tc>
        <w:tc>
          <w:tcPr>
            <w:tcW w:w="880" w:type="dxa"/>
            <w:vAlign w:val="bottom"/>
          </w:tcPr>
          <w:p>
            <w:pPr>
              <w:jc w:val="center"/>
              <w:spacing w:after="0"/>
              <w:rPr>
                <w:sz w:val="20"/>
                <w:szCs w:val="20"/>
                <w:color w:val="auto"/>
              </w:rPr>
            </w:pPr>
            <w:r>
              <w:rPr>
                <w:rFonts w:ascii="Arial" w:cs="Arial" w:eastAsia="Arial" w:hAnsi="Arial"/>
                <w:sz w:val="12"/>
                <w:szCs w:val="12"/>
                <w:color w:val="auto"/>
              </w:rPr>
              <w:t>82,263</w:t>
            </w:r>
          </w:p>
        </w:tc>
        <w:tc>
          <w:tcPr>
            <w:tcW w:w="940" w:type="dxa"/>
            <w:vAlign w:val="bottom"/>
          </w:tcPr>
          <w:p>
            <w:pPr>
              <w:jc w:val="center"/>
              <w:spacing w:after="0"/>
              <w:rPr>
                <w:sz w:val="20"/>
                <w:szCs w:val="20"/>
                <w:color w:val="auto"/>
              </w:rPr>
            </w:pPr>
            <w:r>
              <w:rPr>
                <w:rFonts w:ascii="Arial" w:cs="Arial" w:eastAsia="Arial" w:hAnsi="Arial"/>
                <w:sz w:val="12"/>
                <w:szCs w:val="12"/>
                <w:color w:val="auto"/>
              </w:rPr>
              <w:t>226,550</w:t>
            </w:r>
          </w:p>
        </w:tc>
        <w:tc>
          <w:tcPr>
            <w:tcW w:w="0" w:type="dxa"/>
            <w:vAlign w:val="bottom"/>
          </w:tcPr>
          <w:p>
            <w:pPr>
              <w:spacing w:after="0"/>
              <w:rPr>
                <w:sz w:val="1"/>
                <w:szCs w:val="1"/>
                <w:color w:val="auto"/>
              </w:rPr>
            </w:pPr>
          </w:p>
        </w:tc>
      </w:tr>
      <w:tr>
        <w:trPr>
          <w:trHeight w:val="173"/>
        </w:trPr>
        <w:tc>
          <w:tcPr>
            <w:tcW w:w="168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243746"/>
              </w:rPr>
              <w:t>Thomas J. Pfeifer</w:t>
            </w:r>
          </w:p>
        </w:tc>
        <w:tc>
          <w:tcPr>
            <w:tcW w:w="11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15,000</w:t>
            </w:r>
          </w:p>
        </w:tc>
        <w:tc>
          <w:tcPr>
            <w:tcW w:w="116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72,129</w:t>
            </w:r>
          </w:p>
        </w:tc>
        <w:tc>
          <w:tcPr>
            <w:tcW w:w="960" w:type="dxa"/>
            <w:vAlign w:val="bottom"/>
            <w:shd w:val="clear" w:color="auto" w:fill="CCEEF0"/>
          </w:tcPr>
          <w:p>
            <w:pPr>
              <w:jc w:val="center"/>
              <w:ind w:right="38"/>
              <w:spacing w:after="0"/>
              <w:rPr>
                <w:sz w:val="20"/>
                <w:szCs w:val="20"/>
                <w:color w:val="auto"/>
              </w:rPr>
            </w:pPr>
            <w:r>
              <w:rPr>
                <w:rFonts w:ascii="Arial" w:cs="Arial" w:eastAsia="Arial" w:hAnsi="Arial"/>
                <w:sz w:val="12"/>
                <w:szCs w:val="12"/>
                <w:color w:val="auto"/>
              </w:rPr>
              <w:t>15,204</w:t>
            </w:r>
          </w:p>
        </w:tc>
        <w:tc>
          <w:tcPr>
            <w:tcW w:w="8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38,907</w:t>
            </w:r>
          </w:p>
        </w:tc>
        <w:tc>
          <w:tcPr>
            <w:tcW w:w="94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193,240</w:t>
            </w:r>
          </w:p>
        </w:tc>
        <w:tc>
          <w:tcPr>
            <w:tcW w:w="0" w:type="dxa"/>
            <w:vAlign w:val="bottom"/>
          </w:tcPr>
          <w:p>
            <w:pPr>
              <w:spacing w:after="0"/>
              <w:rPr>
                <w:sz w:val="1"/>
                <w:szCs w:val="1"/>
                <w:color w:val="auto"/>
              </w:rPr>
            </w:pPr>
          </w:p>
        </w:tc>
      </w:tr>
      <w:tr>
        <w:trPr>
          <w:trHeight w:val="170"/>
        </w:trPr>
        <w:tc>
          <w:tcPr>
            <w:tcW w:w="1680" w:type="dxa"/>
            <w:vAlign w:val="bottom"/>
          </w:tcPr>
          <w:p>
            <w:pPr>
              <w:ind w:left="20"/>
              <w:spacing w:after="0"/>
              <w:rPr>
                <w:sz w:val="20"/>
                <w:szCs w:val="20"/>
                <w:color w:val="auto"/>
              </w:rPr>
            </w:pPr>
            <w:r>
              <w:rPr>
                <w:rFonts w:ascii="Arial" w:cs="Arial" w:eastAsia="Arial" w:hAnsi="Arial"/>
                <w:sz w:val="12"/>
                <w:szCs w:val="12"/>
                <w:b w:val="1"/>
                <w:bCs w:val="1"/>
                <w:color w:val="243746"/>
              </w:rPr>
              <w:t>Matthew A. Calderone</w:t>
            </w:r>
          </w:p>
        </w:tc>
        <w:tc>
          <w:tcPr>
            <w:tcW w:w="1100" w:type="dxa"/>
            <w:vAlign w:val="bottom"/>
          </w:tcPr>
          <w:p>
            <w:pPr>
              <w:jc w:val="center"/>
              <w:spacing w:after="0"/>
              <w:rPr>
                <w:sz w:val="20"/>
                <w:szCs w:val="20"/>
                <w:color w:val="auto"/>
              </w:rPr>
            </w:pPr>
            <w:r>
              <w:rPr>
                <w:rFonts w:ascii="Arial" w:cs="Arial" w:eastAsia="Arial" w:hAnsi="Arial"/>
                <w:sz w:val="12"/>
                <w:szCs w:val="12"/>
                <w:color w:val="auto"/>
              </w:rPr>
              <w:t>17,572</w:t>
            </w:r>
          </w:p>
        </w:tc>
        <w:tc>
          <w:tcPr>
            <w:tcW w:w="1160" w:type="dxa"/>
            <w:vAlign w:val="bottom"/>
          </w:tcPr>
          <w:p>
            <w:pPr>
              <w:jc w:val="center"/>
              <w:spacing w:after="0"/>
              <w:rPr>
                <w:sz w:val="20"/>
                <w:szCs w:val="20"/>
                <w:color w:val="auto"/>
              </w:rPr>
            </w:pPr>
            <w:r>
              <w:rPr>
                <w:rFonts w:ascii="Arial" w:cs="Arial" w:eastAsia="Arial" w:hAnsi="Arial"/>
                <w:sz w:val="12"/>
                <w:szCs w:val="12"/>
                <w:color w:val="auto"/>
                <w:w w:val="97"/>
              </w:rPr>
              <w:t>21,000</w:t>
            </w:r>
          </w:p>
        </w:tc>
        <w:tc>
          <w:tcPr>
            <w:tcW w:w="1180" w:type="dxa"/>
            <w:vAlign w:val="bottom"/>
          </w:tcPr>
          <w:p>
            <w:pPr>
              <w:jc w:val="center"/>
              <w:spacing w:after="0"/>
              <w:rPr>
                <w:sz w:val="20"/>
                <w:szCs w:val="20"/>
                <w:color w:val="auto"/>
              </w:rPr>
            </w:pPr>
            <w:r>
              <w:rPr>
                <w:rFonts w:ascii="Arial" w:cs="Arial" w:eastAsia="Arial" w:hAnsi="Arial"/>
                <w:sz w:val="12"/>
                <w:szCs w:val="12"/>
                <w:color w:val="auto"/>
              </w:rPr>
              <w:t>31,000</w:t>
            </w:r>
          </w:p>
        </w:tc>
        <w:tc>
          <w:tcPr>
            <w:tcW w:w="1400" w:type="dxa"/>
            <w:vAlign w:val="bottom"/>
          </w:tcPr>
          <w:p>
            <w:pPr>
              <w:jc w:val="center"/>
              <w:spacing w:after="0"/>
              <w:rPr>
                <w:sz w:val="20"/>
                <w:szCs w:val="20"/>
                <w:color w:val="auto"/>
              </w:rPr>
            </w:pPr>
            <w:r>
              <w:rPr>
                <w:rFonts w:ascii="Arial" w:cs="Arial" w:eastAsia="Arial" w:hAnsi="Arial"/>
                <w:sz w:val="12"/>
                <w:szCs w:val="12"/>
                <w:color w:val="auto"/>
              </w:rPr>
              <w:t>70,288</w:t>
            </w:r>
          </w:p>
        </w:tc>
        <w:tc>
          <w:tcPr>
            <w:tcW w:w="960" w:type="dxa"/>
            <w:vAlign w:val="bottom"/>
          </w:tcPr>
          <w:p>
            <w:pPr>
              <w:jc w:val="center"/>
              <w:ind w:right="38"/>
              <w:spacing w:after="0"/>
              <w:rPr>
                <w:sz w:val="20"/>
                <w:szCs w:val="20"/>
                <w:color w:val="auto"/>
              </w:rPr>
            </w:pPr>
            <w:r>
              <w:rPr>
                <w:rFonts w:ascii="Arial" w:cs="Arial" w:eastAsia="Arial" w:hAnsi="Arial"/>
                <w:sz w:val="12"/>
                <w:szCs w:val="12"/>
                <w:color w:val="auto"/>
                <w:w w:val="99"/>
              </w:rPr>
              <w:t>3,376</w:t>
            </w:r>
          </w:p>
        </w:tc>
        <w:tc>
          <w:tcPr>
            <w:tcW w:w="880" w:type="dxa"/>
            <w:vAlign w:val="bottom"/>
          </w:tcPr>
          <w:p>
            <w:pPr>
              <w:jc w:val="center"/>
              <w:spacing w:after="0"/>
              <w:rPr>
                <w:sz w:val="20"/>
                <w:szCs w:val="20"/>
                <w:color w:val="auto"/>
              </w:rPr>
            </w:pPr>
            <w:r>
              <w:rPr>
                <w:rFonts w:ascii="Arial" w:cs="Arial" w:eastAsia="Arial" w:hAnsi="Arial"/>
                <w:sz w:val="12"/>
                <w:szCs w:val="12"/>
                <w:color w:val="auto"/>
              </w:rPr>
              <w:t>43,036</w:t>
            </w:r>
          </w:p>
        </w:tc>
        <w:tc>
          <w:tcPr>
            <w:tcW w:w="940" w:type="dxa"/>
            <w:vAlign w:val="bottom"/>
          </w:tcPr>
          <w:p>
            <w:pPr>
              <w:jc w:val="center"/>
              <w:spacing w:after="0"/>
              <w:rPr>
                <w:sz w:val="20"/>
                <w:szCs w:val="20"/>
                <w:color w:val="auto"/>
              </w:rPr>
            </w:pPr>
            <w:r>
              <w:rPr>
                <w:rFonts w:ascii="Arial" w:cs="Arial" w:eastAsia="Arial" w:hAnsi="Arial"/>
                <w:sz w:val="12"/>
                <w:szCs w:val="12"/>
                <w:color w:val="auto"/>
              </w:rPr>
              <w:t>186,272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80" w:hanging="316"/>
        <w:spacing w:after="0" w:line="264" w:lineRule="auto"/>
        <w:tabs>
          <w:tab w:leader="none" w:pos="493" w:val="left"/>
        </w:tabs>
        <w:numPr>
          <w:ilvl w:val="0"/>
          <w:numId w:val="49"/>
        </w:numPr>
        <w:rPr>
          <w:rFonts w:ascii="Arial" w:cs="Arial" w:eastAsia="Arial" w:hAnsi="Arial"/>
          <w:sz w:val="14"/>
          <w:szCs w:val="14"/>
          <w:color w:val="auto"/>
        </w:rPr>
      </w:pPr>
      <w:r>
        <w:rPr>
          <w:rFonts w:ascii="Arial" w:cs="Arial" w:eastAsia="Arial" w:hAnsi="Arial"/>
          <w:sz w:val="13"/>
          <w:szCs w:val="13"/>
          <w:color w:val="auto"/>
        </w:rPr>
        <w:t>This column reflects the standard financial counseling benefit received by each named executive officer pursuant to the Company's Officer Perquisites Policy, which is limited to $15,000 on a calendar year basis. Values shown for certain named executive officers may appear to exceed this amount because the program is administered internally on a calendar year basis, which ended December 31, 2025, while the values in the table reflect our fiscal year period, which ended March 31, 2026.</w:t>
      </w:r>
    </w:p>
    <w:p>
      <w:pPr>
        <w:spacing w:after="0" w:line="76" w:lineRule="exact"/>
        <w:rPr>
          <w:rFonts w:ascii="Arial" w:cs="Arial" w:eastAsia="Arial" w:hAnsi="Arial"/>
          <w:sz w:val="14"/>
          <w:szCs w:val="14"/>
          <w:color w:val="auto"/>
        </w:rPr>
      </w:pPr>
    </w:p>
    <w:p>
      <w:pPr>
        <w:ind w:left="480" w:hanging="316"/>
        <w:spacing w:after="0" w:line="293" w:lineRule="auto"/>
        <w:tabs>
          <w:tab w:leader="none" w:pos="48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column represents retirement plan contributions paid by the Company to the named executive officers as described above under “Compensation Discussion and Analysis— Compensation Elements—Retirement Benefits.”</w:t>
      </w:r>
    </w:p>
    <w:p>
      <w:pPr>
        <w:spacing w:after="0" w:line="58" w:lineRule="exact"/>
        <w:rPr>
          <w:rFonts w:ascii="Arial" w:cs="Arial" w:eastAsia="Arial" w:hAnsi="Arial"/>
          <w:sz w:val="13"/>
          <w:szCs w:val="13"/>
          <w:color w:val="auto"/>
        </w:rPr>
      </w:pPr>
    </w:p>
    <w:p>
      <w:pPr>
        <w:jc w:val="both"/>
        <w:ind w:left="480" w:hanging="316"/>
        <w:spacing w:after="0" w:line="274" w:lineRule="auto"/>
        <w:tabs>
          <w:tab w:leader="none" w:pos="489"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column includes dental, supplemental medical, accident insurance, personal excess liability coverage, and vehicle parking for each named executive officer, as well as an anniversary gift for Ms. Anderson. This column also includes security and protection services for Mr. Rozanski ($54,401), as well as Mses. Anderson and Inserra ($12,387 each) and Messrs. Crowe ($13,092) and Pfeifer ($12,387).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042785" cy="3210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42785" cy="321056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GRANTS OF PLAN-BASED AWARDS TABLE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440" w:type="dxa"/>
            <w:vAlign w:val="bottom"/>
            <w:shd w:val="clear" w:color="auto" w:fill="00A5B5"/>
          </w:tcPr>
          <w:p>
            <w:pPr>
              <w:spacing w:after="0"/>
              <w:rPr>
                <w:sz w:val="12"/>
                <w:szCs w:val="12"/>
                <w:color w:val="auto"/>
              </w:rPr>
            </w:pPr>
          </w:p>
        </w:tc>
        <w:tc>
          <w:tcPr>
            <w:tcW w:w="760" w:type="dxa"/>
            <w:vAlign w:val="bottom"/>
            <w:shd w:val="clear" w:color="auto" w:fill="00A5B5"/>
          </w:tcPr>
          <w:p>
            <w:pPr>
              <w:spacing w:after="0"/>
              <w:rPr>
                <w:sz w:val="12"/>
                <w:szCs w:val="12"/>
                <w:color w:val="auto"/>
              </w:rPr>
            </w:pPr>
          </w:p>
        </w:tc>
        <w:tc>
          <w:tcPr>
            <w:tcW w:w="800" w:type="dxa"/>
            <w:vAlign w:val="bottom"/>
            <w:shd w:val="clear" w:color="auto" w:fill="00A5B5"/>
          </w:tcPr>
          <w:p>
            <w:pPr>
              <w:spacing w:after="0"/>
              <w:rPr>
                <w:sz w:val="12"/>
                <w:szCs w:val="12"/>
                <w:color w:val="auto"/>
              </w:rPr>
            </w:pPr>
          </w:p>
        </w:tc>
        <w:tc>
          <w:tcPr>
            <w:tcW w:w="2640" w:type="dxa"/>
            <w:vAlign w:val="bottom"/>
            <w:gridSpan w:val="5"/>
            <w:shd w:val="clear" w:color="auto" w:fill="00A5B5"/>
          </w:tcPr>
          <w:p>
            <w:pPr>
              <w:jc w:val="center"/>
              <w:ind w:right="120"/>
              <w:spacing w:after="0"/>
              <w:rPr>
                <w:sz w:val="20"/>
                <w:szCs w:val="20"/>
                <w:color w:val="auto"/>
              </w:rPr>
            </w:pPr>
            <w:r>
              <w:rPr>
                <w:rFonts w:ascii="Arial" w:cs="Arial" w:eastAsia="Arial" w:hAnsi="Arial"/>
                <w:sz w:val="11"/>
                <w:szCs w:val="11"/>
                <w:b w:val="1"/>
                <w:bCs w:val="1"/>
                <w:color w:val="FFFFFF"/>
                <w:w w:val="95"/>
              </w:rPr>
              <w:t>Estimated Possible Payouts</w:t>
            </w:r>
          </w:p>
        </w:tc>
        <w:tc>
          <w:tcPr>
            <w:tcW w:w="2540" w:type="dxa"/>
            <w:vAlign w:val="bottom"/>
            <w:gridSpan w:val="3"/>
            <w:shd w:val="clear" w:color="auto" w:fill="00A5B5"/>
          </w:tcPr>
          <w:p>
            <w:pPr>
              <w:jc w:val="center"/>
              <w:spacing w:after="0"/>
              <w:rPr>
                <w:sz w:val="20"/>
                <w:szCs w:val="20"/>
                <w:color w:val="auto"/>
              </w:rPr>
            </w:pPr>
            <w:r>
              <w:rPr>
                <w:rFonts w:ascii="Arial" w:cs="Arial" w:eastAsia="Arial" w:hAnsi="Arial"/>
                <w:sz w:val="11"/>
                <w:szCs w:val="11"/>
                <w:b w:val="1"/>
                <w:bCs w:val="1"/>
                <w:color w:val="FFFFFF"/>
                <w:w w:val="96"/>
              </w:rPr>
              <w:t>Estimated Future and Possible Payouts Under</w:t>
            </w:r>
          </w:p>
        </w:tc>
        <w:tc>
          <w:tcPr>
            <w:tcW w:w="760" w:type="dxa"/>
            <w:vAlign w:val="bottom"/>
            <w:shd w:val="clear" w:color="auto" w:fill="00A5B5"/>
          </w:tcPr>
          <w:p>
            <w:pPr>
              <w:jc w:val="center"/>
              <w:spacing w:after="0"/>
              <w:rPr>
                <w:sz w:val="20"/>
                <w:szCs w:val="20"/>
                <w:color w:val="auto"/>
              </w:rPr>
            </w:pPr>
            <w:r>
              <w:rPr>
                <w:rFonts w:ascii="Arial" w:cs="Arial" w:eastAsia="Arial" w:hAnsi="Arial"/>
                <w:sz w:val="11"/>
                <w:szCs w:val="11"/>
                <w:b w:val="1"/>
                <w:bCs w:val="1"/>
                <w:color w:val="FFFFFF"/>
                <w:w w:val="94"/>
              </w:rPr>
              <w:t>All Other</w:t>
            </w:r>
          </w:p>
        </w:tc>
        <w:tc>
          <w:tcPr>
            <w:tcW w:w="760" w:type="dxa"/>
            <w:vAlign w:val="bottom"/>
            <w:shd w:val="clear" w:color="auto" w:fill="00A5B5"/>
          </w:tcPr>
          <w:p>
            <w:pPr>
              <w:jc w:val="center"/>
              <w:ind w:right="69"/>
              <w:spacing w:after="0"/>
              <w:rPr>
                <w:sz w:val="20"/>
                <w:szCs w:val="20"/>
                <w:color w:val="auto"/>
              </w:rPr>
            </w:pPr>
            <w:r>
              <w:rPr>
                <w:rFonts w:ascii="Arial" w:cs="Arial" w:eastAsia="Arial" w:hAnsi="Arial"/>
                <w:sz w:val="11"/>
                <w:szCs w:val="11"/>
                <w:b w:val="1"/>
                <w:bCs w:val="1"/>
                <w:color w:val="FFFFFF"/>
                <w:w w:val="94"/>
              </w:rPr>
              <w:t>All Other</w:t>
            </w:r>
          </w:p>
        </w:tc>
        <w:tc>
          <w:tcPr>
            <w:tcW w:w="680" w:type="dxa"/>
            <w:vAlign w:val="bottom"/>
            <w:shd w:val="clear" w:color="auto" w:fill="00A5B5"/>
          </w:tcPr>
          <w:p>
            <w:pPr>
              <w:spacing w:after="0"/>
              <w:rPr>
                <w:sz w:val="12"/>
                <w:szCs w:val="12"/>
                <w:color w:val="auto"/>
              </w:rPr>
            </w:pPr>
          </w:p>
        </w:tc>
        <w:tc>
          <w:tcPr>
            <w:tcW w:w="700" w:type="dxa"/>
            <w:vAlign w:val="bottom"/>
            <w:vMerge w:val="restart"/>
            <w:shd w:val="clear" w:color="auto" w:fill="00A5B5"/>
          </w:tcPr>
          <w:p>
            <w:pPr>
              <w:jc w:val="center"/>
              <w:spacing w:after="0"/>
              <w:rPr>
                <w:sz w:val="20"/>
                <w:szCs w:val="20"/>
                <w:color w:val="auto"/>
              </w:rPr>
            </w:pPr>
            <w:r>
              <w:rPr>
                <w:rFonts w:ascii="Arial" w:cs="Arial" w:eastAsia="Arial" w:hAnsi="Arial"/>
                <w:sz w:val="11"/>
                <w:szCs w:val="11"/>
                <w:b w:val="1"/>
                <w:bCs w:val="1"/>
                <w:color w:val="FFFFFF"/>
                <w:w w:val="95"/>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00A5B5"/>
          </w:tcPr>
          <w:p>
            <w:pPr>
              <w:spacing w:after="0"/>
              <w:rPr>
                <w:sz w:val="12"/>
                <w:szCs w:val="12"/>
                <w:color w:val="auto"/>
              </w:rPr>
            </w:pPr>
          </w:p>
        </w:tc>
        <w:tc>
          <w:tcPr>
            <w:tcW w:w="760" w:type="dxa"/>
            <w:vAlign w:val="bottom"/>
            <w:shd w:val="clear" w:color="auto" w:fill="00A5B5"/>
          </w:tcPr>
          <w:p>
            <w:pPr>
              <w:spacing w:after="0"/>
              <w:rPr>
                <w:sz w:val="12"/>
                <w:szCs w:val="12"/>
                <w:color w:val="auto"/>
              </w:rPr>
            </w:pPr>
          </w:p>
        </w:tc>
        <w:tc>
          <w:tcPr>
            <w:tcW w:w="800" w:type="dxa"/>
            <w:vAlign w:val="bottom"/>
            <w:shd w:val="clear" w:color="auto" w:fill="00A5B5"/>
          </w:tcPr>
          <w:p>
            <w:pPr>
              <w:spacing w:after="0"/>
              <w:rPr>
                <w:sz w:val="12"/>
                <w:szCs w:val="12"/>
                <w:color w:val="auto"/>
              </w:rPr>
            </w:pPr>
          </w:p>
        </w:tc>
        <w:tc>
          <w:tcPr>
            <w:tcW w:w="2640" w:type="dxa"/>
            <w:vAlign w:val="bottom"/>
            <w:gridSpan w:val="5"/>
            <w:shd w:val="clear" w:color="auto" w:fill="00A5B5"/>
          </w:tcPr>
          <w:p>
            <w:pPr>
              <w:jc w:val="center"/>
              <w:ind w:right="140"/>
              <w:spacing w:after="0" w:line="106" w:lineRule="exact"/>
              <w:rPr>
                <w:sz w:val="20"/>
                <w:szCs w:val="20"/>
                <w:color w:val="auto"/>
              </w:rPr>
            </w:pPr>
            <w:r>
              <w:rPr>
                <w:rFonts w:ascii="Arial" w:cs="Arial" w:eastAsia="Arial" w:hAnsi="Arial"/>
                <w:sz w:val="10"/>
                <w:szCs w:val="10"/>
                <w:b w:val="1"/>
                <w:bCs w:val="1"/>
                <w:color w:val="FFFFFF"/>
              </w:rPr>
              <w:t xml:space="preserve">Under Non-Equity Incentive Plan Awards </w:t>
            </w:r>
            <w:r>
              <w:rPr>
                <w:rFonts w:ascii="Arial" w:cs="Arial" w:eastAsia="Arial" w:hAnsi="Arial"/>
                <w:sz w:val="12"/>
                <w:szCs w:val="12"/>
                <w:b w:val="1"/>
                <w:bCs w:val="1"/>
                <w:color w:val="FFFFFF"/>
                <w:vertAlign w:val="superscript"/>
              </w:rPr>
              <w:t>1</w:t>
            </w:r>
          </w:p>
        </w:tc>
        <w:tc>
          <w:tcPr>
            <w:tcW w:w="2540" w:type="dxa"/>
            <w:vAlign w:val="bottom"/>
            <w:gridSpan w:val="3"/>
            <w:shd w:val="clear" w:color="auto" w:fill="00A5B5"/>
          </w:tcPr>
          <w:p>
            <w:pPr>
              <w:jc w:val="center"/>
              <w:spacing w:after="0" w:line="106" w:lineRule="exact"/>
              <w:rPr>
                <w:sz w:val="20"/>
                <w:szCs w:val="20"/>
                <w:color w:val="auto"/>
              </w:rPr>
            </w:pPr>
            <w:r>
              <w:rPr>
                <w:rFonts w:ascii="Arial" w:cs="Arial" w:eastAsia="Arial" w:hAnsi="Arial"/>
                <w:sz w:val="10"/>
                <w:szCs w:val="10"/>
                <w:b w:val="1"/>
                <w:bCs w:val="1"/>
                <w:color w:val="FFFFFF"/>
              </w:rPr>
              <w:t xml:space="preserve">Equity Incentive Plan Awards </w:t>
            </w:r>
            <w:r>
              <w:rPr>
                <w:rFonts w:ascii="Arial" w:cs="Arial" w:eastAsia="Arial" w:hAnsi="Arial"/>
                <w:sz w:val="12"/>
                <w:szCs w:val="12"/>
                <w:b w:val="1"/>
                <w:bCs w:val="1"/>
                <w:color w:val="FFFFFF"/>
                <w:vertAlign w:val="superscript"/>
              </w:rPr>
              <w:t>2</w:t>
            </w:r>
          </w:p>
        </w:tc>
        <w:tc>
          <w:tcPr>
            <w:tcW w:w="760" w:type="dxa"/>
            <w:vAlign w:val="bottom"/>
            <w:shd w:val="clear" w:color="auto" w:fill="00A5B5"/>
          </w:tcPr>
          <w:p>
            <w:pPr>
              <w:jc w:val="center"/>
              <w:spacing w:after="0" w:line="106" w:lineRule="exact"/>
              <w:rPr>
                <w:sz w:val="20"/>
                <w:szCs w:val="20"/>
                <w:color w:val="auto"/>
              </w:rPr>
            </w:pPr>
            <w:r>
              <w:rPr>
                <w:rFonts w:ascii="Arial" w:cs="Arial" w:eastAsia="Arial" w:hAnsi="Arial"/>
                <w:sz w:val="11"/>
                <w:szCs w:val="11"/>
                <w:b w:val="1"/>
                <w:bCs w:val="1"/>
                <w:color w:val="FFFFFF"/>
                <w:w w:val="93"/>
              </w:rPr>
              <w:t>Stock</w:t>
            </w:r>
          </w:p>
        </w:tc>
        <w:tc>
          <w:tcPr>
            <w:tcW w:w="760" w:type="dxa"/>
            <w:vAlign w:val="bottom"/>
            <w:shd w:val="clear" w:color="auto" w:fill="00A5B5"/>
          </w:tcPr>
          <w:p>
            <w:pPr>
              <w:jc w:val="center"/>
              <w:ind w:right="49"/>
              <w:spacing w:after="0" w:line="106" w:lineRule="exact"/>
              <w:rPr>
                <w:sz w:val="20"/>
                <w:szCs w:val="20"/>
                <w:color w:val="auto"/>
              </w:rPr>
            </w:pPr>
            <w:r>
              <w:rPr>
                <w:rFonts w:ascii="Arial" w:cs="Arial" w:eastAsia="Arial" w:hAnsi="Arial"/>
                <w:sz w:val="11"/>
                <w:szCs w:val="11"/>
                <w:b w:val="1"/>
                <w:bCs w:val="1"/>
                <w:color w:val="FFFFFF"/>
                <w:w w:val="95"/>
              </w:rPr>
              <w:t>Option</w:t>
            </w:r>
          </w:p>
        </w:tc>
        <w:tc>
          <w:tcPr>
            <w:tcW w:w="680" w:type="dxa"/>
            <w:vAlign w:val="bottom"/>
            <w:shd w:val="clear" w:color="auto" w:fill="00A5B5"/>
          </w:tcPr>
          <w:p>
            <w:pPr>
              <w:spacing w:after="0"/>
              <w:rPr>
                <w:sz w:val="12"/>
                <w:szCs w:val="12"/>
                <w:color w:val="auto"/>
              </w:rPr>
            </w:pPr>
          </w:p>
        </w:tc>
        <w:tc>
          <w:tcPr>
            <w:tcW w:w="700" w:type="dxa"/>
            <w:vAlign w:val="bottom"/>
            <w:vMerge w:val="continue"/>
            <w:shd w:val="clear" w:color="auto" w:fill="00A5B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440" w:type="dxa"/>
            <w:vAlign w:val="bottom"/>
            <w:tcBorders>
              <w:top w:val="single" w:sz="8" w:color="00A5B5"/>
            </w:tcBorders>
            <w:shd w:val="clear" w:color="auto" w:fill="00A5B5"/>
          </w:tcPr>
          <w:p>
            <w:pPr>
              <w:spacing w:after="0"/>
              <w:rPr>
                <w:sz w:val="2"/>
                <w:szCs w:val="2"/>
                <w:color w:val="auto"/>
              </w:rPr>
            </w:pPr>
          </w:p>
        </w:tc>
        <w:tc>
          <w:tcPr>
            <w:tcW w:w="760" w:type="dxa"/>
            <w:vAlign w:val="bottom"/>
            <w:tcBorders>
              <w:top w:val="single" w:sz="8" w:color="00A5B5"/>
            </w:tcBorders>
            <w:shd w:val="clear" w:color="auto" w:fill="00A5B5"/>
          </w:tcPr>
          <w:p>
            <w:pPr>
              <w:spacing w:after="0"/>
              <w:rPr>
                <w:sz w:val="2"/>
                <w:szCs w:val="2"/>
                <w:color w:val="auto"/>
              </w:rPr>
            </w:pPr>
          </w:p>
        </w:tc>
        <w:tc>
          <w:tcPr>
            <w:tcW w:w="800" w:type="dxa"/>
            <w:vAlign w:val="bottom"/>
            <w:tcBorders>
              <w:top w:val="single" w:sz="8" w:color="00A5B5"/>
            </w:tcBorders>
            <w:shd w:val="clear" w:color="auto" w:fill="00A5B5"/>
          </w:tcPr>
          <w:p>
            <w:pPr>
              <w:spacing w:after="0"/>
              <w:rPr>
                <w:sz w:val="2"/>
                <w:szCs w:val="2"/>
                <w:color w:val="auto"/>
              </w:rPr>
            </w:pPr>
          </w:p>
        </w:tc>
        <w:tc>
          <w:tcPr>
            <w:tcW w:w="660" w:type="dxa"/>
            <w:vAlign w:val="bottom"/>
            <w:tcBorders>
              <w:top w:val="single" w:sz="8" w:color="00A5B5"/>
            </w:tcBorders>
            <w:shd w:val="clear" w:color="auto" w:fill="000000"/>
          </w:tcPr>
          <w:p>
            <w:pPr>
              <w:spacing w:after="0"/>
              <w:rPr>
                <w:sz w:val="2"/>
                <w:szCs w:val="2"/>
                <w:color w:val="auto"/>
              </w:rPr>
            </w:pPr>
          </w:p>
        </w:tc>
        <w:tc>
          <w:tcPr>
            <w:tcW w:w="180" w:type="dxa"/>
            <w:vAlign w:val="bottom"/>
            <w:tcBorders>
              <w:top w:val="single" w:sz="8" w:color="00A5B5"/>
            </w:tcBorders>
            <w:shd w:val="clear" w:color="auto" w:fill="000000"/>
          </w:tcPr>
          <w:p>
            <w:pPr>
              <w:spacing w:after="0"/>
              <w:rPr>
                <w:sz w:val="2"/>
                <w:szCs w:val="2"/>
                <w:color w:val="auto"/>
              </w:rPr>
            </w:pPr>
          </w:p>
        </w:tc>
        <w:tc>
          <w:tcPr>
            <w:tcW w:w="960" w:type="dxa"/>
            <w:vAlign w:val="bottom"/>
            <w:tcBorders>
              <w:top w:val="single" w:sz="8" w:color="00A5B5"/>
            </w:tcBorders>
            <w:shd w:val="clear" w:color="auto" w:fill="000000"/>
          </w:tcPr>
          <w:p>
            <w:pPr>
              <w:spacing w:after="0"/>
              <w:rPr>
                <w:sz w:val="2"/>
                <w:szCs w:val="2"/>
                <w:color w:val="auto"/>
              </w:rPr>
            </w:pPr>
          </w:p>
        </w:tc>
        <w:tc>
          <w:tcPr>
            <w:tcW w:w="700" w:type="dxa"/>
            <w:vAlign w:val="bottom"/>
            <w:tcBorders>
              <w:top w:val="single" w:sz="8" w:color="00A5B5"/>
            </w:tcBorders>
            <w:shd w:val="clear" w:color="auto" w:fill="000000"/>
          </w:tcPr>
          <w:p>
            <w:pPr>
              <w:spacing w:after="0"/>
              <w:rPr>
                <w:sz w:val="2"/>
                <w:szCs w:val="2"/>
                <w:color w:val="auto"/>
              </w:rPr>
            </w:pPr>
          </w:p>
        </w:tc>
        <w:tc>
          <w:tcPr>
            <w:tcW w:w="140" w:type="dxa"/>
            <w:vAlign w:val="bottom"/>
            <w:tcBorders>
              <w:top w:val="single" w:sz="8" w:color="00A5B5"/>
            </w:tcBorders>
            <w:shd w:val="clear" w:color="auto" w:fill="00A5B5"/>
          </w:tcPr>
          <w:p>
            <w:pPr>
              <w:spacing w:after="0"/>
              <w:rPr>
                <w:sz w:val="2"/>
                <w:szCs w:val="2"/>
                <w:color w:val="auto"/>
              </w:rPr>
            </w:pPr>
          </w:p>
        </w:tc>
        <w:tc>
          <w:tcPr>
            <w:tcW w:w="980" w:type="dxa"/>
            <w:vAlign w:val="bottom"/>
            <w:tcBorders>
              <w:top w:val="single" w:sz="8" w:color="00A5B5"/>
            </w:tcBorders>
            <w:shd w:val="clear" w:color="auto" w:fill="000000"/>
          </w:tcPr>
          <w:p>
            <w:pPr>
              <w:spacing w:after="0"/>
              <w:rPr>
                <w:sz w:val="2"/>
                <w:szCs w:val="2"/>
                <w:color w:val="auto"/>
              </w:rPr>
            </w:pPr>
          </w:p>
        </w:tc>
        <w:tc>
          <w:tcPr>
            <w:tcW w:w="860" w:type="dxa"/>
            <w:vAlign w:val="bottom"/>
            <w:tcBorders>
              <w:top w:val="single" w:sz="8" w:color="00A5B5"/>
            </w:tcBorders>
            <w:shd w:val="clear" w:color="auto" w:fill="000000"/>
          </w:tcPr>
          <w:p>
            <w:pPr>
              <w:spacing w:after="0"/>
              <w:rPr>
                <w:sz w:val="2"/>
                <w:szCs w:val="2"/>
                <w:color w:val="auto"/>
              </w:rPr>
            </w:pPr>
          </w:p>
        </w:tc>
        <w:tc>
          <w:tcPr>
            <w:tcW w:w="700" w:type="dxa"/>
            <w:vAlign w:val="bottom"/>
            <w:tcBorders>
              <w:top w:val="single" w:sz="8" w:color="00A5B5"/>
            </w:tcBorders>
            <w:shd w:val="clear" w:color="auto" w:fill="000000"/>
          </w:tcPr>
          <w:p>
            <w:pPr>
              <w:spacing w:after="0"/>
              <w:rPr>
                <w:sz w:val="2"/>
                <w:szCs w:val="2"/>
                <w:color w:val="auto"/>
              </w:rPr>
            </w:pPr>
          </w:p>
        </w:tc>
        <w:tc>
          <w:tcPr>
            <w:tcW w:w="760" w:type="dxa"/>
            <w:vAlign w:val="bottom"/>
            <w:tcBorders>
              <w:top w:val="single" w:sz="8" w:color="00A5B5"/>
            </w:tcBorders>
            <w:shd w:val="clear" w:color="auto" w:fill="00A5B5"/>
          </w:tcPr>
          <w:p>
            <w:pPr>
              <w:jc w:val="center"/>
              <w:ind w:right="9"/>
              <w:spacing w:after="0" w:line="27" w:lineRule="exact"/>
              <w:rPr>
                <w:sz w:val="20"/>
                <w:szCs w:val="20"/>
                <w:color w:val="auto"/>
              </w:rPr>
            </w:pPr>
            <w:r>
              <w:rPr>
                <w:rFonts w:ascii="Arial" w:cs="Arial" w:eastAsia="Arial" w:hAnsi="Arial"/>
                <w:sz w:val="3"/>
                <w:szCs w:val="3"/>
                <w:b w:val="1"/>
                <w:bCs w:val="1"/>
                <w:color w:val="FFFFFF"/>
              </w:rPr>
              <w:t>Awards;</w:t>
            </w:r>
          </w:p>
        </w:tc>
        <w:tc>
          <w:tcPr>
            <w:tcW w:w="760" w:type="dxa"/>
            <w:vAlign w:val="bottom"/>
            <w:tcBorders>
              <w:top w:val="single" w:sz="8" w:color="00A5B5"/>
            </w:tcBorders>
            <w:shd w:val="clear" w:color="auto" w:fill="00A5B5"/>
          </w:tcPr>
          <w:p>
            <w:pPr>
              <w:jc w:val="center"/>
              <w:ind w:right="49"/>
              <w:spacing w:after="0" w:line="27" w:lineRule="exact"/>
              <w:rPr>
                <w:sz w:val="20"/>
                <w:szCs w:val="20"/>
                <w:color w:val="auto"/>
              </w:rPr>
            </w:pPr>
            <w:r>
              <w:rPr>
                <w:rFonts w:ascii="Arial" w:cs="Arial" w:eastAsia="Arial" w:hAnsi="Arial"/>
                <w:sz w:val="3"/>
                <w:szCs w:val="3"/>
                <w:b w:val="1"/>
                <w:bCs w:val="1"/>
                <w:color w:val="FFFFFF"/>
              </w:rPr>
              <w:t>Awards;</w:t>
            </w:r>
          </w:p>
        </w:tc>
        <w:tc>
          <w:tcPr>
            <w:tcW w:w="680" w:type="dxa"/>
            <w:vAlign w:val="bottom"/>
            <w:tcBorders>
              <w:top w:val="single" w:sz="8" w:color="00A5B5"/>
            </w:tcBorders>
            <w:shd w:val="clear" w:color="auto" w:fill="00A5B5"/>
          </w:tcPr>
          <w:p>
            <w:pPr>
              <w:jc w:val="center"/>
              <w:ind w:right="49"/>
              <w:spacing w:after="0" w:line="27" w:lineRule="exact"/>
              <w:rPr>
                <w:sz w:val="20"/>
                <w:szCs w:val="20"/>
                <w:color w:val="auto"/>
              </w:rPr>
            </w:pPr>
            <w:r>
              <w:rPr>
                <w:rFonts w:ascii="Arial" w:cs="Arial" w:eastAsia="Arial" w:hAnsi="Arial"/>
                <w:sz w:val="3"/>
                <w:szCs w:val="3"/>
                <w:b w:val="1"/>
                <w:bCs w:val="1"/>
                <w:color w:val="FFFFFF"/>
              </w:rPr>
              <w:t>Exercise</w:t>
            </w:r>
          </w:p>
        </w:tc>
        <w:tc>
          <w:tcPr>
            <w:tcW w:w="700" w:type="dxa"/>
            <w:vAlign w:val="bottom"/>
            <w:tcBorders>
              <w:top w:val="single" w:sz="8" w:color="00A5B5"/>
            </w:tcBorders>
            <w:shd w:val="clear" w:color="auto" w:fill="00A5B5"/>
          </w:tcPr>
          <w:p>
            <w:pPr>
              <w:jc w:val="center"/>
              <w:spacing w:after="0" w:line="27" w:lineRule="exact"/>
              <w:rPr>
                <w:sz w:val="20"/>
                <w:szCs w:val="20"/>
                <w:color w:val="auto"/>
              </w:rPr>
            </w:pPr>
            <w:r>
              <w:rPr>
                <w:rFonts w:ascii="Arial" w:cs="Arial" w:eastAsia="Arial" w:hAnsi="Arial"/>
                <w:sz w:val="3"/>
                <w:szCs w:val="3"/>
                <w:b w:val="1"/>
                <w:bCs w:val="1"/>
                <w:color w:val="FFFFFF"/>
              </w:rPr>
              <w:t>Fair Value</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440" w:type="dxa"/>
            <w:vAlign w:val="bottom"/>
            <w:shd w:val="clear" w:color="auto" w:fill="00A5B5"/>
          </w:tcPr>
          <w:p>
            <w:pPr>
              <w:spacing w:after="0"/>
              <w:rPr>
                <w:sz w:val="11"/>
                <w:szCs w:val="11"/>
                <w:color w:val="auto"/>
              </w:rPr>
            </w:pPr>
          </w:p>
        </w:tc>
        <w:tc>
          <w:tcPr>
            <w:tcW w:w="760" w:type="dxa"/>
            <w:vAlign w:val="bottom"/>
            <w:shd w:val="clear" w:color="auto" w:fill="00A5B5"/>
          </w:tcPr>
          <w:p>
            <w:pPr>
              <w:spacing w:after="0"/>
              <w:rPr>
                <w:sz w:val="11"/>
                <w:szCs w:val="11"/>
                <w:color w:val="auto"/>
              </w:rPr>
            </w:pPr>
          </w:p>
        </w:tc>
        <w:tc>
          <w:tcPr>
            <w:tcW w:w="800" w:type="dxa"/>
            <w:vAlign w:val="bottom"/>
            <w:shd w:val="clear" w:color="auto" w:fill="00A5B5"/>
          </w:tcPr>
          <w:p>
            <w:pPr>
              <w:spacing w:after="0"/>
              <w:rPr>
                <w:sz w:val="11"/>
                <w:szCs w:val="11"/>
                <w:color w:val="auto"/>
              </w:rPr>
            </w:pPr>
          </w:p>
        </w:tc>
        <w:tc>
          <w:tcPr>
            <w:tcW w:w="660" w:type="dxa"/>
            <w:vAlign w:val="bottom"/>
            <w:shd w:val="clear" w:color="auto" w:fill="00A5B5"/>
          </w:tcPr>
          <w:p>
            <w:pPr>
              <w:jc w:val="center"/>
              <w:ind w:left="108"/>
              <w:spacing w:after="0"/>
              <w:rPr>
                <w:sz w:val="20"/>
                <w:szCs w:val="20"/>
                <w:color w:val="auto"/>
              </w:rPr>
            </w:pPr>
            <w:r>
              <w:rPr>
                <w:rFonts w:ascii="Arial" w:cs="Arial" w:eastAsia="Arial" w:hAnsi="Arial"/>
                <w:sz w:val="11"/>
                <w:szCs w:val="11"/>
                <w:b w:val="1"/>
                <w:bCs w:val="1"/>
                <w:color w:val="FFFFFF"/>
                <w:w w:val="93"/>
              </w:rPr>
              <w:t>Threshold</w:t>
            </w:r>
          </w:p>
        </w:tc>
        <w:tc>
          <w:tcPr>
            <w:tcW w:w="180" w:type="dxa"/>
            <w:vAlign w:val="bottom"/>
            <w:shd w:val="clear" w:color="auto" w:fill="00A5B5"/>
          </w:tcPr>
          <w:p>
            <w:pPr>
              <w:spacing w:after="0"/>
              <w:rPr>
                <w:sz w:val="11"/>
                <w:szCs w:val="11"/>
                <w:color w:val="auto"/>
              </w:rPr>
            </w:pPr>
          </w:p>
        </w:tc>
        <w:tc>
          <w:tcPr>
            <w:tcW w:w="960" w:type="dxa"/>
            <w:vAlign w:val="bottom"/>
            <w:shd w:val="clear" w:color="auto" w:fill="00A5B5"/>
          </w:tcPr>
          <w:p>
            <w:pPr>
              <w:jc w:val="right"/>
              <w:ind w:right="367"/>
              <w:spacing w:after="0"/>
              <w:rPr>
                <w:sz w:val="20"/>
                <w:szCs w:val="20"/>
                <w:color w:val="auto"/>
              </w:rPr>
            </w:pPr>
            <w:r>
              <w:rPr>
                <w:rFonts w:ascii="Arial" w:cs="Arial" w:eastAsia="Arial" w:hAnsi="Arial"/>
                <w:sz w:val="11"/>
                <w:szCs w:val="11"/>
                <w:b w:val="1"/>
                <w:bCs w:val="1"/>
                <w:color w:val="FFFFFF"/>
              </w:rPr>
              <w:t>Target</w:t>
            </w:r>
          </w:p>
        </w:tc>
        <w:tc>
          <w:tcPr>
            <w:tcW w:w="840" w:type="dxa"/>
            <w:vAlign w:val="bottom"/>
            <w:gridSpan w:val="2"/>
            <w:shd w:val="clear" w:color="auto" w:fill="00A5B5"/>
          </w:tcPr>
          <w:p>
            <w:pPr>
              <w:ind w:left="140"/>
              <w:spacing w:after="0"/>
              <w:rPr>
                <w:sz w:val="20"/>
                <w:szCs w:val="20"/>
                <w:color w:val="auto"/>
              </w:rPr>
            </w:pPr>
            <w:r>
              <w:rPr>
                <w:rFonts w:ascii="Arial" w:cs="Arial" w:eastAsia="Arial" w:hAnsi="Arial"/>
                <w:sz w:val="11"/>
                <w:szCs w:val="11"/>
                <w:b w:val="1"/>
                <w:bCs w:val="1"/>
                <w:color w:val="FFFFFF"/>
              </w:rPr>
              <w:t>Max</w:t>
            </w:r>
          </w:p>
        </w:tc>
        <w:tc>
          <w:tcPr>
            <w:tcW w:w="980" w:type="dxa"/>
            <w:vAlign w:val="bottom"/>
            <w:shd w:val="clear" w:color="auto" w:fill="00A5B5"/>
          </w:tcPr>
          <w:p>
            <w:pPr>
              <w:jc w:val="right"/>
              <w:ind w:right="247"/>
              <w:spacing w:after="0"/>
              <w:rPr>
                <w:sz w:val="20"/>
                <w:szCs w:val="20"/>
                <w:color w:val="auto"/>
              </w:rPr>
            </w:pPr>
            <w:r>
              <w:rPr>
                <w:rFonts w:ascii="Arial" w:cs="Arial" w:eastAsia="Arial" w:hAnsi="Arial"/>
                <w:sz w:val="11"/>
                <w:szCs w:val="11"/>
                <w:b w:val="1"/>
                <w:bCs w:val="1"/>
                <w:color w:val="FFFFFF"/>
              </w:rPr>
              <w:t>Threshold</w:t>
            </w:r>
          </w:p>
        </w:tc>
        <w:tc>
          <w:tcPr>
            <w:tcW w:w="860" w:type="dxa"/>
            <w:vAlign w:val="bottom"/>
            <w:shd w:val="clear" w:color="auto" w:fill="00A5B5"/>
          </w:tcPr>
          <w:p>
            <w:pPr>
              <w:jc w:val="center"/>
              <w:ind w:right="247"/>
              <w:spacing w:after="0"/>
              <w:rPr>
                <w:sz w:val="20"/>
                <w:szCs w:val="20"/>
                <w:color w:val="auto"/>
              </w:rPr>
            </w:pPr>
            <w:r>
              <w:rPr>
                <w:rFonts w:ascii="Arial" w:cs="Arial" w:eastAsia="Arial" w:hAnsi="Arial"/>
                <w:sz w:val="11"/>
                <w:szCs w:val="11"/>
                <w:b w:val="1"/>
                <w:bCs w:val="1"/>
                <w:color w:val="FFFFFF"/>
                <w:w w:val="95"/>
              </w:rPr>
              <w:t>Target</w:t>
            </w:r>
          </w:p>
        </w:tc>
        <w:tc>
          <w:tcPr>
            <w:tcW w:w="700" w:type="dxa"/>
            <w:vAlign w:val="bottom"/>
            <w:shd w:val="clear" w:color="auto" w:fill="00A5B5"/>
          </w:tcPr>
          <w:p>
            <w:pPr>
              <w:jc w:val="right"/>
              <w:ind w:right="267"/>
              <w:spacing w:after="0"/>
              <w:rPr>
                <w:sz w:val="20"/>
                <w:szCs w:val="20"/>
                <w:color w:val="auto"/>
              </w:rPr>
            </w:pPr>
            <w:r>
              <w:rPr>
                <w:rFonts w:ascii="Arial" w:cs="Arial" w:eastAsia="Arial" w:hAnsi="Arial"/>
                <w:sz w:val="11"/>
                <w:szCs w:val="11"/>
                <w:b w:val="1"/>
                <w:bCs w:val="1"/>
                <w:color w:val="FFFFFF"/>
              </w:rPr>
              <w:t>Max</w:t>
            </w:r>
          </w:p>
        </w:tc>
        <w:tc>
          <w:tcPr>
            <w:tcW w:w="760" w:type="dxa"/>
            <w:vAlign w:val="bottom"/>
            <w:shd w:val="clear" w:color="auto" w:fill="00A5B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760" w:type="dxa"/>
            <w:vAlign w:val="bottom"/>
            <w:shd w:val="clear" w:color="auto" w:fill="00A5B5"/>
          </w:tcPr>
          <w:p>
            <w:pPr>
              <w:jc w:val="center"/>
              <w:ind w:right="69"/>
              <w:spacing w:after="0"/>
              <w:rPr>
                <w:sz w:val="20"/>
                <w:szCs w:val="20"/>
                <w:color w:val="auto"/>
              </w:rPr>
            </w:pPr>
            <w:r>
              <w:rPr>
                <w:rFonts w:ascii="Arial" w:cs="Arial" w:eastAsia="Arial" w:hAnsi="Arial"/>
                <w:sz w:val="11"/>
                <w:szCs w:val="11"/>
                <w:b w:val="1"/>
                <w:bCs w:val="1"/>
                <w:color w:val="FFFFFF"/>
                <w:w w:val="94"/>
              </w:rPr>
              <w:t>Number of</w:t>
            </w:r>
          </w:p>
        </w:tc>
        <w:tc>
          <w:tcPr>
            <w:tcW w:w="680" w:type="dxa"/>
            <w:vAlign w:val="bottom"/>
            <w:shd w:val="clear" w:color="auto" w:fill="00A5B5"/>
          </w:tcPr>
          <w:p>
            <w:pPr>
              <w:jc w:val="center"/>
              <w:ind w:right="49"/>
              <w:spacing w:after="0"/>
              <w:rPr>
                <w:sz w:val="20"/>
                <w:szCs w:val="20"/>
                <w:color w:val="auto"/>
              </w:rPr>
            </w:pPr>
            <w:r>
              <w:rPr>
                <w:rFonts w:ascii="Arial" w:cs="Arial" w:eastAsia="Arial" w:hAnsi="Arial"/>
                <w:sz w:val="11"/>
                <w:szCs w:val="11"/>
                <w:b w:val="1"/>
                <w:bCs w:val="1"/>
                <w:color w:val="FFFFFF"/>
                <w:w w:val="94"/>
              </w:rPr>
              <w:t>or Base</w:t>
            </w:r>
          </w:p>
        </w:tc>
        <w:tc>
          <w:tcPr>
            <w:tcW w:w="700" w:type="dxa"/>
            <w:vAlign w:val="bottom"/>
            <w:shd w:val="clear" w:color="auto" w:fill="00A5B5"/>
          </w:tcPr>
          <w:p>
            <w:pPr>
              <w:jc w:val="center"/>
              <w:spacing w:after="0"/>
              <w:rPr>
                <w:sz w:val="20"/>
                <w:szCs w:val="20"/>
                <w:color w:val="auto"/>
              </w:rPr>
            </w:pPr>
            <w:r>
              <w:rPr>
                <w:rFonts w:ascii="Arial" w:cs="Arial" w:eastAsia="Arial" w:hAnsi="Arial"/>
                <w:sz w:val="11"/>
                <w:szCs w:val="11"/>
                <w:b w:val="1"/>
                <w:bCs w:val="1"/>
                <w:color w:val="FFFFFF"/>
                <w:w w:val="92"/>
              </w:rPr>
              <w:t>of Stock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40" w:type="dxa"/>
            <w:vAlign w:val="bottom"/>
            <w:shd w:val="clear" w:color="auto" w:fill="00A5B5"/>
          </w:tcPr>
          <w:p>
            <w:pPr>
              <w:spacing w:after="0"/>
              <w:rPr>
                <w:sz w:val="6"/>
                <w:szCs w:val="6"/>
                <w:color w:val="auto"/>
              </w:rPr>
            </w:pPr>
          </w:p>
        </w:tc>
        <w:tc>
          <w:tcPr>
            <w:tcW w:w="760" w:type="dxa"/>
            <w:vAlign w:val="bottom"/>
            <w:shd w:val="clear" w:color="auto" w:fill="00A5B5"/>
          </w:tcPr>
          <w:p>
            <w:pPr>
              <w:spacing w:after="0"/>
              <w:rPr>
                <w:sz w:val="6"/>
                <w:szCs w:val="6"/>
                <w:color w:val="auto"/>
              </w:rPr>
            </w:pPr>
          </w:p>
        </w:tc>
        <w:tc>
          <w:tcPr>
            <w:tcW w:w="800" w:type="dxa"/>
            <w:vAlign w:val="bottom"/>
            <w:shd w:val="clear" w:color="auto" w:fill="00A5B5"/>
          </w:tcPr>
          <w:p>
            <w:pPr>
              <w:spacing w:after="0"/>
              <w:rPr>
                <w:sz w:val="6"/>
                <w:szCs w:val="6"/>
                <w:color w:val="auto"/>
              </w:rPr>
            </w:pPr>
          </w:p>
        </w:tc>
        <w:tc>
          <w:tcPr>
            <w:tcW w:w="660" w:type="dxa"/>
            <w:vAlign w:val="bottom"/>
            <w:shd w:val="clear" w:color="auto" w:fill="00A5B5"/>
          </w:tcPr>
          <w:p>
            <w:pPr>
              <w:spacing w:after="0"/>
              <w:rPr>
                <w:sz w:val="6"/>
                <w:szCs w:val="6"/>
                <w:color w:val="auto"/>
              </w:rPr>
            </w:pPr>
          </w:p>
        </w:tc>
        <w:tc>
          <w:tcPr>
            <w:tcW w:w="180" w:type="dxa"/>
            <w:vAlign w:val="bottom"/>
            <w:shd w:val="clear" w:color="auto" w:fill="00A5B5"/>
          </w:tcPr>
          <w:p>
            <w:pPr>
              <w:spacing w:after="0"/>
              <w:rPr>
                <w:sz w:val="6"/>
                <w:szCs w:val="6"/>
                <w:color w:val="auto"/>
              </w:rPr>
            </w:pPr>
          </w:p>
        </w:tc>
        <w:tc>
          <w:tcPr>
            <w:tcW w:w="960" w:type="dxa"/>
            <w:vAlign w:val="bottom"/>
            <w:shd w:val="clear" w:color="auto" w:fill="00A5B5"/>
          </w:tcPr>
          <w:p>
            <w:pPr>
              <w:spacing w:after="0"/>
              <w:rPr>
                <w:sz w:val="6"/>
                <w:szCs w:val="6"/>
                <w:color w:val="auto"/>
              </w:rPr>
            </w:pPr>
          </w:p>
        </w:tc>
        <w:tc>
          <w:tcPr>
            <w:tcW w:w="700" w:type="dxa"/>
            <w:vAlign w:val="bottom"/>
            <w:shd w:val="clear" w:color="auto" w:fill="00A5B5"/>
          </w:tcPr>
          <w:p>
            <w:pPr>
              <w:spacing w:after="0"/>
              <w:rPr>
                <w:sz w:val="6"/>
                <w:szCs w:val="6"/>
                <w:color w:val="auto"/>
              </w:rPr>
            </w:pPr>
          </w:p>
        </w:tc>
        <w:tc>
          <w:tcPr>
            <w:tcW w:w="140" w:type="dxa"/>
            <w:vAlign w:val="bottom"/>
            <w:shd w:val="clear" w:color="auto" w:fill="00A5B5"/>
          </w:tcPr>
          <w:p>
            <w:pPr>
              <w:spacing w:after="0"/>
              <w:rPr>
                <w:sz w:val="6"/>
                <w:szCs w:val="6"/>
                <w:color w:val="auto"/>
              </w:rPr>
            </w:pPr>
          </w:p>
        </w:tc>
        <w:tc>
          <w:tcPr>
            <w:tcW w:w="980" w:type="dxa"/>
            <w:vAlign w:val="bottom"/>
            <w:shd w:val="clear" w:color="auto" w:fill="00A5B5"/>
          </w:tcPr>
          <w:p>
            <w:pPr>
              <w:spacing w:after="0"/>
              <w:rPr>
                <w:sz w:val="6"/>
                <w:szCs w:val="6"/>
                <w:color w:val="auto"/>
              </w:rPr>
            </w:pPr>
          </w:p>
        </w:tc>
        <w:tc>
          <w:tcPr>
            <w:tcW w:w="860" w:type="dxa"/>
            <w:vAlign w:val="bottom"/>
            <w:shd w:val="clear" w:color="auto" w:fill="00A5B5"/>
          </w:tcPr>
          <w:p>
            <w:pPr>
              <w:spacing w:after="0"/>
              <w:rPr>
                <w:sz w:val="6"/>
                <w:szCs w:val="6"/>
                <w:color w:val="auto"/>
              </w:rPr>
            </w:pPr>
          </w:p>
        </w:tc>
        <w:tc>
          <w:tcPr>
            <w:tcW w:w="700" w:type="dxa"/>
            <w:vAlign w:val="bottom"/>
            <w:shd w:val="clear" w:color="auto" w:fill="00A5B5"/>
          </w:tcPr>
          <w:p>
            <w:pPr>
              <w:spacing w:after="0"/>
              <w:rPr>
                <w:sz w:val="6"/>
                <w:szCs w:val="6"/>
                <w:color w:val="auto"/>
              </w:rPr>
            </w:pPr>
          </w:p>
        </w:tc>
        <w:tc>
          <w:tcPr>
            <w:tcW w:w="760" w:type="dxa"/>
            <w:vAlign w:val="bottom"/>
            <w:shd w:val="clear" w:color="auto" w:fill="00A5B5"/>
          </w:tcPr>
          <w:p>
            <w:pPr>
              <w:jc w:val="center"/>
              <w:spacing w:after="0" w:line="80" w:lineRule="exact"/>
              <w:rPr>
                <w:sz w:val="20"/>
                <w:szCs w:val="20"/>
                <w:color w:val="auto"/>
              </w:rPr>
            </w:pPr>
            <w:r>
              <w:rPr>
                <w:rFonts w:ascii="Arial" w:cs="Arial" w:eastAsia="Arial" w:hAnsi="Arial"/>
                <w:sz w:val="8"/>
                <w:szCs w:val="8"/>
                <w:b w:val="1"/>
                <w:bCs w:val="1"/>
                <w:color w:val="FFFFFF"/>
              </w:rPr>
              <w:t>Shares or</w:t>
            </w:r>
          </w:p>
        </w:tc>
        <w:tc>
          <w:tcPr>
            <w:tcW w:w="760" w:type="dxa"/>
            <w:vAlign w:val="bottom"/>
            <w:shd w:val="clear" w:color="auto" w:fill="00A5B5"/>
          </w:tcPr>
          <w:p>
            <w:pPr>
              <w:jc w:val="center"/>
              <w:ind w:right="69"/>
              <w:spacing w:after="0" w:line="80" w:lineRule="exact"/>
              <w:rPr>
                <w:sz w:val="20"/>
                <w:szCs w:val="20"/>
                <w:color w:val="auto"/>
              </w:rPr>
            </w:pPr>
            <w:r>
              <w:rPr>
                <w:rFonts w:ascii="Arial" w:cs="Arial" w:eastAsia="Arial" w:hAnsi="Arial"/>
                <w:sz w:val="8"/>
                <w:szCs w:val="8"/>
                <w:b w:val="1"/>
                <w:bCs w:val="1"/>
                <w:color w:val="FFFFFF"/>
              </w:rPr>
              <w:t>Securities</w:t>
            </w:r>
          </w:p>
        </w:tc>
        <w:tc>
          <w:tcPr>
            <w:tcW w:w="680" w:type="dxa"/>
            <w:vAlign w:val="bottom"/>
            <w:shd w:val="clear" w:color="auto" w:fill="00A5B5"/>
          </w:tcPr>
          <w:p>
            <w:pPr>
              <w:jc w:val="center"/>
              <w:ind w:right="49"/>
              <w:spacing w:after="0" w:line="80" w:lineRule="exact"/>
              <w:rPr>
                <w:sz w:val="20"/>
                <w:szCs w:val="20"/>
                <w:color w:val="auto"/>
              </w:rPr>
            </w:pPr>
            <w:r>
              <w:rPr>
                <w:rFonts w:ascii="Arial" w:cs="Arial" w:eastAsia="Arial" w:hAnsi="Arial"/>
                <w:sz w:val="8"/>
                <w:szCs w:val="8"/>
                <w:b w:val="1"/>
                <w:bCs w:val="1"/>
                <w:color w:val="FFFFFF"/>
              </w:rPr>
              <w:t>Price of</w:t>
            </w:r>
          </w:p>
        </w:tc>
        <w:tc>
          <w:tcPr>
            <w:tcW w:w="700" w:type="dxa"/>
            <w:vAlign w:val="bottom"/>
            <w:shd w:val="clear" w:color="auto" w:fill="00A5B5"/>
          </w:tcPr>
          <w:p>
            <w:pPr>
              <w:jc w:val="center"/>
              <w:spacing w:after="0" w:line="80" w:lineRule="exact"/>
              <w:rPr>
                <w:sz w:val="20"/>
                <w:szCs w:val="20"/>
                <w:color w:val="auto"/>
              </w:rPr>
            </w:pPr>
            <w:r>
              <w:rPr>
                <w:rFonts w:ascii="Arial" w:cs="Arial" w:eastAsia="Arial" w:hAnsi="Arial"/>
                <w:sz w:val="8"/>
                <w:szCs w:val="8"/>
                <w:b w:val="1"/>
                <w:bCs w:val="1"/>
                <w:color w:val="FFFFFF"/>
              </w:rPr>
              <w:t>and Option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440" w:type="dxa"/>
            <w:vAlign w:val="bottom"/>
            <w:vMerge w:val="restart"/>
            <w:shd w:val="clear" w:color="auto" w:fill="00A5B5"/>
          </w:tcPr>
          <w:p>
            <w:pPr>
              <w:ind w:left="4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00A5B5"/>
          </w:tcPr>
          <w:p>
            <w:pPr>
              <w:ind w:left="240"/>
              <w:spacing w:after="0" w:line="120" w:lineRule="exact"/>
              <w:rPr>
                <w:sz w:val="20"/>
                <w:szCs w:val="20"/>
                <w:color w:val="auto"/>
              </w:rPr>
            </w:pPr>
            <w:r>
              <w:rPr>
                <w:rFonts w:ascii="Arial" w:cs="Arial" w:eastAsia="Arial" w:hAnsi="Arial"/>
                <w:sz w:val="11"/>
                <w:szCs w:val="11"/>
                <w:b w:val="1"/>
                <w:bCs w:val="1"/>
                <w:color w:val="FFFFFF"/>
              </w:rPr>
              <w:t>Grant</w:t>
            </w:r>
          </w:p>
        </w:tc>
        <w:tc>
          <w:tcPr>
            <w:tcW w:w="800" w:type="dxa"/>
            <w:vAlign w:val="bottom"/>
            <w:shd w:val="clear" w:color="auto" w:fill="00A5B5"/>
          </w:tcPr>
          <w:p>
            <w:pPr>
              <w:jc w:val="right"/>
              <w:ind w:right="127"/>
              <w:spacing w:after="0" w:line="120" w:lineRule="exact"/>
              <w:rPr>
                <w:sz w:val="20"/>
                <w:szCs w:val="20"/>
                <w:color w:val="auto"/>
              </w:rPr>
            </w:pPr>
            <w:r>
              <w:rPr>
                <w:rFonts w:ascii="Arial" w:cs="Arial" w:eastAsia="Arial" w:hAnsi="Arial"/>
                <w:sz w:val="11"/>
                <w:szCs w:val="11"/>
                <w:b w:val="1"/>
                <w:bCs w:val="1"/>
                <w:color w:val="FFFFFF"/>
              </w:rPr>
              <w:t>Approval</w:t>
            </w:r>
          </w:p>
        </w:tc>
        <w:tc>
          <w:tcPr>
            <w:tcW w:w="660" w:type="dxa"/>
            <w:vAlign w:val="bottom"/>
            <w:vMerge w:val="restart"/>
            <w:shd w:val="clear" w:color="auto" w:fill="00A5B5"/>
          </w:tcPr>
          <w:p>
            <w:pPr>
              <w:jc w:val="right"/>
              <w:ind w:right="128"/>
              <w:spacing w:after="0"/>
              <w:rPr>
                <w:sz w:val="20"/>
                <w:szCs w:val="20"/>
                <w:color w:val="auto"/>
              </w:rPr>
            </w:pPr>
            <w:r>
              <w:rPr>
                <w:rFonts w:ascii="Arial" w:cs="Arial" w:eastAsia="Arial" w:hAnsi="Arial"/>
                <w:sz w:val="11"/>
                <w:szCs w:val="11"/>
                <w:b w:val="1"/>
                <w:bCs w:val="1"/>
                <w:color w:val="FFFFFF"/>
              </w:rPr>
              <w:t>($)</w:t>
            </w:r>
          </w:p>
        </w:tc>
        <w:tc>
          <w:tcPr>
            <w:tcW w:w="180" w:type="dxa"/>
            <w:vAlign w:val="bottom"/>
            <w:shd w:val="clear" w:color="auto" w:fill="00A5B5"/>
          </w:tcPr>
          <w:p>
            <w:pPr>
              <w:spacing w:after="0"/>
              <w:rPr>
                <w:sz w:val="10"/>
                <w:szCs w:val="10"/>
                <w:color w:val="auto"/>
              </w:rPr>
            </w:pPr>
          </w:p>
        </w:tc>
        <w:tc>
          <w:tcPr>
            <w:tcW w:w="960" w:type="dxa"/>
            <w:vAlign w:val="bottom"/>
            <w:vMerge w:val="restart"/>
            <w:shd w:val="clear" w:color="auto" w:fill="00A5B5"/>
          </w:tcPr>
          <w:p>
            <w:pPr>
              <w:jc w:val="center"/>
              <w:ind w:right="87"/>
              <w:spacing w:after="0"/>
              <w:rPr>
                <w:sz w:val="20"/>
                <w:szCs w:val="20"/>
                <w:color w:val="auto"/>
              </w:rPr>
            </w:pPr>
            <w:r>
              <w:rPr>
                <w:rFonts w:ascii="Arial" w:cs="Arial" w:eastAsia="Arial" w:hAnsi="Arial"/>
                <w:sz w:val="11"/>
                <w:szCs w:val="11"/>
                <w:b w:val="1"/>
                <w:bCs w:val="1"/>
                <w:color w:val="FFFFFF"/>
              </w:rPr>
              <w:t>($)</w:t>
            </w:r>
          </w:p>
        </w:tc>
        <w:tc>
          <w:tcPr>
            <w:tcW w:w="700" w:type="dxa"/>
            <w:vAlign w:val="bottom"/>
            <w:vMerge w:val="restart"/>
            <w:shd w:val="clear" w:color="auto" w:fill="00A5B5"/>
          </w:tcPr>
          <w:p>
            <w:pPr>
              <w:ind w:left="220"/>
              <w:spacing w:after="0"/>
              <w:rPr>
                <w:sz w:val="20"/>
                <w:szCs w:val="20"/>
                <w:color w:val="auto"/>
              </w:rPr>
            </w:pPr>
            <w:r>
              <w:rPr>
                <w:rFonts w:ascii="Arial" w:cs="Arial" w:eastAsia="Arial" w:hAnsi="Arial"/>
                <w:sz w:val="11"/>
                <w:szCs w:val="11"/>
                <w:b w:val="1"/>
                <w:bCs w:val="1"/>
                <w:color w:val="FFFFFF"/>
              </w:rPr>
              <w:t>($)</w:t>
            </w:r>
          </w:p>
        </w:tc>
        <w:tc>
          <w:tcPr>
            <w:tcW w:w="140" w:type="dxa"/>
            <w:vAlign w:val="bottom"/>
            <w:shd w:val="clear" w:color="auto" w:fill="00A5B5"/>
          </w:tcPr>
          <w:p>
            <w:pPr>
              <w:spacing w:after="0"/>
              <w:rPr>
                <w:sz w:val="10"/>
                <w:szCs w:val="10"/>
                <w:color w:val="auto"/>
              </w:rPr>
            </w:pPr>
          </w:p>
        </w:tc>
        <w:tc>
          <w:tcPr>
            <w:tcW w:w="980" w:type="dxa"/>
            <w:vAlign w:val="bottom"/>
            <w:vMerge w:val="restart"/>
            <w:shd w:val="clear" w:color="auto" w:fill="00A5B5"/>
          </w:tcPr>
          <w:p>
            <w:pPr>
              <w:jc w:val="right"/>
              <w:ind w:right="427"/>
              <w:spacing w:after="0"/>
              <w:rPr>
                <w:sz w:val="20"/>
                <w:szCs w:val="20"/>
                <w:color w:val="auto"/>
              </w:rPr>
            </w:pPr>
            <w:r>
              <w:rPr>
                <w:rFonts w:ascii="Arial" w:cs="Arial" w:eastAsia="Arial" w:hAnsi="Arial"/>
                <w:sz w:val="11"/>
                <w:szCs w:val="11"/>
                <w:b w:val="1"/>
                <w:bCs w:val="1"/>
                <w:color w:val="FFFFFF"/>
              </w:rPr>
              <w:t>(#)</w:t>
            </w:r>
          </w:p>
        </w:tc>
        <w:tc>
          <w:tcPr>
            <w:tcW w:w="860" w:type="dxa"/>
            <w:vAlign w:val="bottom"/>
            <w:vMerge w:val="restart"/>
            <w:shd w:val="clear" w:color="auto" w:fill="00A5B5"/>
          </w:tcPr>
          <w:p>
            <w:pPr>
              <w:jc w:val="center"/>
              <w:ind w:right="227"/>
              <w:spacing w:after="0"/>
              <w:rPr>
                <w:sz w:val="20"/>
                <w:szCs w:val="20"/>
                <w:color w:val="auto"/>
              </w:rPr>
            </w:pPr>
            <w:r>
              <w:rPr>
                <w:rFonts w:ascii="Arial" w:cs="Arial" w:eastAsia="Arial" w:hAnsi="Arial"/>
                <w:sz w:val="11"/>
                <w:szCs w:val="11"/>
                <w:b w:val="1"/>
                <w:bCs w:val="1"/>
                <w:color w:val="FFFFFF"/>
              </w:rPr>
              <w:t>(#)</w:t>
            </w:r>
          </w:p>
        </w:tc>
        <w:tc>
          <w:tcPr>
            <w:tcW w:w="700" w:type="dxa"/>
            <w:vAlign w:val="bottom"/>
            <w:vMerge w:val="restart"/>
            <w:shd w:val="clear" w:color="auto" w:fill="00A5B5"/>
          </w:tcPr>
          <w:p>
            <w:pPr>
              <w:jc w:val="right"/>
              <w:ind w:right="307"/>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00A5B5"/>
          </w:tcPr>
          <w:p>
            <w:pPr>
              <w:jc w:val="center"/>
              <w:spacing w:after="0" w:line="120" w:lineRule="exact"/>
              <w:rPr>
                <w:sz w:val="20"/>
                <w:szCs w:val="20"/>
                <w:color w:val="auto"/>
              </w:rPr>
            </w:pPr>
            <w:r>
              <w:rPr>
                <w:rFonts w:ascii="Arial" w:cs="Arial" w:eastAsia="Arial" w:hAnsi="Arial"/>
                <w:sz w:val="11"/>
                <w:szCs w:val="11"/>
                <w:b w:val="1"/>
                <w:bCs w:val="1"/>
                <w:color w:val="FFFFFF"/>
                <w:w w:val="93"/>
              </w:rPr>
              <w:t>Stock</w:t>
            </w:r>
          </w:p>
        </w:tc>
        <w:tc>
          <w:tcPr>
            <w:tcW w:w="760" w:type="dxa"/>
            <w:vAlign w:val="bottom"/>
            <w:shd w:val="clear" w:color="auto" w:fill="00A5B5"/>
          </w:tcPr>
          <w:p>
            <w:pPr>
              <w:jc w:val="center"/>
              <w:ind w:right="69"/>
              <w:spacing w:after="0" w:line="120" w:lineRule="exact"/>
              <w:rPr>
                <w:sz w:val="20"/>
                <w:szCs w:val="20"/>
                <w:color w:val="auto"/>
              </w:rPr>
            </w:pPr>
            <w:r>
              <w:rPr>
                <w:rFonts w:ascii="Arial" w:cs="Arial" w:eastAsia="Arial" w:hAnsi="Arial"/>
                <w:sz w:val="11"/>
                <w:szCs w:val="11"/>
                <w:b w:val="1"/>
                <w:bCs w:val="1"/>
                <w:color w:val="FFFFFF"/>
                <w:w w:val="97"/>
              </w:rPr>
              <w:t>Underlying</w:t>
            </w:r>
          </w:p>
        </w:tc>
        <w:tc>
          <w:tcPr>
            <w:tcW w:w="680" w:type="dxa"/>
            <w:vAlign w:val="bottom"/>
            <w:shd w:val="clear" w:color="auto" w:fill="00A5B5"/>
          </w:tcPr>
          <w:p>
            <w:pPr>
              <w:jc w:val="center"/>
              <w:ind w:right="49"/>
              <w:spacing w:after="0" w:line="120" w:lineRule="exact"/>
              <w:rPr>
                <w:sz w:val="20"/>
                <w:szCs w:val="20"/>
                <w:color w:val="auto"/>
              </w:rPr>
            </w:pPr>
            <w:r>
              <w:rPr>
                <w:rFonts w:ascii="Arial" w:cs="Arial" w:eastAsia="Arial" w:hAnsi="Arial"/>
                <w:sz w:val="11"/>
                <w:szCs w:val="11"/>
                <w:b w:val="1"/>
                <w:bCs w:val="1"/>
                <w:color w:val="FFFFFF"/>
                <w:w w:val="95"/>
              </w:rPr>
              <w:t>Option</w:t>
            </w:r>
          </w:p>
        </w:tc>
        <w:tc>
          <w:tcPr>
            <w:tcW w:w="700" w:type="dxa"/>
            <w:vAlign w:val="bottom"/>
            <w:shd w:val="clear" w:color="auto" w:fill="00A5B5"/>
          </w:tcPr>
          <w:p>
            <w:pPr>
              <w:jc w:val="center"/>
              <w:spacing w:after="0" w:line="119" w:lineRule="exact"/>
              <w:rPr>
                <w:sz w:val="20"/>
                <w:szCs w:val="20"/>
                <w:color w:val="auto"/>
              </w:rPr>
            </w:pPr>
            <w:r>
              <w:rPr>
                <w:rFonts w:ascii="Arial" w:cs="Arial" w:eastAsia="Arial" w:hAnsi="Arial"/>
                <w:sz w:val="11"/>
                <w:szCs w:val="11"/>
                <w:b w:val="1"/>
                <w:bCs w:val="1"/>
                <w:color w:val="FFFFFF"/>
                <w:w w:val="92"/>
              </w:rPr>
              <w:t xml:space="preserve">Awards </w:t>
            </w:r>
            <w:r>
              <w:rPr>
                <w:rFonts w:ascii="Arial" w:cs="Arial" w:eastAsia="Arial" w:hAnsi="Arial"/>
                <w:sz w:val="13"/>
                <w:szCs w:val="13"/>
                <w:b w:val="1"/>
                <w:bCs w:val="1"/>
                <w:color w:val="FFFFFF"/>
                <w:w w:val="92"/>
                <w:vertAlign w:val="superscript"/>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440" w:type="dxa"/>
            <w:vAlign w:val="bottom"/>
            <w:tcBorders>
              <w:bottom w:val="single" w:sz="8" w:color="auto"/>
            </w:tcBorders>
            <w:vMerge w:val="continue"/>
            <w:shd w:val="clear" w:color="auto" w:fill="00A5B5"/>
          </w:tcPr>
          <w:p>
            <w:pPr>
              <w:spacing w:after="0"/>
              <w:rPr>
                <w:sz w:val="13"/>
                <w:szCs w:val="13"/>
                <w:color w:val="auto"/>
              </w:rPr>
            </w:pPr>
          </w:p>
        </w:tc>
        <w:tc>
          <w:tcPr>
            <w:tcW w:w="760" w:type="dxa"/>
            <w:vAlign w:val="bottom"/>
            <w:tcBorders>
              <w:bottom w:val="single" w:sz="8" w:color="auto"/>
            </w:tcBorders>
            <w:shd w:val="clear" w:color="auto" w:fill="00A5B5"/>
          </w:tcPr>
          <w:p>
            <w:pPr>
              <w:ind w:left="260"/>
              <w:spacing w:after="0"/>
              <w:rPr>
                <w:sz w:val="20"/>
                <w:szCs w:val="20"/>
                <w:color w:val="auto"/>
              </w:rPr>
            </w:pPr>
            <w:r>
              <w:rPr>
                <w:rFonts w:ascii="Arial" w:cs="Arial" w:eastAsia="Arial" w:hAnsi="Arial"/>
                <w:sz w:val="11"/>
                <w:szCs w:val="11"/>
                <w:b w:val="1"/>
                <w:bCs w:val="1"/>
                <w:color w:val="FFFFFF"/>
              </w:rPr>
              <w:t>Date</w:t>
            </w:r>
          </w:p>
        </w:tc>
        <w:tc>
          <w:tcPr>
            <w:tcW w:w="800" w:type="dxa"/>
            <w:vAlign w:val="bottom"/>
            <w:tcBorders>
              <w:bottom w:val="single" w:sz="8" w:color="auto"/>
            </w:tcBorders>
            <w:shd w:val="clear" w:color="auto" w:fill="00A5B5"/>
          </w:tcPr>
          <w:p>
            <w:pPr>
              <w:jc w:val="right"/>
              <w:ind w:right="227"/>
              <w:spacing w:after="0"/>
              <w:rPr>
                <w:sz w:val="20"/>
                <w:szCs w:val="20"/>
                <w:color w:val="auto"/>
              </w:rPr>
            </w:pPr>
            <w:r>
              <w:rPr>
                <w:rFonts w:ascii="Arial" w:cs="Arial" w:eastAsia="Arial" w:hAnsi="Arial"/>
                <w:sz w:val="11"/>
                <w:szCs w:val="11"/>
                <w:b w:val="1"/>
                <w:bCs w:val="1"/>
                <w:color w:val="FFFFFF"/>
              </w:rPr>
              <w:t>Date</w:t>
            </w:r>
          </w:p>
        </w:tc>
        <w:tc>
          <w:tcPr>
            <w:tcW w:w="660" w:type="dxa"/>
            <w:vAlign w:val="bottom"/>
            <w:tcBorders>
              <w:bottom w:val="single" w:sz="8" w:color="auto"/>
            </w:tcBorders>
            <w:vMerge w:val="continue"/>
            <w:shd w:val="clear" w:color="auto" w:fill="00A5B5"/>
          </w:tcPr>
          <w:p>
            <w:pPr>
              <w:spacing w:after="0"/>
              <w:rPr>
                <w:sz w:val="13"/>
                <w:szCs w:val="13"/>
                <w:color w:val="auto"/>
              </w:rPr>
            </w:pPr>
          </w:p>
        </w:tc>
        <w:tc>
          <w:tcPr>
            <w:tcW w:w="180" w:type="dxa"/>
            <w:vAlign w:val="bottom"/>
            <w:tcBorders>
              <w:bottom w:val="single" w:sz="8" w:color="auto"/>
            </w:tcBorders>
            <w:shd w:val="clear" w:color="auto" w:fill="00A5B5"/>
          </w:tcPr>
          <w:p>
            <w:pPr>
              <w:spacing w:after="0"/>
              <w:rPr>
                <w:sz w:val="13"/>
                <w:szCs w:val="13"/>
                <w:color w:val="auto"/>
              </w:rPr>
            </w:pPr>
          </w:p>
        </w:tc>
        <w:tc>
          <w:tcPr>
            <w:tcW w:w="960" w:type="dxa"/>
            <w:vAlign w:val="bottom"/>
            <w:tcBorders>
              <w:bottom w:val="single" w:sz="8" w:color="auto"/>
            </w:tcBorders>
            <w:vMerge w:val="continue"/>
            <w:shd w:val="clear" w:color="auto" w:fill="00A5B5"/>
          </w:tcPr>
          <w:p>
            <w:pPr>
              <w:spacing w:after="0"/>
              <w:rPr>
                <w:sz w:val="13"/>
                <w:szCs w:val="13"/>
                <w:color w:val="auto"/>
              </w:rPr>
            </w:pPr>
          </w:p>
        </w:tc>
        <w:tc>
          <w:tcPr>
            <w:tcW w:w="700" w:type="dxa"/>
            <w:vAlign w:val="bottom"/>
            <w:tcBorders>
              <w:bottom w:val="single" w:sz="8" w:color="auto"/>
            </w:tcBorders>
            <w:vMerge w:val="continue"/>
            <w:shd w:val="clear" w:color="auto" w:fill="00A5B5"/>
          </w:tcPr>
          <w:p>
            <w:pPr>
              <w:spacing w:after="0"/>
              <w:rPr>
                <w:sz w:val="13"/>
                <w:szCs w:val="13"/>
                <w:color w:val="auto"/>
              </w:rPr>
            </w:pPr>
          </w:p>
        </w:tc>
        <w:tc>
          <w:tcPr>
            <w:tcW w:w="140" w:type="dxa"/>
            <w:vAlign w:val="bottom"/>
            <w:tcBorders>
              <w:bottom w:val="single" w:sz="8" w:color="auto"/>
            </w:tcBorders>
            <w:shd w:val="clear" w:color="auto" w:fill="00A5B5"/>
          </w:tcPr>
          <w:p>
            <w:pPr>
              <w:spacing w:after="0"/>
              <w:rPr>
                <w:sz w:val="13"/>
                <w:szCs w:val="13"/>
                <w:color w:val="auto"/>
              </w:rPr>
            </w:pPr>
          </w:p>
        </w:tc>
        <w:tc>
          <w:tcPr>
            <w:tcW w:w="980" w:type="dxa"/>
            <w:vAlign w:val="bottom"/>
            <w:tcBorders>
              <w:bottom w:val="single" w:sz="8" w:color="auto"/>
            </w:tcBorders>
            <w:vMerge w:val="continue"/>
            <w:shd w:val="clear" w:color="auto" w:fill="00A5B5"/>
          </w:tcPr>
          <w:p>
            <w:pPr>
              <w:spacing w:after="0"/>
              <w:rPr>
                <w:sz w:val="13"/>
                <w:szCs w:val="13"/>
                <w:color w:val="auto"/>
              </w:rPr>
            </w:pPr>
          </w:p>
        </w:tc>
        <w:tc>
          <w:tcPr>
            <w:tcW w:w="860" w:type="dxa"/>
            <w:vAlign w:val="bottom"/>
            <w:tcBorders>
              <w:bottom w:val="single" w:sz="8" w:color="auto"/>
            </w:tcBorders>
            <w:vMerge w:val="continue"/>
            <w:shd w:val="clear" w:color="auto" w:fill="00A5B5"/>
          </w:tcPr>
          <w:p>
            <w:pPr>
              <w:spacing w:after="0"/>
              <w:rPr>
                <w:sz w:val="13"/>
                <w:szCs w:val="13"/>
                <w:color w:val="auto"/>
              </w:rPr>
            </w:pPr>
          </w:p>
        </w:tc>
        <w:tc>
          <w:tcPr>
            <w:tcW w:w="700" w:type="dxa"/>
            <w:vAlign w:val="bottom"/>
            <w:tcBorders>
              <w:bottom w:val="single" w:sz="8" w:color="auto"/>
            </w:tcBorders>
            <w:vMerge w:val="continue"/>
            <w:shd w:val="clear" w:color="auto" w:fill="00A5B5"/>
          </w:tcPr>
          <w:p>
            <w:pPr>
              <w:spacing w:after="0"/>
              <w:rPr>
                <w:sz w:val="13"/>
                <w:szCs w:val="13"/>
                <w:color w:val="auto"/>
              </w:rPr>
            </w:pPr>
          </w:p>
        </w:tc>
        <w:tc>
          <w:tcPr>
            <w:tcW w:w="760" w:type="dxa"/>
            <w:vAlign w:val="bottom"/>
            <w:tcBorders>
              <w:bottom w:val="single" w:sz="8" w:color="auto"/>
            </w:tcBorders>
            <w:shd w:val="clear" w:color="auto" w:fill="00A5B5"/>
          </w:tcPr>
          <w:p>
            <w:pPr>
              <w:jc w:val="center"/>
              <w:ind w:right="9"/>
              <w:spacing w:after="0" w:line="146" w:lineRule="exact"/>
              <w:rPr>
                <w:sz w:val="20"/>
                <w:szCs w:val="20"/>
                <w:color w:val="auto"/>
              </w:rPr>
            </w:pPr>
            <w:r>
              <w:rPr>
                <w:rFonts w:ascii="Arial" w:cs="Arial" w:eastAsia="Arial" w:hAnsi="Arial"/>
                <w:sz w:val="11"/>
                <w:szCs w:val="11"/>
                <w:b w:val="1"/>
                <w:bCs w:val="1"/>
                <w:color w:val="FFFFFF"/>
                <w:w w:val="95"/>
              </w:rPr>
              <w:t xml:space="preserve">Units </w:t>
            </w:r>
            <w:r>
              <w:rPr>
                <w:rFonts w:ascii="Arial" w:cs="Arial" w:eastAsia="Arial" w:hAnsi="Arial"/>
                <w:sz w:val="13"/>
                <w:szCs w:val="13"/>
                <w:b w:val="1"/>
                <w:bCs w:val="1"/>
                <w:color w:val="FFFFFF"/>
                <w:w w:val="95"/>
                <w:vertAlign w:val="superscript"/>
              </w:rPr>
              <w:t>3</w:t>
            </w:r>
          </w:p>
        </w:tc>
        <w:tc>
          <w:tcPr>
            <w:tcW w:w="760" w:type="dxa"/>
            <w:vAlign w:val="bottom"/>
            <w:tcBorders>
              <w:bottom w:val="single" w:sz="8" w:color="auto"/>
            </w:tcBorders>
            <w:shd w:val="clear" w:color="auto" w:fill="00A5B5"/>
          </w:tcPr>
          <w:p>
            <w:pPr>
              <w:jc w:val="center"/>
              <w:ind w:right="69"/>
              <w:spacing w:after="0" w:line="146" w:lineRule="exact"/>
              <w:rPr>
                <w:sz w:val="20"/>
                <w:szCs w:val="20"/>
                <w:color w:val="auto"/>
              </w:rPr>
            </w:pPr>
            <w:r>
              <w:rPr>
                <w:rFonts w:ascii="Arial" w:cs="Arial" w:eastAsia="Arial" w:hAnsi="Arial"/>
                <w:sz w:val="11"/>
                <w:szCs w:val="11"/>
                <w:b w:val="1"/>
                <w:bCs w:val="1"/>
                <w:color w:val="FFFFFF"/>
                <w:w w:val="94"/>
              </w:rPr>
              <w:t>Options</w:t>
            </w:r>
            <w:r>
              <w:rPr>
                <w:rFonts w:ascii="Arial" w:cs="Arial" w:eastAsia="Arial" w:hAnsi="Arial"/>
                <w:sz w:val="13"/>
                <w:szCs w:val="13"/>
                <w:b w:val="1"/>
                <w:bCs w:val="1"/>
                <w:color w:val="FFFFFF"/>
                <w:w w:val="94"/>
                <w:vertAlign w:val="superscript"/>
              </w:rPr>
              <w:t>4</w:t>
            </w:r>
          </w:p>
        </w:tc>
        <w:tc>
          <w:tcPr>
            <w:tcW w:w="680" w:type="dxa"/>
            <w:vAlign w:val="bottom"/>
            <w:tcBorders>
              <w:bottom w:val="single" w:sz="8" w:color="auto"/>
            </w:tcBorders>
            <w:shd w:val="clear" w:color="auto" w:fill="00A5B5"/>
          </w:tcPr>
          <w:p>
            <w:pPr>
              <w:jc w:val="center"/>
              <w:ind w:right="49"/>
              <w:spacing w:after="0"/>
              <w:rPr>
                <w:sz w:val="20"/>
                <w:szCs w:val="20"/>
                <w:color w:val="auto"/>
              </w:rPr>
            </w:pPr>
            <w:r>
              <w:rPr>
                <w:rFonts w:ascii="Arial" w:cs="Arial" w:eastAsia="Arial" w:hAnsi="Arial"/>
                <w:sz w:val="11"/>
                <w:szCs w:val="11"/>
                <w:b w:val="1"/>
                <w:bCs w:val="1"/>
                <w:color w:val="FFFFFF"/>
                <w:w w:val="95"/>
              </w:rPr>
              <w:t>Awards</w:t>
            </w:r>
          </w:p>
        </w:tc>
        <w:tc>
          <w:tcPr>
            <w:tcW w:w="7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1"/>
                <w:szCs w:val="11"/>
                <w:b w:val="1"/>
                <w:bCs w:val="1"/>
                <w:color w:val="FFFFFF"/>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b w:val="1"/>
                <w:bCs w:val="1"/>
                <w:color w:val="auto"/>
              </w:rPr>
              <w:t>Horacio D. Rozanski</w:t>
            </w:r>
          </w:p>
        </w:tc>
        <w:tc>
          <w:tcPr>
            <w:tcW w:w="760" w:type="dxa"/>
            <w:vAlign w:val="bottom"/>
            <w:shd w:val="clear" w:color="auto" w:fill="CCEEF0"/>
          </w:tcPr>
          <w:p>
            <w:pPr>
              <w:spacing w:after="0"/>
              <w:rPr>
                <w:sz w:val="12"/>
                <w:szCs w:val="12"/>
                <w:color w:val="auto"/>
              </w:rPr>
            </w:pPr>
          </w:p>
        </w:tc>
        <w:tc>
          <w:tcPr>
            <w:tcW w:w="800" w:type="dxa"/>
            <w:vAlign w:val="bottom"/>
            <w:shd w:val="clear" w:color="auto" w:fill="CCEEF0"/>
          </w:tcPr>
          <w:p>
            <w:pPr>
              <w:spacing w:after="0"/>
              <w:rPr>
                <w:sz w:val="12"/>
                <w:szCs w:val="12"/>
                <w:color w:val="auto"/>
              </w:rPr>
            </w:pPr>
          </w:p>
        </w:tc>
        <w:tc>
          <w:tcPr>
            <w:tcW w:w="660" w:type="dxa"/>
            <w:vAlign w:val="bottom"/>
            <w:shd w:val="clear" w:color="auto" w:fill="CCEEF0"/>
          </w:tcPr>
          <w:p>
            <w:pPr>
              <w:spacing w:after="0"/>
              <w:rPr>
                <w:sz w:val="12"/>
                <w:szCs w:val="12"/>
                <w:color w:val="auto"/>
              </w:rPr>
            </w:pPr>
          </w:p>
        </w:tc>
        <w:tc>
          <w:tcPr>
            <w:tcW w:w="180" w:type="dxa"/>
            <w:vAlign w:val="bottom"/>
            <w:shd w:val="clear" w:color="auto" w:fill="CCEEF0"/>
          </w:tcPr>
          <w:p>
            <w:pPr>
              <w:spacing w:after="0"/>
              <w:rPr>
                <w:sz w:val="12"/>
                <w:szCs w:val="12"/>
                <w:color w:val="auto"/>
              </w:rPr>
            </w:pPr>
          </w:p>
        </w:tc>
        <w:tc>
          <w:tcPr>
            <w:tcW w:w="960" w:type="dxa"/>
            <w:vAlign w:val="bottom"/>
            <w:shd w:val="clear" w:color="auto" w:fill="CCEEF0"/>
          </w:tcPr>
          <w:p>
            <w:pPr>
              <w:spacing w:after="0"/>
              <w:rPr>
                <w:sz w:val="12"/>
                <w:szCs w:val="12"/>
                <w:color w:val="auto"/>
              </w:rPr>
            </w:pPr>
          </w:p>
        </w:tc>
        <w:tc>
          <w:tcPr>
            <w:tcW w:w="700" w:type="dxa"/>
            <w:vAlign w:val="bottom"/>
            <w:shd w:val="clear" w:color="auto" w:fill="CCEEF0"/>
          </w:tcPr>
          <w:p>
            <w:pPr>
              <w:spacing w:after="0"/>
              <w:rPr>
                <w:sz w:val="12"/>
                <w:szCs w:val="12"/>
                <w:color w:val="auto"/>
              </w:rPr>
            </w:pPr>
          </w:p>
        </w:tc>
        <w:tc>
          <w:tcPr>
            <w:tcW w:w="140" w:type="dxa"/>
            <w:vAlign w:val="bottom"/>
            <w:shd w:val="clear" w:color="auto" w:fill="CCEEF0"/>
          </w:tcPr>
          <w:p>
            <w:pPr>
              <w:spacing w:after="0"/>
              <w:rPr>
                <w:sz w:val="12"/>
                <w:szCs w:val="12"/>
                <w:color w:val="auto"/>
              </w:rPr>
            </w:pPr>
          </w:p>
        </w:tc>
        <w:tc>
          <w:tcPr>
            <w:tcW w:w="980" w:type="dxa"/>
            <w:vAlign w:val="bottom"/>
            <w:shd w:val="clear" w:color="auto" w:fill="CCEEF0"/>
          </w:tcPr>
          <w:p>
            <w:pPr>
              <w:spacing w:after="0"/>
              <w:rPr>
                <w:sz w:val="12"/>
                <w:szCs w:val="12"/>
                <w:color w:val="auto"/>
              </w:rPr>
            </w:pPr>
          </w:p>
        </w:tc>
        <w:tc>
          <w:tcPr>
            <w:tcW w:w="860" w:type="dxa"/>
            <w:vAlign w:val="bottom"/>
            <w:shd w:val="clear" w:color="auto" w:fill="CCEEF0"/>
          </w:tcPr>
          <w:p>
            <w:pPr>
              <w:spacing w:after="0"/>
              <w:rPr>
                <w:sz w:val="12"/>
                <w:szCs w:val="12"/>
                <w:color w:val="auto"/>
              </w:rPr>
            </w:pPr>
          </w:p>
        </w:tc>
        <w:tc>
          <w:tcPr>
            <w:tcW w:w="700" w:type="dxa"/>
            <w:vAlign w:val="bottom"/>
            <w:shd w:val="clear" w:color="auto" w:fill="CCEEF0"/>
          </w:tcPr>
          <w:p>
            <w:pPr>
              <w:spacing w:after="0"/>
              <w:rPr>
                <w:sz w:val="12"/>
                <w:szCs w:val="12"/>
                <w:color w:val="auto"/>
              </w:rPr>
            </w:pPr>
          </w:p>
        </w:tc>
        <w:tc>
          <w:tcPr>
            <w:tcW w:w="760" w:type="dxa"/>
            <w:vAlign w:val="bottom"/>
            <w:shd w:val="clear" w:color="auto" w:fill="CCEEF0"/>
          </w:tcPr>
          <w:p>
            <w:pPr>
              <w:spacing w:after="0"/>
              <w:rPr>
                <w:sz w:val="12"/>
                <w:szCs w:val="12"/>
                <w:color w:val="auto"/>
              </w:rPr>
            </w:pPr>
          </w:p>
        </w:tc>
        <w:tc>
          <w:tcPr>
            <w:tcW w:w="760" w:type="dxa"/>
            <w:vAlign w:val="bottom"/>
            <w:shd w:val="clear" w:color="auto" w:fill="CCEEF0"/>
          </w:tcPr>
          <w:p>
            <w:pPr>
              <w:spacing w:after="0"/>
              <w:rPr>
                <w:sz w:val="12"/>
                <w:szCs w:val="12"/>
                <w:color w:val="auto"/>
              </w:rPr>
            </w:pPr>
          </w:p>
        </w:tc>
        <w:tc>
          <w:tcPr>
            <w:tcW w:w="680" w:type="dxa"/>
            <w:vAlign w:val="bottom"/>
            <w:shd w:val="clear" w:color="auto" w:fill="CCEEF0"/>
          </w:tcPr>
          <w:p>
            <w:pPr>
              <w:spacing w:after="0"/>
              <w:rPr>
                <w:sz w:val="12"/>
                <w:szCs w:val="12"/>
                <w:color w:val="auto"/>
              </w:rPr>
            </w:pPr>
          </w:p>
        </w:tc>
        <w:tc>
          <w:tcPr>
            <w:tcW w:w="700" w:type="dxa"/>
            <w:vAlign w:val="bottom"/>
            <w:shd w:val="clear" w:color="auto" w:fill="CCEEF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shd w:val="clear" w:color="auto" w:fill="CCEEF0"/>
          </w:tcPr>
          <w:p>
            <w:pPr>
              <w:spacing w:after="0"/>
              <w:rPr>
                <w:sz w:val="13"/>
                <w:szCs w:val="13"/>
                <w:color w:val="auto"/>
              </w:rPr>
            </w:pP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2,000,000</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28,566</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57,133</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137,119</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6,368,044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shd w:val="clear" w:color="auto" w:fill="CCEEF0"/>
          </w:tcPr>
          <w:p>
            <w:pPr>
              <w:spacing w:after="0"/>
              <w:rPr>
                <w:sz w:val="15"/>
                <w:szCs w:val="15"/>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35,334</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3,880,027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40"/>
              <w:spacing w:after="0"/>
              <w:rPr>
                <w:sz w:val="20"/>
                <w:szCs w:val="20"/>
                <w:color w:val="auto"/>
              </w:rPr>
            </w:pPr>
            <w:r>
              <w:rPr>
                <w:rFonts w:ascii="Arial" w:cs="Arial" w:eastAsia="Arial" w:hAnsi="Arial"/>
                <w:sz w:val="11"/>
                <w:szCs w:val="11"/>
                <w:b w:val="1"/>
                <w:bCs w:val="1"/>
                <w:color w:val="auto"/>
              </w:rPr>
              <w:t>Kristine Martin Anderson</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775,000</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5,601</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11,203</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26,887</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1,248,686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7,286</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800,076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b w:val="1"/>
                <w:bCs w:val="1"/>
                <w:color w:val="auto"/>
              </w:rPr>
              <w:t>Richard C. Crowe</w:t>
            </w:r>
          </w:p>
        </w:tc>
        <w:tc>
          <w:tcPr>
            <w:tcW w:w="760" w:type="dxa"/>
            <w:vAlign w:val="bottom"/>
            <w:shd w:val="clear" w:color="auto" w:fill="CCEEF0"/>
          </w:tcPr>
          <w:p>
            <w:pPr>
              <w:spacing w:after="0"/>
              <w:rPr>
                <w:sz w:val="13"/>
                <w:szCs w:val="13"/>
                <w:color w:val="auto"/>
              </w:rPr>
            </w:pPr>
          </w:p>
        </w:tc>
        <w:tc>
          <w:tcPr>
            <w:tcW w:w="800" w:type="dxa"/>
            <w:vAlign w:val="bottom"/>
            <w:shd w:val="clear" w:color="auto" w:fill="CCEEF0"/>
          </w:tcPr>
          <w:p>
            <w:pPr>
              <w:spacing w:after="0"/>
              <w:rPr>
                <w:sz w:val="13"/>
                <w:szCs w:val="13"/>
                <w:color w:val="auto"/>
              </w:rPr>
            </w:pP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13"/>
                <w:szCs w:val="13"/>
                <w:color w:val="auto"/>
              </w:rPr>
            </w:pPr>
          </w:p>
        </w:tc>
        <w:tc>
          <w:tcPr>
            <w:tcW w:w="96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140" w:type="dxa"/>
            <w:vAlign w:val="bottom"/>
            <w:shd w:val="clear" w:color="auto" w:fill="CCEEF0"/>
          </w:tcPr>
          <w:p>
            <w:pPr>
              <w:spacing w:after="0"/>
              <w:rPr>
                <w:sz w:val="13"/>
                <w:szCs w:val="13"/>
                <w:color w:val="auto"/>
              </w:rPr>
            </w:pPr>
          </w:p>
        </w:tc>
        <w:tc>
          <w:tcPr>
            <w:tcW w:w="980" w:type="dxa"/>
            <w:vAlign w:val="bottom"/>
            <w:shd w:val="clear" w:color="auto" w:fill="CCEEF0"/>
          </w:tcPr>
          <w:p>
            <w:pPr>
              <w:spacing w:after="0"/>
              <w:rPr>
                <w:sz w:val="13"/>
                <w:szCs w:val="13"/>
                <w:color w:val="auto"/>
              </w:rPr>
            </w:pPr>
          </w:p>
        </w:tc>
        <w:tc>
          <w:tcPr>
            <w:tcW w:w="86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760" w:type="dxa"/>
            <w:vAlign w:val="bottom"/>
            <w:shd w:val="clear" w:color="auto" w:fill="CCEEF0"/>
          </w:tcPr>
          <w:p>
            <w:pPr>
              <w:spacing w:after="0"/>
              <w:rPr>
                <w:sz w:val="13"/>
                <w:szCs w:val="13"/>
                <w:color w:val="auto"/>
              </w:rPr>
            </w:pPr>
          </w:p>
        </w:tc>
        <w:tc>
          <w:tcPr>
            <w:tcW w:w="76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shd w:val="clear" w:color="auto" w:fill="CCEEF0"/>
          </w:tcPr>
          <w:p>
            <w:pPr>
              <w:spacing w:after="0"/>
              <w:rPr>
                <w:sz w:val="13"/>
                <w:szCs w:val="13"/>
                <w:color w:val="auto"/>
              </w:rPr>
            </w:pP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650,000</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3,641</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7,282</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17,476</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811,652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shd w:val="clear" w:color="auto" w:fill="CCEEF0"/>
          </w:tcPr>
          <w:p>
            <w:pPr>
              <w:spacing w:after="0"/>
              <w:rPr>
                <w:sz w:val="15"/>
                <w:szCs w:val="15"/>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4,736</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520,060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40"/>
              <w:spacing w:after="0"/>
              <w:rPr>
                <w:sz w:val="20"/>
                <w:szCs w:val="20"/>
                <w:color w:val="auto"/>
              </w:rPr>
            </w:pPr>
            <w:r>
              <w:rPr>
                <w:rFonts w:ascii="Arial" w:cs="Arial" w:eastAsia="Arial" w:hAnsi="Arial"/>
                <w:sz w:val="11"/>
                <w:szCs w:val="11"/>
                <w:b w:val="1"/>
                <w:bCs w:val="1"/>
                <w:color w:val="auto"/>
              </w:rPr>
              <w:t>Andrea D. Inserra</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600,000</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3,361</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6,722</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16,132</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749,234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4,372</w:t>
            </w: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480,089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tcPr>
          <w:p>
            <w:pPr>
              <w:jc w:val="right"/>
              <w:spacing w:after="0"/>
              <w:rPr>
                <w:sz w:val="20"/>
                <w:szCs w:val="20"/>
                <w:color w:val="auto"/>
              </w:rPr>
            </w:pPr>
            <w:r>
              <w:rPr>
                <w:rFonts w:ascii="Arial" w:cs="Arial" w:eastAsia="Arial" w:hAnsi="Arial"/>
                <w:sz w:val="11"/>
                <w:szCs w:val="11"/>
                <w:color w:val="auto"/>
              </w:rPr>
              <w:t>5/27/2025</w:t>
            </w:r>
          </w:p>
        </w:tc>
        <w:tc>
          <w:tcPr>
            <w:tcW w:w="6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1"/>
                <w:szCs w:val="11"/>
                <w:color w:val="auto"/>
              </w:rPr>
              <w:t>9,353</w:t>
            </w:r>
          </w:p>
        </w:tc>
        <w:tc>
          <w:tcPr>
            <w:tcW w:w="680" w:type="dxa"/>
            <w:vAlign w:val="bottom"/>
          </w:tcPr>
          <w:p>
            <w:pPr>
              <w:jc w:val="right"/>
              <w:ind w:right="29"/>
              <w:spacing w:after="0"/>
              <w:rPr>
                <w:sz w:val="20"/>
                <w:szCs w:val="20"/>
                <w:color w:val="auto"/>
              </w:rPr>
            </w:pPr>
            <w:r>
              <w:rPr>
                <w:rFonts w:ascii="Arial" w:cs="Arial" w:eastAsia="Arial" w:hAnsi="Arial"/>
                <w:sz w:val="11"/>
                <w:szCs w:val="11"/>
                <w:color w:val="auto"/>
              </w:rPr>
              <w:t>109.81</w:t>
            </w:r>
          </w:p>
        </w:tc>
        <w:tc>
          <w:tcPr>
            <w:tcW w:w="700" w:type="dxa"/>
            <w:vAlign w:val="bottom"/>
          </w:tcPr>
          <w:p>
            <w:pPr>
              <w:jc w:val="right"/>
              <w:ind w:right="9"/>
              <w:spacing w:after="0"/>
              <w:rPr>
                <w:sz w:val="20"/>
                <w:szCs w:val="20"/>
                <w:color w:val="auto"/>
              </w:rPr>
            </w:pPr>
            <w:r>
              <w:rPr>
                <w:rFonts w:ascii="Arial" w:cs="Arial" w:eastAsia="Arial" w:hAnsi="Arial"/>
                <w:sz w:val="11"/>
                <w:szCs w:val="11"/>
                <w:color w:val="auto"/>
              </w:rPr>
              <w:t>250,021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b w:val="1"/>
                <w:bCs w:val="1"/>
                <w:color w:val="auto"/>
              </w:rPr>
              <w:t>Thomas J. Pfeifer</w:t>
            </w:r>
          </w:p>
        </w:tc>
        <w:tc>
          <w:tcPr>
            <w:tcW w:w="760" w:type="dxa"/>
            <w:vAlign w:val="bottom"/>
            <w:shd w:val="clear" w:color="auto" w:fill="CCEEF0"/>
          </w:tcPr>
          <w:p>
            <w:pPr>
              <w:spacing w:after="0"/>
              <w:rPr>
                <w:sz w:val="13"/>
                <w:szCs w:val="13"/>
                <w:color w:val="auto"/>
              </w:rPr>
            </w:pPr>
          </w:p>
        </w:tc>
        <w:tc>
          <w:tcPr>
            <w:tcW w:w="800" w:type="dxa"/>
            <w:vAlign w:val="bottom"/>
            <w:shd w:val="clear" w:color="auto" w:fill="CCEEF0"/>
          </w:tcPr>
          <w:p>
            <w:pPr>
              <w:spacing w:after="0"/>
              <w:rPr>
                <w:sz w:val="13"/>
                <w:szCs w:val="13"/>
                <w:color w:val="auto"/>
              </w:rPr>
            </w:pP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13"/>
                <w:szCs w:val="13"/>
                <w:color w:val="auto"/>
              </w:rPr>
            </w:pPr>
          </w:p>
        </w:tc>
        <w:tc>
          <w:tcPr>
            <w:tcW w:w="96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140" w:type="dxa"/>
            <w:vAlign w:val="bottom"/>
            <w:shd w:val="clear" w:color="auto" w:fill="CCEEF0"/>
          </w:tcPr>
          <w:p>
            <w:pPr>
              <w:spacing w:after="0"/>
              <w:rPr>
                <w:sz w:val="13"/>
                <w:szCs w:val="13"/>
                <w:color w:val="auto"/>
              </w:rPr>
            </w:pPr>
          </w:p>
        </w:tc>
        <w:tc>
          <w:tcPr>
            <w:tcW w:w="980" w:type="dxa"/>
            <w:vAlign w:val="bottom"/>
            <w:shd w:val="clear" w:color="auto" w:fill="CCEEF0"/>
          </w:tcPr>
          <w:p>
            <w:pPr>
              <w:spacing w:after="0"/>
              <w:rPr>
                <w:sz w:val="13"/>
                <w:szCs w:val="13"/>
                <w:color w:val="auto"/>
              </w:rPr>
            </w:pPr>
          </w:p>
        </w:tc>
        <w:tc>
          <w:tcPr>
            <w:tcW w:w="86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760" w:type="dxa"/>
            <w:vAlign w:val="bottom"/>
            <w:shd w:val="clear" w:color="auto" w:fill="CCEEF0"/>
          </w:tcPr>
          <w:p>
            <w:pPr>
              <w:spacing w:after="0"/>
              <w:rPr>
                <w:sz w:val="13"/>
                <w:szCs w:val="13"/>
                <w:color w:val="auto"/>
              </w:rPr>
            </w:pPr>
          </w:p>
        </w:tc>
        <w:tc>
          <w:tcPr>
            <w:tcW w:w="76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0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shd w:val="clear" w:color="auto" w:fill="CCEEF0"/>
          </w:tcPr>
          <w:p>
            <w:pPr>
              <w:spacing w:after="0"/>
              <w:rPr>
                <w:sz w:val="13"/>
                <w:szCs w:val="13"/>
                <w:color w:val="auto"/>
              </w:rPr>
            </w:pP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600,000</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shd w:val="clear" w:color="auto" w:fill="CCEEF0"/>
          </w:tcPr>
          <w:p>
            <w:pPr>
              <w:spacing w:after="0"/>
              <w:rPr>
                <w:sz w:val="13"/>
                <w:szCs w:val="13"/>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3,641</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7,282</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17,476</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811,652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440" w:type="dxa"/>
            <w:vAlign w:val="bottom"/>
            <w:shd w:val="clear" w:color="auto" w:fill="CCEEF0"/>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shd w:val="clear" w:color="auto" w:fill="CCEEF0"/>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shd w:val="clear" w:color="auto" w:fill="CCEEF0"/>
          </w:tcPr>
          <w:p>
            <w:pPr>
              <w:spacing w:after="0"/>
              <w:rPr>
                <w:sz w:val="15"/>
                <w:szCs w:val="15"/>
                <w:color w:val="auto"/>
              </w:rPr>
            </w:pPr>
          </w:p>
        </w:tc>
        <w:tc>
          <w:tcPr>
            <w:tcW w:w="180" w:type="dxa"/>
            <w:vAlign w:val="bottom"/>
            <w:shd w:val="clear" w:color="auto" w:fill="CCEEF0"/>
          </w:tcPr>
          <w:p>
            <w:pPr>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0"/>
          </w:tcPr>
          <w:p>
            <w:pPr>
              <w:jc w:val="right"/>
              <w:ind w:right="147"/>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0"/>
          </w:tcPr>
          <w:p>
            <w:pPr>
              <w:ind w:left="5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0"/>
          </w:tcPr>
          <w:p>
            <w:pPr>
              <w:jc w:val="right"/>
              <w:ind w:right="127"/>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0"/>
          </w:tcPr>
          <w:p>
            <w:pPr>
              <w:jc w:val="right"/>
              <w:ind w:right="167"/>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7"/>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0"/>
          </w:tcPr>
          <w:p>
            <w:pPr>
              <w:jc w:val="right"/>
              <w:ind w:right="49"/>
              <w:spacing w:after="0"/>
              <w:rPr>
                <w:sz w:val="20"/>
                <w:szCs w:val="20"/>
                <w:color w:val="auto"/>
              </w:rPr>
            </w:pPr>
            <w:r>
              <w:rPr>
                <w:rFonts w:ascii="Arial" w:cs="Arial" w:eastAsia="Arial" w:hAnsi="Arial"/>
                <w:sz w:val="11"/>
                <w:szCs w:val="11"/>
                <w:color w:val="auto"/>
              </w:rPr>
              <w:t>4,736</w:t>
            </w:r>
          </w:p>
        </w:tc>
        <w:tc>
          <w:tcPr>
            <w:tcW w:w="760" w:type="dxa"/>
            <w:vAlign w:val="bottom"/>
            <w:shd w:val="clear" w:color="auto" w:fill="CCEEF0"/>
          </w:tcPr>
          <w:p>
            <w:pPr>
              <w:jc w:val="right"/>
              <w:ind w:right="69"/>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0"/>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0"/>
          </w:tcPr>
          <w:p>
            <w:pPr>
              <w:jc w:val="right"/>
              <w:ind w:right="9"/>
              <w:spacing w:after="0"/>
              <w:rPr>
                <w:sz w:val="20"/>
                <w:szCs w:val="20"/>
                <w:color w:val="auto"/>
              </w:rPr>
            </w:pPr>
            <w:r>
              <w:rPr>
                <w:rFonts w:ascii="Arial" w:cs="Arial" w:eastAsia="Arial" w:hAnsi="Arial"/>
                <w:sz w:val="11"/>
                <w:szCs w:val="11"/>
                <w:color w:val="auto"/>
              </w:rPr>
              <w:t>520,060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40"/>
              <w:spacing w:after="0"/>
              <w:rPr>
                <w:sz w:val="20"/>
                <w:szCs w:val="20"/>
                <w:color w:val="auto"/>
              </w:rPr>
            </w:pPr>
            <w:r>
              <w:rPr>
                <w:rFonts w:ascii="Arial" w:cs="Arial" w:eastAsia="Arial" w:hAnsi="Arial"/>
                <w:sz w:val="11"/>
                <w:szCs w:val="11"/>
                <w:b w:val="1"/>
                <w:bCs w:val="1"/>
                <w:color w:val="auto"/>
              </w:rPr>
              <w:t>Matthew A. Calderone</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40"/>
              <w:spacing w:after="0"/>
              <w:rPr>
                <w:sz w:val="20"/>
                <w:szCs w:val="20"/>
                <w:color w:val="auto"/>
              </w:rPr>
            </w:pPr>
            <w:r>
              <w:rPr>
                <w:rFonts w:ascii="Arial" w:cs="Arial" w:eastAsia="Arial" w:hAnsi="Arial"/>
                <w:sz w:val="11"/>
                <w:szCs w:val="11"/>
                <w:color w:val="auto"/>
              </w:rPr>
              <w:t>Annual Incentive Plan</w:t>
            </w:r>
          </w:p>
        </w:tc>
        <w:tc>
          <w:tcPr>
            <w:tcW w:w="7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750,000</w:t>
            </w:r>
          </w:p>
        </w:tc>
        <w:tc>
          <w:tcPr>
            <w:tcW w:w="8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7/28/2025</w:t>
            </w:r>
          </w:p>
        </w:tc>
        <w:tc>
          <w:tcPr>
            <w:tcW w:w="800" w:type="dxa"/>
            <w:vAlign w:val="bottom"/>
          </w:tcPr>
          <w:p>
            <w:pPr>
              <w:jc w:val="right"/>
              <w:spacing w:after="0"/>
              <w:rPr>
                <w:sz w:val="20"/>
                <w:szCs w:val="20"/>
                <w:color w:val="auto"/>
              </w:rPr>
            </w:pPr>
            <w:r>
              <w:rPr>
                <w:rFonts w:ascii="Arial" w:cs="Arial" w:eastAsia="Arial" w:hAnsi="Arial"/>
                <w:sz w:val="11"/>
                <w:szCs w:val="11"/>
                <w:color w:val="auto"/>
              </w:rPr>
              <w:t>7/22/2025</w:t>
            </w:r>
          </w:p>
        </w:tc>
        <w:tc>
          <w:tcPr>
            <w:tcW w:w="6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7"/>
              <w:spacing w:after="0"/>
              <w:rPr>
                <w:sz w:val="20"/>
                <w:szCs w:val="20"/>
                <w:color w:val="auto"/>
              </w:rPr>
            </w:pPr>
            <w:r>
              <w:rPr>
                <w:rFonts w:ascii="Arial" w:cs="Arial" w:eastAsia="Arial" w:hAnsi="Arial"/>
                <w:sz w:val="11"/>
                <w:szCs w:val="11"/>
                <w:color w:val="auto"/>
              </w:rPr>
              <w:t>4,761</w:t>
            </w:r>
          </w:p>
        </w:tc>
        <w:tc>
          <w:tcPr>
            <w:tcW w:w="860" w:type="dxa"/>
            <w:vAlign w:val="bottom"/>
          </w:tcPr>
          <w:p>
            <w:pPr>
              <w:jc w:val="right"/>
              <w:ind w:right="127"/>
              <w:spacing w:after="0"/>
              <w:rPr>
                <w:sz w:val="20"/>
                <w:szCs w:val="20"/>
                <w:color w:val="auto"/>
              </w:rPr>
            </w:pPr>
            <w:r>
              <w:rPr>
                <w:rFonts w:ascii="Arial" w:cs="Arial" w:eastAsia="Arial" w:hAnsi="Arial"/>
                <w:sz w:val="11"/>
                <w:szCs w:val="11"/>
                <w:color w:val="auto"/>
              </w:rPr>
              <w:t>9,523</w:t>
            </w:r>
          </w:p>
        </w:tc>
        <w:tc>
          <w:tcPr>
            <w:tcW w:w="700" w:type="dxa"/>
            <w:vAlign w:val="bottom"/>
          </w:tcPr>
          <w:p>
            <w:pPr>
              <w:jc w:val="right"/>
              <w:spacing w:after="0"/>
              <w:rPr>
                <w:sz w:val="20"/>
                <w:szCs w:val="20"/>
                <w:color w:val="auto"/>
              </w:rPr>
            </w:pPr>
            <w:r>
              <w:rPr>
                <w:rFonts w:ascii="Arial" w:cs="Arial" w:eastAsia="Arial" w:hAnsi="Arial"/>
                <w:sz w:val="11"/>
                <w:szCs w:val="11"/>
                <w:color w:val="auto"/>
              </w:rPr>
              <w:t>22,855</w:t>
            </w:r>
          </w:p>
        </w:tc>
        <w:tc>
          <w:tcPr>
            <w:tcW w:w="76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1,061,434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40"/>
              <w:spacing w:after="0"/>
              <w:rPr>
                <w:sz w:val="20"/>
                <w:szCs w:val="20"/>
                <w:color w:val="auto"/>
              </w:rPr>
            </w:pPr>
            <w:r>
              <w:rPr>
                <w:rFonts w:ascii="Arial" w:cs="Arial" w:eastAsia="Arial" w:hAnsi="Arial"/>
                <w:sz w:val="11"/>
                <w:szCs w:val="11"/>
                <w:color w:val="auto"/>
              </w:rPr>
              <w:t>Equity Incentive Plan</w:t>
            </w:r>
          </w:p>
        </w:tc>
        <w:tc>
          <w:tcPr>
            <w:tcW w:w="760" w:type="dxa"/>
            <w:vAlign w:val="bottom"/>
          </w:tcPr>
          <w:p>
            <w:pPr>
              <w:ind w:left="280"/>
              <w:spacing w:after="0"/>
              <w:rPr>
                <w:sz w:val="20"/>
                <w:szCs w:val="20"/>
                <w:color w:val="auto"/>
              </w:rPr>
            </w:pPr>
            <w:r>
              <w:rPr>
                <w:rFonts w:ascii="Arial" w:cs="Arial" w:eastAsia="Arial" w:hAnsi="Arial"/>
                <w:sz w:val="11"/>
                <w:szCs w:val="11"/>
                <w:color w:val="auto"/>
                <w:w w:val="93"/>
              </w:rPr>
              <w:t>5/27/2025</w:t>
            </w:r>
          </w:p>
        </w:tc>
        <w:tc>
          <w:tcPr>
            <w:tcW w:w="800" w:type="dxa"/>
            <w:vAlign w:val="bottom"/>
          </w:tcPr>
          <w:p>
            <w:pPr>
              <w:jc w:val="right"/>
              <w:spacing w:after="0"/>
              <w:rPr>
                <w:sz w:val="20"/>
                <w:szCs w:val="20"/>
                <w:color w:val="auto"/>
              </w:rPr>
            </w:pPr>
            <w:r>
              <w:rPr>
                <w:rFonts w:ascii="Arial" w:cs="Arial" w:eastAsia="Arial" w:hAnsi="Arial"/>
                <w:sz w:val="11"/>
                <w:szCs w:val="11"/>
                <w:color w:val="auto"/>
              </w:rPr>
              <w:t>5/20/2025</w:t>
            </w:r>
          </w:p>
        </w:tc>
        <w:tc>
          <w:tcPr>
            <w:tcW w:w="6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9"/>
              <w:spacing w:after="0"/>
              <w:rPr>
                <w:sz w:val="20"/>
                <w:szCs w:val="20"/>
                <w:color w:val="auto"/>
              </w:rPr>
            </w:pPr>
            <w:r>
              <w:rPr>
                <w:rFonts w:ascii="Arial" w:cs="Arial" w:eastAsia="Arial" w:hAnsi="Arial"/>
                <w:sz w:val="11"/>
                <w:szCs w:val="11"/>
                <w:color w:val="auto"/>
              </w:rPr>
              <w:t>6,193</w:t>
            </w:r>
          </w:p>
        </w:tc>
        <w:tc>
          <w:tcPr>
            <w:tcW w:w="7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680,053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left="360" w:hanging="315"/>
        <w:spacing w:after="0" w:line="264" w:lineRule="auto"/>
        <w:tabs>
          <w:tab w:leader="none" w:pos="363"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Reflects the target bonus for fiscal year 2026 under our Annual Incentive Plan, which provides awards based on the achievement of corporate performance objectives, payable in cash. The Annual Incentive Plan is described more fully under “Compensation Discussion and Analysis—Compensation Elements—Annual Cash Incentive.” Non-equity incentive plan awards have no minimum threshold or maximum payouts, although our plan does limit the annual amount of bonus an individual can earn to $5,000,000. The actual cash bonuses paid for fiscal year 2026 are reflected in the Summary Compensation Table. In connection with his retirement, Mr. Calderone received a prorated bonus for fiscal year 2026 in the amount reported in the Non-Equity Incentive Plan Compensation column of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666666"/>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67945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400" w:top="1092" w:right="339" w:bottom="1440" w:gutter="0" w:footer="0" w:header="0"/>
        </w:sectPr>
      </w:pPr>
    </w:p>
    <w:bookmarkStart w:id="61" w:name="page62"/>
    <w:bookmarkEnd w:id="61"/>
    <w:p>
      <w:pPr>
        <w:jc w:val="both"/>
        <w:ind w:left="320" w:hanging="315"/>
        <w:spacing w:after="0" w:line="261" w:lineRule="auto"/>
        <w:tabs>
          <w:tab w:leader="none" w:pos="323"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the target number of performance-based restricted stock units granted pursuant to the Equity Incentive Plan in July 2025. The performance-based restricted stock units are determined by the Company's performance against two financial metrics, Adjusted EBITDA (75% weighting) and Revenue (25% weighting), and a relative Total Shareholder Return multiplier, measured based on average annual growth rate over a three-year period against performance targets set near the start of the performance period. The threshold payout for the performance-based restricted stock units is reflected at 50% of target and does not include a modifier for TSR performance. The maximum payout is reflected at 240% of target, with inclusion of the maximum TSR modifier of 120% to represent absolute maximum performance. See “Compensation Discussion and Analysis—Compensation Elements—Long-Term Equity Incentives" for details regarding these grants. Pursuant to the terms of the Equity Incentive Plan and applicable award agreements, Mr. Calderone forfeited the grant of performance-based restricted stock units received in fiscal year 2026 upon his retirement from the Company effective February 1, 2026.</w:t>
      </w:r>
    </w:p>
    <w:p>
      <w:pPr>
        <w:spacing w:after="0" w:line="79" w:lineRule="exact"/>
        <w:rPr>
          <w:rFonts w:ascii="Arial" w:cs="Arial" w:eastAsia="Arial" w:hAnsi="Arial"/>
          <w:sz w:val="13"/>
          <w:szCs w:val="13"/>
          <w:color w:val="auto"/>
        </w:rPr>
      </w:pPr>
    </w:p>
    <w:p>
      <w:pPr>
        <w:jc w:val="both"/>
        <w:ind w:left="320" w:hanging="315"/>
        <w:spacing w:after="0" w:line="267" w:lineRule="auto"/>
        <w:tabs>
          <w:tab w:leader="none" w:pos="323"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the time-based restricted stock units granted pursuant to the Equity Incentive Plan in May 2025, which vest in equal annual installments over three years based on the continued employment of the named executive officer. See "Compensation Discussion and Analysis—Compensation Elements—Long-Term Equity Incentives" for details regarding these grants. Pursuant to the terms of the Equity Incentive Plan and applicable award agreements, Mr. Calderone forfeited the grant of time-based restricted stock units received in fiscal year 2026 upon his retirement from the Company effective February 1, 2026.</w:t>
      </w:r>
    </w:p>
    <w:p>
      <w:pPr>
        <w:spacing w:after="0" w:line="75" w:lineRule="exact"/>
        <w:rPr>
          <w:rFonts w:ascii="Arial" w:cs="Arial" w:eastAsia="Arial" w:hAnsi="Arial"/>
          <w:sz w:val="13"/>
          <w:szCs w:val="13"/>
          <w:color w:val="auto"/>
        </w:rPr>
      </w:pPr>
    </w:p>
    <w:p>
      <w:pPr>
        <w:ind w:left="320" w:hanging="315"/>
        <w:spacing w:after="0" w:line="293" w:lineRule="auto"/>
        <w:tabs>
          <w:tab w:leader="none" w:pos="323"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Reflects the stock options granted to Ms. Inserra pursuant to the Equity Incentive Plan in May 2025 in connection with her appointment to the Leadership Team. The stock options vest in equal annual installments over five years based on Ms. Inserra's continued employment through each applicable vesting date.</w:t>
      </w:r>
    </w:p>
    <w:p>
      <w:pPr>
        <w:spacing w:after="0" w:line="190" w:lineRule="exact"/>
        <w:rPr>
          <w:rFonts w:ascii="Arial" w:cs="Arial" w:eastAsia="Arial" w:hAnsi="Arial"/>
          <w:sz w:val="13"/>
          <w:szCs w:val="13"/>
          <w:color w:val="auto"/>
        </w:rPr>
      </w:pPr>
    </w:p>
    <w:p>
      <w:pPr>
        <w:jc w:val="both"/>
        <w:ind w:left="320" w:hanging="315"/>
        <w:spacing w:after="0" w:line="264" w:lineRule="auto"/>
        <w:tabs>
          <w:tab w:leader="none" w:pos="323"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grant date fair value for time-based restricted stock units is measured in accordance with FASB ASC 718 and based on the closing price of the Company’s common stock on the date of grant. The grant date fair value for performance-based restricted stock units is calculated using a Monte-Carlo model for each award on the date of grant, as determined under FASB ASC 718 based on the probable outcome of the performance condition as of the grant date. The grant date fair value for the time- and performance-based restricted stock units reflects the grant assumptions set forth in Note 17 to our financial statements included in our Annual Report on Form 10-K for the fiscal year ended March 31, 2026, 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66666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67945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440" w:top="88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207010</wp:posOffset>
            </wp:positionH>
            <wp:positionV relativeFrom="page">
              <wp:posOffset>685800</wp:posOffset>
            </wp:positionV>
            <wp:extent cx="7143115" cy="4714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115" cy="4714875"/>
                    </a:xfrm>
                    <a:prstGeom prst="rect">
                      <a:avLst/>
                    </a:prstGeom>
                    <a:noFill/>
                  </pic:spPr>
                </pic:pic>
              </a:graphicData>
            </a:graphic>
          </wp:anchor>
        </w:drawing>
        <w:t>OUTSTANDING EQUITY AWARDS AT FISCAL YEAR-END TABLE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0" w:type="dxa"/>
            <w:vAlign w:val="bottom"/>
            <w:tcBorders>
              <w:bottom w:val="single" w:sz="8" w:color="00A5B5"/>
            </w:tcBorders>
            <w:shd w:val="clear" w:color="auto" w:fill="00A5B5"/>
          </w:tcPr>
          <w:p>
            <w:pPr>
              <w:spacing w:after="0"/>
              <w:rPr>
                <w:sz w:val="14"/>
                <w:szCs w:val="14"/>
                <w:color w:val="auto"/>
              </w:rPr>
            </w:pPr>
          </w:p>
        </w:tc>
        <w:tc>
          <w:tcPr>
            <w:tcW w:w="860" w:type="dxa"/>
            <w:vAlign w:val="bottom"/>
            <w:tcBorders>
              <w:bottom w:val="single" w:sz="8" w:color="00A5B5"/>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840"/>
              <w:spacing w:after="0"/>
              <w:rPr>
                <w:sz w:val="20"/>
                <w:szCs w:val="20"/>
                <w:color w:val="auto"/>
              </w:rPr>
            </w:pPr>
            <w:r>
              <w:rPr>
                <w:rFonts w:ascii="Arial" w:cs="Arial" w:eastAsia="Arial" w:hAnsi="Arial"/>
                <w:sz w:val="12"/>
                <w:szCs w:val="12"/>
                <w:b w:val="1"/>
                <w:bCs w:val="1"/>
                <w:color w:val="FFFFFF"/>
              </w:rPr>
              <w:t>Option Awards</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2"/>
                <w:szCs w:val="12"/>
                <w:b w:val="1"/>
                <w:bCs w:val="1"/>
                <w:color w:val="FFFFFF"/>
              </w:rPr>
              <w:t>Stock Awards</w:t>
            </w:r>
          </w:p>
        </w:tc>
        <w:tc>
          <w:tcPr>
            <w:tcW w:w="1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600" w:type="dxa"/>
            <w:vAlign w:val="bottom"/>
            <w:shd w:val="clear" w:color="auto" w:fill="00A5B5"/>
          </w:tcPr>
          <w:p>
            <w:pPr>
              <w:spacing w:after="0"/>
              <w:rPr>
                <w:sz w:val="9"/>
                <w:szCs w:val="9"/>
                <w:color w:val="auto"/>
              </w:rPr>
            </w:pPr>
          </w:p>
        </w:tc>
        <w:tc>
          <w:tcPr>
            <w:tcW w:w="860" w:type="dxa"/>
            <w:vAlign w:val="bottom"/>
            <w:shd w:val="clear" w:color="auto" w:fill="00A5B5"/>
          </w:tcPr>
          <w:p>
            <w:pPr>
              <w:spacing w:after="0"/>
              <w:rPr>
                <w:sz w:val="9"/>
                <w:szCs w:val="9"/>
                <w:color w:val="auto"/>
              </w:rPr>
            </w:pPr>
          </w:p>
        </w:tc>
        <w:tc>
          <w:tcPr>
            <w:tcW w:w="900" w:type="dxa"/>
            <w:vAlign w:val="bottom"/>
            <w:shd w:val="clear" w:color="auto" w:fill="00A5B5"/>
          </w:tcPr>
          <w:p>
            <w:pPr>
              <w:spacing w:after="0"/>
              <w:rPr>
                <w:sz w:val="9"/>
                <w:szCs w:val="9"/>
                <w:color w:val="auto"/>
              </w:rPr>
            </w:pPr>
          </w:p>
        </w:tc>
        <w:tc>
          <w:tcPr>
            <w:tcW w:w="1020" w:type="dxa"/>
            <w:vAlign w:val="bottom"/>
            <w:shd w:val="clear" w:color="auto" w:fill="00A5B5"/>
          </w:tcPr>
          <w:p>
            <w:pPr>
              <w:spacing w:after="0"/>
              <w:rPr>
                <w:sz w:val="9"/>
                <w:szCs w:val="9"/>
                <w:color w:val="auto"/>
              </w:rPr>
            </w:pPr>
          </w:p>
        </w:tc>
        <w:tc>
          <w:tcPr>
            <w:tcW w:w="1020" w:type="dxa"/>
            <w:vAlign w:val="bottom"/>
            <w:shd w:val="clear" w:color="auto" w:fill="00A5B5"/>
          </w:tcPr>
          <w:p>
            <w:pPr>
              <w:jc w:val="center"/>
              <w:spacing w:after="0" w:line="113" w:lineRule="exact"/>
              <w:rPr>
                <w:sz w:val="20"/>
                <w:szCs w:val="20"/>
                <w:color w:val="auto"/>
              </w:rPr>
            </w:pPr>
            <w:r>
              <w:rPr>
                <w:rFonts w:ascii="Arial" w:cs="Arial" w:eastAsia="Arial" w:hAnsi="Arial"/>
                <w:sz w:val="12"/>
                <w:szCs w:val="12"/>
                <w:b w:val="1"/>
                <w:bCs w:val="1"/>
                <w:color w:val="FFFFFF"/>
              </w:rPr>
              <w:t>Equity Incentive</w:t>
            </w:r>
          </w:p>
        </w:tc>
        <w:tc>
          <w:tcPr>
            <w:tcW w:w="680" w:type="dxa"/>
            <w:vAlign w:val="bottom"/>
            <w:shd w:val="clear" w:color="auto" w:fill="00A5B5"/>
          </w:tcPr>
          <w:p>
            <w:pPr>
              <w:spacing w:after="0"/>
              <w:rPr>
                <w:sz w:val="9"/>
                <w:szCs w:val="9"/>
                <w:color w:val="auto"/>
              </w:rPr>
            </w:pPr>
          </w:p>
        </w:tc>
        <w:tc>
          <w:tcPr>
            <w:tcW w:w="740" w:type="dxa"/>
            <w:vAlign w:val="bottom"/>
            <w:shd w:val="clear" w:color="auto" w:fill="00A5B5"/>
          </w:tcPr>
          <w:p>
            <w:pPr>
              <w:spacing w:after="0"/>
              <w:rPr>
                <w:sz w:val="9"/>
                <w:szCs w:val="9"/>
                <w:color w:val="auto"/>
              </w:rPr>
            </w:pPr>
          </w:p>
        </w:tc>
        <w:tc>
          <w:tcPr>
            <w:tcW w:w="920" w:type="dxa"/>
            <w:vAlign w:val="bottom"/>
            <w:shd w:val="clear" w:color="auto" w:fill="00A5B5"/>
          </w:tcPr>
          <w:p>
            <w:pPr>
              <w:spacing w:after="0"/>
              <w:rPr>
                <w:sz w:val="9"/>
                <w:szCs w:val="9"/>
                <w:color w:val="auto"/>
              </w:rPr>
            </w:pPr>
          </w:p>
        </w:tc>
        <w:tc>
          <w:tcPr>
            <w:tcW w:w="1140" w:type="dxa"/>
            <w:vAlign w:val="bottom"/>
            <w:shd w:val="clear" w:color="auto" w:fill="00A5B5"/>
          </w:tcPr>
          <w:p>
            <w:pPr>
              <w:spacing w:after="0"/>
              <w:rPr>
                <w:sz w:val="9"/>
                <w:szCs w:val="9"/>
                <w:color w:val="auto"/>
              </w:rPr>
            </w:pPr>
          </w:p>
        </w:tc>
        <w:tc>
          <w:tcPr>
            <w:tcW w:w="110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Equity Incentive</w:t>
            </w:r>
          </w:p>
        </w:tc>
        <w:tc>
          <w:tcPr>
            <w:tcW w:w="126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Equity Incentive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00A5B5"/>
          </w:tcPr>
          <w:p>
            <w:pPr>
              <w:spacing w:after="0"/>
              <w:rPr>
                <w:sz w:val="10"/>
                <w:szCs w:val="10"/>
                <w:color w:val="auto"/>
              </w:rPr>
            </w:pPr>
          </w:p>
        </w:tc>
        <w:tc>
          <w:tcPr>
            <w:tcW w:w="860" w:type="dxa"/>
            <w:vAlign w:val="bottom"/>
            <w:shd w:val="clear" w:color="auto" w:fill="00A5B5"/>
          </w:tcPr>
          <w:p>
            <w:pPr>
              <w:spacing w:after="0"/>
              <w:rPr>
                <w:sz w:val="10"/>
                <w:szCs w:val="10"/>
                <w:color w:val="auto"/>
              </w:rPr>
            </w:pPr>
          </w:p>
        </w:tc>
        <w:tc>
          <w:tcPr>
            <w:tcW w:w="90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Number of</w:t>
            </w:r>
          </w:p>
        </w:tc>
        <w:tc>
          <w:tcPr>
            <w:tcW w:w="102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Number of</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Plan Awards:</w:t>
            </w:r>
          </w:p>
        </w:tc>
        <w:tc>
          <w:tcPr>
            <w:tcW w:w="680" w:type="dxa"/>
            <w:vAlign w:val="bottom"/>
            <w:shd w:val="clear" w:color="auto" w:fill="00A5B5"/>
          </w:tcPr>
          <w:p>
            <w:pPr>
              <w:spacing w:after="0"/>
              <w:rPr>
                <w:sz w:val="10"/>
                <w:szCs w:val="10"/>
                <w:color w:val="auto"/>
              </w:rPr>
            </w:pPr>
          </w:p>
        </w:tc>
        <w:tc>
          <w:tcPr>
            <w:tcW w:w="740" w:type="dxa"/>
            <w:vAlign w:val="bottom"/>
            <w:shd w:val="clear" w:color="auto" w:fill="00A5B5"/>
          </w:tcPr>
          <w:p>
            <w:pPr>
              <w:spacing w:after="0"/>
              <w:rPr>
                <w:sz w:val="10"/>
                <w:szCs w:val="10"/>
                <w:color w:val="auto"/>
              </w:rPr>
            </w:pPr>
          </w:p>
        </w:tc>
        <w:tc>
          <w:tcPr>
            <w:tcW w:w="920" w:type="dxa"/>
            <w:vAlign w:val="bottom"/>
            <w:shd w:val="clear" w:color="auto" w:fill="00A5B5"/>
          </w:tcPr>
          <w:p>
            <w:pPr>
              <w:spacing w:after="0"/>
              <w:rPr>
                <w:sz w:val="10"/>
                <w:szCs w:val="10"/>
                <w:color w:val="auto"/>
              </w:rPr>
            </w:pPr>
          </w:p>
        </w:tc>
        <w:tc>
          <w:tcPr>
            <w:tcW w:w="1140" w:type="dxa"/>
            <w:vAlign w:val="bottom"/>
            <w:shd w:val="clear" w:color="auto" w:fill="00A5B5"/>
          </w:tcPr>
          <w:p>
            <w:pPr>
              <w:spacing w:after="0"/>
              <w:rPr>
                <w:sz w:val="10"/>
                <w:szCs w:val="10"/>
                <w:color w:val="auto"/>
              </w:rPr>
            </w:pPr>
          </w:p>
        </w:tc>
        <w:tc>
          <w:tcPr>
            <w:tcW w:w="1100" w:type="dxa"/>
            <w:vAlign w:val="bottom"/>
            <w:vMerge w:val="continue"/>
            <w:shd w:val="clear" w:color="auto" w:fill="00A5B5"/>
          </w:tcPr>
          <w:p>
            <w:pPr>
              <w:spacing w:after="0"/>
              <w:rPr>
                <w:sz w:val="10"/>
                <w:szCs w:val="10"/>
                <w:color w:val="auto"/>
              </w:rPr>
            </w:pPr>
          </w:p>
        </w:tc>
        <w:tc>
          <w:tcPr>
            <w:tcW w:w="1260" w:type="dxa"/>
            <w:vAlign w:val="bottom"/>
            <w:vMerge w:val="continue"/>
            <w:shd w:val="clear" w:color="auto" w:fill="00A5B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00" w:type="dxa"/>
            <w:vAlign w:val="bottom"/>
            <w:shd w:val="clear" w:color="auto" w:fill="00A5B5"/>
          </w:tcPr>
          <w:p>
            <w:pPr>
              <w:spacing w:after="0"/>
              <w:rPr>
                <w:sz w:val="11"/>
                <w:szCs w:val="11"/>
                <w:color w:val="auto"/>
              </w:rPr>
            </w:pPr>
          </w:p>
        </w:tc>
        <w:tc>
          <w:tcPr>
            <w:tcW w:w="860" w:type="dxa"/>
            <w:vAlign w:val="bottom"/>
            <w:shd w:val="clear" w:color="auto" w:fill="00A5B5"/>
          </w:tcPr>
          <w:p>
            <w:pPr>
              <w:spacing w:after="0"/>
              <w:rPr>
                <w:sz w:val="11"/>
                <w:szCs w:val="11"/>
                <w:color w:val="auto"/>
              </w:rPr>
            </w:pPr>
          </w:p>
        </w:tc>
        <w:tc>
          <w:tcPr>
            <w:tcW w:w="900" w:type="dxa"/>
            <w:vAlign w:val="bottom"/>
            <w:vMerge w:val="continue"/>
            <w:shd w:val="clear" w:color="auto" w:fill="00A5B5"/>
          </w:tcPr>
          <w:p>
            <w:pPr>
              <w:spacing w:after="0"/>
              <w:rPr>
                <w:sz w:val="11"/>
                <w:szCs w:val="11"/>
                <w:color w:val="auto"/>
              </w:rPr>
            </w:pPr>
          </w:p>
        </w:tc>
        <w:tc>
          <w:tcPr>
            <w:tcW w:w="1020" w:type="dxa"/>
            <w:vAlign w:val="bottom"/>
            <w:vMerge w:val="continue"/>
            <w:shd w:val="clear" w:color="auto" w:fill="00A5B5"/>
          </w:tcPr>
          <w:p>
            <w:pPr>
              <w:spacing w:after="0"/>
              <w:rPr>
                <w:sz w:val="11"/>
                <w:szCs w:val="11"/>
                <w:color w:val="auto"/>
              </w:rPr>
            </w:pPr>
          </w:p>
        </w:tc>
        <w:tc>
          <w:tcPr>
            <w:tcW w:w="102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Number of</w:t>
            </w:r>
          </w:p>
        </w:tc>
        <w:tc>
          <w:tcPr>
            <w:tcW w:w="680" w:type="dxa"/>
            <w:vAlign w:val="bottom"/>
            <w:shd w:val="clear" w:color="auto" w:fill="00A5B5"/>
          </w:tcPr>
          <w:p>
            <w:pPr>
              <w:spacing w:after="0"/>
              <w:rPr>
                <w:sz w:val="11"/>
                <w:szCs w:val="11"/>
                <w:color w:val="auto"/>
              </w:rPr>
            </w:pPr>
          </w:p>
        </w:tc>
        <w:tc>
          <w:tcPr>
            <w:tcW w:w="740" w:type="dxa"/>
            <w:vAlign w:val="bottom"/>
            <w:shd w:val="clear" w:color="auto" w:fill="00A5B5"/>
          </w:tcPr>
          <w:p>
            <w:pPr>
              <w:spacing w:after="0"/>
              <w:rPr>
                <w:sz w:val="11"/>
                <w:szCs w:val="11"/>
                <w:color w:val="auto"/>
              </w:rPr>
            </w:pPr>
          </w:p>
        </w:tc>
        <w:tc>
          <w:tcPr>
            <w:tcW w:w="920" w:type="dxa"/>
            <w:vAlign w:val="bottom"/>
            <w:vMerge w:val="restart"/>
            <w:shd w:val="clear" w:color="auto" w:fill="00A5B5"/>
          </w:tcPr>
          <w:p>
            <w:pPr>
              <w:jc w:val="center"/>
              <w:ind w:right="44"/>
              <w:spacing w:after="0"/>
              <w:rPr>
                <w:sz w:val="20"/>
                <w:szCs w:val="20"/>
                <w:color w:val="auto"/>
              </w:rPr>
            </w:pPr>
            <w:r>
              <w:rPr>
                <w:rFonts w:ascii="Arial" w:cs="Arial" w:eastAsia="Arial" w:hAnsi="Arial"/>
                <w:sz w:val="12"/>
                <w:szCs w:val="12"/>
                <w:b w:val="1"/>
                <w:bCs w:val="1"/>
                <w:color w:val="FFFFFF"/>
              </w:rPr>
              <w:t>Number of</w:t>
            </w:r>
          </w:p>
        </w:tc>
        <w:tc>
          <w:tcPr>
            <w:tcW w:w="1140" w:type="dxa"/>
            <w:vAlign w:val="bottom"/>
            <w:shd w:val="clear" w:color="auto" w:fill="00A5B5"/>
          </w:tcPr>
          <w:p>
            <w:pPr>
              <w:spacing w:after="0"/>
              <w:rPr>
                <w:sz w:val="11"/>
                <w:szCs w:val="11"/>
                <w:color w:val="auto"/>
              </w:rPr>
            </w:pPr>
          </w:p>
        </w:tc>
        <w:tc>
          <w:tcPr>
            <w:tcW w:w="110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Plan Awards:</w:t>
            </w:r>
          </w:p>
        </w:tc>
        <w:tc>
          <w:tcPr>
            <w:tcW w:w="126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Plan Awards: 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00A5B5"/>
          </w:tcPr>
          <w:p>
            <w:pPr>
              <w:spacing w:after="0"/>
              <w:rPr>
                <w:sz w:val="10"/>
                <w:szCs w:val="10"/>
                <w:color w:val="auto"/>
              </w:rPr>
            </w:pPr>
          </w:p>
        </w:tc>
        <w:tc>
          <w:tcPr>
            <w:tcW w:w="860" w:type="dxa"/>
            <w:vAlign w:val="bottom"/>
            <w:shd w:val="clear" w:color="auto" w:fill="00A5B5"/>
          </w:tcPr>
          <w:p>
            <w:pPr>
              <w:spacing w:after="0"/>
              <w:rPr>
                <w:sz w:val="10"/>
                <w:szCs w:val="10"/>
                <w:color w:val="auto"/>
              </w:rPr>
            </w:pPr>
          </w:p>
        </w:tc>
        <w:tc>
          <w:tcPr>
            <w:tcW w:w="9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Securities</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Securities</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Securities</w:t>
            </w:r>
          </w:p>
        </w:tc>
        <w:tc>
          <w:tcPr>
            <w:tcW w:w="680" w:type="dxa"/>
            <w:vAlign w:val="bottom"/>
            <w:shd w:val="clear" w:color="auto" w:fill="00A5B5"/>
          </w:tcPr>
          <w:p>
            <w:pPr>
              <w:spacing w:after="0"/>
              <w:rPr>
                <w:sz w:val="10"/>
                <w:szCs w:val="10"/>
                <w:color w:val="auto"/>
              </w:rPr>
            </w:pPr>
          </w:p>
        </w:tc>
        <w:tc>
          <w:tcPr>
            <w:tcW w:w="740" w:type="dxa"/>
            <w:vAlign w:val="bottom"/>
            <w:shd w:val="clear" w:color="auto" w:fill="00A5B5"/>
          </w:tcPr>
          <w:p>
            <w:pPr>
              <w:spacing w:after="0"/>
              <w:rPr>
                <w:sz w:val="10"/>
                <w:szCs w:val="10"/>
                <w:color w:val="auto"/>
              </w:rPr>
            </w:pPr>
          </w:p>
        </w:tc>
        <w:tc>
          <w:tcPr>
            <w:tcW w:w="920" w:type="dxa"/>
            <w:vAlign w:val="bottom"/>
            <w:vMerge w:val="continue"/>
            <w:shd w:val="clear" w:color="auto" w:fill="00A5B5"/>
          </w:tcPr>
          <w:p>
            <w:pPr>
              <w:spacing w:after="0"/>
              <w:rPr>
                <w:sz w:val="10"/>
                <w:szCs w:val="10"/>
                <w:color w:val="auto"/>
              </w:rPr>
            </w:pPr>
          </w:p>
        </w:tc>
        <w:tc>
          <w:tcPr>
            <w:tcW w:w="114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Market Value of</w:t>
            </w:r>
          </w:p>
        </w:tc>
        <w:tc>
          <w:tcPr>
            <w:tcW w:w="11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Number of</w:t>
            </w:r>
          </w:p>
        </w:tc>
        <w:tc>
          <w:tcPr>
            <w:tcW w:w="12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or Payout Value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00" w:type="dxa"/>
            <w:vAlign w:val="bottom"/>
            <w:shd w:val="clear" w:color="auto" w:fill="00A5B5"/>
          </w:tcPr>
          <w:p>
            <w:pPr>
              <w:spacing w:after="0"/>
              <w:rPr>
                <w:sz w:val="11"/>
                <w:szCs w:val="11"/>
                <w:color w:val="auto"/>
              </w:rPr>
            </w:pPr>
          </w:p>
        </w:tc>
        <w:tc>
          <w:tcPr>
            <w:tcW w:w="860" w:type="dxa"/>
            <w:vAlign w:val="bottom"/>
            <w:shd w:val="clear" w:color="auto" w:fill="00A5B5"/>
          </w:tcPr>
          <w:p>
            <w:pPr>
              <w:spacing w:after="0"/>
              <w:rPr>
                <w:sz w:val="11"/>
                <w:szCs w:val="11"/>
                <w:color w:val="auto"/>
              </w:rPr>
            </w:pPr>
          </w:p>
        </w:tc>
        <w:tc>
          <w:tcPr>
            <w:tcW w:w="90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Underlying</w:t>
            </w:r>
          </w:p>
        </w:tc>
        <w:tc>
          <w:tcPr>
            <w:tcW w:w="102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Underlying</w:t>
            </w:r>
          </w:p>
        </w:tc>
        <w:tc>
          <w:tcPr>
            <w:tcW w:w="102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Underlying</w:t>
            </w:r>
          </w:p>
        </w:tc>
        <w:tc>
          <w:tcPr>
            <w:tcW w:w="68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00A5B5"/>
          </w:tcPr>
          <w:p>
            <w:pPr>
              <w:spacing w:after="0"/>
              <w:rPr>
                <w:sz w:val="11"/>
                <w:szCs w:val="11"/>
                <w:color w:val="auto"/>
              </w:rPr>
            </w:pPr>
          </w:p>
        </w:tc>
        <w:tc>
          <w:tcPr>
            <w:tcW w:w="920" w:type="dxa"/>
            <w:vAlign w:val="bottom"/>
            <w:shd w:val="clear" w:color="auto" w:fill="00A5B5"/>
          </w:tcPr>
          <w:p>
            <w:pPr>
              <w:jc w:val="center"/>
              <w:ind w:right="4"/>
              <w:spacing w:after="0" w:line="133" w:lineRule="exact"/>
              <w:rPr>
                <w:sz w:val="20"/>
                <w:szCs w:val="20"/>
                <w:color w:val="auto"/>
              </w:rPr>
            </w:pPr>
            <w:r>
              <w:rPr>
                <w:rFonts w:ascii="Arial" w:cs="Arial" w:eastAsia="Arial" w:hAnsi="Arial"/>
                <w:sz w:val="12"/>
                <w:szCs w:val="12"/>
                <w:b w:val="1"/>
                <w:bCs w:val="1"/>
                <w:color w:val="FFFFFF"/>
              </w:rPr>
              <w:t>Shares or</w:t>
            </w:r>
          </w:p>
        </w:tc>
        <w:tc>
          <w:tcPr>
            <w:tcW w:w="1140" w:type="dxa"/>
            <w:vAlign w:val="bottom"/>
            <w:vMerge w:val="continue"/>
            <w:shd w:val="clear" w:color="auto" w:fill="00A5B5"/>
          </w:tcPr>
          <w:p>
            <w:pPr>
              <w:spacing w:after="0"/>
              <w:rPr>
                <w:sz w:val="11"/>
                <w:szCs w:val="11"/>
                <w:color w:val="auto"/>
              </w:rPr>
            </w:pPr>
          </w:p>
        </w:tc>
        <w:tc>
          <w:tcPr>
            <w:tcW w:w="110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Unearned Shares,</w:t>
            </w:r>
          </w:p>
        </w:tc>
        <w:tc>
          <w:tcPr>
            <w:tcW w:w="126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Unearned Shares,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00A5B5"/>
          </w:tcPr>
          <w:p>
            <w:pPr>
              <w:spacing w:after="0"/>
              <w:rPr>
                <w:sz w:val="10"/>
                <w:szCs w:val="10"/>
                <w:color w:val="auto"/>
              </w:rPr>
            </w:pPr>
          </w:p>
        </w:tc>
        <w:tc>
          <w:tcPr>
            <w:tcW w:w="860" w:type="dxa"/>
            <w:vAlign w:val="bottom"/>
            <w:shd w:val="clear" w:color="auto" w:fill="00A5B5"/>
          </w:tcPr>
          <w:p>
            <w:pPr>
              <w:spacing w:after="0"/>
              <w:rPr>
                <w:sz w:val="10"/>
                <w:szCs w:val="10"/>
                <w:color w:val="auto"/>
              </w:rPr>
            </w:pPr>
          </w:p>
        </w:tc>
        <w:tc>
          <w:tcPr>
            <w:tcW w:w="9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Unexercised</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Unexercised</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Unexercised</w:t>
            </w:r>
          </w:p>
        </w:tc>
        <w:tc>
          <w:tcPr>
            <w:tcW w:w="680" w:type="dxa"/>
            <w:vAlign w:val="bottom"/>
            <w:vMerge w:val="continue"/>
            <w:shd w:val="clear" w:color="auto" w:fill="00A5B5"/>
          </w:tcPr>
          <w:p>
            <w:pPr>
              <w:spacing w:after="0"/>
              <w:rPr>
                <w:sz w:val="10"/>
                <w:szCs w:val="10"/>
                <w:color w:val="auto"/>
              </w:rPr>
            </w:pPr>
          </w:p>
        </w:tc>
        <w:tc>
          <w:tcPr>
            <w:tcW w:w="740" w:type="dxa"/>
            <w:vAlign w:val="bottom"/>
            <w:vMerge w:val="restart"/>
            <w:shd w:val="clear" w:color="auto" w:fill="00A5B5"/>
          </w:tcPr>
          <w:p>
            <w:pPr>
              <w:jc w:val="center"/>
              <w:ind w:right="5"/>
              <w:spacing w:after="0"/>
              <w:rPr>
                <w:sz w:val="20"/>
                <w:szCs w:val="20"/>
                <w:color w:val="auto"/>
              </w:rPr>
            </w:pPr>
            <w:r>
              <w:rPr>
                <w:rFonts w:ascii="Arial" w:cs="Arial" w:eastAsia="Arial" w:hAnsi="Arial"/>
                <w:sz w:val="12"/>
                <w:szCs w:val="12"/>
                <w:b w:val="1"/>
                <w:bCs w:val="1"/>
                <w:color w:val="FFFFFF"/>
              </w:rPr>
              <w:t>Option</w:t>
            </w:r>
          </w:p>
        </w:tc>
        <w:tc>
          <w:tcPr>
            <w:tcW w:w="920" w:type="dxa"/>
            <w:vAlign w:val="bottom"/>
            <w:shd w:val="clear" w:color="auto" w:fill="00A5B5"/>
          </w:tcPr>
          <w:p>
            <w:pPr>
              <w:jc w:val="center"/>
              <w:ind w:right="4"/>
              <w:spacing w:after="0" w:line="120" w:lineRule="exact"/>
              <w:rPr>
                <w:sz w:val="20"/>
                <w:szCs w:val="20"/>
                <w:color w:val="auto"/>
              </w:rPr>
            </w:pPr>
            <w:r>
              <w:rPr>
                <w:rFonts w:ascii="Arial" w:cs="Arial" w:eastAsia="Arial" w:hAnsi="Arial"/>
                <w:sz w:val="12"/>
                <w:szCs w:val="12"/>
                <w:b w:val="1"/>
                <w:bCs w:val="1"/>
                <w:color w:val="FFFFFF"/>
              </w:rPr>
              <w:t>Units of Stock</w:t>
            </w:r>
          </w:p>
        </w:tc>
        <w:tc>
          <w:tcPr>
            <w:tcW w:w="114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Shares or Units</w:t>
            </w:r>
          </w:p>
        </w:tc>
        <w:tc>
          <w:tcPr>
            <w:tcW w:w="11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Units or Other</w:t>
            </w:r>
          </w:p>
        </w:tc>
        <w:tc>
          <w:tcPr>
            <w:tcW w:w="12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Units 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0" w:type="dxa"/>
            <w:vAlign w:val="bottom"/>
            <w:shd w:val="clear" w:color="auto" w:fill="00A5B5"/>
          </w:tcPr>
          <w:p>
            <w:pPr>
              <w:spacing w:after="0"/>
              <w:rPr>
                <w:sz w:val="10"/>
                <w:szCs w:val="10"/>
                <w:color w:val="auto"/>
              </w:rPr>
            </w:pPr>
          </w:p>
        </w:tc>
        <w:tc>
          <w:tcPr>
            <w:tcW w:w="860" w:type="dxa"/>
            <w:vAlign w:val="bottom"/>
            <w:shd w:val="clear" w:color="auto" w:fill="00A5B5"/>
          </w:tcPr>
          <w:p>
            <w:pPr>
              <w:spacing w:after="0"/>
              <w:rPr>
                <w:sz w:val="10"/>
                <w:szCs w:val="10"/>
                <w:color w:val="auto"/>
              </w:rPr>
            </w:pPr>
          </w:p>
        </w:tc>
        <w:tc>
          <w:tcPr>
            <w:tcW w:w="9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Options</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Options</w:t>
            </w:r>
          </w:p>
        </w:tc>
        <w:tc>
          <w:tcPr>
            <w:tcW w:w="102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Unearned</w:t>
            </w:r>
          </w:p>
        </w:tc>
        <w:tc>
          <w:tcPr>
            <w:tcW w:w="680" w:type="dxa"/>
            <w:vAlign w:val="bottom"/>
            <w:shd w:val="clear" w:color="auto" w:fill="00A5B5"/>
          </w:tcPr>
          <w:p>
            <w:pPr>
              <w:jc w:val="center"/>
              <w:ind w:right="25"/>
              <w:spacing w:after="0" w:line="120" w:lineRule="exact"/>
              <w:rPr>
                <w:sz w:val="20"/>
                <w:szCs w:val="20"/>
                <w:color w:val="auto"/>
              </w:rPr>
            </w:pPr>
            <w:r>
              <w:rPr>
                <w:rFonts w:ascii="Arial" w:cs="Arial" w:eastAsia="Arial" w:hAnsi="Arial"/>
                <w:sz w:val="12"/>
                <w:szCs w:val="12"/>
                <w:b w:val="1"/>
                <w:bCs w:val="1"/>
                <w:color w:val="FFFFFF"/>
              </w:rPr>
              <w:t>Exercise</w:t>
            </w:r>
          </w:p>
        </w:tc>
        <w:tc>
          <w:tcPr>
            <w:tcW w:w="740" w:type="dxa"/>
            <w:vAlign w:val="bottom"/>
            <w:vMerge w:val="continue"/>
            <w:shd w:val="clear" w:color="auto" w:fill="00A5B5"/>
          </w:tcPr>
          <w:p>
            <w:pPr>
              <w:spacing w:after="0"/>
              <w:rPr>
                <w:sz w:val="10"/>
                <w:szCs w:val="10"/>
                <w:color w:val="auto"/>
              </w:rPr>
            </w:pPr>
          </w:p>
        </w:tc>
        <w:tc>
          <w:tcPr>
            <w:tcW w:w="920" w:type="dxa"/>
            <w:vAlign w:val="bottom"/>
            <w:shd w:val="clear" w:color="auto" w:fill="00A5B5"/>
          </w:tcPr>
          <w:p>
            <w:pPr>
              <w:jc w:val="center"/>
              <w:ind w:right="4"/>
              <w:spacing w:after="0" w:line="120" w:lineRule="exact"/>
              <w:rPr>
                <w:sz w:val="20"/>
                <w:szCs w:val="20"/>
                <w:color w:val="auto"/>
              </w:rPr>
            </w:pPr>
            <w:r>
              <w:rPr>
                <w:rFonts w:ascii="Arial" w:cs="Arial" w:eastAsia="Arial" w:hAnsi="Arial"/>
                <w:sz w:val="12"/>
                <w:szCs w:val="12"/>
                <w:b w:val="1"/>
                <w:bCs w:val="1"/>
                <w:color w:val="FFFFFF"/>
              </w:rPr>
              <w:t>That Have Not</w:t>
            </w:r>
          </w:p>
        </w:tc>
        <w:tc>
          <w:tcPr>
            <w:tcW w:w="114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of Stock That</w:t>
            </w:r>
          </w:p>
        </w:tc>
        <w:tc>
          <w:tcPr>
            <w:tcW w:w="11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Rights that Have</w:t>
            </w:r>
          </w:p>
        </w:tc>
        <w:tc>
          <w:tcPr>
            <w:tcW w:w="12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Rights that 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00" w:type="dxa"/>
            <w:vAlign w:val="bottom"/>
            <w:vMerge w:val="restart"/>
            <w:shd w:val="clear" w:color="auto" w:fill="00A5B5"/>
          </w:tcPr>
          <w:p>
            <w:pPr>
              <w:ind w:left="40"/>
              <w:spacing w:after="0"/>
              <w:rPr>
                <w:sz w:val="20"/>
                <w:szCs w:val="20"/>
                <w:color w:val="auto"/>
              </w:rPr>
            </w:pPr>
            <w:r>
              <w:rPr>
                <w:rFonts w:ascii="Arial" w:cs="Arial" w:eastAsia="Arial" w:hAnsi="Arial"/>
                <w:sz w:val="12"/>
                <w:szCs w:val="12"/>
                <w:b w:val="1"/>
                <w:bCs w:val="1"/>
                <w:color w:val="FFFFFF"/>
              </w:rPr>
              <w:t>Name</w:t>
            </w:r>
          </w:p>
        </w:tc>
        <w:tc>
          <w:tcPr>
            <w:tcW w:w="860" w:type="dxa"/>
            <w:vAlign w:val="bottom"/>
            <w:vMerge w:val="restart"/>
            <w:shd w:val="clear" w:color="auto" w:fill="00A5B5"/>
          </w:tcPr>
          <w:p>
            <w:pPr>
              <w:jc w:val="right"/>
              <w:ind w:right="67"/>
              <w:spacing w:after="0"/>
              <w:rPr>
                <w:sz w:val="20"/>
                <w:szCs w:val="20"/>
                <w:color w:val="auto"/>
              </w:rPr>
            </w:pPr>
            <w:r>
              <w:rPr>
                <w:rFonts w:ascii="Arial" w:cs="Arial" w:eastAsia="Arial" w:hAnsi="Arial"/>
                <w:sz w:val="12"/>
                <w:szCs w:val="12"/>
                <w:b w:val="1"/>
                <w:bCs w:val="1"/>
                <w:color w:val="FFFFFF"/>
              </w:rPr>
              <w:t>Grant Date</w:t>
            </w:r>
          </w:p>
        </w:tc>
        <w:tc>
          <w:tcPr>
            <w:tcW w:w="90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Exercisable</w:t>
            </w:r>
          </w:p>
        </w:tc>
        <w:tc>
          <w:tcPr>
            <w:tcW w:w="102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Unexercisable</w:t>
            </w:r>
          </w:p>
        </w:tc>
        <w:tc>
          <w:tcPr>
            <w:tcW w:w="102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Options</w:t>
            </w:r>
          </w:p>
        </w:tc>
        <w:tc>
          <w:tcPr>
            <w:tcW w:w="680" w:type="dxa"/>
            <w:vAlign w:val="bottom"/>
            <w:shd w:val="clear" w:color="auto" w:fill="00A5B5"/>
          </w:tcPr>
          <w:p>
            <w:pPr>
              <w:jc w:val="center"/>
              <w:ind w:right="5"/>
              <w:spacing w:after="0" w:line="133" w:lineRule="exact"/>
              <w:rPr>
                <w:sz w:val="20"/>
                <w:szCs w:val="20"/>
                <w:color w:val="auto"/>
              </w:rPr>
            </w:pPr>
            <w:r>
              <w:rPr>
                <w:rFonts w:ascii="Arial" w:cs="Arial" w:eastAsia="Arial" w:hAnsi="Arial"/>
                <w:sz w:val="12"/>
                <w:szCs w:val="12"/>
                <w:b w:val="1"/>
                <w:bCs w:val="1"/>
                <w:color w:val="FFFFFF"/>
              </w:rPr>
              <w:t>Price</w:t>
            </w:r>
          </w:p>
        </w:tc>
        <w:tc>
          <w:tcPr>
            <w:tcW w:w="740" w:type="dxa"/>
            <w:vAlign w:val="bottom"/>
            <w:shd w:val="clear" w:color="auto" w:fill="00A5B5"/>
          </w:tcPr>
          <w:p>
            <w:pPr>
              <w:jc w:val="center"/>
              <w:ind w:right="5"/>
              <w:spacing w:after="0" w:line="133" w:lineRule="exact"/>
              <w:rPr>
                <w:sz w:val="20"/>
                <w:szCs w:val="20"/>
                <w:color w:val="auto"/>
              </w:rPr>
            </w:pPr>
            <w:r>
              <w:rPr>
                <w:rFonts w:ascii="Arial" w:cs="Arial" w:eastAsia="Arial" w:hAnsi="Arial"/>
                <w:sz w:val="12"/>
                <w:szCs w:val="12"/>
                <w:b w:val="1"/>
                <w:bCs w:val="1"/>
                <w:color w:val="FFFFFF"/>
              </w:rPr>
              <w:t>Expiration</w:t>
            </w:r>
          </w:p>
        </w:tc>
        <w:tc>
          <w:tcPr>
            <w:tcW w:w="920" w:type="dxa"/>
            <w:vAlign w:val="bottom"/>
            <w:shd w:val="clear" w:color="auto" w:fill="00A5B5"/>
          </w:tcPr>
          <w:p>
            <w:pPr>
              <w:jc w:val="right"/>
              <w:ind w:right="224"/>
              <w:spacing w:after="0" w:line="133" w:lineRule="exact"/>
              <w:rPr>
                <w:sz w:val="20"/>
                <w:szCs w:val="20"/>
                <w:color w:val="auto"/>
              </w:rPr>
            </w:pPr>
            <w:r>
              <w:rPr>
                <w:rFonts w:ascii="Arial" w:cs="Arial" w:eastAsia="Arial" w:hAnsi="Arial"/>
                <w:sz w:val="12"/>
                <w:szCs w:val="12"/>
                <w:b w:val="1"/>
                <w:bCs w:val="1"/>
                <w:color w:val="FFFFFF"/>
              </w:rPr>
              <w:t>Vested</w:t>
            </w:r>
          </w:p>
        </w:tc>
        <w:tc>
          <w:tcPr>
            <w:tcW w:w="114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Have Not Vested</w:t>
            </w:r>
          </w:p>
        </w:tc>
        <w:tc>
          <w:tcPr>
            <w:tcW w:w="110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Not Vested</w:t>
            </w:r>
          </w:p>
        </w:tc>
        <w:tc>
          <w:tcPr>
            <w:tcW w:w="126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Vested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Borders>
              <w:bottom w:val="single" w:sz="8" w:color="auto"/>
            </w:tcBorders>
            <w:vMerge w:val="continue"/>
            <w:shd w:val="clear" w:color="auto" w:fill="00A5B5"/>
          </w:tcPr>
          <w:p>
            <w:pPr>
              <w:spacing w:after="0"/>
              <w:rPr>
                <w:sz w:val="14"/>
                <w:szCs w:val="14"/>
                <w:color w:val="auto"/>
              </w:rPr>
            </w:pPr>
          </w:p>
        </w:tc>
        <w:tc>
          <w:tcPr>
            <w:tcW w:w="860" w:type="dxa"/>
            <w:vAlign w:val="bottom"/>
            <w:tcBorders>
              <w:bottom w:val="single" w:sz="8" w:color="auto"/>
            </w:tcBorders>
            <w:vMerge w:val="continue"/>
            <w:shd w:val="clear" w:color="auto" w:fill="00A5B5"/>
          </w:tcPr>
          <w:p>
            <w:pPr>
              <w:spacing w:after="0"/>
              <w:rPr>
                <w:sz w:val="14"/>
                <w:szCs w:val="14"/>
                <w:color w:val="auto"/>
              </w:rPr>
            </w:pPr>
          </w:p>
        </w:tc>
        <w:tc>
          <w:tcPr>
            <w:tcW w:w="9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1020" w:type="dxa"/>
            <w:vAlign w:val="bottom"/>
            <w:tcBorders>
              <w:bottom w:val="single" w:sz="8" w:color="auto"/>
            </w:tcBorders>
            <w:shd w:val="clear" w:color="auto" w:fill="00A5B5"/>
          </w:tcPr>
          <w:p>
            <w:pPr>
              <w:jc w:val="center"/>
              <w:spacing w:after="0" w:line="172" w:lineRule="exact"/>
              <w:rPr>
                <w:sz w:val="20"/>
                <w:szCs w:val="20"/>
                <w:color w:val="auto"/>
              </w:rPr>
            </w:pPr>
            <w:r>
              <w:rPr>
                <w:rFonts w:ascii="Arial" w:cs="Arial" w:eastAsia="Arial" w:hAnsi="Arial"/>
                <w:sz w:val="12"/>
                <w:szCs w:val="12"/>
                <w:b w:val="1"/>
                <w:bCs w:val="1"/>
                <w:color w:val="FFFFFF"/>
                <w:w w:val="87"/>
              </w:rPr>
              <w:t>(#)</w:t>
            </w:r>
            <w:r>
              <w:rPr>
                <w:rFonts w:ascii="Arial" w:cs="Arial" w:eastAsia="Arial" w:hAnsi="Arial"/>
                <w:sz w:val="16"/>
                <w:szCs w:val="16"/>
                <w:b w:val="1"/>
                <w:bCs w:val="1"/>
                <w:color w:val="FFFFFF"/>
                <w:w w:val="87"/>
                <w:vertAlign w:val="superscript"/>
              </w:rPr>
              <w:t>1</w:t>
            </w:r>
          </w:p>
        </w:tc>
        <w:tc>
          <w:tcPr>
            <w:tcW w:w="102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5"/>
              </w:rPr>
              <w:t>(#)</w:t>
            </w:r>
          </w:p>
        </w:tc>
        <w:tc>
          <w:tcPr>
            <w:tcW w:w="68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74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9"/>
              </w:rPr>
              <w:t>Date</w:t>
            </w:r>
          </w:p>
        </w:tc>
        <w:tc>
          <w:tcPr>
            <w:tcW w:w="920" w:type="dxa"/>
            <w:vAlign w:val="bottom"/>
            <w:tcBorders>
              <w:bottom w:val="single" w:sz="8" w:color="auto"/>
            </w:tcBorders>
            <w:shd w:val="clear" w:color="auto" w:fill="00A5B5"/>
          </w:tcPr>
          <w:p>
            <w:pPr>
              <w:jc w:val="center"/>
              <w:ind w:right="4"/>
              <w:spacing w:after="0" w:line="172" w:lineRule="exact"/>
              <w:rPr>
                <w:sz w:val="20"/>
                <w:szCs w:val="20"/>
                <w:color w:val="auto"/>
              </w:rPr>
            </w:pPr>
            <w:r>
              <w:rPr>
                <w:rFonts w:ascii="Arial" w:cs="Arial" w:eastAsia="Arial" w:hAnsi="Arial"/>
                <w:sz w:val="12"/>
                <w:szCs w:val="12"/>
                <w:b w:val="1"/>
                <w:bCs w:val="1"/>
                <w:color w:val="FFFFFF"/>
                <w:w w:val="91"/>
              </w:rPr>
              <w:t xml:space="preserve">(#) </w:t>
            </w:r>
            <w:r>
              <w:rPr>
                <w:rFonts w:ascii="Arial" w:cs="Arial" w:eastAsia="Arial" w:hAnsi="Arial"/>
                <w:sz w:val="16"/>
                <w:szCs w:val="16"/>
                <w:b w:val="1"/>
                <w:bCs w:val="1"/>
                <w:color w:val="FFFFFF"/>
                <w:w w:val="91"/>
                <w:vertAlign w:val="superscript"/>
              </w:rPr>
              <w:t>2</w:t>
            </w:r>
          </w:p>
        </w:tc>
        <w:tc>
          <w:tcPr>
            <w:tcW w:w="1140" w:type="dxa"/>
            <w:vAlign w:val="bottom"/>
            <w:tcBorders>
              <w:bottom w:val="single" w:sz="8" w:color="auto"/>
            </w:tcBorders>
            <w:shd w:val="clear" w:color="auto" w:fill="00A5B5"/>
          </w:tcPr>
          <w:p>
            <w:pPr>
              <w:jc w:val="center"/>
              <w:spacing w:after="0" w:line="172" w:lineRule="exact"/>
              <w:rPr>
                <w:sz w:val="20"/>
                <w:szCs w:val="20"/>
                <w:color w:val="auto"/>
              </w:rPr>
            </w:pPr>
            <w:r>
              <w:rPr>
                <w:rFonts w:ascii="Arial" w:cs="Arial" w:eastAsia="Arial" w:hAnsi="Arial"/>
                <w:sz w:val="12"/>
                <w:szCs w:val="12"/>
                <w:b w:val="1"/>
                <w:bCs w:val="1"/>
                <w:color w:val="FFFFFF"/>
                <w:w w:val="91"/>
              </w:rPr>
              <w:t xml:space="preserve">($) </w:t>
            </w:r>
            <w:r>
              <w:rPr>
                <w:rFonts w:ascii="Arial" w:cs="Arial" w:eastAsia="Arial" w:hAnsi="Arial"/>
                <w:sz w:val="16"/>
                <w:szCs w:val="16"/>
                <w:b w:val="1"/>
                <w:bCs w:val="1"/>
                <w:color w:val="FFFFFF"/>
                <w:w w:val="91"/>
                <w:vertAlign w:val="superscript"/>
              </w:rPr>
              <w:t>3</w:t>
            </w:r>
          </w:p>
        </w:tc>
        <w:tc>
          <w:tcPr>
            <w:tcW w:w="1100" w:type="dxa"/>
            <w:vAlign w:val="bottom"/>
            <w:tcBorders>
              <w:bottom w:val="single" w:sz="8" w:color="auto"/>
            </w:tcBorders>
            <w:shd w:val="clear" w:color="auto" w:fill="00A5B5"/>
          </w:tcPr>
          <w:p>
            <w:pPr>
              <w:jc w:val="center"/>
              <w:spacing w:after="0" w:line="172"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6"/>
                <w:szCs w:val="16"/>
                <w:b w:val="1"/>
                <w:bCs w:val="1"/>
                <w:color w:val="FFFFFF"/>
                <w:vertAlign w:val="superscript"/>
              </w:rPr>
              <w:t>4</w:t>
            </w:r>
          </w:p>
        </w:tc>
        <w:tc>
          <w:tcPr>
            <w:tcW w:w="1260" w:type="dxa"/>
            <w:vAlign w:val="bottom"/>
            <w:tcBorders>
              <w:bottom w:val="single" w:sz="8" w:color="auto"/>
            </w:tcBorders>
            <w:shd w:val="clear" w:color="auto" w:fill="00A5B5"/>
          </w:tcPr>
          <w:p>
            <w:pPr>
              <w:jc w:val="center"/>
              <w:spacing w:after="0" w:line="172" w:lineRule="exact"/>
              <w:rPr>
                <w:sz w:val="20"/>
                <w:szCs w:val="20"/>
                <w:color w:val="auto"/>
              </w:rPr>
            </w:pPr>
            <w:r>
              <w:rPr>
                <w:rFonts w:ascii="Arial" w:cs="Arial" w:eastAsia="Arial" w:hAnsi="Arial"/>
                <w:sz w:val="12"/>
                <w:szCs w:val="12"/>
                <w:b w:val="1"/>
                <w:bCs w:val="1"/>
                <w:color w:val="FFFFFF"/>
                <w:w w:val="91"/>
              </w:rPr>
              <w:t xml:space="preserve">($) </w:t>
            </w:r>
            <w:r>
              <w:rPr>
                <w:rFonts w:ascii="Arial" w:cs="Arial" w:eastAsia="Arial" w:hAnsi="Arial"/>
                <w:sz w:val="16"/>
                <w:szCs w:val="16"/>
                <w:b w:val="1"/>
                <w:bCs w:val="1"/>
                <w:color w:val="FFFFFF"/>
                <w:w w:val="91"/>
                <w:vertAlign w:val="superscript"/>
              </w:rPr>
              <w:t>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CCEEF0"/>
          </w:tcPr>
          <w:p>
            <w:pPr>
              <w:ind w:left="40"/>
              <w:spacing w:after="0"/>
              <w:rPr>
                <w:sz w:val="20"/>
                <w:szCs w:val="20"/>
                <w:color w:val="auto"/>
              </w:rPr>
            </w:pPr>
            <w:r>
              <w:rPr>
                <w:rFonts w:ascii="Arial" w:cs="Arial" w:eastAsia="Arial" w:hAnsi="Arial"/>
                <w:sz w:val="12"/>
                <w:szCs w:val="12"/>
                <w:b w:val="1"/>
                <w:bCs w:val="1"/>
                <w:color w:val="auto"/>
              </w:rPr>
              <w:t>Horacio D. Rozanski</w:t>
            </w: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7/28/2025</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57,133</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4,458,088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0" w:type="dxa"/>
            <w:vAlign w:val="bottom"/>
            <w:shd w:val="clear" w:color="auto" w:fill="CCEEF0"/>
          </w:tcPr>
          <w:p>
            <w:pPr>
              <w:spacing w:after="0"/>
              <w:rPr>
                <w:sz w:val="14"/>
                <w:szCs w:val="14"/>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shd w:val="clear" w:color="auto" w:fill="CCEEF0"/>
          </w:tcPr>
          <w:p>
            <w:pPr>
              <w:spacing w:after="0"/>
              <w:rPr>
                <w:sz w:val="14"/>
                <w:szCs w:val="14"/>
                <w:color w:val="auto"/>
              </w:rPr>
            </w:pPr>
          </w:p>
        </w:tc>
        <w:tc>
          <w:tcPr>
            <w:tcW w:w="1020" w:type="dxa"/>
            <w:vAlign w:val="bottom"/>
            <w:shd w:val="clear" w:color="auto" w:fill="CCEEF0"/>
          </w:tcPr>
          <w:p>
            <w:pPr>
              <w:spacing w:after="0"/>
              <w:rPr>
                <w:sz w:val="14"/>
                <w:szCs w:val="14"/>
                <w:color w:val="auto"/>
              </w:rPr>
            </w:pPr>
          </w:p>
        </w:tc>
        <w:tc>
          <w:tcPr>
            <w:tcW w:w="1020" w:type="dxa"/>
            <w:vAlign w:val="bottom"/>
            <w:shd w:val="clear" w:color="auto" w:fill="CCEEF0"/>
          </w:tcPr>
          <w:p>
            <w:pPr>
              <w:spacing w:after="0"/>
              <w:rPr>
                <w:sz w:val="14"/>
                <w:szCs w:val="14"/>
                <w:color w:val="auto"/>
              </w:rPr>
            </w:pPr>
          </w:p>
        </w:tc>
        <w:tc>
          <w:tcPr>
            <w:tcW w:w="680" w:type="dxa"/>
            <w:vAlign w:val="bottom"/>
            <w:shd w:val="clear" w:color="auto" w:fill="CCEEF0"/>
          </w:tcPr>
          <w:p>
            <w:pPr>
              <w:spacing w:after="0"/>
              <w:rPr>
                <w:sz w:val="14"/>
                <w:szCs w:val="14"/>
                <w:color w:val="auto"/>
              </w:rPr>
            </w:pPr>
          </w:p>
        </w:tc>
        <w:tc>
          <w:tcPr>
            <w:tcW w:w="740" w:type="dxa"/>
            <w:vAlign w:val="bottom"/>
            <w:shd w:val="clear" w:color="auto" w:fill="CCEEF0"/>
          </w:tcPr>
          <w:p>
            <w:pPr>
              <w:spacing w:after="0"/>
              <w:rPr>
                <w:sz w:val="14"/>
                <w:szCs w:val="14"/>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23,556</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1,838,075</w:t>
            </w:r>
          </w:p>
        </w:tc>
        <w:tc>
          <w:tcPr>
            <w:tcW w:w="1100" w:type="dxa"/>
            <w:vAlign w:val="bottom"/>
            <w:shd w:val="clear" w:color="auto" w:fill="CCEEF0"/>
          </w:tcPr>
          <w:p>
            <w:pPr>
              <w:spacing w:after="0"/>
              <w:rPr>
                <w:sz w:val="14"/>
                <w:szCs w:val="14"/>
                <w:color w:val="auto"/>
              </w:rPr>
            </w:pPr>
          </w:p>
        </w:tc>
        <w:tc>
          <w:tcPr>
            <w:tcW w:w="1260" w:type="dxa"/>
            <w:vAlign w:val="bottom"/>
            <w:shd w:val="clear" w:color="auto" w:fill="CCEEF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20,084</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1,567,155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00" w:type="dxa"/>
            <w:vAlign w:val="bottom"/>
            <w:shd w:val="clear" w:color="auto" w:fill="CCEEF0"/>
          </w:tcPr>
          <w:p>
            <w:pPr>
              <w:spacing w:after="0"/>
              <w:rPr>
                <w:sz w:val="15"/>
                <w:szCs w:val="15"/>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680" w:type="dxa"/>
            <w:vAlign w:val="bottom"/>
            <w:shd w:val="clear" w:color="auto" w:fill="CCEEF0"/>
          </w:tcPr>
          <w:p>
            <w:pPr>
              <w:spacing w:after="0"/>
              <w:rPr>
                <w:sz w:val="15"/>
                <w:szCs w:val="15"/>
                <w:color w:val="auto"/>
              </w:rPr>
            </w:pPr>
          </w:p>
        </w:tc>
        <w:tc>
          <w:tcPr>
            <w:tcW w:w="740" w:type="dxa"/>
            <w:vAlign w:val="bottom"/>
            <w:shd w:val="clear" w:color="auto" w:fill="CCEEF0"/>
          </w:tcPr>
          <w:p>
            <w:pPr>
              <w:spacing w:after="0"/>
              <w:rPr>
                <w:sz w:val="15"/>
                <w:szCs w:val="15"/>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8,489</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662,397</w:t>
            </w:r>
          </w:p>
        </w:tc>
        <w:tc>
          <w:tcPr>
            <w:tcW w:w="1100" w:type="dxa"/>
            <w:vAlign w:val="bottom"/>
            <w:shd w:val="clear" w:color="auto" w:fill="CCEEF0"/>
          </w:tcPr>
          <w:p>
            <w:pPr>
              <w:spacing w:after="0"/>
              <w:rPr>
                <w:sz w:val="15"/>
                <w:szCs w:val="15"/>
                <w:color w:val="auto"/>
              </w:rPr>
            </w:pPr>
          </w:p>
        </w:tc>
        <w:tc>
          <w:tcPr>
            <w:tcW w:w="1260" w:type="dxa"/>
            <w:vAlign w:val="bottom"/>
            <w:shd w:val="clear" w:color="auto" w:fill="CCEEF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00" w:type="dxa"/>
            <w:vAlign w:val="bottom"/>
          </w:tcPr>
          <w:p>
            <w:pPr>
              <w:ind w:left="40"/>
              <w:spacing w:after="0"/>
              <w:rPr>
                <w:sz w:val="20"/>
                <w:szCs w:val="20"/>
                <w:color w:val="auto"/>
              </w:rPr>
            </w:pPr>
            <w:r>
              <w:rPr>
                <w:rFonts w:ascii="Arial" w:cs="Arial" w:eastAsia="Arial" w:hAnsi="Arial"/>
                <w:sz w:val="12"/>
                <w:szCs w:val="12"/>
                <w:b w:val="1"/>
                <w:bCs w:val="1"/>
                <w:color w:val="auto"/>
              </w:rPr>
              <w:t>Kristine Martin Anderson</w:t>
            </w:r>
          </w:p>
        </w:tc>
        <w:tc>
          <w:tcPr>
            <w:tcW w:w="860" w:type="dxa"/>
            <w:vAlign w:val="bottom"/>
          </w:tcPr>
          <w:p>
            <w:pPr>
              <w:jc w:val="right"/>
              <w:spacing w:after="0"/>
              <w:rPr>
                <w:sz w:val="20"/>
                <w:szCs w:val="20"/>
                <w:color w:val="auto"/>
              </w:rPr>
            </w:pPr>
            <w:r>
              <w:rPr>
                <w:rFonts w:ascii="Arial" w:cs="Arial" w:eastAsia="Arial" w:hAnsi="Arial"/>
                <w:sz w:val="11"/>
                <w:szCs w:val="11"/>
                <w:color w:val="auto"/>
              </w:rPr>
              <w:t>7/28/2025</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11,203</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874,170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4,858</w:t>
            </w:r>
          </w:p>
        </w:tc>
        <w:tc>
          <w:tcPr>
            <w:tcW w:w="1140" w:type="dxa"/>
            <w:vAlign w:val="bottom"/>
          </w:tcPr>
          <w:p>
            <w:pPr>
              <w:jc w:val="right"/>
              <w:spacing w:after="0"/>
              <w:rPr>
                <w:sz w:val="20"/>
                <w:szCs w:val="20"/>
                <w:color w:val="auto"/>
              </w:rPr>
            </w:pPr>
            <w:r>
              <w:rPr>
                <w:rFonts w:ascii="Arial" w:cs="Arial" w:eastAsia="Arial" w:hAnsi="Arial"/>
                <w:sz w:val="11"/>
                <w:szCs w:val="11"/>
                <w:color w:val="auto"/>
              </w:rPr>
              <w:t>379,070</w:t>
            </w: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3,938</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307,282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4,923</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384,142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3,282</w:t>
            </w:r>
          </w:p>
        </w:tc>
        <w:tc>
          <w:tcPr>
            <w:tcW w:w="1140" w:type="dxa"/>
            <w:vAlign w:val="bottom"/>
          </w:tcPr>
          <w:p>
            <w:pPr>
              <w:jc w:val="right"/>
              <w:spacing w:after="0"/>
              <w:rPr>
                <w:sz w:val="20"/>
                <w:szCs w:val="20"/>
                <w:color w:val="auto"/>
              </w:rPr>
            </w:pPr>
            <w:r>
              <w:rPr>
                <w:rFonts w:ascii="Arial" w:cs="Arial" w:eastAsia="Arial" w:hAnsi="Arial"/>
                <w:sz w:val="11"/>
                <w:szCs w:val="11"/>
                <w:color w:val="auto"/>
              </w:rPr>
              <w:t>256,094</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1,751</w:t>
            </w:r>
          </w:p>
        </w:tc>
        <w:tc>
          <w:tcPr>
            <w:tcW w:w="1140" w:type="dxa"/>
            <w:vAlign w:val="bottom"/>
          </w:tcPr>
          <w:p>
            <w:pPr>
              <w:jc w:val="right"/>
              <w:spacing w:after="0"/>
              <w:rPr>
                <w:sz w:val="20"/>
                <w:szCs w:val="20"/>
                <w:color w:val="auto"/>
              </w:rPr>
            </w:pPr>
            <w:r>
              <w:rPr>
                <w:rFonts w:ascii="Arial" w:cs="Arial" w:eastAsia="Arial" w:hAnsi="Arial"/>
                <w:sz w:val="11"/>
                <w:szCs w:val="11"/>
                <w:color w:val="auto"/>
              </w:rPr>
              <w:t>136,631</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5/22/2019</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10,195</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62.12</w:t>
            </w:r>
          </w:p>
        </w:tc>
        <w:tc>
          <w:tcPr>
            <w:tcW w:w="740" w:type="dxa"/>
            <w:vAlign w:val="bottom"/>
          </w:tcPr>
          <w:p>
            <w:pPr>
              <w:jc w:val="right"/>
              <w:spacing w:after="0"/>
              <w:rPr>
                <w:sz w:val="20"/>
                <w:szCs w:val="20"/>
                <w:color w:val="auto"/>
              </w:rPr>
            </w:pPr>
            <w:r>
              <w:rPr>
                <w:rFonts w:ascii="Arial" w:cs="Arial" w:eastAsia="Arial" w:hAnsi="Arial"/>
                <w:sz w:val="11"/>
                <w:szCs w:val="11"/>
                <w:color w:val="auto"/>
              </w:rPr>
              <w:t>5/22/2029</w:t>
            </w: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1/29/2019</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12,947</w:t>
            </w: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47.99</w:t>
            </w:r>
          </w:p>
        </w:tc>
        <w:tc>
          <w:tcPr>
            <w:tcW w:w="740" w:type="dxa"/>
            <w:vAlign w:val="bottom"/>
          </w:tcPr>
          <w:p>
            <w:pPr>
              <w:jc w:val="right"/>
              <w:spacing w:after="0"/>
              <w:rPr>
                <w:sz w:val="20"/>
                <w:szCs w:val="20"/>
                <w:color w:val="auto"/>
              </w:rPr>
            </w:pPr>
            <w:r>
              <w:rPr>
                <w:rFonts w:ascii="Arial" w:cs="Arial" w:eastAsia="Arial" w:hAnsi="Arial"/>
                <w:sz w:val="11"/>
                <w:szCs w:val="11"/>
                <w:color w:val="auto"/>
              </w:rPr>
              <w:t>1/29/2029</w:t>
            </w: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5/23/2018</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26,716</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41.28</w:t>
            </w:r>
          </w:p>
        </w:tc>
        <w:tc>
          <w:tcPr>
            <w:tcW w:w="740" w:type="dxa"/>
            <w:vAlign w:val="bottom"/>
          </w:tcPr>
          <w:p>
            <w:pPr>
              <w:jc w:val="right"/>
              <w:spacing w:after="0"/>
              <w:rPr>
                <w:sz w:val="20"/>
                <w:szCs w:val="20"/>
                <w:color w:val="auto"/>
              </w:rPr>
            </w:pPr>
            <w:r>
              <w:rPr>
                <w:rFonts w:ascii="Arial" w:cs="Arial" w:eastAsia="Arial" w:hAnsi="Arial"/>
                <w:sz w:val="11"/>
                <w:szCs w:val="11"/>
                <w:color w:val="auto"/>
              </w:rPr>
              <w:t>5/23/2028</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shd w:val="clear" w:color="auto" w:fill="CCEEF0"/>
          </w:tcPr>
          <w:p>
            <w:pPr>
              <w:ind w:left="40"/>
              <w:spacing w:after="0"/>
              <w:rPr>
                <w:sz w:val="20"/>
                <w:szCs w:val="20"/>
                <w:color w:val="auto"/>
              </w:rPr>
            </w:pPr>
            <w:r>
              <w:rPr>
                <w:rFonts w:ascii="Arial" w:cs="Arial" w:eastAsia="Arial" w:hAnsi="Arial"/>
                <w:sz w:val="12"/>
                <w:szCs w:val="12"/>
                <w:b w:val="1"/>
                <w:bCs w:val="1"/>
                <w:color w:val="auto"/>
              </w:rPr>
              <w:t>Richard C. Crowe</w:t>
            </w: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7/28/2025</w:t>
            </w:r>
          </w:p>
        </w:tc>
        <w:tc>
          <w:tcPr>
            <w:tcW w:w="90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680" w:type="dxa"/>
            <w:vAlign w:val="bottom"/>
            <w:shd w:val="clear" w:color="auto" w:fill="CCEEF0"/>
          </w:tcPr>
          <w:p>
            <w:pPr>
              <w:spacing w:after="0"/>
              <w:rPr>
                <w:sz w:val="15"/>
                <w:szCs w:val="15"/>
                <w:color w:val="auto"/>
              </w:rPr>
            </w:pPr>
          </w:p>
        </w:tc>
        <w:tc>
          <w:tcPr>
            <w:tcW w:w="740" w:type="dxa"/>
            <w:vAlign w:val="bottom"/>
            <w:shd w:val="clear" w:color="auto" w:fill="CCEEF0"/>
          </w:tcPr>
          <w:p>
            <w:pPr>
              <w:spacing w:after="0"/>
              <w:rPr>
                <w:sz w:val="15"/>
                <w:szCs w:val="15"/>
                <w:color w:val="auto"/>
              </w:rPr>
            </w:pPr>
          </w:p>
        </w:tc>
        <w:tc>
          <w:tcPr>
            <w:tcW w:w="920" w:type="dxa"/>
            <w:vAlign w:val="bottom"/>
            <w:shd w:val="clear" w:color="auto" w:fill="CCEEF0"/>
          </w:tcPr>
          <w:p>
            <w:pPr>
              <w:spacing w:after="0"/>
              <w:rPr>
                <w:sz w:val="15"/>
                <w:szCs w:val="15"/>
                <w:color w:val="auto"/>
              </w:rPr>
            </w:pPr>
          </w:p>
        </w:tc>
        <w:tc>
          <w:tcPr>
            <w:tcW w:w="1140" w:type="dxa"/>
            <w:vAlign w:val="bottom"/>
            <w:shd w:val="clear" w:color="auto" w:fill="CCEEF0"/>
          </w:tcPr>
          <w:p>
            <w:pPr>
              <w:spacing w:after="0"/>
              <w:rPr>
                <w:sz w:val="15"/>
                <w:szCs w:val="15"/>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7,282</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568,214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0"/>
          </w:tcPr>
          <w:p>
            <w:pPr>
              <w:spacing w:after="0"/>
              <w:rPr>
                <w:sz w:val="12"/>
                <w:szCs w:val="12"/>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shd w:val="clear" w:color="auto" w:fill="CCEEF0"/>
          </w:tcPr>
          <w:p>
            <w:pPr>
              <w:spacing w:after="0"/>
              <w:rPr>
                <w:sz w:val="12"/>
                <w:szCs w:val="12"/>
                <w:color w:val="auto"/>
              </w:rPr>
            </w:pPr>
          </w:p>
        </w:tc>
        <w:tc>
          <w:tcPr>
            <w:tcW w:w="1020" w:type="dxa"/>
            <w:vAlign w:val="bottom"/>
            <w:shd w:val="clear" w:color="auto" w:fill="CCEEF0"/>
          </w:tcPr>
          <w:p>
            <w:pPr>
              <w:spacing w:after="0"/>
              <w:rPr>
                <w:sz w:val="12"/>
                <w:szCs w:val="12"/>
                <w:color w:val="auto"/>
              </w:rPr>
            </w:pPr>
          </w:p>
        </w:tc>
        <w:tc>
          <w:tcPr>
            <w:tcW w:w="1020" w:type="dxa"/>
            <w:vAlign w:val="bottom"/>
            <w:shd w:val="clear" w:color="auto" w:fill="CCEEF0"/>
          </w:tcPr>
          <w:p>
            <w:pPr>
              <w:spacing w:after="0"/>
              <w:rPr>
                <w:sz w:val="12"/>
                <w:szCs w:val="12"/>
                <w:color w:val="auto"/>
              </w:rPr>
            </w:pPr>
          </w:p>
        </w:tc>
        <w:tc>
          <w:tcPr>
            <w:tcW w:w="680" w:type="dxa"/>
            <w:vAlign w:val="bottom"/>
            <w:shd w:val="clear" w:color="auto" w:fill="CCEEF0"/>
          </w:tcPr>
          <w:p>
            <w:pPr>
              <w:spacing w:after="0"/>
              <w:rPr>
                <w:sz w:val="12"/>
                <w:szCs w:val="12"/>
                <w:color w:val="auto"/>
              </w:rPr>
            </w:pPr>
          </w:p>
        </w:tc>
        <w:tc>
          <w:tcPr>
            <w:tcW w:w="740" w:type="dxa"/>
            <w:vAlign w:val="bottom"/>
            <w:shd w:val="clear" w:color="auto" w:fill="CCEEF0"/>
          </w:tcPr>
          <w:p>
            <w:pPr>
              <w:spacing w:after="0"/>
              <w:rPr>
                <w:sz w:val="12"/>
                <w:szCs w:val="12"/>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3,158</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246,419</w:t>
            </w:r>
          </w:p>
        </w:tc>
        <w:tc>
          <w:tcPr>
            <w:tcW w:w="1100" w:type="dxa"/>
            <w:vAlign w:val="bottom"/>
            <w:shd w:val="clear" w:color="auto" w:fill="CCEEF0"/>
          </w:tcPr>
          <w:p>
            <w:pPr>
              <w:spacing w:after="0"/>
              <w:rPr>
                <w:sz w:val="12"/>
                <w:szCs w:val="12"/>
                <w:color w:val="auto"/>
              </w:rPr>
            </w:pPr>
          </w:p>
        </w:tc>
        <w:tc>
          <w:tcPr>
            <w:tcW w:w="1260" w:type="dxa"/>
            <w:vAlign w:val="bottom"/>
            <w:shd w:val="clear" w:color="auto" w:fill="CCEEF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2,560</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199,757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1,138</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88,798</w:t>
            </w: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4,923</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384,142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3,282</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256,094</w:t>
            </w: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5/27/2022</w:t>
            </w:r>
          </w:p>
        </w:tc>
        <w:tc>
          <w:tcPr>
            <w:tcW w:w="900" w:type="dxa"/>
            <w:vAlign w:val="bottom"/>
            <w:shd w:val="clear" w:color="auto" w:fill="CCEEF0"/>
          </w:tcPr>
          <w:p>
            <w:pPr>
              <w:jc w:val="right"/>
              <w:ind w:right="3"/>
              <w:spacing w:after="0"/>
              <w:rPr>
                <w:sz w:val="20"/>
                <w:szCs w:val="20"/>
                <w:color w:val="auto"/>
              </w:rPr>
            </w:pPr>
            <w:r>
              <w:rPr>
                <w:rFonts w:ascii="Arial" w:cs="Arial" w:eastAsia="Arial" w:hAnsi="Arial"/>
                <w:sz w:val="11"/>
                <w:szCs w:val="11"/>
                <w:color w:val="auto"/>
              </w:rPr>
              <w:t>8,685</w:t>
            </w:r>
          </w:p>
        </w:tc>
        <w:tc>
          <w:tcPr>
            <w:tcW w:w="102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5,793</w:t>
            </w: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jc w:val="right"/>
              <w:ind w:right="45"/>
              <w:spacing w:after="0"/>
              <w:rPr>
                <w:sz w:val="20"/>
                <w:szCs w:val="20"/>
                <w:color w:val="auto"/>
              </w:rPr>
            </w:pPr>
            <w:r>
              <w:rPr>
                <w:rFonts w:ascii="Arial" w:cs="Arial" w:eastAsia="Arial" w:hAnsi="Arial"/>
                <w:sz w:val="11"/>
                <w:szCs w:val="11"/>
                <w:color w:val="auto"/>
              </w:rPr>
              <w:t>86.86</w:t>
            </w:r>
          </w:p>
        </w:tc>
        <w:tc>
          <w:tcPr>
            <w:tcW w:w="7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5/27/2032</w:t>
            </w: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00" w:type="dxa"/>
            <w:vAlign w:val="bottom"/>
            <w:shd w:val="clear" w:color="auto" w:fill="CCEEF0"/>
          </w:tcPr>
          <w:p>
            <w:pPr>
              <w:spacing w:after="0"/>
              <w:rPr>
                <w:sz w:val="15"/>
                <w:szCs w:val="15"/>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5/22/2019</w:t>
            </w:r>
          </w:p>
        </w:tc>
        <w:tc>
          <w:tcPr>
            <w:tcW w:w="900" w:type="dxa"/>
            <w:vAlign w:val="bottom"/>
            <w:shd w:val="clear" w:color="auto" w:fill="CCEEF0"/>
          </w:tcPr>
          <w:p>
            <w:pPr>
              <w:jc w:val="right"/>
              <w:ind w:right="3"/>
              <w:spacing w:after="0"/>
              <w:rPr>
                <w:sz w:val="20"/>
                <w:szCs w:val="20"/>
                <w:color w:val="auto"/>
              </w:rPr>
            </w:pPr>
            <w:r>
              <w:rPr>
                <w:rFonts w:ascii="Arial" w:cs="Arial" w:eastAsia="Arial" w:hAnsi="Arial"/>
                <w:sz w:val="11"/>
                <w:szCs w:val="11"/>
                <w:color w:val="auto"/>
              </w:rPr>
              <w:t>20,391</w:t>
            </w:r>
          </w:p>
        </w:tc>
        <w:tc>
          <w:tcPr>
            <w:tcW w:w="102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680" w:type="dxa"/>
            <w:vAlign w:val="bottom"/>
            <w:shd w:val="clear" w:color="auto" w:fill="CCEEF0"/>
          </w:tcPr>
          <w:p>
            <w:pPr>
              <w:jc w:val="right"/>
              <w:ind w:right="45"/>
              <w:spacing w:after="0"/>
              <w:rPr>
                <w:sz w:val="20"/>
                <w:szCs w:val="20"/>
                <w:color w:val="auto"/>
              </w:rPr>
            </w:pPr>
            <w:r>
              <w:rPr>
                <w:rFonts w:ascii="Arial" w:cs="Arial" w:eastAsia="Arial" w:hAnsi="Arial"/>
                <w:sz w:val="11"/>
                <w:szCs w:val="11"/>
                <w:color w:val="auto"/>
              </w:rPr>
              <w:t>62.12</w:t>
            </w:r>
          </w:p>
        </w:tc>
        <w:tc>
          <w:tcPr>
            <w:tcW w:w="7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5/22/2029</w:t>
            </w:r>
          </w:p>
        </w:tc>
        <w:tc>
          <w:tcPr>
            <w:tcW w:w="920" w:type="dxa"/>
            <w:vAlign w:val="bottom"/>
            <w:shd w:val="clear" w:color="auto" w:fill="CCEEF0"/>
          </w:tcPr>
          <w:p>
            <w:pPr>
              <w:spacing w:after="0"/>
              <w:rPr>
                <w:sz w:val="15"/>
                <w:szCs w:val="15"/>
                <w:color w:val="auto"/>
              </w:rPr>
            </w:pPr>
          </w:p>
        </w:tc>
        <w:tc>
          <w:tcPr>
            <w:tcW w:w="1140" w:type="dxa"/>
            <w:vAlign w:val="bottom"/>
            <w:shd w:val="clear" w:color="auto" w:fill="CCEEF0"/>
          </w:tcPr>
          <w:p>
            <w:pPr>
              <w:spacing w:after="0"/>
              <w:rPr>
                <w:sz w:val="15"/>
                <w:szCs w:val="15"/>
                <w:color w:val="auto"/>
              </w:rPr>
            </w:pPr>
          </w:p>
        </w:tc>
        <w:tc>
          <w:tcPr>
            <w:tcW w:w="1100" w:type="dxa"/>
            <w:vAlign w:val="bottom"/>
            <w:shd w:val="clear" w:color="auto" w:fill="CCEEF0"/>
          </w:tcPr>
          <w:p>
            <w:pPr>
              <w:spacing w:after="0"/>
              <w:rPr>
                <w:sz w:val="15"/>
                <w:szCs w:val="15"/>
                <w:color w:val="auto"/>
              </w:rPr>
            </w:pPr>
          </w:p>
        </w:tc>
        <w:tc>
          <w:tcPr>
            <w:tcW w:w="1260" w:type="dxa"/>
            <w:vAlign w:val="bottom"/>
            <w:shd w:val="clear" w:color="auto" w:fill="CCEEF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00" w:type="dxa"/>
            <w:vAlign w:val="bottom"/>
          </w:tcPr>
          <w:p>
            <w:pPr>
              <w:ind w:left="40"/>
              <w:spacing w:after="0"/>
              <w:rPr>
                <w:sz w:val="20"/>
                <w:szCs w:val="20"/>
                <w:color w:val="auto"/>
              </w:rPr>
            </w:pPr>
            <w:r>
              <w:rPr>
                <w:rFonts w:ascii="Arial" w:cs="Arial" w:eastAsia="Arial" w:hAnsi="Arial"/>
                <w:sz w:val="12"/>
                <w:szCs w:val="12"/>
                <w:b w:val="1"/>
                <w:bCs w:val="1"/>
                <w:color w:val="auto"/>
              </w:rPr>
              <w:t>Andrea D. Inserra</w:t>
            </w:r>
          </w:p>
        </w:tc>
        <w:tc>
          <w:tcPr>
            <w:tcW w:w="860" w:type="dxa"/>
            <w:vAlign w:val="bottom"/>
          </w:tcPr>
          <w:p>
            <w:pPr>
              <w:jc w:val="right"/>
              <w:spacing w:after="0"/>
              <w:rPr>
                <w:sz w:val="20"/>
                <w:szCs w:val="20"/>
                <w:color w:val="auto"/>
              </w:rPr>
            </w:pPr>
            <w:r>
              <w:rPr>
                <w:rFonts w:ascii="Arial" w:cs="Arial" w:eastAsia="Arial" w:hAnsi="Arial"/>
                <w:sz w:val="11"/>
                <w:szCs w:val="11"/>
                <w:color w:val="auto"/>
              </w:rPr>
              <w:t>7/28/2025</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6,722</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524,518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1,870</w:t>
            </w:r>
          </w:p>
        </w:tc>
        <w:tc>
          <w:tcPr>
            <w:tcW w:w="1020" w:type="dxa"/>
            <w:vAlign w:val="bottom"/>
          </w:tcPr>
          <w:p>
            <w:pPr>
              <w:jc w:val="right"/>
              <w:spacing w:after="0"/>
              <w:rPr>
                <w:sz w:val="20"/>
                <w:szCs w:val="20"/>
                <w:color w:val="auto"/>
              </w:rPr>
            </w:pPr>
            <w:r>
              <w:rPr>
                <w:rFonts w:ascii="Arial" w:cs="Arial" w:eastAsia="Arial" w:hAnsi="Arial"/>
                <w:sz w:val="11"/>
                <w:szCs w:val="11"/>
                <w:color w:val="auto"/>
              </w:rPr>
              <w:t>7,483</w:t>
            </w:r>
          </w:p>
        </w:tc>
        <w:tc>
          <w:tcPr>
            <w:tcW w:w="1020" w:type="dxa"/>
            <w:vAlign w:val="bottom"/>
          </w:tcPr>
          <w:p>
            <w:pPr>
              <w:spacing w:after="0"/>
              <w:rPr>
                <w:sz w:val="12"/>
                <w:szCs w:val="12"/>
                <w:color w:val="auto"/>
              </w:rPr>
            </w:pP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109.81</w:t>
            </w:r>
          </w:p>
        </w:tc>
        <w:tc>
          <w:tcPr>
            <w:tcW w:w="740" w:type="dxa"/>
            <w:vAlign w:val="bottom"/>
          </w:tcPr>
          <w:p>
            <w:pPr>
              <w:jc w:val="right"/>
              <w:spacing w:after="0"/>
              <w:rPr>
                <w:sz w:val="20"/>
                <w:szCs w:val="20"/>
                <w:color w:val="auto"/>
              </w:rPr>
            </w:pPr>
            <w:r>
              <w:rPr>
                <w:rFonts w:ascii="Arial" w:cs="Arial" w:eastAsia="Arial" w:hAnsi="Arial"/>
                <w:sz w:val="11"/>
                <w:szCs w:val="11"/>
                <w:color w:val="auto"/>
              </w:rPr>
              <w:t>5/27/2035</w:t>
            </w: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2,915</w:t>
            </w:r>
          </w:p>
        </w:tc>
        <w:tc>
          <w:tcPr>
            <w:tcW w:w="1140" w:type="dxa"/>
            <w:vAlign w:val="bottom"/>
          </w:tcPr>
          <w:p>
            <w:pPr>
              <w:jc w:val="right"/>
              <w:spacing w:after="0"/>
              <w:rPr>
                <w:sz w:val="20"/>
                <w:szCs w:val="20"/>
                <w:color w:val="auto"/>
              </w:rPr>
            </w:pPr>
            <w:r>
              <w:rPr>
                <w:rFonts w:ascii="Arial" w:cs="Arial" w:eastAsia="Arial" w:hAnsi="Arial"/>
                <w:sz w:val="11"/>
                <w:szCs w:val="11"/>
                <w:color w:val="auto"/>
              </w:rPr>
              <w:t>227,457</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472</w:t>
            </w:r>
          </w:p>
        </w:tc>
        <w:tc>
          <w:tcPr>
            <w:tcW w:w="1140" w:type="dxa"/>
            <w:vAlign w:val="bottom"/>
          </w:tcPr>
          <w:p>
            <w:pPr>
              <w:jc w:val="right"/>
              <w:spacing w:after="0"/>
              <w:rPr>
                <w:sz w:val="20"/>
                <w:szCs w:val="20"/>
                <w:color w:val="auto"/>
              </w:rPr>
            </w:pPr>
            <w:r>
              <w:rPr>
                <w:rFonts w:ascii="Arial" w:cs="Arial" w:eastAsia="Arial" w:hAnsi="Arial"/>
                <w:sz w:val="11"/>
                <w:szCs w:val="11"/>
                <w:color w:val="auto"/>
              </w:rPr>
              <w:t>36,830</w:t>
            </w: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656</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51,188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236</w:t>
            </w:r>
          </w:p>
        </w:tc>
        <w:tc>
          <w:tcPr>
            <w:tcW w:w="1260" w:type="dxa"/>
            <w:vAlign w:val="bottom"/>
          </w:tcPr>
          <w:p>
            <w:pPr>
              <w:jc w:val="right"/>
              <w:ind w:right="4"/>
              <w:spacing w:after="0"/>
              <w:rPr>
                <w:sz w:val="20"/>
                <w:szCs w:val="20"/>
                <w:color w:val="auto"/>
              </w:rPr>
            </w:pPr>
            <w:r>
              <w:rPr>
                <w:rFonts w:ascii="Arial" w:cs="Arial" w:eastAsia="Arial" w:hAnsi="Arial"/>
                <w:sz w:val="11"/>
                <w:szCs w:val="11"/>
                <w:color w:val="auto"/>
              </w:rPr>
              <w:t>18,415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shd w:val="clear" w:color="auto" w:fill="CCEEF0"/>
          </w:tcPr>
          <w:p>
            <w:pPr>
              <w:ind w:left="40"/>
              <w:spacing w:after="0"/>
              <w:rPr>
                <w:sz w:val="20"/>
                <w:szCs w:val="20"/>
                <w:color w:val="auto"/>
              </w:rPr>
            </w:pPr>
            <w:r>
              <w:rPr>
                <w:rFonts w:ascii="Arial" w:cs="Arial" w:eastAsia="Arial" w:hAnsi="Arial"/>
                <w:sz w:val="12"/>
                <w:szCs w:val="12"/>
                <w:b w:val="1"/>
                <w:bCs w:val="1"/>
                <w:color w:val="auto"/>
              </w:rPr>
              <w:t>Thomas J. Pfeifer</w:t>
            </w: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7/28/2025</w:t>
            </w:r>
          </w:p>
        </w:tc>
        <w:tc>
          <w:tcPr>
            <w:tcW w:w="90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680" w:type="dxa"/>
            <w:vAlign w:val="bottom"/>
            <w:shd w:val="clear" w:color="auto" w:fill="CCEEF0"/>
          </w:tcPr>
          <w:p>
            <w:pPr>
              <w:spacing w:after="0"/>
              <w:rPr>
                <w:sz w:val="15"/>
                <w:szCs w:val="15"/>
                <w:color w:val="auto"/>
              </w:rPr>
            </w:pPr>
          </w:p>
        </w:tc>
        <w:tc>
          <w:tcPr>
            <w:tcW w:w="740" w:type="dxa"/>
            <w:vAlign w:val="bottom"/>
            <w:shd w:val="clear" w:color="auto" w:fill="CCEEF0"/>
          </w:tcPr>
          <w:p>
            <w:pPr>
              <w:spacing w:after="0"/>
              <w:rPr>
                <w:sz w:val="15"/>
                <w:szCs w:val="15"/>
                <w:color w:val="auto"/>
              </w:rPr>
            </w:pPr>
          </w:p>
        </w:tc>
        <w:tc>
          <w:tcPr>
            <w:tcW w:w="920" w:type="dxa"/>
            <w:vAlign w:val="bottom"/>
            <w:shd w:val="clear" w:color="auto" w:fill="CCEEF0"/>
          </w:tcPr>
          <w:p>
            <w:pPr>
              <w:spacing w:after="0"/>
              <w:rPr>
                <w:sz w:val="15"/>
                <w:szCs w:val="15"/>
                <w:color w:val="auto"/>
              </w:rPr>
            </w:pPr>
          </w:p>
        </w:tc>
        <w:tc>
          <w:tcPr>
            <w:tcW w:w="1140" w:type="dxa"/>
            <w:vAlign w:val="bottom"/>
            <w:shd w:val="clear" w:color="auto" w:fill="CCEEF0"/>
          </w:tcPr>
          <w:p>
            <w:pPr>
              <w:spacing w:after="0"/>
              <w:rPr>
                <w:sz w:val="15"/>
                <w:szCs w:val="15"/>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7,282</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568,214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0"/>
          </w:tcPr>
          <w:p>
            <w:pPr>
              <w:spacing w:after="0"/>
              <w:rPr>
                <w:sz w:val="12"/>
                <w:szCs w:val="12"/>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5/27/2025</w:t>
            </w:r>
          </w:p>
        </w:tc>
        <w:tc>
          <w:tcPr>
            <w:tcW w:w="900" w:type="dxa"/>
            <w:vAlign w:val="bottom"/>
            <w:shd w:val="clear" w:color="auto" w:fill="CCEEF0"/>
          </w:tcPr>
          <w:p>
            <w:pPr>
              <w:spacing w:after="0"/>
              <w:rPr>
                <w:sz w:val="12"/>
                <w:szCs w:val="12"/>
                <w:color w:val="auto"/>
              </w:rPr>
            </w:pPr>
          </w:p>
        </w:tc>
        <w:tc>
          <w:tcPr>
            <w:tcW w:w="1020" w:type="dxa"/>
            <w:vAlign w:val="bottom"/>
            <w:shd w:val="clear" w:color="auto" w:fill="CCEEF0"/>
          </w:tcPr>
          <w:p>
            <w:pPr>
              <w:spacing w:after="0"/>
              <w:rPr>
                <w:sz w:val="12"/>
                <w:szCs w:val="12"/>
                <w:color w:val="auto"/>
              </w:rPr>
            </w:pPr>
          </w:p>
        </w:tc>
        <w:tc>
          <w:tcPr>
            <w:tcW w:w="1020" w:type="dxa"/>
            <w:vAlign w:val="bottom"/>
            <w:shd w:val="clear" w:color="auto" w:fill="CCEEF0"/>
          </w:tcPr>
          <w:p>
            <w:pPr>
              <w:spacing w:after="0"/>
              <w:rPr>
                <w:sz w:val="12"/>
                <w:szCs w:val="12"/>
                <w:color w:val="auto"/>
              </w:rPr>
            </w:pPr>
          </w:p>
        </w:tc>
        <w:tc>
          <w:tcPr>
            <w:tcW w:w="680" w:type="dxa"/>
            <w:vAlign w:val="bottom"/>
            <w:shd w:val="clear" w:color="auto" w:fill="CCEEF0"/>
          </w:tcPr>
          <w:p>
            <w:pPr>
              <w:spacing w:after="0"/>
              <w:rPr>
                <w:sz w:val="12"/>
                <w:szCs w:val="12"/>
                <w:color w:val="auto"/>
              </w:rPr>
            </w:pPr>
          </w:p>
        </w:tc>
        <w:tc>
          <w:tcPr>
            <w:tcW w:w="740" w:type="dxa"/>
            <w:vAlign w:val="bottom"/>
            <w:shd w:val="clear" w:color="auto" w:fill="CCEEF0"/>
          </w:tcPr>
          <w:p>
            <w:pPr>
              <w:spacing w:after="0"/>
              <w:rPr>
                <w:sz w:val="12"/>
                <w:szCs w:val="12"/>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3,158</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246,419</w:t>
            </w:r>
          </w:p>
        </w:tc>
        <w:tc>
          <w:tcPr>
            <w:tcW w:w="1100" w:type="dxa"/>
            <w:vAlign w:val="bottom"/>
            <w:shd w:val="clear" w:color="auto" w:fill="CCEEF0"/>
          </w:tcPr>
          <w:p>
            <w:pPr>
              <w:spacing w:after="0"/>
              <w:rPr>
                <w:sz w:val="12"/>
                <w:szCs w:val="12"/>
                <w:color w:val="auto"/>
              </w:rPr>
            </w:pPr>
          </w:p>
        </w:tc>
        <w:tc>
          <w:tcPr>
            <w:tcW w:w="1260" w:type="dxa"/>
            <w:vAlign w:val="bottom"/>
            <w:shd w:val="clear" w:color="auto" w:fill="CCEEF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jc w:val="right"/>
              <w:ind w:right="44"/>
              <w:spacing w:after="0"/>
              <w:rPr>
                <w:sz w:val="20"/>
                <w:szCs w:val="20"/>
                <w:color w:val="auto"/>
              </w:rPr>
            </w:pPr>
            <w:r>
              <w:rPr>
                <w:rFonts w:ascii="Arial" w:cs="Arial" w:eastAsia="Arial" w:hAnsi="Arial"/>
                <w:sz w:val="11"/>
                <w:szCs w:val="11"/>
                <w:color w:val="auto"/>
              </w:rPr>
              <w:t>1,051</w:t>
            </w:r>
          </w:p>
        </w:tc>
        <w:tc>
          <w:tcPr>
            <w:tcW w:w="11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82,010</w:t>
            </w: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spacing w:after="0"/>
              <w:rPr>
                <w:sz w:val="13"/>
                <w:szCs w:val="13"/>
                <w:color w:val="auto"/>
              </w:rPr>
            </w:pPr>
          </w:p>
        </w:tc>
        <w:tc>
          <w:tcPr>
            <w:tcW w:w="740" w:type="dxa"/>
            <w:vAlign w:val="bottom"/>
            <w:shd w:val="clear" w:color="auto" w:fill="CCEEF0"/>
          </w:tcPr>
          <w:p>
            <w:pPr>
              <w:spacing w:after="0"/>
              <w:rPr>
                <w:sz w:val="13"/>
                <w:szCs w:val="13"/>
                <w:color w:val="auto"/>
              </w:rPr>
            </w:pP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2,363</w:t>
            </w:r>
          </w:p>
        </w:tc>
        <w:tc>
          <w:tcPr>
            <w:tcW w:w="1260" w:type="dxa"/>
            <w:vAlign w:val="bottom"/>
            <w:shd w:val="clear" w:color="auto" w:fill="CCEEF0"/>
          </w:tcPr>
          <w:p>
            <w:pPr>
              <w:jc w:val="right"/>
              <w:ind w:right="4"/>
              <w:spacing w:after="0"/>
              <w:rPr>
                <w:sz w:val="20"/>
                <w:szCs w:val="20"/>
                <w:color w:val="auto"/>
              </w:rPr>
            </w:pPr>
            <w:r>
              <w:rPr>
                <w:rFonts w:ascii="Arial" w:cs="Arial" w:eastAsia="Arial" w:hAnsi="Arial"/>
                <w:sz w:val="11"/>
                <w:szCs w:val="11"/>
                <w:color w:val="auto"/>
              </w:rPr>
              <w:t>184,385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7/29/2022</w:t>
            </w:r>
          </w:p>
        </w:tc>
        <w:tc>
          <w:tcPr>
            <w:tcW w:w="900" w:type="dxa"/>
            <w:vAlign w:val="bottom"/>
            <w:shd w:val="clear" w:color="auto" w:fill="CCEEF0"/>
          </w:tcPr>
          <w:p>
            <w:pPr>
              <w:jc w:val="right"/>
              <w:ind w:right="3"/>
              <w:spacing w:after="0"/>
              <w:rPr>
                <w:sz w:val="20"/>
                <w:szCs w:val="20"/>
                <w:color w:val="auto"/>
              </w:rPr>
            </w:pPr>
            <w:r>
              <w:rPr>
                <w:rFonts w:ascii="Arial" w:cs="Arial" w:eastAsia="Arial" w:hAnsi="Arial"/>
                <w:sz w:val="11"/>
                <w:szCs w:val="11"/>
                <w:color w:val="auto"/>
              </w:rPr>
              <w:t>7,950</w:t>
            </w:r>
          </w:p>
        </w:tc>
        <w:tc>
          <w:tcPr>
            <w:tcW w:w="102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5,300</w:t>
            </w: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jc w:val="right"/>
              <w:ind w:right="45"/>
              <w:spacing w:after="0"/>
              <w:rPr>
                <w:sz w:val="20"/>
                <w:szCs w:val="20"/>
                <w:color w:val="auto"/>
              </w:rPr>
            </w:pPr>
            <w:r>
              <w:rPr>
                <w:rFonts w:ascii="Arial" w:cs="Arial" w:eastAsia="Arial" w:hAnsi="Arial"/>
                <w:sz w:val="11"/>
                <w:szCs w:val="11"/>
                <w:color w:val="auto"/>
              </w:rPr>
              <w:t>95.98</w:t>
            </w:r>
          </w:p>
        </w:tc>
        <w:tc>
          <w:tcPr>
            <w:tcW w:w="7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7/28/2032</w:t>
            </w: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00" w:type="dxa"/>
            <w:vAlign w:val="bottom"/>
            <w:shd w:val="clear" w:color="auto" w:fill="CCEEF0"/>
          </w:tcPr>
          <w:p>
            <w:pPr>
              <w:spacing w:after="0"/>
              <w:rPr>
                <w:sz w:val="13"/>
                <w:szCs w:val="13"/>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5/17/2022</w:t>
            </w:r>
          </w:p>
        </w:tc>
        <w:tc>
          <w:tcPr>
            <w:tcW w:w="900" w:type="dxa"/>
            <w:vAlign w:val="bottom"/>
            <w:shd w:val="clear" w:color="auto" w:fill="CCEEF0"/>
          </w:tcPr>
          <w:p>
            <w:pPr>
              <w:jc w:val="right"/>
              <w:ind w:right="3"/>
              <w:spacing w:after="0"/>
              <w:rPr>
                <w:sz w:val="20"/>
                <w:szCs w:val="20"/>
                <w:color w:val="auto"/>
              </w:rPr>
            </w:pPr>
            <w:r>
              <w:rPr>
                <w:rFonts w:ascii="Arial" w:cs="Arial" w:eastAsia="Arial" w:hAnsi="Arial"/>
                <w:sz w:val="11"/>
                <w:szCs w:val="11"/>
                <w:color w:val="auto"/>
              </w:rPr>
              <w:t>12,032</w:t>
            </w:r>
          </w:p>
        </w:tc>
        <w:tc>
          <w:tcPr>
            <w:tcW w:w="1020" w:type="dxa"/>
            <w:vAlign w:val="bottom"/>
            <w:shd w:val="clear" w:color="auto" w:fill="CCEEF0"/>
          </w:tcPr>
          <w:p>
            <w:pPr>
              <w:jc w:val="right"/>
              <w:spacing w:after="0"/>
              <w:rPr>
                <w:sz w:val="20"/>
                <w:szCs w:val="20"/>
                <w:color w:val="auto"/>
              </w:rPr>
            </w:pPr>
            <w:r>
              <w:rPr>
                <w:rFonts w:ascii="Arial" w:cs="Arial" w:eastAsia="Arial" w:hAnsi="Arial"/>
                <w:sz w:val="11"/>
                <w:szCs w:val="11"/>
                <w:color w:val="auto"/>
              </w:rPr>
              <w:t>3,008</w:t>
            </w:r>
          </w:p>
        </w:tc>
        <w:tc>
          <w:tcPr>
            <w:tcW w:w="1020" w:type="dxa"/>
            <w:vAlign w:val="bottom"/>
            <w:shd w:val="clear" w:color="auto" w:fill="CCEEF0"/>
          </w:tcPr>
          <w:p>
            <w:pPr>
              <w:spacing w:after="0"/>
              <w:rPr>
                <w:sz w:val="13"/>
                <w:szCs w:val="13"/>
                <w:color w:val="auto"/>
              </w:rPr>
            </w:pPr>
          </w:p>
        </w:tc>
        <w:tc>
          <w:tcPr>
            <w:tcW w:w="680" w:type="dxa"/>
            <w:vAlign w:val="bottom"/>
            <w:shd w:val="clear" w:color="auto" w:fill="CCEEF0"/>
          </w:tcPr>
          <w:p>
            <w:pPr>
              <w:jc w:val="right"/>
              <w:ind w:right="45"/>
              <w:spacing w:after="0"/>
              <w:rPr>
                <w:sz w:val="20"/>
                <w:szCs w:val="20"/>
                <w:color w:val="auto"/>
              </w:rPr>
            </w:pPr>
            <w:r>
              <w:rPr>
                <w:rFonts w:ascii="Arial" w:cs="Arial" w:eastAsia="Arial" w:hAnsi="Arial"/>
                <w:sz w:val="11"/>
                <w:szCs w:val="11"/>
                <w:color w:val="auto"/>
              </w:rPr>
              <w:t>83.38</w:t>
            </w:r>
          </w:p>
        </w:tc>
        <w:tc>
          <w:tcPr>
            <w:tcW w:w="7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5/17/2032</w:t>
            </w:r>
          </w:p>
        </w:tc>
        <w:tc>
          <w:tcPr>
            <w:tcW w:w="920" w:type="dxa"/>
            <w:vAlign w:val="bottom"/>
            <w:shd w:val="clear" w:color="auto" w:fill="CCEEF0"/>
          </w:tcPr>
          <w:p>
            <w:pPr>
              <w:spacing w:after="0"/>
              <w:rPr>
                <w:sz w:val="13"/>
                <w:szCs w:val="13"/>
                <w:color w:val="auto"/>
              </w:rPr>
            </w:pPr>
          </w:p>
        </w:tc>
        <w:tc>
          <w:tcPr>
            <w:tcW w:w="1140" w:type="dxa"/>
            <w:vAlign w:val="bottom"/>
            <w:shd w:val="clear" w:color="auto" w:fill="CCEEF0"/>
          </w:tcPr>
          <w:p>
            <w:pPr>
              <w:spacing w:after="0"/>
              <w:rPr>
                <w:sz w:val="13"/>
                <w:szCs w:val="13"/>
                <w:color w:val="auto"/>
              </w:rPr>
            </w:pPr>
          </w:p>
        </w:tc>
        <w:tc>
          <w:tcPr>
            <w:tcW w:w="1100" w:type="dxa"/>
            <w:vAlign w:val="bottom"/>
            <w:shd w:val="clear" w:color="auto" w:fill="CCEEF0"/>
          </w:tcPr>
          <w:p>
            <w:pPr>
              <w:spacing w:after="0"/>
              <w:rPr>
                <w:sz w:val="13"/>
                <w:szCs w:val="13"/>
                <w:color w:val="auto"/>
              </w:rPr>
            </w:pPr>
          </w:p>
        </w:tc>
        <w:tc>
          <w:tcPr>
            <w:tcW w:w="1260" w:type="dxa"/>
            <w:vAlign w:val="bottom"/>
            <w:shd w:val="clear" w:color="auto" w:fill="CCEEF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00" w:type="dxa"/>
            <w:vAlign w:val="bottom"/>
            <w:shd w:val="clear" w:color="auto" w:fill="CCEEF0"/>
          </w:tcPr>
          <w:p>
            <w:pPr>
              <w:spacing w:after="0"/>
              <w:rPr>
                <w:sz w:val="15"/>
                <w:szCs w:val="15"/>
                <w:color w:val="auto"/>
              </w:rPr>
            </w:pPr>
          </w:p>
        </w:tc>
        <w:tc>
          <w:tcPr>
            <w:tcW w:w="86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5/17/2017</w:t>
            </w:r>
          </w:p>
        </w:tc>
        <w:tc>
          <w:tcPr>
            <w:tcW w:w="900" w:type="dxa"/>
            <w:vAlign w:val="bottom"/>
            <w:shd w:val="clear" w:color="auto" w:fill="CCEEF0"/>
          </w:tcPr>
          <w:p>
            <w:pPr>
              <w:jc w:val="right"/>
              <w:ind w:right="3"/>
              <w:spacing w:after="0"/>
              <w:rPr>
                <w:sz w:val="20"/>
                <w:szCs w:val="20"/>
                <w:color w:val="auto"/>
              </w:rPr>
            </w:pPr>
            <w:r>
              <w:rPr>
                <w:rFonts w:ascii="Arial" w:cs="Arial" w:eastAsia="Arial" w:hAnsi="Arial"/>
                <w:sz w:val="11"/>
                <w:szCs w:val="11"/>
                <w:color w:val="auto"/>
              </w:rPr>
              <w:t>16,090</w:t>
            </w:r>
          </w:p>
        </w:tc>
        <w:tc>
          <w:tcPr>
            <w:tcW w:w="1020" w:type="dxa"/>
            <w:vAlign w:val="bottom"/>
            <w:shd w:val="clear" w:color="auto" w:fill="CCEEF0"/>
          </w:tcPr>
          <w:p>
            <w:pPr>
              <w:spacing w:after="0"/>
              <w:rPr>
                <w:sz w:val="15"/>
                <w:szCs w:val="15"/>
                <w:color w:val="auto"/>
              </w:rPr>
            </w:pPr>
          </w:p>
        </w:tc>
        <w:tc>
          <w:tcPr>
            <w:tcW w:w="1020" w:type="dxa"/>
            <w:vAlign w:val="bottom"/>
            <w:shd w:val="clear" w:color="auto" w:fill="CCEEF0"/>
          </w:tcPr>
          <w:p>
            <w:pPr>
              <w:spacing w:after="0"/>
              <w:rPr>
                <w:sz w:val="15"/>
                <w:szCs w:val="15"/>
                <w:color w:val="auto"/>
              </w:rPr>
            </w:pPr>
          </w:p>
        </w:tc>
        <w:tc>
          <w:tcPr>
            <w:tcW w:w="680" w:type="dxa"/>
            <w:vAlign w:val="bottom"/>
            <w:shd w:val="clear" w:color="auto" w:fill="CCEEF0"/>
          </w:tcPr>
          <w:p>
            <w:pPr>
              <w:jc w:val="right"/>
              <w:ind w:right="45"/>
              <w:spacing w:after="0"/>
              <w:rPr>
                <w:sz w:val="20"/>
                <w:szCs w:val="20"/>
                <w:color w:val="auto"/>
              </w:rPr>
            </w:pPr>
            <w:r>
              <w:rPr>
                <w:rFonts w:ascii="Arial" w:cs="Arial" w:eastAsia="Arial" w:hAnsi="Arial"/>
                <w:sz w:val="11"/>
                <w:szCs w:val="11"/>
                <w:color w:val="auto"/>
              </w:rPr>
              <w:t>35.63</w:t>
            </w:r>
          </w:p>
        </w:tc>
        <w:tc>
          <w:tcPr>
            <w:tcW w:w="740" w:type="dxa"/>
            <w:vAlign w:val="bottom"/>
            <w:shd w:val="clear" w:color="auto" w:fill="CCEEF0"/>
          </w:tcPr>
          <w:p>
            <w:pPr>
              <w:jc w:val="right"/>
              <w:spacing w:after="0"/>
              <w:rPr>
                <w:sz w:val="20"/>
                <w:szCs w:val="20"/>
                <w:color w:val="auto"/>
              </w:rPr>
            </w:pPr>
            <w:r>
              <w:rPr>
                <w:rFonts w:ascii="Arial" w:cs="Arial" w:eastAsia="Arial" w:hAnsi="Arial"/>
                <w:sz w:val="11"/>
                <w:szCs w:val="11"/>
                <w:color w:val="auto"/>
              </w:rPr>
              <w:t>5/17/2027</w:t>
            </w:r>
          </w:p>
        </w:tc>
        <w:tc>
          <w:tcPr>
            <w:tcW w:w="920" w:type="dxa"/>
            <w:vAlign w:val="bottom"/>
            <w:shd w:val="clear" w:color="auto" w:fill="CCEEF0"/>
          </w:tcPr>
          <w:p>
            <w:pPr>
              <w:spacing w:after="0"/>
              <w:rPr>
                <w:sz w:val="15"/>
                <w:szCs w:val="15"/>
                <w:color w:val="auto"/>
              </w:rPr>
            </w:pPr>
          </w:p>
        </w:tc>
        <w:tc>
          <w:tcPr>
            <w:tcW w:w="1140" w:type="dxa"/>
            <w:vAlign w:val="bottom"/>
            <w:shd w:val="clear" w:color="auto" w:fill="CCEEF0"/>
          </w:tcPr>
          <w:p>
            <w:pPr>
              <w:spacing w:after="0"/>
              <w:rPr>
                <w:sz w:val="15"/>
                <w:szCs w:val="15"/>
                <w:color w:val="auto"/>
              </w:rPr>
            </w:pPr>
          </w:p>
        </w:tc>
        <w:tc>
          <w:tcPr>
            <w:tcW w:w="1100" w:type="dxa"/>
            <w:vAlign w:val="bottom"/>
            <w:shd w:val="clear" w:color="auto" w:fill="CCEEF0"/>
          </w:tcPr>
          <w:p>
            <w:pPr>
              <w:spacing w:after="0"/>
              <w:rPr>
                <w:sz w:val="15"/>
                <w:szCs w:val="15"/>
                <w:color w:val="auto"/>
              </w:rPr>
            </w:pPr>
          </w:p>
        </w:tc>
        <w:tc>
          <w:tcPr>
            <w:tcW w:w="1260" w:type="dxa"/>
            <w:vAlign w:val="bottom"/>
            <w:shd w:val="clear" w:color="auto" w:fill="CCEEF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00" w:type="dxa"/>
            <w:vAlign w:val="bottom"/>
          </w:tcPr>
          <w:p>
            <w:pPr>
              <w:ind w:left="40"/>
              <w:spacing w:after="0"/>
              <w:rPr>
                <w:sz w:val="20"/>
                <w:szCs w:val="20"/>
                <w:color w:val="auto"/>
              </w:rPr>
            </w:pPr>
            <w:r>
              <w:rPr>
                <w:rFonts w:ascii="Arial" w:cs="Arial" w:eastAsia="Arial" w:hAnsi="Arial"/>
                <w:sz w:val="12"/>
                <w:szCs w:val="12"/>
                <w:b w:val="1"/>
                <w:bCs w:val="1"/>
                <w:color w:val="auto"/>
              </w:rPr>
              <w:t>Matthew A. Calderone</w:t>
            </w:r>
          </w:p>
        </w:tc>
        <w:tc>
          <w:tcPr>
            <w:tcW w:w="860" w:type="dxa"/>
            <w:vAlign w:val="bottom"/>
          </w:tcPr>
          <w:p>
            <w:pPr>
              <w:jc w:val="right"/>
              <w:spacing w:after="0"/>
              <w:rPr>
                <w:sz w:val="20"/>
                <w:szCs w:val="20"/>
                <w:color w:val="auto"/>
              </w:rPr>
            </w:pPr>
            <w:r>
              <w:rPr>
                <w:rFonts w:ascii="Arial" w:cs="Arial" w:eastAsia="Arial" w:hAnsi="Arial"/>
                <w:sz w:val="11"/>
                <w:szCs w:val="11"/>
                <w:color w:val="auto"/>
              </w:rPr>
              <w:t>5/23/2024</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1,488</w:t>
            </w:r>
          </w:p>
        </w:tc>
        <w:tc>
          <w:tcPr>
            <w:tcW w:w="1140" w:type="dxa"/>
            <w:vAlign w:val="bottom"/>
          </w:tcPr>
          <w:p>
            <w:pPr>
              <w:jc w:val="right"/>
              <w:spacing w:after="0"/>
              <w:rPr>
                <w:sz w:val="20"/>
                <w:szCs w:val="20"/>
                <w:color w:val="auto"/>
              </w:rPr>
            </w:pPr>
            <w:r>
              <w:rPr>
                <w:rFonts w:ascii="Arial" w:cs="Arial" w:eastAsia="Arial" w:hAnsi="Arial"/>
                <w:sz w:val="11"/>
                <w:szCs w:val="11"/>
                <w:color w:val="auto"/>
              </w:rPr>
              <w:t>116,109</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5/17/2022</w:t>
            </w:r>
          </w:p>
        </w:tc>
        <w:tc>
          <w:tcPr>
            <w:tcW w:w="900" w:type="dxa"/>
            <w:vAlign w:val="bottom"/>
          </w:tcPr>
          <w:p>
            <w:pPr>
              <w:jc w:val="right"/>
              <w:spacing w:after="0"/>
              <w:rPr>
                <w:sz w:val="20"/>
                <w:szCs w:val="20"/>
                <w:color w:val="auto"/>
              </w:rPr>
            </w:pPr>
            <w:r>
              <w:rPr>
                <w:rFonts w:ascii="Arial" w:cs="Arial" w:eastAsia="Arial" w:hAnsi="Arial"/>
                <w:sz w:val="11"/>
                <w:szCs w:val="11"/>
                <w:color w:val="auto"/>
              </w:rPr>
              <w:t>9,024</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83.38</w:t>
            </w:r>
          </w:p>
        </w:tc>
        <w:tc>
          <w:tcPr>
            <w:tcW w:w="740" w:type="dxa"/>
            <w:vAlign w:val="bottom"/>
          </w:tcPr>
          <w:p>
            <w:pPr>
              <w:jc w:val="right"/>
              <w:spacing w:after="0"/>
              <w:rPr>
                <w:sz w:val="20"/>
                <w:szCs w:val="20"/>
                <w:color w:val="auto"/>
              </w:rPr>
            </w:pPr>
            <w:r>
              <w:rPr>
                <w:rFonts w:ascii="Arial" w:cs="Arial" w:eastAsia="Arial" w:hAnsi="Arial"/>
                <w:sz w:val="11"/>
                <w:szCs w:val="11"/>
                <w:color w:val="auto"/>
              </w:rPr>
              <w:t>5/17/2032</w:t>
            </w: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60" w:right="20" w:hanging="316"/>
        <w:spacing w:after="0" w:line="293" w:lineRule="auto"/>
        <w:tabs>
          <w:tab w:leader="none" w:pos="563"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options reported in this column were granted to Messrs. Crowe and Pfeifer pursuant to the Prior Equity Incentive Plan, and to Ms. Inserra pursuant to the Equity Incentive Plan, and will vest and become exercisable, subject to the continued employment of the named executive officer, on the dates set forth in the table below:</w:t>
      </w:r>
    </w:p>
    <w:p>
      <w:pPr>
        <w:spacing w:after="0" w:line="131" w:lineRule="exact"/>
        <w:rPr>
          <w:sz w:val="20"/>
          <w:szCs w:val="20"/>
          <w:color w:val="auto"/>
        </w:rPr>
      </w:pPr>
    </w:p>
    <w:tbl>
      <w:tblPr>
        <w:tblLayout w:type="fixed"/>
        <w:tblInd w:w="1070" w:type="dxa"/>
        <w:tblCellMar>
          <w:top w:w="0" w:type="dxa"/>
          <w:left w:w="0" w:type="dxa"/>
          <w:bottom w:w="0" w:type="dxa"/>
          <w:right w:w="0" w:type="dxa"/>
        </w:tblCellMar>
      </w:tblPr>
      <w:tr>
        <w:trPr>
          <w:trHeight w:val="132"/>
        </w:trPr>
        <w:tc>
          <w:tcPr>
            <w:tcW w:w="940" w:type="dxa"/>
            <w:vAlign w:val="bottom"/>
            <w:tcBorders>
              <w:top w:val="single" w:sz="8" w:color="auto"/>
              <w:left w:val="single" w:sz="8" w:color="auto"/>
            </w:tcBorders>
            <w:shd w:val="clear" w:color="auto" w:fill="00A5B5"/>
          </w:tcPr>
          <w:p>
            <w:pPr>
              <w:spacing w:after="0"/>
              <w:rPr>
                <w:sz w:val="11"/>
                <w:szCs w:val="11"/>
                <w:color w:val="auto"/>
              </w:rPr>
            </w:pPr>
          </w:p>
        </w:tc>
        <w:tc>
          <w:tcPr>
            <w:tcW w:w="940" w:type="dxa"/>
            <w:vAlign w:val="bottom"/>
            <w:tcBorders>
              <w:top w:val="single" w:sz="8" w:color="auto"/>
            </w:tcBorders>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Option</w:t>
            </w:r>
          </w:p>
        </w:tc>
        <w:tc>
          <w:tcPr>
            <w:tcW w:w="780" w:type="dxa"/>
            <w:vAlign w:val="bottom"/>
            <w:tcBorders>
              <w:top w:val="single" w:sz="8" w:color="auto"/>
            </w:tcBorders>
            <w:vMerge w:val="restart"/>
            <w:shd w:val="clear" w:color="auto" w:fill="00A5B5"/>
          </w:tcPr>
          <w:p>
            <w:pPr>
              <w:ind w:left="180"/>
              <w:spacing w:after="0"/>
              <w:rPr>
                <w:sz w:val="20"/>
                <w:szCs w:val="20"/>
                <w:color w:val="auto"/>
              </w:rPr>
            </w:pPr>
            <w:r>
              <w:rPr>
                <w:rFonts w:ascii="Arial" w:cs="Arial" w:eastAsia="Arial" w:hAnsi="Arial"/>
                <w:sz w:val="12"/>
                <w:szCs w:val="12"/>
                <w:b w:val="1"/>
                <w:bCs w:val="1"/>
                <w:color w:val="FFFFFF"/>
              </w:rPr>
              <w:t>May 31,</w:t>
            </w:r>
          </w:p>
        </w:tc>
        <w:tc>
          <w:tcPr>
            <w:tcW w:w="760" w:type="dxa"/>
            <w:vAlign w:val="bottom"/>
            <w:tcBorders>
              <w:top w:val="single" w:sz="8" w:color="auto"/>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July 31,</w:t>
            </w:r>
          </w:p>
        </w:tc>
        <w:tc>
          <w:tcPr>
            <w:tcW w:w="820" w:type="dxa"/>
            <w:vAlign w:val="bottom"/>
            <w:tcBorders>
              <w:top w:val="single" w:sz="8" w:color="auto"/>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March 31,</w:t>
            </w:r>
          </w:p>
        </w:tc>
        <w:tc>
          <w:tcPr>
            <w:tcW w:w="920" w:type="dxa"/>
            <w:vAlign w:val="bottom"/>
            <w:tcBorders>
              <w:top w:val="single" w:sz="8" w:color="auto"/>
            </w:tcBorders>
            <w:shd w:val="clear" w:color="auto" w:fill="00A5B5"/>
          </w:tcPr>
          <w:p>
            <w:pPr>
              <w:spacing w:after="0"/>
              <w:rPr>
                <w:sz w:val="11"/>
                <w:szCs w:val="11"/>
                <w:color w:val="auto"/>
              </w:rPr>
            </w:pPr>
          </w:p>
        </w:tc>
        <w:tc>
          <w:tcPr>
            <w:tcW w:w="700" w:type="dxa"/>
            <w:vAlign w:val="bottom"/>
            <w:tcBorders>
              <w:top w:val="single" w:sz="8" w:color="auto"/>
            </w:tcBorders>
            <w:vMerge w:val="restart"/>
            <w:shd w:val="clear" w:color="auto" w:fill="00A5B5"/>
          </w:tcPr>
          <w:p>
            <w:pPr>
              <w:ind w:left="100"/>
              <w:spacing w:after="0"/>
              <w:rPr>
                <w:sz w:val="20"/>
                <w:szCs w:val="20"/>
                <w:color w:val="auto"/>
              </w:rPr>
            </w:pPr>
            <w:r>
              <w:rPr>
                <w:rFonts w:ascii="Arial" w:cs="Arial" w:eastAsia="Arial" w:hAnsi="Arial"/>
                <w:sz w:val="12"/>
                <w:szCs w:val="12"/>
                <w:b w:val="1"/>
                <w:bCs w:val="1"/>
                <w:color w:val="FFFFFF"/>
              </w:rPr>
              <w:t>July 31,</w:t>
            </w:r>
          </w:p>
        </w:tc>
        <w:tc>
          <w:tcPr>
            <w:tcW w:w="900" w:type="dxa"/>
            <w:vAlign w:val="bottom"/>
            <w:tcBorders>
              <w:top w:val="single" w:sz="8" w:color="auto"/>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March 31,</w:t>
            </w:r>
          </w:p>
        </w:tc>
        <w:tc>
          <w:tcPr>
            <w:tcW w:w="880" w:type="dxa"/>
            <w:vAlign w:val="bottom"/>
            <w:tcBorders>
              <w:top w:val="single" w:sz="8" w:color="auto"/>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March 31,</w:t>
            </w:r>
          </w:p>
        </w:tc>
        <w:tc>
          <w:tcPr>
            <w:tcW w:w="880" w:type="dxa"/>
            <w:vAlign w:val="bottom"/>
            <w:tcBorders>
              <w:top w:val="single" w:sz="8" w:color="auto"/>
            </w:tcBorders>
            <w:vMerge w:val="restart"/>
            <w:shd w:val="clear" w:color="auto" w:fill="00A5B5"/>
          </w:tcPr>
          <w:p>
            <w:pPr>
              <w:ind w:left="160"/>
              <w:spacing w:after="0"/>
              <w:rPr>
                <w:sz w:val="20"/>
                <w:szCs w:val="20"/>
                <w:color w:val="auto"/>
              </w:rPr>
            </w:pPr>
            <w:r>
              <w:rPr>
                <w:rFonts w:ascii="Arial" w:cs="Arial" w:eastAsia="Arial" w:hAnsi="Arial"/>
                <w:sz w:val="12"/>
                <w:szCs w:val="12"/>
                <w:b w:val="1"/>
                <w:bCs w:val="1"/>
                <w:color w:val="FFFFFF"/>
              </w:rPr>
              <w:t>March 31,</w:t>
            </w:r>
          </w:p>
        </w:tc>
        <w:tc>
          <w:tcPr>
            <w:tcW w:w="640" w:type="dxa"/>
            <w:vAlign w:val="bottom"/>
            <w:tcBorders>
              <w:top w:val="single" w:sz="8" w:color="auto"/>
              <w:right w:val="single" w:sz="8" w:color="auto"/>
            </w:tcBorders>
            <w:shd w:val="clear" w:color="auto" w:fill="00A5B5"/>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tcBorders>
            <w:vMerge w:val="restart"/>
            <w:shd w:val="clear" w:color="auto" w:fill="00A5B5"/>
          </w:tcPr>
          <w:p>
            <w:pPr>
              <w:ind w:left="20"/>
              <w:spacing w:after="0" w:line="120" w:lineRule="exact"/>
              <w:rPr>
                <w:sz w:val="20"/>
                <w:szCs w:val="20"/>
                <w:color w:val="auto"/>
              </w:rPr>
            </w:pPr>
            <w:r>
              <w:rPr>
                <w:rFonts w:ascii="Arial" w:cs="Arial" w:eastAsia="Arial" w:hAnsi="Arial"/>
                <w:sz w:val="12"/>
                <w:szCs w:val="12"/>
                <w:b w:val="1"/>
                <w:bCs w:val="1"/>
                <w:color w:val="FFFFFF"/>
              </w:rPr>
              <w:t>Name</w:t>
            </w:r>
          </w:p>
        </w:tc>
        <w:tc>
          <w:tcPr>
            <w:tcW w:w="940" w:type="dxa"/>
            <w:vAlign w:val="bottom"/>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Exercise</w:t>
            </w:r>
          </w:p>
        </w:tc>
        <w:tc>
          <w:tcPr>
            <w:tcW w:w="780" w:type="dxa"/>
            <w:vAlign w:val="bottom"/>
            <w:vMerge w:val="continue"/>
            <w:shd w:val="clear" w:color="auto" w:fill="00A5B5"/>
          </w:tcPr>
          <w:p>
            <w:pPr>
              <w:spacing w:after="0"/>
              <w:rPr>
                <w:sz w:val="4"/>
                <w:szCs w:val="4"/>
                <w:color w:val="auto"/>
              </w:rPr>
            </w:pPr>
          </w:p>
        </w:tc>
        <w:tc>
          <w:tcPr>
            <w:tcW w:w="760" w:type="dxa"/>
            <w:vAlign w:val="bottom"/>
            <w:vMerge w:val="continue"/>
            <w:shd w:val="clear" w:color="auto" w:fill="00A5B5"/>
          </w:tcPr>
          <w:p>
            <w:pPr>
              <w:spacing w:after="0"/>
              <w:rPr>
                <w:sz w:val="4"/>
                <w:szCs w:val="4"/>
                <w:color w:val="auto"/>
              </w:rPr>
            </w:pPr>
          </w:p>
        </w:tc>
        <w:tc>
          <w:tcPr>
            <w:tcW w:w="820" w:type="dxa"/>
            <w:vAlign w:val="bottom"/>
            <w:vMerge w:val="continue"/>
            <w:shd w:val="clear" w:color="auto" w:fill="00A5B5"/>
          </w:tcPr>
          <w:p>
            <w:pPr>
              <w:spacing w:after="0"/>
              <w:rPr>
                <w:sz w:val="4"/>
                <w:szCs w:val="4"/>
                <w:color w:val="auto"/>
              </w:rPr>
            </w:pPr>
          </w:p>
        </w:tc>
        <w:tc>
          <w:tcPr>
            <w:tcW w:w="920" w:type="dxa"/>
            <w:vAlign w:val="bottom"/>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May 31, 2027</w:t>
            </w:r>
          </w:p>
        </w:tc>
        <w:tc>
          <w:tcPr>
            <w:tcW w:w="700" w:type="dxa"/>
            <w:vAlign w:val="bottom"/>
            <w:vMerge w:val="continue"/>
            <w:shd w:val="clear" w:color="auto" w:fill="00A5B5"/>
          </w:tcPr>
          <w:p>
            <w:pPr>
              <w:spacing w:after="0"/>
              <w:rPr>
                <w:sz w:val="4"/>
                <w:szCs w:val="4"/>
                <w:color w:val="auto"/>
              </w:rPr>
            </w:pPr>
          </w:p>
        </w:tc>
        <w:tc>
          <w:tcPr>
            <w:tcW w:w="900" w:type="dxa"/>
            <w:vAlign w:val="bottom"/>
            <w:vMerge w:val="continue"/>
            <w:shd w:val="clear" w:color="auto" w:fill="00A5B5"/>
          </w:tcPr>
          <w:p>
            <w:pPr>
              <w:spacing w:after="0"/>
              <w:rPr>
                <w:sz w:val="4"/>
                <w:szCs w:val="4"/>
                <w:color w:val="auto"/>
              </w:rPr>
            </w:pPr>
          </w:p>
        </w:tc>
        <w:tc>
          <w:tcPr>
            <w:tcW w:w="880" w:type="dxa"/>
            <w:vAlign w:val="bottom"/>
            <w:vMerge w:val="continue"/>
            <w:shd w:val="clear" w:color="auto" w:fill="00A5B5"/>
          </w:tcPr>
          <w:p>
            <w:pPr>
              <w:spacing w:after="0"/>
              <w:rPr>
                <w:sz w:val="4"/>
                <w:szCs w:val="4"/>
                <w:color w:val="auto"/>
              </w:rPr>
            </w:pPr>
          </w:p>
        </w:tc>
        <w:tc>
          <w:tcPr>
            <w:tcW w:w="880" w:type="dxa"/>
            <w:vAlign w:val="bottom"/>
            <w:vMerge w:val="continue"/>
            <w:shd w:val="clear" w:color="auto" w:fill="00A5B5"/>
          </w:tcPr>
          <w:p>
            <w:pPr>
              <w:spacing w:after="0"/>
              <w:rPr>
                <w:sz w:val="4"/>
                <w:szCs w:val="4"/>
                <w:color w:val="auto"/>
              </w:rPr>
            </w:pPr>
          </w:p>
        </w:tc>
        <w:tc>
          <w:tcPr>
            <w:tcW w:w="640" w:type="dxa"/>
            <w:vAlign w:val="bottom"/>
            <w:tcBorders>
              <w:right w:val="single" w:sz="8" w:color="auto"/>
            </w:tcBorders>
            <w:vMerge w:val="restart"/>
            <w:shd w:val="clear" w:color="auto" w:fill="00A5B5"/>
          </w:tcPr>
          <w:p>
            <w:pPr>
              <w:ind w:left="160"/>
              <w:spacing w:after="0" w:line="120" w:lineRule="exact"/>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66"/>
        </w:trPr>
        <w:tc>
          <w:tcPr>
            <w:tcW w:w="940" w:type="dxa"/>
            <w:vAlign w:val="bottom"/>
            <w:tcBorders>
              <w:left w:val="single" w:sz="8" w:color="auto"/>
            </w:tcBorders>
            <w:vMerge w:val="continue"/>
            <w:shd w:val="clear" w:color="auto" w:fill="00A5B5"/>
          </w:tcPr>
          <w:p>
            <w:pPr>
              <w:spacing w:after="0"/>
              <w:rPr>
                <w:sz w:val="5"/>
                <w:szCs w:val="5"/>
                <w:color w:val="auto"/>
              </w:rPr>
            </w:pPr>
          </w:p>
        </w:tc>
        <w:tc>
          <w:tcPr>
            <w:tcW w:w="940" w:type="dxa"/>
            <w:vAlign w:val="bottom"/>
            <w:vMerge w:val="continue"/>
            <w:shd w:val="clear" w:color="auto" w:fill="00A5B5"/>
          </w:tcPr>
          <w:p>
            <w:pPr>
              <w:spacing w:after="0"/>
              <w:rPr>
                <w:sz w:val="5"/>
                <w:szCs w:val="5"/>
                <w:color w:val="auto"/>
              </w:rPr>
            </w:pPr>
          </w:p>
        </w:tc>
        <w:tc>
          <w:tcPr>
            <w:tcW w:w="780" w:type="dxa"/>
            <w:vAlign w:val="bottom"/>
            <w:vMerge w:val="restart"/>
            <w:shd w:val="clear" w:color="auto" w:fill="00A5B5"/>
          </w:tcPr>
          <w:p>
            <w:pPr>
              <w:jc w:val="right"/>
              <w:ind w:right="178"/>
              <w:spacing w:after="0"/>
              <w:rPr>
                <w:sz w:val="20"/>
                <w:szCs w:val="20"/>
                <w:color w:val="auto"/>
              </w:rPr>
            </w:pPr>
            <w:r>
              <w:rPr>
                <w:rFonts w:ascii="Arial" w:cs="Arial" w:eastAsia="Arial" w:hAnsi="Arial"/>
                <w:sz w:val="12"/>
                <w:szCs w:val="12"/>
                <w:b w:val="1"/>
                <w:bCs w:val="1"/>
                <w:color w:val="FFFFFF"/>
              </w:rPr>
              <w:t>2026</w:t>
            </w:r>
          </w:p>
        </w:tc>
        <w:tc>
          <w:tcPr>
            <w:tcW w:w="760" w:type="dxa"/>
            <w:vAlign w:val="bottom"/>
            <w:vMerge w:val="restart"/>
            <w:shd w:val="clear" w:color="auto" w:fill="00A5B5"/>
          </w:tcPr>
          <w:p>
            <w:pPr>
              <w:jc w:val="right"/>
              <w:ind w:right="178"/>
              <w:spacing w:after="0"/>
              <w:rPr>
                <w:sz w:val="20"/>
                <w:szCs w:val="20"/>
                <w:color w:val="auto"/>
              </w:rPr>
            </w:pPr>
            <w:r>
              <w:rPr>
                <w:rFonts w:ascii="Arial" w:cs="Arial" w:eastAsia="Arial" w:hAnsi="Arial"/>
                <w:sz w:val="12"/>
                <w:szCs w:val="12"/>
                <w:b w:val="1"/>
                <w:bCs w:val="1"/>
                <w:color w:val="FFFFFF"/>
              </w:rPr>
              <w:t>2026</w:t>
            </w:r>
          </w:p>
        </w:tc>
        <w:tc>
          <w:tcPr>
            <w:tcW w:w="82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2027</w:t>
            </w:r>
          </w:p>
        </w:tc>
        <w:tc>
          <w:tcPr>
            <w:tcW w:w="920" w:type="dxa"/>
            <w:vAlign w:val="bottom"/>
            <w:vMerge w:val="continue"/>
            <w:shd w:val="clear" w:color="auto" w:fill="00A5B5"/>
          </w:tcPr>
          <w:p>
            <w:pPr>
              <w:spacing w:after="0"/>
              <w:rPr>
                <w:sz w:val="5"/>
                <w:szCs w:val="5"/>
                <w:color w:val="auto"/>
              </w:rPr>
            </w:pPr>
          </w:p>
        </w:tc>
        <w:tc>
          <w:tcPr>
            <w:tcW w:w="700" w:type="dxa"/>
            <w:vAlign w:val="bottom"/>
            <w:vMerge w:val="restart"/>
            <w:shd w:val="clear" w:color="auto" w:fill="00A5B5"/>
          </w:tcPr>
          <w:p>
            <w:pPr>
              <w:jc w:val="right"/>
              <w:ind w:right="178"/>
              <w:spacing w:after="0"/>
              <w:rPr>
                <w:sz w:val="20"/>
                <w:szCs w:val="20"/>
                <w:color w:val="auto"/>
              </w:rPr>
            </w:pPr>
            <w:r>
              <w:rPr>
                <w:rFonts w:ascii="Arial" w:cs="Arial" w:eastAsia="Arial" w:hAnsi="Arial"/>
                <w:sz w:val="12"/>
                <w:szCs w:val="12"/>
                <w:b w:val="1"/>
                <w:bCs w:val="1"/>
                <w:color w:val="FFFFFF"/>
              </w:rPr>
              <w:t>2027</w:t>
            </w:r>
          </w:p>
        </w:tc>
        <w:tc>
          <w:tcPr>
            <w:tcW w:w="900" w:type="dxa"/>
            <w:vAlign w:val="bottom"/>
            <w:vMerge w:val="restart"/>
            <w:shd w:val="clear" w:color="auto" w:fill="00A5B5"/>
          </w:tcPr>
          <w:p>
            <w:pPr>
              <w:jc w:val="right"/>
              <w:ind w:right="258"/>
              <w:spacing w:after="0"/>
              <w:rPr>
                <w:sz w:val="20"/>
                <w:szCs w:val="20"/>
                <w:color w:val="auto"/>
              </w:rPr>
            </w:pPr>
            <w:r>
              <w:rPr>
                <w:rFonts w:ascii="Arial" w:cs="Arial" w:eastAsia="Arial" w:hAnsi="Arial"/>
                <w:sz w:val="12"/>
                <w:szCs w:val="12"/>
                <w:b w:val="1"/>
                <w:bCs w:val="1"/>
                <w:color w:val="FFFFFF"/>
              </w:rPr>
              <w:t>2028</w:t>
            </w:r>
          </w:p>
        </w:tc>
        <w:tc>
          <w:tcPr>
            <w:tcW w:w="880" w:type="dxa"/>
            <w:vAlign w:val="bottom"/>
            <w:vMerge w:val="restart"/>
            <w:shd w:val="clear" w:color="auto" w:fill="00A5B5"/>
          </w:tcPr>
          <w:p>
            <w:pPr>
              <w:jc w:val="right"/>
              <w:ind w:right="238"/>
              <w:spacing w:after="0"/>
              <w:rPr>
                <w:sz w:val="20"/>
                <w:szCs w:val="20"/>
                <w:color w:val="auto"/>
              </w:rPr>
            </w:pPr>
            <w:r>
              <w:rPr>
                <w:rFonts w:ascii="Arial" w:cs="Arial" w:eastAsia="Arial" w:hAnsi="Arial"/>
                <w:sz w:val="12"/>
                <w:szCs w:val="12"/>
                <w:b w:val="1"/>
                <w:bCs w:val="1"/>
                <w:color w:val="FFFFFF"/>
              </w:rPr>
              <w:t>2029</w:t>
            </w:r>
          </w:p>
        </w:tc>
        <w:tc>
          <w:tcPr>
            <w:tcW w:w="880" w:type="dxa"/>
            <w:vAlign w:val="bottom"/>
            <w:vMerge w:val="restart"/>
            <w:shd w:val="clear" w:color="auto" w:fill="00A5B5"/>
          </w:tcPr>
          <w:p>
            <w:pPr>
              <w:jc w:val="right"/>
              <w:ind w:right="238"/>
              <w:spacing w:after="0"/>
              <w:rPr>
                <w:sz w:val="20"/>
                <w:szCs w:val="20"/>
                <w:color w:val="auto"/>
              </w:rPr>
            </w:pPr>
            <w:r>
              <w:rPr>
                <w:rFonts w:ascii="Arial" w:cs="Arial" w:eastAsia="Arial" w:hAnsi="Arial"/>
                <w:sz w:val="12"/>
                <w:szCs w:val="12"/>
                <w:b w:val="1"/>
                <w:bCs w:val="1"/>
                <w:color w:val="FFFFFF"/>
              </w:rPr>
              <w:t>2030</w:t>
            </w:r>
          </w:p>
        </w:tc>
        <w:tc>
          <w:tcPr>
            <w:tcW w:w="640" w:type="dxa"/>
            <w:vAlign w:val="bottom"/>
            <w:tcBorders>
              <w:right w:val="single" w:sz="8" w:color="auto"/>
            </w:tcBorders>
            <w:vMerge w:val="continue"/>
            <w:shd w:val="clear" w:color="auto" w:fill="00A5B5"/>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940" w:type="dxa"/>
            <w:vAlign w:val="bottom"/>
            <w:tcBorders>
              <w:left w:val="single" w:sz="8" w:color="auto"/>
            </w:tcBorders>
            <w:shd w:val="clear" w:color="auto" w:fill="00A5B5"/>
          </w:tcPr>
          <w:p>
            <w:pPr>
              <w:spacing w:after="0"/>
              <w:rPr>
                <w:sz w:val="9"/>
                <w:szCs w:val="9"/>
                <w:color w:val="auto"/>
              </w:rPr>
            </w:pPr>
          </w:p>
        </w:tc>
        <w:tc>
          <w:tcPr>
            <w:tcW w:w="94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Price ($)</w:t>
            </w:r>
          </w:p>
        </w:tc>
        <w:tc>
          <w:tcPr>
            <w:tcW w:w="780" w:type="dxa"/>
            <w:vAlign w:val="bottom"/>
            <w:vMerge w:val="continue"/>
            <w:shd w:val="clear" w:color="auto" w:fill="00A5B5"/>
          </w:tcPr>
          <w:p>
            <w:pPr>
              <w:spacing w:after="0"/>
              <w:rPr>
                <w:sz w:val="9"/>
                <w:szCs w:val="9"/>
                <w:color w:val="auto"/>
              </w:rPr>
            </w:pPr>
          </w:p>
        </w:tc>
        <w:tc>
          <w:tcPr>
            <w:tcW w:w="760" w:type="dxa"/>
            <w:vAlign w:val="bottom"/>
            <w:vMerge w:val="continue"/>
            <w:shd w:val="clear" w:color="auto" w:fill="00A5B5"/>
          </w:tcPr>
          <w:p>
            <w:pPr>
              <w:spacing w:after="0"/>
              <w:rPr>
                <w:sz w:val="9"/>
                <w:szCs w:val="9"/>
                <w:color w:val="auto"/>
              </w:rPr>
            </w:pPr>
          </w:p>
        </w:tc>
        <w:tc>
          <w:tcPr>
            <w:tcW w:w="820" w:type="dxa"/>
            <w:vAlign w:val="bottom"/>
            <w:vMerge w:val="continue"/>
            <w:shd w:val="clear" w:color="auto" w:fill="00A5B5"/>
          </w:tcPr>
          <w:p>
            <w:pPr>
              <w:spacing w:after="0"/>
              <w:rPr>
                <w:sz w:val="9"/>
                <w:szCs w:val="9"/>
                <w:color w:val="auto"/>
              </w:rPr>
            </w:pPr>
          </w:p>
        </w:tc>
        <w:tc>
          <w:tcPr>
            <w:tcW w:w="920" w:type="dxa"/>
            <w:vAlign w:val="bottom"/>
            <w:shd w:val="clear" w:color="auto" w:fill="00A5B5"/>
          </w:tcPr>
          <w:p>
            <w:pPr>
              <w:spacing w:after="0"/>
              <w:rPr>
                <w:sz w:val="9"/>
                <w:szCs w:val="9"/>
                <w:color w:val="auto"/>
              </w:rPr>
            </w:pPr>
          </w:p>
        </w:tc>
        <w:tc>
          <w:tcPr>
            <w:tcW w:w="700" w:type="dxa"/>
            <w:vAlign w:val="bottom"/>
            <w:vMerge w:val="continue"/>
            <w:shd w:val="clear" w:color="auto" w:fill="00A5B5"/>
          </w:tcPr>
          <w:p>
            <w:pPr>
              <w:spacing w:after="0"/>
              <w:rPr>
                <w:sz w:val="9"/>
                <w:szCs w:val="9"/>
                <w:color w:val="auto"/>
              </w:rPr>
            </w:pPr>
          </w:p>
        </w:tc>
        <w:tc>
          <w:tcPr>
            <w:tcW w:w="900" w:type="dxa"/>
            <w:vAlign w:val="bottom"/>
            <w:vMerge w:val="continue"/>
            <w:shd w:val="clear" w:color="auto" w:fill="00A5B5"/>
          </w:tcPr>
          <w:p>
            <w:pPr>
              <w:spacing w:after="0"/>
              <w:rPr>
                <w:sz w:val="9"/>
                <w:szCs w:val="9"/>
                <w:color w:val="auto"/>
              </w:rPr>
            </w:pPr>
          </w:p>
        </w:tc>
        <w:tc>
          <w:tcPr>
            <w:tcW w:w="880" w:type="dxa"/>
            <w:vAlign w:val="bottom"/>
            <w:vMerge w:val="continue"/>
            <w:shd w:val="clear" w:color="auto" w:fill="00A5B5"/>
          </w:tcPr>
          <w:p>
            <w:pPr>
              <w:spacing w:after="0"/>
              <w:rPr>
                <w:sz w:val="9"/>
                <w:szCs w:val="9"/>
                <w:color w:val="auto"/>
              </w:rPr>
            </w:pPr>
          </w:p>
        </w:tc>
        <w:tc>
          <w:tcPr>
            <w:tcW w:w="880" w:type="dxa"/>
            <w:vAlign w:val="bottom"/>
            <w:vMerge w:val="continue"/>
            <w:shd w:val="clear" w:color="auto" w:fill="00A5B5"/>
          </w:tcPr>
          <w:p>
            <w:pPr>
              <w:spacing w:after="0"/>
              <w:rPr>
                <w:sz w:val="9"/>
                <w:szCs w:val="9"/>
                <w:color w:val="auto"/>
              </w:rPr>
            </w:pPr>
          </w:p>
        </w:tc>
        <w:tc>
          <w:tcPr>
            <w:tcW w:w="640" w:type="dxa"/>
            <w:vAlign w:val="bottom"/>
            <w:tcBorders>
              <w:right w:val="single" w:sz="8" w:color="auto"/>
            </w:tcBorders>
            <w:shd w:val="clear" w:color="auto" w:fill="00A5B5"/>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tcBorders>
              <w:left w:val="single" w:sz="8" w:color="auto"/>
              <w:bottom w:val="single" w:sz="8" w:color="auto"/>
            </w:tcBorders>
            <w:shd w:val="clear" w:color="auto" w:fill="00A5B5"/>
          </w:tcPr>
          <w:p>
            <w:pPr>
              <w:spacing w:after="0"/>
              <w:rPr>
                <w:sz w:val="6"/>
                <w:szCs w:val="6"/>
                <w:color w:val="auto"/>
              </w:rPr>
            </w:pPr>
          </w:p>
        </w:tc>
        <w:tc>
          <w:tcPr>
            <w:tcW w:w="940" w:type="dxa"/>
            <w:vAlign w:val="bottom"/>
            <w:tcBorders>
              <w:bottom w:val="single" w:sz="8" w:color="auto"/>
            </w:tcBorders>
            <w:vMerge w:val="continue"/>
            <w:shd w:val="clear" w:color="auto" w:fill="00A5B5"/>
          </w:tcPr>
          <w:p>
            <w:pPr>
              <w:spacing w:after="0"/>
              <w:rPr>
                <w:sz w:val="6"/>
                <w:szCs w:val="6"/>
                <w:color w:val="auto"/>
              </w:rPr>
            </w:pPr>
          </w:p>
        </w:tc>
        <w:tc>
          <w:tcPr>
            <w:tcW w:w="780" w:type="dxa"/>
            <w:vAlign w:val="bottom"/>
            <w:tcBorders>
              <w:bottom w:val="single" w:sz="8" w:color="auto"/>
            </w:tcBorders>
            <w:shd w:val="clear" w:color="auto" w:fill="00A5B5"/>
          </w:tcPr>
          <w:p>
            <w:pPr>
              <w:spacing w:after="0"/>
              <w:rPr>
                <w:sz w:val="6"/>
                <w:szCs w:val="6"/>
                <w:color w:val="auto"/>
              </w:rPr>
            </w:pPr>
          </w:p>
        </w:tc>
        <w:tc>
          <w:tcPr>
            <w:tcW w:w="760" w:type="dxa"/>
            <w:vAlign w:val="bottom"/>
            <w:tcBorders>
              <w:bottom w:val="single" w:sz="8" w:color="auto"/>
            </w:tcBorders>
            <w:shd w:val="clear" w:color="auto" w:fill="00A5B5"/>
          </w:tcPr>
          <w:p>
            <w:pPr>
              <w:spacing w:after="0"/>
              <w:rPr>
                <w:sz w:val="6"/>
                <w:szCs w:val="6"/>
                <w:color w:val="auto"/>
              </w:rPr>
            </w:pPr>
          </w:p>
        </w:tc>
        <w:tc>
          <w:tcPr>
            <w:tcW w:w="820" w:type="dxa"/>
            <w:vAlign w:val="bottom"/>
            <w:tcBorders>
              <w:bottom w:val="single" w:sz="8" w:color="auto"/>
            </w:tcBorders>
            <w:shd w:val="clear" w:color="auto" w:fill="00A5B5"/>
          </w:tcPr>
          <w:p>
            <w:pPr>
              <w:spacing w:after="0"/>
              <w:rPr>
                <w:sz w:val="6"/>
                <w:szCs w:val="6"/>
                <w:color w:val="auto"/>
              </w:rPr>
            </w:pPr>
          </w:p>
        </w:tc>
        <w:tc>
          <w:tcPr>
            <w:tcW w:w="920" w:type="dxa"/>
            <w:vAlign w:val="bottom"/>
            <w:tcBorders>
              <w:bottom w:val="single" w:sz="8" w:color="auto"/>
            </w:tcBorders>
            <w:shd w:val="clear" w:color="auto" w:fill="00A5B5"/>
          </w:tcPr>
          <w:p>
            <w:pPr>
              <w:spacing w:after="0"/>
              <w:rPr>
                <w:sz w:val="6"/>
                <w:szCs w:val="6"/>
                <w:color w:val="auto"/>
              </w:rPr>
            </w:pPr>
          </w:p>
        </w:tc>
        <w:tc>
          <w:tcPr>
            <w:tcW w:w="700" w:type="dxa"/>
            <w:vAlign w:val="bottom"/>
            <w:tcBorders>
              <w:bottom w:val="single" w:sz="8" w:color="auto"/>
            </w:tcBorders>
            <w:shd w:val="clear" w:color="auto" w:fill="00A5B5"/>
          </w:tcPr>
          <w:p>
            <w:pPr>
              <w:spacing w:after="0"/>
              <w:rPr>
                <w:sz w:val="6"/>
                <w:szCs w:val="6"/>
                <w:color w:val="auto"/>
              </w:rPr>
            </w:pPr>
          </w:p>
        </w:tc>
        <w:tc>
          <w:tcPr>
            <w:tcW w:w="900" w:type="dxa"/>
            <w:vAlign w:val="bottom"/>
            <w:tcBorders>
              <w:bottom w:val="single" w:sz="8" w:color="auto"/>
            </w:tcBorders>
            <w:shd w:val="clear" w:color="auto" w:fill="00A5B5"/>
          </w:tcPr>
          <w:p>
            <w:pPr>
              <w:spacing w:after="0"/>
              <w:rPr>
                <w:sz w:val="6"/>
                <w:szCs w:val="6"/>
                <w:color w:val="auto"/>
              </w:rPr>
            </w:pPr>
          </w:p>
        </w:tc>
        <w:tc>
          <w:tcPr>
            <w:tcW w:w="880" w:type="dxa"/>
            <w:vAlign w:val="bottom"/>
            <w:tcBorders>
              <w:bottom w:val="single" w:sz="8" w:color="auto"/>
            </w:tcBorders>
            <w:shd w:val="clear" w:color="auto" w:fill="00A5B5"/>
          </w:tcPr>
          <w:p>
            <w:pPr>
              <w:spacing w:after="0"/>
              <w:rPr>
                <w:sz w:val="6"/>
                <w:szCs w:val="6"/>
                <w:color w:val="auto"/>
              </w:rPr>
            </w:pPr>
          </w:p>
        </w:tc>
        <w:tc>
          <w:tcPr>
            <w:tcW w:w="880" w:type="dxa"/>
            <w:vAlign w:val="bottom"/>
            <w:tcBorders>
              <w:bottom w:val="single" w:sz="8" w:color="auto"/>
            </w:tcBorders>
            <w:shd w:val="clear" w:color="auto" w:fill="00A5B5"/>
          </w:tcPr>
          <w:p>
            <w:pPr>
              <w:spacing w:after="0"/>
              <w:rPr>
                <w:sz w:val="6"/>
                <w:szCs w:val="6"/>
                <w:color w:val="auto"/>
              </w:rPr>
            </w:pPr>
          </w:p>
        </w:tc>
        <w:tc>
          <w:tcPr>
            <w:tcW w:w="640" w:type="dxa"/>
            <w:vAlign w:val="bottom"/>
            <w:tcBorders>
              <w:bottom w:val="single" w:sz="8" w:color="auto"/>
              <w:right w:val="single" w:sz="8" w:color="auto"/>
            </w:tcBorders>
            <w:shd w:val="clear" w:color="auto" w:fill="00A5B5"/>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tcBorders>
            <w:shd w:val="clear" w:color="auto" w:fill="CCEEF0"/>
          </w:tcPr>
          <w:p>
            <w:pPr>
              <w:ind w:left="20"/>
              <w:spacing w:after="0" w:line="120" w:lineRule="exact"/>
              <w:rPr>
                <w:sz w:val="20"/>
                <w:szCs w:val="20"/>
                <w:color w:val="auto"/>
              </w:rPr>
            </w:pPr>
            <w:r>
              <w:rPr>
                <w:rFonts w:ascii="Arial" w:cs="Arial" w:eastAsia="Arial" w:hAnsi="Arial"/>
                <w:sz w:val="12"/>
                <w:szCs w:val="12"/>
                <w:b w:val="1"/>
                <w:bCs w:val="1"/>
                <w:color w:val="auto"/>
              </w:rPr>
              <w:t>Richard C.</w:t>
            </w:r>
          </w:p>
        </w:tc>
        <w:tc>
          <w:tcPr>
            <w:tcW w:w="94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86.86</w:t>
            </w:r>
          </w:p>
        </w:tc>
        <w:tc>
          <w:tcPr>
            <w:tcW w:w="780" w:type="dxa"/>
            <w:vAlign w:val="bottom"/>
            <w:vMerge w:val="restart"/>
            <w:shd w:val="clear" w:color="auto" w:fill="CCEEF0"/>
          </w:tcPr>
          <w:p>
            <w:pPr>
              <w:jc w:val="right"/>
              <w:ind w:right="178"/>
              <w:spacing w:after="0"/>
              <w:rPr>
                <w:sz w:val="20"/>
                <w:szCs w:val="20"/>
                <w:color w:val="auto"/>
              </w:rPr>
            </w:pPr>
            <w:r>
              <w:rPr>
                <w:rFonts w:ascii="Arial" w:cs="Arial" w:eastAsia="Arial" w:hAnsi="Arial"/>
                <w:sz w:val="12"/>
                <w:szCs w:val="12"/>
                <w:color w:val="auto"/>
              </w:rPr>
              <w:t>2,895</w:t>
            </w:r>
          </w:p>
        </w:tc>
        <w:tc>
          <w:tcPr>
            <w:tcW w:w="760" w:type="dxa"/>
            <w:vAlign w:val="bottom"/>
            <w:shd w:val="clear" w:color="auto" w:fill="CCEEF0"/>
          </w:tcPr>
          <w:p>
            <w:pPr>
              <w:spacing w:after="0"/>
              <w:rPr>
                <w:sz w:val="10"/>
                <w:szCs w:val="10"/>
                <w:color w:val="auto"/>
              </w:rPr>
            </w:pPr>
          </w:p>
        </w:tc>
        <w:tc>
          <w:tcPr>
            <w:tcW w:w="820" w:type="dxa"/>
            <w:vAlign w:val="bottom"/>
            <w:shd w:val="clear" w:color="auto" w:fill="CCEEF0"/>
          </w:tcPr>
          <w:p>
            <w:pPr>
              <w:spacing w:after="0"/>
              <w:rPr>
                <w:sz w:val="10"/>
                <w:szCs w:val="10"/>
                <w:color w:val="auto"/>
              </w:rPr>
            </w:pPr>
          </w:p>
        </w:tc>
        <w:tc>
          <w:tcPr>
            <w:tcW w:w="920" w:type="dxa"/>
            <w:vAlign w:val="bottom"/>
            <w:vMerge w:val="restart"/>
            <w:shd w:val="clear" w:color="auto" w:fill="CCEEF0"/>
          </w:tcPr>
          <w:p>
            <w:pPr>
              <w:jc w:val="right"/>
              <w:ind w:right="238"/>
              <w:spacing w:after="0"/>
              <w:rPr>
                <w:sz w:val="20"/>
                <w:szCs w:val="20"/>
                <w:color w:val="auto"/>
              </w:rPr>
            </w:pPr>
            <w:r>
              <w:rPr>
                <w:rFonts w:ascii="Arial" w:cs="Arial" w:eastAsia="Arial" w:hAnsi="Arial"/>
                <w:sz w:val="12"/>
                <w:szCs w:val="12"/>
                <w:color w:val="auto"/>
              </w:rPr>
              <w:t>2,898</w:t>
            </w:r>
          </w:p>
        </w:tc>
        <w:tc>
          <w:tcPr>
            <w:tcW w:w="700" w:type="dxa"/>
            <w:vAlign w:val="bottom"/>
            <w:shd w:val="clear" w:color="auto" w:fill="CCEEF0"/>
          </w:tcPr>
          <w:p>
            <w:pPr>
              <w:spacing w:after="0"/>
              <w:rPr>
                <w:sz w:val="10"/>
                <w:szCs w:val="10"/>
                <w:color w:val="auto"/>
              </w:rPr>
            </w:pPr>
          </w:p>
        </w:tc>
        <w:tc>
          <w:tcPr>
            <w:tcW w:w="900" w:type="dxa"/>
            <w:vAlign w:val="bottom"/>
            <w:shd w:val="clear" w:color="auto" w:fill="CCEEF0"/>
          </w:tcPr>
          <w:p>
            <w:pPr>
              <w:spacing w:after="0"/>
              <w:rPr>
                <w:sz w:val="10"/>
                <w:szCs w:val="10"/>
                <w:color w:val="auto"/>
              </w:rPr>
            </w:pPr>
          </w:p>
        </w:tc>
        <w:tc>
          <w:tcPr>
            <w:tcW w:w="880" w:type="dxa"/>
            <w:vAlign w:val="bottom"/>
            <w:shd w:val="clear" w:color="auto" w:fill="CCEEF0"/>
          </w:tcPr>
          <w:p>
            <w:pPr>
              <w:spacing w:after="0"/>
              <w:rPr>
                <w:sz w:val="10"/>
                <w:szCs w:val="10"/>
                <w:color w:val="auto"/>
              </w:rPr>
            </w:pPr>
          </w:p>
        </w:tc>
        <w:tc>
          <w:tcPr>
            <w:tcW w:w="880" w:type="dxa"/>
            <w:vAlign w:val="bottom"/>
            <w:shd w:val="clear" w:color="auto" w:fill="CCEEF0"/>
          </w:tcPr>
          <w:p>
            <w:pPr>
              <w:spacing w:after="0"/>
              <w:rPr>
                <w:sz w:val="10"/>
                <w:szCs w:val="10"/>
                <w:color w:val="auto"/>
              </w:rPr>
            </w:pPr>
          </w:p>
        </w:tc>
        <w:tc>
          <w:tcPr>
            <w:tcW w:w="640" w:type="dxa"/>
            <w:vAlign w:val="bottom"/>
            <w:tcBorders>
              <w:right w:val="single" w:sz="8" w:color="auto"/>
            </w:tcBorders>
            <w:vMerge w:val="restart"/>
            <w:shd w:val="clear" w:color="auto" w:fill="CCEEF0"/>
          </w:tcPr>
          <w:p>
            <w:pPr>
              <w:ind w:left="160"/>
              <w:spacing w:after="0"/>
              <w:rPr>
                <w:sz w:val="20"/>
                <w:szCs w:val="20"/>
                <w:color w:val="auto"/>
              </w:rPr>
            </w:pPr>
            <w:r>
              <w:rPr>
                <w:rFonts w:ascii="Arial" w:cs="Arial" w:eastAsia="Arial" w:hAnsi="Arial"/>
                <w:sz w:val="12"/>
                <w:szCs w:val="12"/>
                <w:b w:val="1"/>
                <w:bCs w:val="1"/>
                <w:color w:val="auto"/>
              </w:rPr>
              <w:t>5,793</w:t>
            </w:r>
          </w:p>
        </w:tc>
        <w:tc>
          <w:tcPr>
            <w:tcW w:w="0" w:type="dxa"/>
            <w:vAlign w:val="bottom"/>
          </w:tcPr>
          <w:p>
            <w:pPr>
              <w:spacing w:after="0"/>
              <w:rPr>
                <w:sz w:val="1"/>
                <w:szCs w:val="1"/>
                <w:color w:val="auto"/>
              </w:rPr>
            </w:pPr>
          </w:p>
        </w:tc>
      </w:tr>
      <w:tr>
        <w:trPr>
          <w:trHeight w:val="112"/>
        </w:trPr>
        <w:tc>
          <w:tcPr>
            <w:tcW w:w="940" w:type="dxa"/>
            <w:vAlign w:val="bottom"/>
            <w:tcBorders>
              <w:left w:val="single" w:sz="8" w:color="auto"/>
            </w:tcBorders>
            <w:vMerge w:val="restart"/>
            <w:shd w:val="clear" w:color="auto" w:fill="CCEEF0"/>
          </w:tcPr>
          <w:p>
            <w:pPr>
              <w:ind w:left="20"/>
              <w:spacing w:after="0"/>
              <w:rPr>
                <w:sz w:val="20"/>
                <w:szCs w:val="20"/>
                <w:color w:val="auto"/>
              </w:rPr>
            </w:pPr>
            <w:r>
              <w:rPr>
                <w:rFonts w:ascii="Arial" w:cs="Arial" w:eastAsia="Arial" w:hAnsi="Arial"/>
                <w:sz w:val="12"/>
                <w:szCs w:val="12"/>
                <w:b w:val="1"/>
                <w:bCs w:val="1"/>
                <w:color w:val="auto"/>
              </w:rPr>
              <w:t>Crowe</w:t>
            </w:r>
          </w:p>
        </w:tc>
        <w:tc>
          <w:tcPr>
            <w:tcW w:w="940" w:type="dxa"/>
            <w:vAlign w:val="bottom"/>
            <w:vMerge w:val="continue"/>
            <w:shd w:val="clear" w:color="auto" w:fill="CCEEF0"/>
          </w:tcPr>
          <w:p>
            <w:pPr>
              <w:spacing w:after="0"/>
              <w:rPr>
                <w:sz w:val="9"/>
                <w:szCs w:val="9"/>
                <w:color w:val="auto"/>
              </w:rPr>
            </w:pPr>
          </w:p>
        </w:tc>
        <w:tc>
          <w:tcPr>
            <w:tcW w:w="780" w:type="dxa"/>
            <w:vAlign w:val="bottom"/>
            <w:vMerge w:val="continue"/>
            <w:shd w:val="clear" w:color="auto" w:fill="CCEEF0"/>
          </w:tcPr>
          <w:p>
            <w:pPr>
              <w:spacing w:after="0"/>
              <w:rPr>
                <w:sz w:val="9"/>
                <w:szCs w:val="9"/>
                <w:color w:val="auto"/>
              </w:rPr>
            </w:pPr>
          </w:p>
        </w:tc>
        <w:tc>
          <w:tcPr>
            <w:tcW w:w="760" w:type="dxa"/>
            <w:vAlign w:val="bottom"/>
            <w:shd w:val="clear" w:color="auto" w:fill="CCEEF0"/>
          </w:tcPr>
          <w:p>
            <w:pPr>
              <w:spacing w:after="0"/>
              <w:rPr>
                <w:sz w:val="9"/>
                <w:szCs w:val="9"/>
                <w:color w:val="auto"/>
              </w:rPr>
            </w:pPr>
          </w:p>
        </w:tc>
        <w:tc>
          <w:tcPr>
            <w:tcW w:w="820" w:type="dxa"/>
            <w:vAlign w:val="bottom"/>
            <w:shd w:val="clear" w:color="auto" w:fill="CCEEF0"/>
          </w:tcPr>
          <w:p>
            <w:pPr>
              <w:spacing w:after="0"/>
              <w:rPr>
                <w:sz w:val="9"/>
                <w:szCs w:val="9"/>
                <w:color w:val="auto"/>
              </w:rPr>
            </w:pPr>
          </w:p>
        </w:tc>
        <w:tc>
          <w:tcPr>
            <w:tcW w:w="920" w:type="dxa"/>
            <w:vAlign w:val="bottom"/>
            <w:vMerge w:val="continue"/>
            <w:shd w:val="clear" w:color="auto" w:fill="CCEEF0"/>
          </w:tcPr>
          <w:p>
            <w:pPr>
              <w:spacing w:after="0"/>
              <w:rPr>
                <w:sz w:val="9"/>
                <w:szCs w:val="9"/>
                <w:color w:val="auto"/>
              </w:rPr>
            </w:pPr>
          </w:p>
        </w:tc>
        <w:tc>
          <w:tcPr>
            <w:tcW w:w="700" w:type="dxa"/>
            <w:vAlign w:val="bottom"/>
            <w:shd w:val="clear" w:color="auto" w:fill="CCEEF0"/>
          </w:tcPr>
          <w:p>
            <w:pPr>
              <w:spacing w:after="0"/>
              <w:rPr>
                <w:sz w:val="9"/>
                <w:szCs w:val="9"/>
                <w:color w:val="auto"/>
              </w:rPr>
            </w:pPr>
          </w:p>
        </w:tc>
        <w:tc>
          <w:tcPr>
            <w:tcW w:w="900" w:type="dxa"/>
            <w:vAlign w:val="bottom"/>
            <w:shd w:val="clear" w:color="auto" w:fill="CCEEF0"/>
          </w:tcPr>
          <w:p>
            <w:pPr>
              <w:spacing w:after="0"/>
              <w:rPr>
                <w:sz w:val="9"/>
                <w:szCs w:val="9"/>
                <w:color w:val="auto"/>
              </w:rPr>
            </w:pPr>
          </w:p>
        </w:tc>
        <w:tc>
          <w:tcPr>
            <w:tcW w:w="880" w:type="dxa"/>
            <w:vAlign w:val="bottom"/>
            <w:shd w:val="clear" w:color="auto" w:fill="CCEEF0"/>
          </w:tcPr>
          <w:p>
            <w:pPr>
              <w:spacing w:after="0"/>
              <w:rPr>
                <w:sz w:val="9"/>
                <w:szCs w:val="9"/>
                <w:color w:val="auto"/>
              </w:rPr>
            </w:pPr>
          </w:p>
        </w:tc>
        <w:tc>
          <w:tcPr>
            <w:tcW w:w="880" w:type="dxa"/>
            <w:vAlign w:val="bottom"/>
            <w:shd w:val="clear" w:color="auto" w:fill="CCEEF0"/>
          </w:tcPr>
          <w:p>
            <w:pPr>
              <w:spacing w:after="0"/>
              <w:rPr>
                <w:sz w:val="9"/>
                <w:szCs w:val="9"/>
                <w:color w:val="auto"/>
              </w:rPr>
            </w:pPr>
          </w:p>
        </w:tc>
        <w:tc>
          <w:tcPr>
            <w:tcW w:w="640" w:type="dxa"/>
            <w:vAlign w:val="bottom"/>
            <w:tcBorders>
              <w:right w:val="single" w:sz="8" w:color="auto"/>
            </w:tcBorders>
            <w:vMerge w:val="continue"/>
            <w:shd w:val="clear" w:color="auto" w:fill="CCEEF0"/>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940" w:type="dxa"/>
            <w:vAlign w:val="bottom"/>
            <w:tcBorders>
              <w:left w:val="single" w:sz="8" w:color="auto"/>
            </w:tcBorders>
            <w:vMerge w:val="continue"/>
            <w:shd w:val="clear" w:color="auto" w:fill="CCEEF0"/>
          </w:tcPr>
          <w:p>
            <w:pPr>
              <w:spacing w:after="0"/>
              <w:rPr>
                <w:sz w:val="6"/>
                <w:szCs w:val="6"/>
                <w:color w:val="auto"/>
              </w:rPr>
            </w:pPr>
          </w:p>
        </w:tc>
        <w:tc>
          <w:tcPr>
            <w:tcW w:w="940" w:type="dxa"/>
            <w:vAlign w:val="bottom"/>
            <w:shd w:val="clear" w:color="auto" w:fill="CCEEF0"/>
          </w:tcPr>
          <w:p>
            <w:pPr>
              <w:spacing w:after="0"/>
              <w:rPr>
                <w:sz w:val="6"/>
                <w:szCs w:val="6"/>
                <w:color w:val="auto"/>
              </w:rPr>
            </w:pPr>
          </w:p>
        </w:tc>
        <w:tc>
          <w:tcPr>
            <w:tcW w:w="780" w:type="dxa"/>
            <w:vAlign w:val="bottom"/>
            <w:shd w:val="clear" w:color="auto" w:fill="CCEEF0"/>
          </w:tcPr>
          <w:p>
            <w:pPr>
              <w:spacing w:after="0"/>
              <w:rPr>
                <w:sz w:val="6"/>
                <w:szCs w:val="6"/>
                <w:color w:val="auto"/>
              </w:rPr>
            </w:pPr>
          </w:p>
        </w:tc>
        <w:tc>
          <w:tcPr>
            <w:tcW w:w="760" w:type="dxa"/>
            <w:vAlign w:val="bottom"/>
            <w:shd w:val="clear" w:color="auto" w:fill="CCEEF0"/>
          </w:tcPr>
          <w:p>
            <w:pPr>
              <w:spacing w:after="0"/>
              <w:rPr>
                <w:sz w:val="6"/>
                <w:szCs w:val="6"/>
                <w:color w:val="auto"/>
              </w:rPr>
            </w:pPr>
          </w:p>
        </w:tc>
        <w:tc>
          <w:tcPr>
            <w:tcW w:w="820" w:type="dxa"/>
            <w:vAlign w:val="bottom"/>
            <w:shd w:val="clear" w:color="auto" w:fill="CCEEF0"/>
          </w:tcPr>
          <w:p>
            <w:pPr>
              <w:spacing w:after="0"/>
              <w:rPr>
                <w:sz w:val="6"/>
                <w:szCs w:val="6"/>
                <w:color w:val="auto"/>
              </w:rPr>
            </w:pPr>
          </w:p>
        </w:tc>
        <w:tc>
          <w:tcPr>
            <w:tcW w:w="920" w:type="dxa"/>
            <w:vAlign w:val="bottom"/>
            <w:shd w:val="clear" w:color="auto" w:fill="CCEEF0"/>
          </w:tcPr>
          <w:p>
            <w:pPr>
              <w:spacing w:after="0"/>
              <w:rPr>
                <w:sz w:val="6"/>
                <w:szCs w:val="6"/>
                <w:color w:val="auto"/>
              </w:rPr>
            </w:pPr>
          </w:p>
        </w:tc>
        <w:tc>
          <w:tcPr>
            <w:tcW w:w="700" w:type="dxa"/>
            <w:vAlign w:val="bottom"/>
            <w:shd w:val="clear" w:color="auto" w:fill="CCEEF0"/>
          </w:tcPr>
          <w:p>
            <w:pPr>
              <w:spacing w:after="0"/>
              <w:rPr>
                <w:sz w:val="6"/>
                <w:szCs w:val="6"/>
                <w:color w:val="auto"/>
              </w:rPr>
            </w:pPr>
          </w:p>
        </w:tc>
        <w:tc>
          <w:tcPr>
            <w:tcW w:w="900" w:type="dxa"/>
            <w:vAlign w:val="bottom"/>
            <w:shd w:val="clear" w:color="auto" w:fill="CCEEF0"/>
          </w:tcPr>
          <w:p>
            <w:pPr>
              <w:spacing w:after="0"/>
              <w:rPr>
                <w:sz w:val="6"/>
                <w:szCs w:val="6"/>
                <w:color w:val="auto"/>
              </w:rPr>
            </w:pPr>
          </w:p>
        </w:tc>
        <w:tc>
          <w:tcPr>
            <w:tcW w:w="880" w:type="dxa"/>
            <w:vAlign w:val="bottom"/>
            <w:shd w:val="clear" w:color="auto" w:fill="CCEEF0"/>
          </w:tcPr>
          <w:p>
            <w:pPr>
              <w:spacing w:after="0"/>
              <w:rPr>
                <w:sz w:val="6"/>
                <w:szCs w:val="6"/>
                <w:color w:val="auto"/>
              </w:rPr>
            </w:pPr>
          </w:p>
        </w:tc>
        <w:tc>
          <w:tcPr>
            <w:tcW w:w="880" w:type="dxa"/>
            <w:vAlign w:val="bottom"/>
            <w:shd w:val="clear" w:color="auto" w:fill="CCEEF0"/>
          </w:tcPr>
          <w:p>
            <w:pPr>
              <w:spacing w:after="0"/>
              <w:rPr>
                <w:sz w:val="6"/>
                <w:szCs w:val="6"/>
                <w:color w:val="auto"/>
              </w:rPr>
            </w:pPr>
          </w:p>
        </w:tc>
        <w:tc>
          <w:tcPr>
            <w:tcW w:w="640" w:type="dxa"/>
            <w:vAlign w:val="bottom"/>
            <w:tcBorders>
              <w:right w:val="single" w:sz="8" w:color="auto"/>
            </w:tcBorders>
            <w:shd w:val="clear" w:color="auto" w:fill="CCEEF0"/>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b w:val="1"/>
                <w:bCs w:val="1"/>
                <w:color w:val="auto"/>
              </w:rPr>
              <w:t>Andrea D.</w:t>
            </w:r>
          </w:p>
        </w:tc>
        <w:tc>
          <w:tcPr>
            <w:tcW w:w="940" w:type="dxa"/>
            <w:vAlign w:val="bottom"/>
            <w:vMerge w:val="restart"/>
          </w:tcPr>
          <w:p>
            <w:pPr>
              <w:jc w:val="center"/>
              <w:spacing w:after="0"/>
              <w:rPr>
                <w:sz w:val="20"/>
                <w:szCs w:val="20"/>
                <w:color w:val="auto"/>
              </w:rPr>
            </w:pPr>
            <w:r>
              <w:rPr>
                <w:rFonts w:ascii="Arial" w:cs="Arial" w:eastAsia="Arial" w:hAnsi="Arial"/>
                <w:sz w:val="12"/>
                <w:szCs w:val="12"/>
                <w:color w:val="auto"/>
              </w:rPr>
              <w:t>109.81</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1,871</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vMerge w:val="restart"/>
          </w:tcPr>
          <w:p>
            <w:pPr>
              <w:jc w:val="right"/>
              <w:ind w:right="238"/>
              <w:spacing w:after="0"/>
              <w:rPr>
                <w:sz w:val="20"/>
                <w:szCs w:val="20"/>
                <w:color w:val="auto"/>
              </w:rPr>
            </w:pPr>
            <w:r>
              <w:rPr>
                <w:rFonts w:ascii="Arial" w:cs="Arial" w:eastAsia="Arial" w:hAnsi="Arial"/>
                <w:sz w:val="12"/>
                <w:szCs w:val="12"/>
                <w:color w:val="auto"/>
              </w:rPr>
              <w:t>1,870</w:t>
            </w:r>
          </w:p>
        </w:tc>
        <w:tc>
          <w:tcPr>
            <w:tcW w:w="880" w:type="dxa"/>
            <w:vAlign w:val="bottom"/>
            <w:vMerge w:val="restart"/>
          </w:tcPr>
          <w:p>
            <w:pPr>
              <w:jc w:val="right"/>
              <w:ind w:right="218"/>
              <w:spacing w:after="0"/>
              <w:rPr>
                <w:sz w:val="20"/>
                <w:szCs w:val="20"/>
                <w:color w:val="auto"/>
              </w:rPr>
            </w:pPr>
            <w:r>
              <w:rPr>
                <w:rFonts w:ascii="Arial" w:cs="Arial" w:eastAsia="Arial" w:hAnsi="Arial"/>
                <w:sz w:val="12"/>
                <w:szCs w:val="12"/>
                <w:color w:val="auto"/>
              </w:rPr>
              <w:t>1,871</w:t>
            </w:r>
          </w:p>
        </w:tc>
        <w:tc>
          <w:tcPr>
            <w:tcW w:w="880" w:type="dxa"/>
            <w:vAlign w:val="bottom"/>
            <w:vMerge w:val="restart"/>
          </w:tcPr>
          <w:p>
            <w:pPr>
              <w:jc w:val="right"/>
              <w:ind w:right="218"/>
              <w:spacing w:after="0"/>
              <w:rPr>
                <w:sz w:val="20"/>
                <w:szCs w:val="20"/>
                <w:color w:val="auto"/>
              </w:rPr>
            </w:pPr>
            <w:r>
              <w:rPr>
                <w:rFonts w:ascii="Arial" w:cs="Arial" w:eastAsia="Arial" w:hAnsi="Arial"/>
                <w:sz w:val="12"/>
                <w:szCs w:val="12"/>
                <w:color w:val="auto"/>
              </w:rPr>
              <w:t>1,871</w:t>
            </w:r>
          </w:p>
        </w:tc>
        <w:tc>
          <w:tcPr>
            <w:tcW w:w="6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2"/>
                <w:szCs w:val="12"/>
                <w:b w:val="1"/>
                <w:bCs w:val="1"/>
                <w:color w:val="auto"/>
              </w:rPr>
              <w:t>7,483</w:t>
            </w:r>
          </w:p>
        </w:tc>
        <w:tc>
          <w:tcPr>
            <w:tcW w:w="0" w:type="dxa"/>
            <w:vAlign w:val="bottom"/>
          </w:tcPr>
          <w:p>
            <w:pPr>
              <w:spacing w:after="0"/>
              <w:rPr>
                <w:sz w:val="1"/>
                <w:szCs w:val="1"/>
                <w:color w:val="auto"/>
              </w:rPr>
            </w:pPr>
          </w:p>
        </w:tc>
      </w:tr>
      <w:tr>
        <w:trPr>
          <w:trHeight w:val="112"/>
        </w:trPr>
        <w:tc>
          <w:tcPr>
            <w:tcW w:w="940" w:type="dxa"/>
            <w:vAlign w:val="bottom"/>
            <w:tcBorders>
              <w:lef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Inserra</w:t>
            </w:r>
          </w:p>
        </w:tc>
        <w:tc>
          <w:tcPr>
            <w:tcW w:w="9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940" w:type="dxa"/>
            <w:vAlign w:val="bottom"/>
            <w:tcBorders>
              <w:lef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4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Thomas J.</w:t>
            </w:r>
          </w:p>
        </w:tc>
        <w:tc>
          <w:tcPr>
            <w:tcW w:w="9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83.38</w:t>
            </w:r>
          </w:p>
        </w:tc>
        <w:tc>
          <w:tcPr>
            <w:tcW w:w="780" w:type="dxa"/>
            <w:vAlign w:val="bottom"/>
            <w:shd w:val="clear" w:color="auto" w:fill="CCEEF0"/>
          </w:tcPr>
          <w:p>
            <w:pPr>
              <w:spacing w:after="0"/>
              <w:rPr>
                <w:sz w:val="12"/>
                <w:szCs w:val="12"/>
                <w:color w:val="auto"/>
              </w:rPr>
            </w:pPr>
          </w:p>
        </w:tc>
        <w:tc>
          <w:tcPr>
            <w:tcW w:w="760" w:type="dxa"/>
            <w:vAlign w:val="bottom"/>
            <w:shd w:val="clear" w:color="auto" w:fill="CCEEF0"/>
          </w:tcPr>
          <w:p>
            <w:pPr>
              <w:spacing w:after="0"/>
              <w:rPr>
                <w:sz w:val="12"/>
                <w:szCs w:val="12"/>
                <w:color w:val="auto"/>
              </w:rPr>
            </w:pPr>
          </w:p>
        </w:tc>
        <w:tc>
          <w:tcPr>
            <w:tcW w:w="82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3,008</w:t>
            </w:r>
          </w:p>
        </w:tc>
        <w:tc>
          <w:tcPr>
            <w:tcW w:w="920" w:type="dxa"/>
            <w:vAlign w:val="bottom"/>
            <w:shd w:val="clear" w:color="auto" w:fill="CCEEF0"/>
          </w:tcPr>
          <w:p>
            <w:pPr>
              <w:spacing w:after="0"/>
              <w:rPr>
                <w:sz w:val="12"/>
                <w:szCs w:val="12"/>
                <w:color w:val="auto"/>
              </w:rPr>
            </w:pPr>
          </w:p>
        </w:tc>
        <w:tc>
          <w:tcPr>
            <w:tcW w:w="700" w:type="dxa"/>
            <w:vAlign w:val="bottom"/>
            <w:shd w:val="clear" w:color="auto" w:fill="CCEEF0"/>
          </w:tcPr>
          <w:p>
            <w:pPr>
              <w:spacing w:after="0"/>
              <w:rPr>
                <w:sz w:val="12"/>
                <w:szCs w:val="12"/>
                <w:color w:val="auto"/>
              </w:rPr>
            </w:pPr>
          </w:p>
        </w:tc>
        <w:tc>
          <w:tcPr>
            <w:tcW w:w="900" w:type="dxa"/>
            <w:vAlign w:val="bottom"/>
            <w:shd w:val="clear" w:color="auto" w:fill="CCEEF0"/>
          </w:tcPr>
          <w:p>
            <w:pPr>
              <w:spacing w:after="0"/>
              <w:rPr>
                <w:sz w:val="12"/>
                <w:szCs w:val="12"/>
                <w:color w:val="auto"/>
              </w:rPr>
            </w:pPr>
          </w:p>
        </w:tc>
        <w:tc>
          <w:tcPr>
            <w:tcW w:w="880" w:type="dxa"/>
            <w:vAlign w:val="bottom"/>
            <w:shd w:val="clear" w:color="auto" w:fill="CCEEF0"/>
          </w:tcPr>
          <w:p>
            <w:pPr>
              <w:spacing w:after="0"/>
              <w:rPr>
                <w:sz w:val="12"/>
                <w:szCs w:val="12"/>
                <w:color w:val="auto"/>
              </w:rPr>
            </w:pPr>
          </w:p>
        </w:tc>
        <w:tc>
          <w:tcPr>
            <w:tcW w:w="880" w:type="dxa"/>
            <w:vAlign w:val="bottom"/>
            <w:shd w:val="clear" w:color="auto" w:fill="CCEEF0"/>
          </w:tcPr>
          <w:p>
            <w:pPr>
              <w:spacing w:after="0"/>
              <w:rPr>
                <w:sz w:val="12"/>
                <w:szCs w:val="12"/>
                <w:color w:val="auto"/>
              </w:rPr>
            </w:pPr>
          </w:p>
        </w:tc>
        <w:tc>
          <w:tcPr>
            <w:tcW w:w="640" w:type="dxa"/>
            <w:vAlign w:val="bottom"/>
            <w:tcBorders>
              <w:right w:val="single" w:sz="8" w:color="auto"/>
            </w:tcBorders>
            <w:shd w:val="clear" w:color="auto" w:fill="CCEEF0"/>
          </w:tcPr>
          <w:p>
            <w:pPr>
              <w:ind w:left="160"/>
              <w:spacing w:after="0"/>
              <w:rPr>
                <w:sz w:val="20"/>
                <w:szCs w:val="20"/>
                <w:color w:val="auto"/>
              </w:rPr>
            </w:pPr>
            <w:r>
              <w:rPr>
                <w:rFonts w:ascii="Arial" w:cs="Arial" w:eastAsia="Arial" w:hAnsi="Arial"/>
                <w:sz w:val="12"/>
                <w:szCs w:val="12"/>
                <w:b w:val="1"/>
                <w:bCs w:val="1"/>
                <w:color w:val="auto"/>
              </w:rPr>
              <w:t>3,008</w:t>
            </w:r>
          </w:p>
        </w:tc>
        <w:tc>
          <w:tcPr>
            <w:tcW w:w="0" w:type="dxa"/>
            <w:vAlign w:val="bottom"/>
          </w:tcPr>
          <w:p>
            <w:pPr>
              <w:spacing w:after="0"/>
              <w:rPr>
                <w:sz w:val="1"/>
                <w:szCs w:val="1"/>
                <w:color w:val="auto"/>
              </w:rPr>
            </w:pPr>
          </w:p>
        </w:tc>
      </w:tr>
      <w:tr>
        <w:trPr>
          <w:trHeight w:val="170"/>
        </w:trPr>
        <w:tc>
          <w:tcPr>
            <w:tcW w:w="94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Pfeifer</w:t>
            </w:r>
          </w:p>
        </w:tc>
        <w:tc>
          <w:tcPr>
            <w:tcW w:w="940" w:type="dxa"/>
            <w:vAlign w:val="bottom"/>
            <w:vMerge w:val="restart"/>
            <w:shd w:val="clear" w:color="auto" w:fill="CCEEF0"/>
          </w:tcPr>
          <w:p>
            <w:pPr>
              <w:jc w:val="center"/>
              <w:spacing w:after="0"/>
              <w:rPr>
                <w:sz w:val="20"/>
                <w:szCs w:val="20"/>
                <w:color w:val="auto"/>
              </w:rPr>
            </w:pPr>
            <w:r>
              <w:rPr>
                <w:rFonts w:ascii="Arial" w:cs="Arial" w:eastAsia="Arial" w:hAnsi="Arial"/>
                <w:sz w:val="12"/>
                <w:szCs w:val="12"/>
                <w:color w:val="auto"/>
                <w:w w:val="99"/>
              </w:rPr>
              <w:t>95.98</w:t>
            </w:r>
          </w:p>
        </w:tc>
        <w:tc>
          <w:tcPr>
            <w:tcW w:w="780" w:type="dxa"/>
            <w:vAlign w:val="bottom"/>
            <w:shd w:val="clear" w:color="auto" w:fill="CCEEF0"/>
          </w:tcPr>
          <w:p>
            <w:pPr>
              <w:spacing w:after="0"/>
              <w:rPr>
                <w:sz w:val="14"/>
                <w:szCs w:val="14"/>
                <w:color w:val="auto"/>
              </w:rPr>
            </w:pPr>
          </w:p>
        </w:tc>
        <w:tc>
          <w:tcPr>
            <w:tcW w:w="760" w:type="dxa"/>
            <w:vAlign w:val="bottom"/>
            <w:vMerge w:val="restart"/>
            <w:shd w:val="clear" w:color="auto" w:fill="CCEEF0"/>
          </w:tcPr>
          <w:p>
            <w:pPr>
              <w:jc w:val="right"/>
              <w:ind w:right="158"/>
              <w:spacing w:after="0"/>
              <w:rPr>
                <w:sz w:val="20"/>
                <w:szCs w:val="20"/>
                <w:color w:val="auto"/>
              </w:rPr>
            </w:pPr>
            <w:r>
              <w:rPr>
                <w:rFonts w:ascii="Arial" w:cs="Arial" w:eastAsia="Arial" w:hAnsi="Arial"/>
                <w:sz w:val="12"/>
                <w:szCs w:val="12"/>
                <w:color w:val="auto"/>
              </w:rPr>
              <w:t>2,650</w:t>
            </w:r>
          </w:p>
        </w:tc>
        <w:tc>
          <w:tcPr>
            <w:tcW w:w="820" w:type="dxa"/>
            <w:vAlign w:val="bottom"/>
            <w:shd w:val="clear" w:color="auto" w:fill="CCEEF0"/>
          </w:tcPr>
          <w:p>
            <w:pPr>
              <w:spacing w:after="0"/>
              <w:rPr>
                <w:sz w:val="14"/>
                <w:szCs w:val="14"/>
                <w:color w:val="auto"/>
              </w:rPr>
            </w:pPr>
          </w:p>
        </w:tc>
        <w:tc>
          <w:tcPr>
            <w:tcW w:w="920" w:type="dxa"/>
            <w:vAlign w:val="bottom"/>
            <w:shd w:val="clear" w:color="auto" w:fill="CCEEF0"/>
          </w:tcPr>
          <w:p>
            <w:pPr>
              <w:spacing w:after="0"/>
              <w:rPr>
                <w:sz w:val="14"/>
                <w:szCs w:val="14"/>
                <w:color w:val="auto"/>
              </w:rPr>
            </w:pPr>
          </w:p>
        </w:tc>
        <w:tc>
          <w:tcPr>
            <w:tcW w:w="700" w:type="dxa"/>
            <w:vAlign w:val="bottom"/>
            <w:vMerge w:val="restart"/>
            <w:shd w:val="clear" w:color="auto" w:fill="CCEEF0"/>
          </w:tcPr>
          <w:p>
            <w:pPr>
              <w:jc w:val="right"/>
              <w:ind w:right="158"/>
              <w:spacing w:after="0"/>
              <w:rPr>
                <w:sz w:val="20"/>
                <w:szCs w:val="20"/>
                <w:color w:val="auto"/>
              </w:rPr>
            </w:pPr>
            <w:r>
              <w:rPr>
                <w:rFonts w:ascii="Arial" w:cs="Arial" w:eastAsia="Arial" w:hAnsi="Arial"/>
                <w:sz w:val="12"/>
                <w:szCs w:val="12"/>
                <w:color w:val="auto"/>
              </w:rPr>
              <w:t>2,650</w:t>
            </w:r>
          </w:p>
        </w:tc>
        <w:tc>
          <w:tcPr>
            <w:tcW w:w="900" w:type="dxa"/>
            <w:vAlign w:val="bottom"/>
            <w:shd w:val="clear" w:color="auto" w:fill="CCEEF0"/>
          </w:tcPr>
          <w:p>
            <w:pPr>
              <w:spacing w:after="0"/>
              <w:rPr>
                <w:sz w:val="14"/>
                <w:szCs w:val="14"/>
                <w:color w:val="auto"/>
              </w:rPr>
            </w:pPr>
          </w:p>
        </w:tc>
        <w:tc>
          <w:tcPr>
            <w:tcW w:w="880" w:type="dxa"/>
            <w:vAlign w:val="bottom"/>
            <w:shd w:val="clear" w:color="auto" w:fill="CCEEF0"/>
          </w:tcPr>
          <w:p>
            <w:pPr>
              <w:spacing w:after="0"/>
              <w:rPr>
                <w:sz w:val="14"/>
                <w:szCs w:val="14"/>
                <w:color w:val="auto"/>
              </w:rPr>
            </w:pPr>
          </w:p>
        </w:tc>
        <w:tc>
          <w:tcPr>
            <w:tcW w:w="880" w:type="dxa"/>
            <w:vAlign w:val="bottom"/>
            <w:shd w:val="clear" w:color="auto" w:fill="CCEEF0"/>
          </w:tcPr>
          <w:p>
            <w:pPr>
              <w:spacing w:after="0"/>
              <w:rPr>
                <w:sz w:val="14"/>
                <w:szCs w:val="14"/>
                <w:color w:val="auto"/>
              </w:rPr>
            </w:pPr>
          </w:p>
        </w:tc>
        <w:tc>
          <w:tcPr>
            <w:tcW w:w="640" w:type="dxa"/>
            <w:vAlign w:val="bottom"/>
            <w:tcBorders>
              <w:right w:val="single" w:sz="8" w:color="auto"/>
            </w:tcBorders>
            <w:vMerge w:val="restart"/>
            <w:shd w:val="clear" w:color="auto" w:fill="CCEEF0"/>
          </w:tcPr>
          <w:p>
            <w:pPr>
              <w:ind w:left="160"/>
              <w:spacing w:after="0"/>
              <w:rPr>
                <w:sz w:val="20"/>
                <w:szCs w:val="20"/>
                <w:color w:val="auto"/>
              </w:rPr>
            </w:pPr>
            <w:r>
              <w:rPr>
                <w:rFonts w:ascii="Arial" w:cs="Arial" w:eastAsia="Arial" w:hAnsi="Arial"/>
                <w:sz w:val="12"/>
                <w:szCs w:val="12"/>
                <w:b w:val="1"/>
                <w:bCs w:val="1"/>
                <w:color w:val="auto"/>
              </w:rPr>
              <w:t>5,300</w:t>
            </w:r>
          </w:p>
        </w:tc>
        <w:tc>
          <w:tcPr>
            <w:tcW w:w="0" w:type="dxa"/>
            <w:vAlign w:val="bottom"/>
          </w:tcPr>
          <w:p>
            <w:pPr>
              <w:spacing w:after="0"/>
              <w:rPr>
                <w:sz w:val="1"/>
                <w:szCs w:val="1"/>
                <w:color w:val="auto"/>
              </w:rPr>
            </w:pPr>
          </w:p>
        </w:tc>
      </w:tr>
      <w:tr>
        <w:trPr>
          <w:trHeight w:val="75"/>
        </w:trPr>
        <w:tc>
          <w:tcPr>
            <w:tcW w:w="940" w:type="dxa"/>
            <w:vAlign w:val="bottom"/>
            <w:tcBorders>
              <w:left w:val="single" w:sz="8" w:color="auto"/>
              <w:bottom w:val="single" w:sz="8" w:color="CCEEF0"/>
            </w:tcBorders>
            <w:shd w:val="clear" w:color="auto" w:fill="CCEEF0"/>
          </w:tcPr>
          <w:p>
            <w:pPr>
              <w:spacing w:after="0"/>
              <w:rPr>
                <w:sz w:val="6"/>
                <w:szCs w:val="6"/>
                <w:color w:val="auto"/>
              </w:rPr>
            </w:pPr>
          </w:p>
        </w:tc>
        <w:tc>
          <w:tcPr>
            <w:tcW w:w="940" w:type="dxa"/>
            <w:vAlign w:val="bottom"/>
            <w:tcBorders>
              <w:bottom w:val="single" w:sz="8" w:color="CCEEF0"/>
            </w:tcBorders>
            <w:vMerge w:val="continue"/>
            <w:shd w:val="clear" w:color="auto" w:fill="CCEEF0"/>
          </w:tcPr>
          <w:p>
            <w:pPr>
              <w:spacing w:after="0"/>
              <w:rPr>
                <w:sz w:val="6"/>
                <w:szCs w:val="6"/>
                <w:color w:val="auto"/>
              </w:rPr>
            </w:pPr>
          </w:p>
        </w:tc>
        <w:tc>
          <w:tcPr>
            <w:tcW w:w="780" w:type="dxa"/>
            <w:vAlign w:val="bottom"/>
            <w:tcBorders>
              <w:bottom w:val="single" w:sz="8" w:color="CCEEF0"/>
            </w:tcBorders>
            <w:shd w:val="clear" w:color="auto" w:fill="CCEEF0"/>
          </w:tcPr>
          <w:p>
            <w:pPr>
              <w:spacing w:after="0"/>
              <w:rPr>
                <w:sz w:val="6"/>
                <w:szCs w:val="6"/>
                <w:color w:val="auto"/>
              </w:rPr>
            </w:pPr>
          </w:p>
        </w:tc>
        <w:tc>
          <w:tcPr>
            <w:tcW w:w="760" w:type="dxa"/>
            <w:vAlign w:val="bottom"/>
            <w:tcBorders>
              <w:bottom w:val="single" w:sz="8" w:color="CCEEF0"/>
            </w:tcBorders>
            <w:vMerge w:val="continue"/>
            <w:shd w:val="clear" w:color="auto" w:fill="CCEEF0"/>
          </w:tcPr>
          <w:p>
            <w:pPr>
              <w:spacing w:after="0"/>
              <w:rPr>
                <w:sz w:val="6"/>
                <w:szCs w:val="6"/>
                <w:color w:val="auto"/>
              </w:rPr>
            </w:pPr>
          </w:p>
        </w:tc>
        <w:tc>
          <w:tcPr>
            <w:tcW w:w="820" w:type="dxa"/>
            <w:vAlign w:val="bottom"/>
            <w:tcBorders>
              <w:bottom w:val="single" w:sz="8" w:color="CCEEF0"/>
            </w:tcBorders>
            <w:shd w:val="clear" w:color="auto" w:fill="CCEEF0"/>
          </w:tcPr>
          <w:p>
            <w:pPr>
              <w:spacing w:after="0"/>
              <w:rPr>
                <w:sz w:val="6"/>
                <w:szCs w:val="6"/>
                <w:color w:val="auto"/>
              </w:rPr>
            </w:pPr>
          </w:p>
        </w:tc>
        <w:tc>
          <w:tcPr>
            <w:tcW w:w="920" w:type="dxa"/>
            <w:vAlign w:val="bottom"/>
            <w:tcBorders>
              <w:bottom w:val="single" w:sz="8" w:color="CCEEF0"/>
            </w:tcBorders>
            <w:shd w:val="clear" w:color="auto" w:fill="CCEEF0"/>
          </w:tcPr>
          <w:p>
            <w:pPr>
              <w:spacing w:after="0"/>
              <w:rPr>
                <w:sz w:val="6"/>
                <w:szCs w:val="6"/>
                <w:color w:val="auto"/>
              </w:rPr>
            </w:pPr>
          </w:p>
        </w:tc>
        <w:tc>
          <w:tcPr>
            <w:tcW w:w="700" w:type="dxa"/>
            <w:vAlign w:val="bottom"/>
            <w:tcBorders>
              <w:bottom w:val="single" w:sz="8" w:color="CCEEF0"/>
            </w:tcBorders>
            <w:vMerge w:val="continue"/>
            <w:shd w:val="clear" w:color="auto" w:fill="CCEEF0"/>
          </w:tcPr>
          <w:p>
            <w:pPr>
              <w:spacing w:after="0"/>
              <w:rPr>
                <w:sz w:val="6"/>
                <w:szCs w:val="6"/>
                <w:color w:val="auto"/>
              </w:rPr>
            </w:pPr>
          </w:p>
        </w:tc>
        <w:tc>
          <w:tcPr>
            <w:tcW w:w="900" w:type="dxa"/>
            <w:vAlign w:val="bottom"/>
            <w:tcBorders>
              <w:bottom w:val="single" w:sz="8" w:color="CCEEF0"/>
            </w:tcBorders>
            <w:shd w:val="clear" w:color="auto" w:fill="CCEEF0"/>
          </w:tcPr>
          <w:p>
            <w:pPr>
              <w:spacing w:after="0"/>
              <w:rPr>
                <w:sz w:val="6"/>
                <w:szCs w:val="6"/>
                <w:color w:val="auto"/>
              </w:rPr>
            </w:pPr>
          </w:p>
        </w:tc>
        <w:tc>
          <w:tcPr>
            <w:tcW w:w="880" w:type="dxa"/>
            <w:vAlign w:val="bottom"/>
            <w:tcBorders>
              <w:bottom w:val="single" w:sz="8" w:color="CCEEF0"/>
            </w:tcBorders>
            <w:shd w:val="clear" w:color="auto" w:fill="CCEEF0"/>
          </w:tcPr>
          <w:p>
            <w:pPr>
              <w:spacing w:after="0"/>
              <w:rPr>
                <w:sz w:val="6"/>
                <w:szCs w:val="6"/>
                <w:color w:val="auto"/>
              </w:rPr>
            </w:pPr>
          </w:p>
        </w:tc>
        <w:tc>
          <w:tcPr>
            <w:tcW w:w="880" w:type="dxa"/>
            <w:vAlign w:val="bottom"/>
            <w:tcBorders>
              <w:bottom w:val="single" w:sz="8" w:color="CCEEF0"/>
            </w:tcBorders>
            <w:shd w:val="clear" w:color="auto" w:fill="CCEEF0"/>
          </w:tcPr>
          <w:p>
            <w:pPr>
              <w:spacing w:after="0"/>
              <w:rPr>
                <w:sz w:val="6"/>
                <w:szCs w:val="6"/>
                <w:color w:val="auto"/>
              </w:rPr>
            </w:pPr>
          </w:p>
        </w:tc>
        <w:tc>
          <w:tcPr>
            <w:tcW w:w="640" w:type="dxa"/>
            <w:vAlign w:val="bottom"/>
            <w:tcBorders>
              <w:bottom w:val="single" w:sz="8" w:color="CCEEF0"/>
              <w:right w:val="single" w:sz="8" w:color="auto"/>
            </w:tcBorders>
            <w:vMerge w:val="continue"/>
            <w:shd w:val="clear" w:color="auto" w:fill="CCEEF0"/>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560" w:right="20"/>
        <w:spacing w:after="0" w:line="274" w:lineRule="auto"/>
        <w:rPr>
          <w:sz w:val="20"/>
          <w:szCs w:val="20"/>
          <w:color w:val="auto"/>
        </w:rPr>
      </w:pPr>
      <w:r>
        <w:rPr>
          <w:rFonts w:ascii="Arial" w:cs="Arial" w:eastAsia="Arial" w:hAnsi="Arial"/>
          <w:sz w:val="13"/>
          <w:szCs w:val="13"/>
          <w:color w:val="auto"/>
        </w:rPr>
        <w:t>Upon a change in control, such options will remain outstanding and vest on the original vesting date, subject to the continued employment or service through such date; provided, that, if the participant’s employment or service is terminated by the Company without cause or for good reason within two years following the effective date of the change in control, the outstanding options will vest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091" w:right="319" w:bottom="1440" w:gutter="0" w:footer="0" w:header="0"/>
        </w:sectPr>
      </w:pPr>
    </w:p>
    <w:bookmarkStart w:id="63" w:name="page64"/>
    <w:bookmarkEnd w:id="63"/>
    <w:p>
      <w:pPr>
        <w:ind w:left="320" w:hanging="316"/>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time-based restricted stock units reported in this column will vest, subject to the continued employment of the named executive officer, on the dates set forth in the table below:</w:t>
      </w:r>
    </w:p>
    <w:p>
      <w:pPr>
        <w:spacing w:after="0" w:line="187" w:lineRule="exact"/>
        <w:rPr>
          <w:sz w:val="20"/>
          <w:szCs w:val="20"/>
          <w:color w:val="auto"/>
        </w:rPr>
      </w:pPr>
    </w:p>
    <w:tbl>
      <w:tblPr>
        <w:tblLayout w:type="fixed"/>
        <w:tblInd w:w="3250" w:type="dxa"/>
        <w:tblCellMar>
          <w:top w:w="0" w:type="dxa"/>
          <w:left w:w="0" w:type="dxa"/>
          <w:bottom w:w="0" w:type="dxa"/>
          <w:right w:w="0" w:type="dxa"/>
        </w:tblCellMar>
      </w:tblPr>
      <w:tr>
        <w:trPr>
          <w:trHeight w:val="195"/>
        </w:trPr>
        <w:tc>
          <w:tcPr>
            <w:tcW w:w="1400" w:type="dxa"/>
            <w:vAlign w:val="bottom"/>
            <w:tcBorders>
              <w:top w:val="single" w:sz="8" w:color="auto"/>
              <w:left w:val="single" w:sz="8" w:color="auto"/>
              <w:bottom w:val="single" w:sz="8" w:color="auto"/>
            </w:tcBorders>
            <w:shd w:val="clear" w:color="auto" w:fill="00A5B5"/>
          </w:tcPr>
          <w:p>
            <w:pPr>
              <w:ind w:left="20"/>
              <w:spacing w:after="0"/>
              <w:rPr>
                <w:sz w:val="20"/>
                <w:szCs w:val="20"/>
                <w:color w:val="auto"/>
              </w:rPr>
            </w:pPr>
            <w:r>
              <w:rPr>
                <w:rFonts w:ascii="Arial" w:cs="Arial" w:eastAsia="Arial" w:hAnsi="Arial"/>
                <w:sz w:val="12"/>
                <w:szCs w:val="12"/>
                <w:b w:val="1"/>
                <w:bCs w:val="1"/>
                <w:color w:val="auto"/>
              </w:rPr>
              <w:t>Name</w:t>
            </w:r>
          </w:p>
        </w:tc>
        <w:tc>
          <w:tcPr>
            <w:tcW w:w="2060" w:type="dxa"/>
            <w:vAlign w:val="bottom"/>
            <w:tcBorders>
              <w:top w:val="single" w:sz="8" w:color="auto"/>
              <w:bottom w:val="single" w:sz="8" w:color="auto"/>
            </w:tcBorders>
            <w:gridSpan w:val="2"/>
            <w:shd w:val="clear" w:color="auto" w:fill="00A5B5"/>
          </w:tcPr>
          <w:p>
            <w:pPr>
              <w:ind w:left="80"/>
              <w:spacing w:after="0"/>
              <w:rPr>
                <w:sz w:val="20"/>
                <w:szCs w:val="20"/>
                <w:color w:val="auto"/>
              </w:rPr>
            </w:pPr>
            <w:r>
              <w:rPr>
                <w:rFonts w:ascii="Arial" w:cs="Arial" w:eastAsia="Arial" w:hAnsi="Arial"/>
                <w:sz w:val="12"/>
                <w:szCs w:val="12"/>
                <w:b w:val="1"/>
                <w:bCs w:val="1"/>
                <w:color w:val="auto"/>
              </w:rPr>
              <w:t>March 31, 2027 March 31, 2028</w:t>
            </w:r>
          </w:p>
        </w:tc>
        <w:tc>
          <w:tcPr>
            <w:tcW w:w="860" w:type="dxa"/>
            <w:vAlign w:val="bottom"/>
            <w:tcBorders>
              <w:top w:val="single" w:sz="8" w:color="auto"/>
              <w:bottom w:val="single" w:sz="8" w:color="auto"/>
              <w:right w:val="single" w:sz="8" w:color="auto"/>
            </w:tcBorders>
            <w:shd w:val="clear" w:color="auto" w:fill="00A5B5"/>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Horacio D. Rozanski</w:t>
            </w:r>
          </w:p>
        </w:tc>
        <w:tc>
          <w:tcPr>
            <w:tcW w:w="100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20,267</w:t>
            </w:r>
          </w:p>
        </w:tc>
        <w:tc>
          <w:tcPr>
            <w:tcW w:w="1060" w:type="dxa"/>
            <w:vAlign w:val="bottom"/>
            <w:shd w:val="clear" w:color="auto" w:fill="CCEEF0"/>
          </w:tcPr>
          <w:p>
            <w:pPr>
              <w:jc w:val="center"/>
              <w:ind w:right="78"/>
              <w:spacing w:after="0"/>
              <w:rPr>
                <w:sz w:val="20"/>
                <w:szCs w:val="20"/>
                <w:color w:val="auto"/>
              </w:rPr>
            </w:pPr>
            <w:r>
              <w:rPr>
                <w:rFonts w:ascii="Arial" w:cs="Arial" w:eastAsia="Arial" w:hAnsi="Arial"/>
                <w:sz w:val="12"/>
                <w:szCs w:val="12"/>
                <w:color w:val="auto"/>
                <w:w w:val="97"/>
              </w:rPr>
              <w:t>11,778</w:t>
            </w:r>
          </w:p>
        </w:tc>
        <w:tc>
          <w:tcPr>
            <w:tcW w:w="860" w:type="dxa"/>
            <w:vAlign w:val="bottom"/>
            <w:tcBorders>
              <w:right w:val="single" w:sz="8" w:color="auto"/>
            </w:tcBorders>
            <w:shd w:val="clear" w:color="auto" w:fill="CCEEF0"/>
          </w:tcPr>
          <w:p>
            <w:pPr>
              <w:jc w:val="center"/>
              <w:ind w:right="98"/>
              <w:spacing w:after="0"/>
              <w:rPr>
                <w:sz w:val="20"/>
                <w:szCs w:val="20"/>
                <w:color w:val="auto"/>
              </w:rPr>
            </w:pPr>
            <w:r>
              <w:rPr>
                <w:rFonts w:ascii="Arial" w:cs="Arial" w:eastAsia="Arial" w:hAnsi="Arial"/>
                <w:sz w:val="12"/>
                <w:szCs w:val="12"/>
                <w:color w:val="auto"/>
              </w:rPr>
              <w:t>32,045</w:t>
            </w:r>
          </w:p>
        </w:tc>
        <w:tc>
          <w:tcPr>
            <w:tcW w:w="0" w:type="dxa"/>
            <w:vAlign w:val="bottom"/>
          </w:tcPr>
          <w:p>
            <w:pPr>
              <w:spacing w:after="0"/>
              <w:rPr>
                <w:sz w:val="1"/>
                <w:szCs w:val="1"/>
                <w:color w:val="auto"/>
              </w:rPr>
            </w:pPr>
          </w:p>
        </w:tc>
      </w:tr>
      <w:tr>
        <w:trPr>
          <w:trHeight w:val="119"/>
        </w:trPr>
        <w:tc>
          <w:tcPr>
            <w:tcW w:w="140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b w:val="1"/>
                <w:bCs w:val="1"/>
                <w:color w:val="auto"/>
              </w:rPr>
              <w:t>Kristine Martin</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9"/>
              </w:rPr>
              <w:t>7,462</w:t>
            </w:r>
          </w:p>
        </w:tc>
        <w:tc>
          <w:tcPr>
            <w:tcW w:w="1060" w:type="dxa"/>
            <w:vAlign w:val="bottom"/>
            <w:vMerge w:val="restart"/>
          </w:tcPr>
          <w:p>
            <w:pPr>
              <w:jc w:val="center"/>
              <w:ind w:right="58"/>
              <w:spacing w:after="0"/>
              <w:rPr>
                <w:sz w:val="20"/>
                <w:szCs w:val="20"/>
                <w:color w:val="auto"/>
              </w:rPr>
            </w:pPr>
            <w:r>
              <w:rPr>
                <w:rFonts w:ascii="Arial" w:cs="Arial" w:eastAsia="Arial" w:hAnsi="Arial"/>
                <w:sz w:val="12"/>
                <w:szCs w:val="12"/>
                <w:color w:val="auto"/>
                <w:w w:val="99"/>
              </w:rPr>
              <w:t>2,429</w:t>
            </w:r>
          </w:p>
        </w:tc>
        <w:tc>
          <w:tcPr>
            <w:tcW w:w="860" w:type="dxa"/>
            <w:vAlign w:val="bottom"/>
            <w:tcBorders>
              <w:right w:val="single" w:sz="8" w:color="auto"/>
            </w:tcBorders>
            <w:vMerge w:val="restart"/>
          </w:tcPr>
          <w:p>
            <w:pPr>
              <w:jc w:val="center"/>
              <w:ind w:right="78"/>
              <w:spacing w:after="0"/>
              <w:rPr>
                <w:sz w:val="20"/>
                <w:szCs w:val="20"/>
                <w:color w:val="auto"/>
              </w:rPr>
            </w:pPr>
            <w:r>
              <w:rPr>
                <w:rFonts w:ascii="Arial" w:cs="Arial" w:eastAsia="Arial" w:hAnsi="Arial"/>
                <w:sz w:val="12"/>
                <w:szCs w:val="12"/>
                <w:color w:val="auto"/>
              </w:rPr>
              <w:t>9,891</w:t>
            </w:r>
          </w:p>
        </w:tc>
        <w:tc>
          <w:tcPr>
            <w:tcW w:w="0" w:type="dxa"/>
            <w:vAlign w:val="bottom"/>
          </w:tcPr>
          <w:p>
            <w:pPr>
              <w:spacing w:after="0"/>
              <w:rPr>
                <w:sz w:val="1"/>
                <w:szCs w:val="1"/>
                <w:color w:val="auto"/>
              </w:rPr>
            </w:pPr>
          </w:p>
        </w:tc>
      </w:tr>
      <w:tr>
        <w:trPr>
          <w:trHeight w:val="106"/>
        </w:trPr>
        <w:tc>
          <w:tcPr>
            <w:tcW w:w="1400" w:type="dxa"/>
            <w:vAlign w:val="bottom"/>
            <w:tcBorders>
              <w:lef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Anderson</w:t>
            </w: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400" w:type="dxa"/>
            <w:vAlign w:val="bottom"/>
            <w:tcBorders>
              <w:left w:val="single" w:sz="8" w:color="auto"/>
            </w:tcBorders>
            <w:vMerge w:val="continue"/>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bottom w:val="single" w:sz="8" w:color="CCEEF0"/>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Richard C. Crowe</w:t>
            </w:r>
          </w:p>
        </w:tc>
        <w:tc>
          <w:tcPr>
            <w:tcW w:w="100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rPr>
              <w:t>5,999</w:t>
            </w:r>
          </w:p>
        </w:tc>
        <w:tc>
          <w:tcPr>
            <w:tcW w:w="1060" w:type="dxa"/>
            <w:vAlign w:val="bottom"/>
            <w:tcBorders>
              <w:bottom w:val="single" w:sz="8" w:color="CCEEF0"/>
            </w:tcBorders>
            <w:shd w:val="clear" w:color="auto" w:fill="CCEEF0"/>
          </w:tcPr>
          <w:p>
            <w:pPr>
              <w:jc w:val="center"/>
              <w:ind w:right="58"/>
              <w:spacing w:after="0"/>
              <w:rPr>
                <w:sz w:val="20"/>
                <w:szCs w:val="20"/>
                <w:color w:val="auto"/>
              </w:rPr>
            </w:pPr>
            <w:r>
              <w:rPr>
                <w:rFonts w:ascii="Arial" w:cs="Arial" w:eastAsia="Arial" w:hAnsi="Arial"/>
                <w:sz w:val="12"/>
                <w:szCs w:val="12"/>
                <w:color w:val="auto"/>
                <w:w w:val="99"/>
              </w:rPr>
              <w:t>1,579</w:t>
            </w:r>
          </w:p>
        </w:tc>
        <w:tc>
          <w:tcPr>
            <w:tcW w:w="860" w:type="dxa"/>
            <w:vAlign w:val="bottom"/>
            <w:tcBorders>
              <w:bottom w:val="single" w:sz="8" w:color="CCEEF0"/>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rPr>
              <w:t>7,578</w:t>
            </w:r>
          </w:p>
        </w:tc>
        <w:tc>
          <w:tcPr>
            <w:tcW w:w="0" w:type="dxa"/>
            <w:vAlign w:val="bottom"/>
          </w:tcPr>
          <w:p>
            <w:pPr>
              <w:spacing w:after="0"/>
              <w:rPr>
                <w:sz w:val="1"/>
                <w:szCs w:val="1"/>
                <w:color w:val="auto"/>
              </w:rPr>
            </w:pPr>
          </w:p>
        </w:tc>
      </w:tr>
      <w:tr>
        <w:trPr>
          <w:trHeight w:val="178"/>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Andrea D. Inserra</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1,929</w:t>
            </w:r>
          </w:p>
        </w:tc>
        <w:tc>
          <w:tcPr>
            <w:tcW w:w="1060" w:type="dxa"/>
            <w:vAlign w:val="bottom"/>
          </w:tcPr>
          <w:p>
            <w:pPr>
              <w:jc w:val="center"/>
              <w:ind w:right="58"/>
              <w:spacing w:after="0"/>
              <w:rPr>
                <w:sz w:val="20"/>
                <w:szCs w:val="20"/>
                <w:color w:val="auto"/>
              </w:rPr>
            </w:pPr>
            <w:r>
              <w:rPr>
                <w:rFonts w:ascii="Arial" w:cs="Arial" w:eastAsia="Arial" w:hAnsi="Arial"/>
                <w:sz w:val="12"/>
                <w:szCs w:val="12"/>
                <w:color w:val="auto"/>
                <w:w w:val="99"/>
              </w:rPr>
              <w:t>1,458</w:t>
            </w:r>
          </w:p>
        </w:tc>
        <w:tc>
          <w:tcPr>
            <w:tcW w:w="86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rPr>
              <w:t>3,387</w:t>
            </w:r>
          </w:p>
        </w:tc>
        <w:tc>
          <w:tcPr>
            <w:tcW w:w="0" w:type="dxa"/>
            <w:vAlign w:val="bottom"/>
          </w:tcPr>
          <w:p>
            <w:pPr>
              <w:spacing w:after="0"/>
              <w:rPr>
                <w:sz w:val="1"/>
                <w:szCs w:val="1"/>
                <w:color w:val="auto"/>
              </w:rPr>
            </w:pPr>
          </w:p>
        </w:tc>
      </w:tr>
      <w:tr>
        <w:trPr>
          <w:trHeight w:val="20"/>
        </w:trPr>
        <w:tc>
          <w:tcPr>
            <w:tcW w:w="1400" w:type="dxa"/>
            <w:vAlign w:val="bottom"/>
            <w:tcBorders>
              <w:lef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00" w:type="dxa"/>
            <w:vAlign w:val="bottom"/>
            <w:tcBorders>
              <w:left w:val="single" w:sz="8" w:color="auto"/>
              <w:bottom w:val="single" w:sz="8" w:color="CCEEF0"/>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Thomas J. Pfeifer</w:t>
            </w:r>
          </w:p>
        </w:tc>
        <w:tc>
          <w:tcPr>
            <w:tcW w:w="100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rPr>
              <w:t>2,630</w:t>
            </w:r>
          </w:p>
        </w:tc>
        <w:tc>
          <w:tcPr>
            <w:tcW w:w="1060" w:type="dxa"/>
            <w:vAlign w:val="bottom"/>
            <w:tcBorders>
              <w:bottom w:val="single" w:sz="8" w:color="CCEEF0"/>
            </w:tcBorders>
            <w:shd w:val="clear" w:color="auto" w:fill="CCEEF0"/>
          </w:tcPr>
          <w:p>
            <w:pPr>
              <w:jc w:val="center"/>
              <w:ind w:right="58"/>
              <w:spacing w:after="0"/>
              <w:rPr>
                <w:sz w:val="20"/>
                <w:szCs w:val="20"/>
                <w:color w:val="auto"/>
              </w:rPr>
            </w:pPr>
            <w:r>
              <w:rPr>
                <w:rFonts w:ascii="Arial" w:cs="Arial" w:eastAsia="Arial" w:hAnsi="Arial"/>
                <w:sz w:val="12"/>
                <w:szCs w:val="12"/>
                <w:color w:val="auto"/>
                <w:w w:val="99"/>
              </w:rPr>
              <w:t>1,579</w:t>
            </w:r>
          </w:p>
        </w:tc>
        <w:tc>
          <w:tcPr>
            <w:tcW w:w="860" w:type="dxa"/>
            <w:vAlign w:val="bottom"/>
            <w:tcBorders>
              <w:bottom w:val="single" w:sz="8" w:color="CCEEF0"/>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rPr>
              <w:t>4,209</w:t>
            </w:r>
          </w:p>
        </w:tc>
        <w:tc>
          <w:tcPr>
            <w:tcW w:w="0" w:type="dxa"/>
            <w:vAlign w:val="bottom"/>
          </w:tcPr>
          <w:p>
            <w:pPr>
              <w:spacing w:after="0"/>
              <w:rPr>
                <w:sz w:val="1"/>
                <w:szCs w:val="1"/>
                <w:color w:val="auto"/>
              </w:rPr>
            </w:pPr>
          </w:p>
        </w:tc>
      </w:tr>
      <w:tr>
        <w:trPr>
          <w:trHeight w:val="178"/>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Matthew A. Calderone</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1,488</w:t>
            </w:r>
          </w:p>
        </w:tc>
        <w:tc>
          <w:tcPr>
            <w:tcW w:w="1060" w:type="dxa"/>
            <w:vAlign w:val="bottom"/>
          </w:tcPr>
          <w:p>
            <w:pPr>
              <w:jc w:val="center"/>
              <w:ind w:right="78"/>
              <w:spacing w:after="0"/>
              <w:rPr>
                <w:sz w:val="20"/>
                <w:szCs w:val="20"/>
                <w:color w:val="auto"/>
              </w:rPr>
            </w:pPr>
            <w:r>
              <w:rPr>
                <w:rFonts w:ascii="Arial" w:cs="Arial" w:eastAsia="Arial" w:hAnsi="Arial"/>
                <w:sz w:val="12"/>
                <w:szCs w:val="12"/>
                <w:color w:val="auto"/>
                <w:w w:val="99"/>
              </w:rPr>
              <w:t>—</w:t>
            </w:r>
          </w:p>
        </w:tc>
        <w:tc>
          <w:tcPr>
            <w:tcW w:w="86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20"/>
        </w:trPr>
        <w:tc>
          <w:tcPr>
            <w:tcW w:w="140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320"/>
        <w:spacing w:after="0" w:line="274" w:lineRule="auto"/>
        <w:rPr>
          <w:sz w:val="20"/>
          <w:szCs w:val="20"/>
          <w:color w:val="auto"/>
        </w:rPr>
      </w:pPr>
      <w:r>
        <w:rPr>
          <w:rFonts w:ascii="Arial" w:cs="Arial" w:eastAsia="Arial" w:hAnsi="Arial"/>
          <w:sz w:val="13"/>
          <w:szCs w:val="13"/>
          <w:color w:val="auto"/>
        </w:rPr>
        <w:t>Upon a change in control, such outstanding time-based restricted stock units will remain outstanding and vest on the original vesting date, subject to the continued employment or service through such date; provided, that, if the participant’s employment or service is terminated by the Company without cause or for good reason within two years following the effective date of the change in control, the outstanding time-based restricted stock units will vest as of the date of termination.</w:t>
      </w:r>
    </w:p>
    <w:p>
      <w:pPr>
        <w:spacing w:after="0" w:line="70" w:lineRule="exact"/>
        <w:rPr>
          <w:sz w:val="20"/>
          <w:szCs w:val="20"/>
          <w:color w:val="auto"/>
        </w:rPr>
      </w:pPr>
    </w:p>
    <w:p>
      <w:pPr>
        <w:ind w:left="320" w:hanging="316"/>
        <w:spacing w:after="0"/>
        <w:tabs>
          <w:tab w:leader="none" w:pos="3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market value reported in this column has been determined based on the fair market value of our common stock on March 31, 2026 of $78.03.</w:t>
      </w:r>
    </w:p>
    <w:p>
      <w:pPr>
        <w:spacing w:after="0" w:line="115" w:lineRule="exact"/>
        <w:rPr>
          <w:rFonts w:ascii="Arial" w:cs="Arial" w:eastAsia="Arial" w:hAnsi="Arial"/>
          <w:sz w:val="13"/>
          <w:szCs w:val="13"/>
          <w:color w:val="auto"/>
        </w:rPr>
      </w:pPr>
    </w:p>
    <w:p>
      <w:pPr>
        <w:jc w:val="both"/>
        <w:ind w:left="320" w:hanging="316"/>
        <w:spacing w:after="0" w:line="274"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This column reflects the number of performance-based restricted stock units based on achievement of maximum performance, which was 240% of the target grant amount for fiscal year 2025 and 240% for fiscal year 2026, rounded down to the nearest whole share. The table below reflects, for fiscal year 2025 and fiscal year 2026, the number of performance-based restricted stock units outstanding at fiscal year-end assuming achievement of target performance for the named executive officers.</w:t>
      </w:r>
    </w:p>
    <w:p>
      <w:pPr>
        <w:spacing w:after="0" w:line="142" w:lineRule="exact"/>
        <w:rPr>
          <w:sz w:val="20"/>
          <w:szCs w:val="20"/>
          <w:color w:val="auto"/>
        </w:rPr>
      </w:pPr>
    </w:p>
    <w:tbl>
      <w:tblPr>
        <w:tblLayout w:type="fixed"/>
        <w:tblInd w:w="3070" w:type="dxa"/>
        <w:tblCellMar>
          <w:top w:w="0" w:type="dxa"/>
          <w:left w:w="0" w:type="dxa"/>
          <w:bottom w:w="0" w:type="dxa"/>
          <w:right w:w="0" w:type="dxa"/>
        </w:tblCellMar>
      </w:tblPr>
      <w:tr>
        <w:trPr>
          <w:trHeight w:val="195"/>
        </w:trPr>
        <w:tc>
          <w:tcPr>
            <w:tcW w:w="1380" w:type="dxa"/>
            <w:vAlign w:val="bottom"/>
            <w:tcBorders>
              <w:top w:val="single" w:sz="8" w:color="auto"/>
              <w:left w:val="single" w:sz="8" w:color="auto"/>
              <w:bottom w:val="single" w:sz="8" w:color="auto"/>
            </w:tcBorders>
            <w:shd w:val="clear" w:color="auto" w:fill="00A5B5"/>
          </w:tcPr>
          <w:p>
            <w:pPr>
              <w:ind w:left="20"/>
              <w:spacing w:after="0"/>
              <w:rPr>
                <w:sz w:val="20"/>
                <w:szCs w:val="20"/>
                <w:color w:val="auto"/>
              </w:rPr>
            </w:pPr>
            <w:r>
              <w:rPr>
                <w:rFonts w:ascii="Arial" w:cs="Arial" w:eastAsia="Arial" w:hAnsi="Arial"/>
                <w:sz w:val="12"/>
                <w:szCs w:val="12"/>
                <w:b w:val="1"/>
                <w:bCs w:val="1"/>
                <w:color w:val="FFFFFF"/>
              </w:rPr>
              <w:t>Name</w:t>
            </w:r>
          </w:p>
        </w:tc>
        <w:tc>
          <w:tcPr>
            <w:tcW w:w="1140" w:type="dxa"/>
            <w:vAlign w:val="bottom"/>
            <w:tcBorders>
              <w:top w:val="single" w:sz="8" w:color="auto"/>
              <w:bottom w:val="single" w:sz="8" w:color="auto"/>
            </w:tcBorders>
            <w:shd w:val="clear" w:color="auto" w:fill="00A5B5"/>
          </w:tcPr>
          <w:p>
            <w:pPr>
              <w:ind w:left="160"/>
              <w:spacing w:after="0"/>
              <w:rPr>
                <w:sz w:val="20"/>
                <w:szCs w:val="20"/>
                <w:color w:val="auto"/>
              </w:rPr>
            </w:pPr>
            <w:r>
              <w:rPr>
                <w:rFonts w:ascii="Arial" w:cs="Arial" w:eastAsia="Arial" w:hAnsi="Arial"/>
                <w:sz w:val="12"/>
                <w:szCs w:val="12"/>
                <w:b w:val="1"/>
                <w:bCs w:val="1"/>
                <w:color w:val="FFFFFF"/>
              </w:rPr>
              <w:t>March 31, 2027</w:t>
            </w:r>
          </w:p>
        </w:tc>
        <w:tc>
          <w:tcPr>
            <w:tcW w:w="1180" w:type="dxa"/>
            <w:vAlign w:val="bottom"/>
            <w:tcBorders>
              <w:top w:val="single" w:sz="8" w:color="auto"/>
              <w:bottom w:val="single" w:sz="8" w:color="auto"/>
            </w:tcBorders>
            <w:shd w:val="clear" w:color="auto" w:fill="00A5B5"/>
          </w:tcPr>
          <w:p>
            <w:pPr>
              <w:ind w:left="80"/>
              <w:spacing w:after="0"/>
              <w:rPr>
                <w:sz w:val="20"/>
                <w:szCs w:val="20"/>
                <w:color w:val="auto"/>
              </w:rPr>
            </w:pPr>
            <w:r>
              <w:rPr>
                <w:rFonts w:ascii="Arial" w:cs="Arial" w:eastAsia="Arial" w:hAnsi="Arial"/>
                <w:sz w:val="12"/>
                <w:szCs w:val="12"/>
                <w:b w:val="1"/>
                <w:bCs w:val="1"/>
                <w:color w:val="FFFFFF"/>
              </w:rPr>
              <w:t>March 31, 2028</w:t>
            </w:r>
          </w:p>
        </w:tc>
        <w:tc>
          <w:tcPr>
            <w:tcW w:w="980" w:type="dxa"/>
            <w:vAlign w:val="bottom"/>
            <w:tcBorders>
              <w:top w:val="single" w:sz="8" w:color="auto"/>
              <w:bottom w:val="single" w:sz="8" w:color="auto"/>
              <w:right w:val="single" w:sz="8" w:color="auto"/>
            </w:tcBorders>
            <w:shd w:val="clear" w:color="auto" w:fill="00A5B5"/>
          </w:tcPr>
          <w:p>
            <w:pPr>
              <w:ind w:left="280"/>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82"/>
        </w:trPr>
        <w:tc>
          <w:tcPr>
            <w:tcW w:w="1380" w:type="dxa"/>
            <w:vAlign w:val="bottom"/>
            <w:tcBorders>
              <w:left w:val="single" w:sz="8" w:color="auto"/>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Horacio D. Rozanski</w:t>
            </w:r>
          </w:p>
        </w:tc>
        <w:tc>
          <w:tcPr>
            <w:tcW w:w="11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7"/>
              </w:rPr>
              <w:t>40,169</w:t>
            </w:r>
          </w:p>
        </w:tc>
        <w:tc>
          <w:tcPr>
            <w:tcW w:w="1180" w:type="dxa"/>
            <w:vAlign w:val="bottom"/>
            <w:shd w:val="clear" w:color="auto" w:fill="CCEEF0"/>
          </w:tcPr>
          <w:p>
            <w:pPr>
              <w:jc w:val="center"/>
              <w:ind w:right="58"/>
              <w:spacing w:after="0"/>
              <w:rPr>
                <w:sz w:val="20"/>
                <w:szCs w:val="20"/>
                <w:color w:val="auto"/>
              </w:rPr>
            </w:pPr>
            <w:r>
              <w:rPr>
                <w:rFonts w:ascii="Arial" w:cs="Arial" w:eastAsia="Arial" w:hAnsi="Arial"/>
                <w:sz w:val="12"/>
                <w:szCs w:val="12"/>
                <w:color w:val="auto"/>
              </w:rPr>
              <w:t>57,133</w:t>
            </w:r>
          </w:p>
        </w:tc>
        <w:tc>
          <w:tcPr>
            <w:tcW w:w="980" w:type="dxa"/>
            <w:vAlign w:val="bottom"/>
            <w:tcBorders>
              <w:right w:val="single" w:sz="8" w:color="auto"/>
            </w:tcBorders>
            <w:shd w:val="clear" w:color="auto" w:fill="CCEEF0"/>
          </w:tcPr>
          <w:p>
            <w:pPr>
              <w:jc w:val="center"/>
              <w:ind w:right="98"/>
              <w:spacing w:after="0"/>
              <w:rPr>
                <w:sz w:val="20"/>
                <w:szCs w:val="20"/>
                <w:color w:val="auto"/>
              </w:rPr>
            </w:pPr>
            <w:r>
              <w:rPr>
                <w:rFonts w:ascii="Arial" w:cs="Arial" w:eastAsia="Arial" w:hAnsi="Arial"/>
                <w:sz w:val="12"/>
                <w:szCs w:val="12"/>
                <w:color w:val="auto"/>
              </w:rPr>
              <w:t>97,302</w:t>
            </w:r>
          </w:p>
        </w:tc>
        <w:tc>
          <w:tcPr>
            <w:tcW w:w="0" w:type="dxa"/>
            <w:vAlign w:val="bottom"/>
          </w:tcPr>
          <w:p>
            <w:pPr>
              <w:spacing w:after="0"/>
              <w:rPr>
                <w:sz w:val="1"/>
                <w:szCs w:val="1"/>
                <w:color w:val="auto"/>
              </w:rPr>
            </w:pPr>
          </w:p>
        </w:tc>
      </w:tr>
      <w:tr>
        <w:trPr>
          <w:trHeight w:val="119"/>
        </w:trPr>
        <w:tc>
          <w:tcPr>
            <w:tcW w:w="138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b w:val="1"/>
                <w:bCs w:val="1"/>
                <w:color w:val="auto"/>
              </w:rPr>
              <w:t>Kristine Martin</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7"/>
              </w:rPr>
              <w:t>17,723</w:t>
            </w:r>
          </w:p>
        </w:tc>
        <w:tc>
          <w:tcPr>
            <w:tcW w:w="1180" w:type="dxa"/>
            <w:vAlign w:val="bottom"/>
            <w:vMerge w:val="restart"/>
          </w:tcPr>
          <w:p>
            <w:pPr>
              <w:jc w:val="center"/>
              <w:ind w:right="78"/>
              <w:spacing w:after="0"/>
              <w:rPr>
                <w:sz w:val="20"/>
                <w:szCs w:val="20"/>
                <w:color w:val="auto"/>
              </w:rPr>
            </w:pPr>
            <w:r>
              <w:rPr>
                <w:rFonts w:ascii="Arial" w:cs="Arial" w:eastAsia="Arial" w:hAnsi="Arial"/>
                <w:sz w:val="12"/>
                <w:szCs w:val="12"/>
                <w:color w:val="auto"/>
                <w:w w:val="97"/>
              </w:rPr>
              <w:t>11,203</w:t>
            </w:r>
          </w:p>
        </w:tc>
        <w:tc>
          <w:tcPr>
            <w:tcW w:w="98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12"/>
                <w:szCs w:val="12"/>
                <w:color w:val="auto"/>
              </w:rPr>
              <w:t>28,926</w:t>
            </w:r>
          </w:p>
        </w:tc>
        <w:tc>
          <w:tcPr>
            <w:tcW w:w="0" w:type="dxa"/>
            <w:vAlign w:val="bottom"/>
          </w:tcPr>
          <w:p>
            <w:pPr>
              <w:spacing w:after="0"/>
              <w:rPr>
                <w:sz w:val="1"/>
                <w:szCs w:val="1"/>
                <w:color w:val="auto"/>
              </w:rPr>
            </w:pPr>
          </w:p>
        </w:tc>
      </w:tr>
      <w:tr>
        <w:trPr>
          <w:trHeight w:val="106"/>
        </w:trPr>
        <w:tc>
          <w:tcPr>
            <w:tcW w:w="1380" w:type="dxa"/>
            <w:vAlign w:val="bottom"/>
            <w:tcBorders>
              <w:lef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Anderson</w:t>
            </w:r>
          </w:p>
        </w:tc>
        <w:tc>
          <w:tcPr>
            <w:tcW w:w="11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380" w:type="dxa"/>
            <w:vAlign w:val="bottom"/>
            <w:tcBorders>
              <w:left w:val="single" w:sz="8" w:color="auto"/>
            </w:tcBorders>
            <w:vMerge w:val="continue"/>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380" w:type="dxa"/>
            <w:vAlign w:val="bottom"/>
            <w:tcBorders>
              <w:left w:val="single" w:sz="8" w:color="auto"/>
              <w:bottom w:val="single" w:sz="8" w:color="CCEEF0"/>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Richard C. Crowe</w:t>
            </w:r>
          </w:p>
        </w:tc>
        <w:tc>
          <w:tcPr>
            <w:tcW w:w="11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7"/>
              </w:rPr>
              <w:t>14,966</w:t>
            </w:r>
          </w:p>
        </w:tc>
        <w:tc>
          <w:tcPr>
            <w:tcW w:w="1180" w:type="dxa"/>
            <w:vAlign w:val="bottom"/>
            <w:tcBorders>
              <w:bottom w:val="single" w:sz="8" w:color="CCEEF0"/>
            </w:tcBorders>
            <w:shd w:val="clear" w:color="auto" w:fill="CCEEF0"/>
          </w:tcPr>
          <w:p>
            <w:pPr>
              <w:jc w:val="center"/>
              <w:ind w:right="58"/>
              <w:spacing w:after="0"/>
              <w:rPr>
                <w:sz w:val="20"/>
                <w:szCs w:val="20"/>
                <w:color w:val="auto"/>
              </w:rPr>
            </w:pPr>
            <w:r>
              <w:rPr>
                <w:rFonts w:ascii="Arial" w:cs="Arial" w:eastAsia="Arial" w:hAnsi="Arial"/>
                <w:sz w:val="12"/>
                <w:szCs w:val="12"/>
                <w:color w:val="auto"/>
                <w:w w:val="99"/>
              </w:rPr>
              <w:t>7,282</w:t>
            </w:r>
          </w:p>
        </w:tc>
        <w:tc>
          <w:tcPr>
            <w:tcW w:w="980" w:type="dxa"/>
            <w:vAlign w:val="bottom"/>
            <w:tcBorders>
              <w:bottom w:val="single" w:sz="8" w:color="CCEEF0"/>
              <w:right w:val="single" w:sz="8" w:color="auto"/>
            </w:tcBorders>
            <w:shd w:val="clear" w:color="auto" w:fill="CCEEF0"/>
          </w:tcPr>
          <w:p>
            <w:pPr>
              <w:jc w:val="center"/>
              <w:ind w:right="98"/>
              <w:spacing w:after="0"/>
              <w:rPr>
                <w:sz w:val="20"/>
                <w:szCs w:val="20"/>
                <w:color w:val="auto"/>
              </w:rPr>
            </w:pPr>
            <w:r>
              <w:rPr>
                <w:rFonts w:ascii="Arial" w:cs="Arial" w:eastAsia="Arial" w:hAnsi="Arial"/>
                <w:sz w:val="12"/>
                <w:szCs w:val="12"/>
                <w:color w:val="auto"/>
              </w:rPr>
              <w:t>22,248</w:t>
            </w: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Andrea D. Inserra</w:t>
            </w:r>
          </w:p>
        </w:tc>
        <w:tc>
          <w:tcPr>
            <w:tcW w:w="1140" w:type="dxa"/>
            <w:vAlign w:val="bottom"/>
          </w:tcPr>
          <w:p>
            <w:pPr>
              <w:jc w:val="center"/>
              <w:spacing w:after="0"/>
              <w:rPr>
                <w:sz w:val="20"/>
                <w:szCs w:val="20"/>
                <w:color w:val="auto"/>
              </w:rPr>
            </w:pPr>
            <w:r>
              <w:rPr>
                <w:rFonts w:ascii="Arial" w:cs="Arial" w:eastAsia="Arial" w:hAnsi="Arial"/>
                <w:sz w:val="12"/>
                <w:szCs w:val="12"/>
                <w:color w:val="auto"/>
              </w:rPr>
              <w:t>1,785</w:t>
            </w:r>
          </w:p>
        </w:tc>
        <w:tc>
          <w:tcPr>
            <w:tcW w:w="1180" w:type="dxa"/>
            <w:vAlign w:val="bottom"/>
          </w:tcPr>
          <w:p>
            <w:pPr>
              <w:jc w:val="center"/>
              <w:ind w:right="58"/>
              <w:spacing w:after="0"/>
              <w:rPr>
                <w:sz w:val="20"/>
                <w:szCs w:val="20"/>
                <w:color w:val="auto"/>
              </w:rPr>
            </w:pPr>
            <w:r>
              <w:rPr>
                <w:rFonts w:ascii="Arial" w:cs="Arial" w:eastAsia="Arial" w:hAnsi="Arial"/>
                <w:sz w:val="12"/>
                <w:szCs w:val="12"/>
                <w:color w:val="auto"/>
                <w:w w:val="99"/>
              </w:rPr>
              <w:t>6,722</w:t>
            </w:r>
          </w:p>
        </w:tc>
        <w:tc>
          <w:tcPr>
            <w:tcW w:w="98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rPr>
              <w:t>8,507</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80" w:type="dxa"/>
            <w:vAlign w:val="bottom"/>
            <w:tcBorders>
              <w:left w:val="single" w:sz="8" w:color="auto"/>
              <w:bottom w:val="single" w:sz="8" w:color="CCEEF0"/>
            </w:tcBorders>
            <w:shd w:val="clear" w:color="auto" w:fill="CCEEF0"/>
          </w:tcPr>
          <w:p>
            <w:pPr>
              <w:ind w:left="20"/>
              <w:spacing w:after="0"/>
              <w:rPr>
                <w:sz w:val="20"/>
                <w:szCs w:val="20"/>
                <w:color w:val="auto"/>
              </w:rPr>
            </w:pPr>
            <w:r>
              <w:rPr>
                <w:rFonts w:ascii="Arial" w:cs="Arial" w:eastAsia="Arial" w:hAnsi="Arial"/>
                <w:sz w:val="12"/>
                <w:szCs w:val="12"/>
                <w:b w:val="1"/>
                <w:bCs w:val="1"/>
                <w:color w:val="auto"/>
              </w:rPr>
              <w:t>Thomas J. Pfeifer</w:t>
            </w:r>
          </w:p>
        </w:tc>
        <w:tc>
          <w:tcPr>
            <w:tcW w:w="114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rPr>
              <w:t>4,726</w:t>
            </w:r>
          </w:p>
        </w:tc>
        <w:tc>
          <w:tcPr>
            <w:tcW w:w="1180" w:type="dxa"/>
            <w:vAlign w:val="bottom"/>
            <w:tcBorders>
              <w:bottom w:val="single" w:sz="8" w:color="CCEEF0"/>
            </w:tcBorders>
            <w:shd w:val="clear" w:color="auto" w:fill="CCEEF0"/>
          </w:tcPr>
          <w:p>
            <w:pPr>
              <w:jc w:val="center"/>
              <w:ind w:right="58"/>
              <w:spacing w:after="0"/>
              <w:rPr>
                <w:sz w:val="20"/>
                <w:szCs w:val="20"/>
                <w:color w:val="auto"/>
              </w:rPr>
            </w:pPr>
            <w:r>
              <w:rPr>
                <w:rFonts w:ascii="Arial" w:cs="Arial" w:eastAsia="Arial" w:hAnsi="Arial"/>
                <w:sz w:val="12"/>
                <w:szCs w:val="12"/>
                <w:color w:val="auto"/>
                <w:w w:val="99"/>
              </w:rPr>
              <w:t>7,282</w:t>
            </w:r>
          </w:p>
        </w:tc>
        <w:tc>
          <w:tcPr>
            <w:tcW w:w="980" w:type="dxa"/>
            <w:vAlign w:val="bottom"/>
            <w:tcBorders>
              <w:bottom w:val="single" w:sz="8" w:color="CCEEF0"/>
              <w:right w:val="single" w:sz="8" w:color="auto"/>
            </w:tcBorders>
            <w:shd w:val="clear" w:color="auto" w:fill="CCEEF0"/>
          </w:tcPr>
          <w:p>
            <w:pPr>
              <w:jc w:val="center"/>
              <w:ind w:right="98"/>
              <w:spacing w:after="0"/>
              <w:rPr>
                <w:sz w:val="20"/>
                <w:szCs w:val="20"/>
                <w:color w:val="auto"/>
              </w:rPr>
            </w:pPr>
            <w:r>
              <w:rPr>
                <w:rFonts w:ascii="Arial" w:cs="Arial" w:eastAsia="Arial" w:hAnsi="Arial"/>
                <w:sz w:val="12"/>
                <w:szCs w:val="12"/>
                <w:color w:val="auto"/>
              </w:rPr>
              <w:t>12,008</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320"/>
        <w:spacing w:after="0" w:line="262" w:lineRule="auto"/>
        <w:rPr>
          <w:sz w:val="20"/>
          <w:szCs w:val="20"/>
          <w:color w:val="auto"/>
        </w:rPr>
      </w:pPr>
      <w:r>
        <w:rPr>
          <w:rFonts w:ascii="Arial" w:cs="Arial" w:eastAsia="Arial" w:hAnsi="Arial"/>
          <w:sz w:val="13"/>
          <w:szCs w:val="13"/>
          <w:color w:val="auto"/>
        </w:rPr>
        <w:t>For performance-based restricted stock units granted in fiscal year 2025, vesting opportunity ranges from 0-240% based on actual performance during the three-year performance period compared to the three-year cumulative Adjusted EBITDA and Revenue performance financial goals and a relative Total Shareholder Return multiplier relative to the S&amp;P Software and Services Select Industry Index. For performance-based restricted stock units granted in fiscal year 2026, vesting opportunity ranges from 0-240% based on actual performance during the three-year performance period compared to the annual growth rate over three years for Adjusted EBITDA and Revenue performance financial goals and a relative Total Shareholder Return multiplier relative to the S&amp;P Software and Services Select Industry Index. Upon a change in control, the unvested performance-based restricted stock units will be treated as set forth above under the heading "Certain Change in Control Provisions — Equity Awards."</w:t>
      </w:r>
    </w:p>
    <w:p>
      <w:pPr>
        <w:spacing w:after="0" w:line="80" w:lineRule="exact"/>
        <w:rPr>
          <w:sz w:val="20"/>
          <w:szCs w:val="20"/>
          <w:color w:val="auto"/>
        </w:rPr>
      </w:pPr>
    </w:p>
    <w:p>
      <w:pPr>
        <w:ind w:left="320" w:hanging="316"/>
        <w:spacing w:after="0" w:line="293" w:lineRule="auto"/>
        <w:tabs>
          <w:tab w:leader="none" w:pos="331"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market value reported in this column has been determined based on threshold performance of 50% for fiscal year 2025 and at target performance of 100% for fiscal year 2026, rounded down to the nearest whole share, using the fair market value of our common stock on March 31, 2026 of $78.03.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66666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67945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560" w:top="881" w:right="339" w:bottom="1440" w:gutter="0" w:footer="0" w:header="0"/>
        </w:sectPr>
      </w:pPr>
    </w:p>
    <w:bookmarkStart w:id="64" w:name="page65"/>
    <w:bookmarkEnd w:id="64"/>
    <w:p>
      <w:pPr>
        <w:ind w:left="320"/>
        <w:spacing w:after="0"/>
        <w:rPr>
          <w:sz w:val="20"/>
          <w:szCs w:val="20"/>
          <w:color w:val="auto"/>
        </w:rPr>
      </w:pPr>
      <w:r>
        <w:rPr>
          <w:rFonts w:ascii="Arial" w:cs="Arial" w:eastAsia="Arial" w:hAnsi="Arial"/>
          <w:sz w:val="19"/>
          <w:szCs w:val="19"/>
          <w:color w:val="00A5B5"/>
        </w:rPr>
        <w:t>Option Exercises and Stock Vested Table</w:t>
      </w:r>
    </w:p>
    <w:p>
      <w:pPr>
        <w:spacing w:after="0" w:line="18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table below provides information on vesting of the restricted stock units and exercise of the stock options of each of our named executive officers during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97155</wp:posOffset>
            </wp:positionV>
            <wp:extent cx="5857875" cy="1202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57875" cy="1202055"/>
                    </a:xfrm>
                    <a:prstGeom prst="rect">
                      <a:avLst/>
                    </a:prstGeom>
                    <a:noFill/>
                  </pic:spPr>
                </pic:pic>
              </a:graphicData>
            </a:graphic>
          </wp:anchor>
        </w:drawing>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OPTION EXERCISES AND STOCK VESTED TABLE</w:t>
      </w:r>
    </w:p>
    <w:p>
      <w:pPr>
        <w:spacing w:after="0" w:line="49"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2200" w:type="dxa"/>
            <w:vAlign w:val="bottom"/>
            <w:shd w:val="clear" w:color="auto" w:fill="00A5B5"/>
          </w:tcPr>
          <w:p>
            <w:pPr>
              <w:spacing w:after="0"/>
              <w:rPr>
                <w:sz w:val="14"/>
                <w:szCs w:val="14"/>
                <w:color w:val="auto"/>
              </w:rPr>
            </w:pPr>
          </w:p>
        </w:tc>
        <w:tc>
          <w:tcPr>
            <w:tcW w:w="3460" w:type="dxa"/>
            <w:vAlign w:val="bottom"/>
            <w:gridSpan w:val="2"/>
          </w:tcPr>
          <w:p>
            <w:pPr>
              <w:ind w:left="1260"/>
              <w:spacing w:after="0"/>
              <w:rPr>
                <w:sz w:val="20"/>
                <w:szCs w:val="20"/>
                <w:color w:val="auto"/>
              </w:rPr>
            </w:pPr>
            <w:r>
              <w:rPr>
                <w:rFonts w:ascii="Arial" w:cs="Arial" w:eastAsia="Arial" w:hAnsi="Arial"/>
                <w:sz w:val="12"/>
                <w:szCs w:val="12"/>
                <w:b w:val="1"/>
                <w:bCs w:val="1"/>
                <w:color w:val="FFFFFF"/>
              </w:rPr>
              <w:t>Option Awards</w:t>
            </w:r>
          </w:p>
        </w:tc>
        <w:tc>
          <w:tcPr>
            <w:tcW w:w="3560" w:type="dxa"/>
            <w:vAlign w:val="bottom"/>
            <w:gridSpan w:val="2"/>
          </w:tcPr>
          <w:p>
            <w:pPr>
              <w:ind w:left="1440"/>
              <w:spacing w:after="0"/>
              <w:rPr>
                <w:sz w:val="20"/>
                <w:szCs w:val="20"/>
                <w:color w:val="auto"/>
              </w:rPr>
            </w:pPr>
            <w:r>
              <w:rPr>
                <w:rFonts w:ascii="Arial" w:cs="Arial" w:eastAsia="Arial" w:hAnsi="Arial"/>
                <w:sz w:val="12"/>
                <w:szCs w:val="12"/>
                <w:b w:val="1"/>
                <w:bCs w:val="1"/>
                <w:color w:val="FFFFFF"/>
              </w:rPr>
              <w:t>Stock Awards</w:t>
            </w:r>
          </w:p>
        </w:tc>
        <w:tc>
          <w:tcPr>
            <w:tcW w:w="0" w:type="dxa"/>
            <w:vAlign w:val="bottom"/>
          </w:tcPr>
          <w:p>
            <w:pPr>
              <w:spacing w:after="0"/>
              <w:rPr>
                <w:sz w:val="1"/>
                <w:szCs w:val="1"/>
                <w:color w:val="auto"/>
              </w:rPr>
            </w:pPr>
          </w:p>
        </w:tc>
      </w:tr>
      <w:tr>
        <w:trPr>
          <w:trHeight w:val="119"/>
        </w:trPr>
        <w:tc>
          <w:tcPr>
            <w:tcW w:w="2200" w:type="dxa"/>
            <w:vAlign w:val="bottom"/>
            <w:shd w:val="clear" w:color="auto" w:fill="00A5B5"/>
          </w:tcPr>
          <w:p>
            <w:pPr>
              <w:spacing w:after="0"/>
              <w:rPr>
                <w:sz w:val="10"/>
                <w:szCs w:val="10"/>
                <w:color w:val="auto"/>
              </w:rPr>
            </w:pPr>
          </w:p>
        </w:tc>
        <w:tc>
          <w:tcPr>
            <w:tcW w:w="174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Number of Shares</w:t>
            </w:r>
          </w:p>
        </w:tc>
        <w:tc>
          <w:tcPr>
            <w:tcW w:w="1720" w:type="dxa"/>
            <w:vAlign w:val="bottom"/>
            <w:shd w:val="clear" w:color="auto" w:fill="00A5B5"/>
          </w:tcPr>
          <w:p>
            <w:pPr>
              <w:jc w:val="center"/>
              <w:ind w:right="58"/>
              <w:spacing w:after="0" w:line="120" w:lineRule="exact"/>
              <w:rPr>
                <w:sz w:val="20"/>
                <w:szCs w:val="20"/>
                <w:color w:val="auto"/>
              </w:rPr>
            </w:pPr>
            <w:r>
              <w:rPr>
                <w:rFonts w:ascii="Arial" w:cs="Arial" w:eastAsia="Arial" w:hAnsi="Arial"/>
                <w:sz w:val="12"/>
                <w:szCs w:val="12"/>
                <w:b w:val="1"/>
                <w:bCs w:val="1"/>
                <w:color w:val="FFFFFF"/>
              </w:rPr>
              <w:t>Value Realized on</w:t>
            </w:r>
          </w:p>
        </w:tc>
        <w:tc>
          <w:tcPr>
            <w:tcW w:w="1900" w:type="dxa"/>
            <w:vAlign w:val="bottom"/>
            <w:shd w:val="clear" w:color="auto" w:fill="00A5B5"/>
          </w:tcPr>
          <w:p>
            <w:pPr>
              <w:jc w:val="center"/>
              <w:ind w:left="58"/>
              <w:spacing w:after="0" w:line="120" w:lineRule="exact"/>
              <w:rPr>
                <w:sz w:val="20"/>
                <w:szCs w:val="20"/>
                <w:color w:val="auto"/>
              </w:rPr>
            </w:pPr>
            <w:r>
              <w:rPr>
                <w:rFonts w:ascii="Arial" w:cs="Arial" w:eastAsia="Arial" w:hAnsi="Arial"/>
                <w:sz w:val="12"/>
                <w:szCs w:val="12"/>
                <w:b w:val="1"/>
                <w:bCs w:val="1"/>
                <w:color w:val="FFFFFF"/>
              </w:rPr>
              <w:t>Number of Shares</w:t>
            </w:r>
          </w:p>
        </w:tc>
        <w:tc>
          <w:tcPr>
            <w:tcW w:w="16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Value Realized on</w:t>
            </w:r>
          </w:p>
        </w:tc>
        <w:tc>
          <w:tcPr>
            <w:tcW w:w="0" w:type="dxa"/>
            <w:vAlign w:val="bottom"/>
          </w:tcPr>
          <w:p>
            <w:pPr>
              <w:spacing w:after="0"/>
              <w:rPr>
                <w:sz w:val="1"/>
                <w:szCs w:val="1"/>
                <w:color w:val="auto"/>
              </w:rPr>
            </w:pPr>
          </w:p>
        </w:tc>
      </w:tr>
      <w:tr>
        <w:trPr>
          <w:trHeight w:val="119"/>
        </w:trPr>
        <w:tc>
          <w:tcPr>
            <w:tcW w:w="2200" w:type="dxa"/>
            <w:vAlign w:val="bottom"/>
            <w:vMerge w:val="restart"/>
            <w:shd w:val="clear" w:color="auto" w:fill="00A5B5"/>
          </w:tcPr>
          <w:p>
            <w:pPr>
              <w:ind w:left="20"/>
              <w:spacing w:after="0"/>
              <w:rPr>
                <w:sz w:val="20"/>
                <w:szCs w:val="20"/>
                <w:color w:val="auto"/>
              </w:rPr>
            </w:pPr>
            <w:r>
              <w:rPr>
                <w:rFonts w:ascii="Arial" w:cs="Arial" w:eastAsia="Arial" w:hAnsi="Arial"/>
                <w:sz w:val="12"/>
                <w:szCs w:val="12"/>
                <w:b w:val="1"/>
                <w:bCs w:val="1"/>
                <w:color w:val="FFFFFF"/>
              </w:rPr>
              <w:t>Name</w:t>
            </w:r>
          </w:p>
        </w:tc>
        <w:tc>
          <w:tcPr>
            <w:tcW w:w="174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Acquired on Exercise</w:t>
            </w:r>
          </w:p>
        </w:tc>
        <w:tc>
          <w:tcPr>
            <w:tcW w:w="1720" w:type="dxa"/>
            <w:vAlign w:val="bottom"/>
            <w:shd w:val="clear" w:color="auto" w:fill="00A5B5"/>
          </w:tcPr>
          <w:p>
            <w:pPr>
              <w:jc w:val="center"/>
              <w:ind w:right="58"/>
              <w:spacing w:after="0" w:line="120" w:lineRule="exact"/>
              <w:rPr>
                <w:sz w:val="20"/>
                <w:szCs w:val="20"/>
                <w:color w:val="auto"/>
              </w:rPr>
            </w:pPr>
            <w:r>
              <w:rPr>
                <w:rFonts w:ascii="Arial" w:cs="Arial" w:eastAsia="Arial" w:hAnsi="Arial"/>
                <w:sz w:val="12"/>
                <w:szCs w:val="12"/>
                <w:b w:val="1"/>
                <w:bCs w:val="1"/>
                <w:color w:val="FFFFFF"/>
              </w:rPr>
              <w:t>Exercise</w:t>
            </w:r>
          </w:p>
        </w:tc>
        <w:tc>
          <w:tcPr>
            <w:tcW w:w="1900" w:type="dxa"/>
            <w:vAlign w:val="bottom"/>
            <w:shd w:val="clear" w:color="auto" w:fill="00A5B5"/>
          </w:tcPr>
          <w:p>
            <w:pPr>
              <w:jc w:val="center"/>
              <w:ind w:left="58"/>
              <w:spacing w:after="0" w:line="120" w:lineRule="exact"/>
              <w:rPr>
                <w:sz w:val="20"/>
                <w:szCs w:val="20"/>
                <w:color w:val="auto"/>
              </w:rPr>
            </w:pPr>
            <w:r>
              <w:rPr>
                <w:rFonts w:ascii="Arial" w:cs="Arial" w:eastAsia="Arial" w:hAnsi="Arial"/>
                <w:sz w:val="12"/>
                <w:szCs w:val="12"/>
                <w:b w:val="1"/>
                <w:bCs w:val="1"/>
                <w:color w:val="FFFFFF"/>
              </w:rPr>
              <w:t>Acquired on Vesting</w:t>
            </w:r>
          </w:p>
        </w:tc>
        <w:tc>
          <w:tcPr>
            <w:tcW w:w="1660" w:type="dxa"/>
            <w:vAlign w:val="bottom"/>
            <w:shd w:val="clear" w:color="auto" w:fill="00A5B5"/>
          </w:tcPr>
          <w:p>
            <w:pPr>
              <w:jc w:val="center"/>
              <w:spacing w:after="0" w:line="119" w:lineRule="exact"/>
              <w:rPr>
                <w:sz w:val="20"/>
                <w:szCs w:val="20"/>
                <w:color w:val="auto"/>
              </w:rPr>
            </w:pPr>
            <w:r>
              <w:rPr>
                <w:rFonts w:ascii="Arial" w:cs="Arial" w:eastAsia="Arial" w:hAnsi="Arial"/>
                <w:sz w:val="10"/>
                <w:szCs w:val="10"/>
                <w:b w:val="1"/>
                <w:bCs w:val="1"/>
                <w:color w:val="FFFFFF"/>
              </w:rPr>
              <w:t xml:space="preserve">Vesting </w:t>
            </w:r>
            <w:r>
              <w:rPr>
                <w:rFonts w:ascii="Arial" w:cs="Arial" w:eastAsia="Arial" w:hAnsi="Arial"/>
                <w:sz w:val="13"/>
                <w:szCs w:val="13"/>
                <w:b w:val="1"/>
                <w:bCs w:val="1"/>
                <w:color w:val="FFFFFF"/>
                <w:vertAlign w:val="superscript"/>
              </w:rPr>
              <w:t>2</w:t>
            </w:r>
          </w:p>
        </w:tc>
        <w:tc>
          <w:tcPr>
            <w:tcW w:w="0" w:type="dxa"/>
            <w:vAlign w:val="bottom"/>
          </w:tcPr>
          <w:p>
            <w:pPr>
              <w:spacing w:after="0"/>
              <w:rPr>
                <w:sz w:val="1"/>
                <w:szCs w:val="1"/>
                <w:color w:val="auto"/>
              </w:rPr>
            </w:pPr>
          </w:p>
        </w:tc>
      </w:tr>
      <w:tr>
        <w:trPr>
          <w:trHeight w:val="185"/>
        </w:trPr>
        <w:tc>
          <w:tcPr>
            <w:tcW w:w="2200" w:type="dxa"/>
            <w:vAlign w:val="bottom"/>
            <w:tcBorders>
              <w:bottom w:val="single" w:sz="8" w:color="auto"/>
            </w:tcBorders>
            <w:vMerge w:val="continue"/>
            <w:shd w:val="clear" w:color="auto" w:fill="00A5B5"/>
          </w:tcPr>
          <w:p>
            <w:pPr>
              <w:spacing w:after="0"/>
              <w:rPr>
                <w:sz w:val="16"/>
                <w:szCs w:val="16"/>
                <w:color w:val="auto"/>
              </w:rPr>
            </w:pPr>
          </w:p>
        </w:tc>
        <w:tc>
          <w:tcPr>
            <w:tcW w:w="174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1720" w:type="dxa"/>
            <w:vAlign w:val="bottom"/>
            <w:tcBorders>
              <w:bottom w:val="single" w:sz="8" w:color="auto"/>
            </w:tcBorders>
            <w:shd w:val="clear" w:color="auto" w:fill="00A5B5"/>
          </w:tcPr>
          <w:p>
            <w:pPr>
              <w:jc w:val="center"/>
              <w:ind w:right="58"/>
              <w:spacing w:after="0"/>
              <w:rPr>
                <w:sz w:val="20"/>
                <w:szCs w:val="20"/>
                <w:color w:val="auto"/>
              </w:rPr>
            </w:pPr>
            <w:r>
              <w:rPr>
                <w:rFonts w:ascii="Arial" w:cs="Arial" w:eastAsia="Arial" w:hAnsi="Arial"/>
                <w:sz w:val="12"/>
                <w:szCs w:val="12"/>
                <w:b w:val="1"/>
                <w:bCs w:val="1"/>
                <w:color w:val="FFFFFF"/>
              </w:rPr>
              <w:t>($)</w:t>
            </w:r>
          </w:p>
        </w:tc>
        <w:tc>
          <w:tcPr>
            <w:tcW w:w="1900" w:type="dxa"/>
            <w:vAlign w:val="bottom"/>
            <w:tcBorders>
              <w:bottom w:val="single" w:sz="8" w:color="auto"/>
            </w:tcBorders>
            <w:shd w:val="clear" w:color="auto" w:fill="00A5B5"/>
          </w:tcPr>
          <w:p>
            <w:pPr>
              <w:jc w:val="center"/>
              <w:ind w:left="58"/>
              <w:spacing w:after="0"/>
              <w:rPr>
                <w:sz w:val="20"/>
                <w:szCs w:val="20"/>
                <w:color w:val="auto"/>
              </w:rPr>
            </w:pPr>
            <w:r>
              <w:rPr>
                <w:rFonts w:ascii="Arial" w:cs="Arial" w:eastAsia="Arial" w:hAnsi="Arial"/>
                <w:sz w:val="12"/>
                <w:szCs w:val="12"/>
                <w:b w:val="1"/>
                <w:bCs w:val="1"/>
                <w:color w:val="FFFFFF"/>
                <w:w w:val="87"/>
              </w:rPr>
              <w:t>(#)</w:t>
            </w:r>
            <w:r>
              <w:rPr>
                <w:rFonts w:ascii="Arial" w:cs="Arial" w:eastAsia="Arial" w:hAnsi="Arial"/>
                <w:sz w:val="16"/>
                <w:szCs w:val="16"/>
                <w:b w:val="1"/>
                <w:bCs w:val="1"/>
                <w:color w:val="FFFFFF"/>
                <w:w w:val="87"/>
                <w:vertAlign w:val="superscript"/>
              </w:rPr>
              <w:t>1</w:t>
            </w:r>
          </w:p>
        </w:tc>
        <w:tc>
          <w:tcPr>
            <w:tcW w:w="166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65"/>
        </w:trPr>
        <w:tc>
          <w:tcPr>
            <w:tcW w:w="220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Horacio D. Rozanski</w:t>
            </w:r>
          </w:p>
        </w:tc>
        <w:tc>
          <w:tcPr>
            <w:tcW w:w="17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shd w:val="clear" w:color="auto" w:fill="CCEEF0"/>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0"/>
          </w:tcPr>
          <w:p>
            <w:pPr>
              <w:jc w:val="center"/>
              <w:ind w:left="58"/>
              <w:spacing w:after="0"/>
              <w:rPr>
                <w:sz w:val="20"/>
                <w:szCs w:val="20"/>
                <w:color w:val="auto"/>
              </w:rPr>
            </w:pPr>
            <w:r>
              <w:rPr>
                <w:rFonts w:ascii="Arial" w:cs="Arial" w:eastAsia="Arial" w:hAnsi="Arial"/>
                <w:sz w:val="12"/>
                <w:szCs w:val="12"/>
                <w:color w:val="auto"/>
              </w:rPr>
              <w:t>157,268</w:t>
            </w:r>
          </w:p>
        </w:tc>
        <w:tc>
          <w:tcPr>
            <w:tcW w:w="16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12,145,339</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Kristine Martin Anderson</w:t>
            </w:r>
          </w:p>
        </w:tc>
        <w:tc>
          <w:tcPr>
            <w:tcW w:w="1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left="58"/>
              <w:spacing w:after="0"/>
              <w:rPr>
                <w:sz w:val="20"/>
                <w:szCs w:val="20"/>
                <w:color w:val="auto"/>
              </w:rPr>
            </w:pPr>
            <w:r>
              <w:rPr>
                <w:rFonts w:ascii="Arial" w:cs="Arial" w:eastAsia="Arial" w:hAnsi="Arial"/>
                <w:sz w:val="12"/>
                <w:szCs w:val="12"/>
                <w:color w:val="auto"/>
              </w:rPr>
              <w:t>40,372</w:t>
            </w:r>
          </w:p>
        </w:tc>
        <w:tc>
          <w:tcPr>
            <w:tcW w:w="1660" w:type="dxa"/>
            <w:vAlign w:val="bottom"/>
          </w:tcPr>
          <w:p>
            <w:pPr>
              <w:jc w:val="center"/>
              <w:spacing w:after="0"/>
              <w:rPr>
                <w:sz w:val="20"/>
                <w:szCs w:val="20"/>
                <w:color w:val="auto"/>
              </w:rPr>
            </w:pPr>
            <w:r>
              <w:rPr>
                <w:rFonts w:ascii="Arial" w:cs="Arial" w:eastAsia="Arial" w:hAnsi="Arial"/>
                <w:sz w:val="12"/>
                <w:szCs w:val="12"/>
                <w:color w:val="auto"/>
              </w:rPr>
              <w:t>3,390,413</w:t>
            </w:r>
          </w:p>
        </w:tc>
        <w:tc>
          <w:tcPr>
            <w:tcW w:w="0" w:type="dxa"/>
            <w:vAlign w:val="bottom"/>
          </w:tcPr>
          <w:p>
            <w:pPr>
              <w:spacing w:after="0"/>
              <w:rPr>
                <w:sz w:val="1"/>
                <w:szCs w:val="1"/>
                <w:color w:val="auto"/>
              </w:rPr>
            </w:pPr>
          </w:p>
        </w:tc>
      </w:tr>
      <w:tr>
        <w:trPr>
          <w:trHeight w:val="173"/>
        </w:trPr>
        <w:tc>
          <w:tcPr>
            <w:tcW w:w="220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Richard C. Crowe</w:t>
            </w:r>
          </w:p>
        </w:tc>
        <w:tc>
          <w:tcPr>
            <w:tcW w:w="17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shd w:val="clear" w:color="auto" w:fill="CCEEF0"/>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0"/>
          </w:tcPr>
          <w:p>
            <w:pPr>
              <w:jc w:val="center"/>
              <w:ind w:left="58"/>
              <w:spacing w:after="0"/>
              <w:rPr>
                <w:sz w:val="20"/>
                <w:szCs w:val="20"/>
                <w:color w:val="auto"/>
              </w:rPr>
            </w:pPr>
            <w:r>
              <w:rPr>
                <w:rFonts w:ascii="Arial" w:cs="Arial" w:eastAsia="Arial" w:hAnsi="Arial"/>
                <w:sz w:val="12"/>
                <w:szCs w:val="12"/>
                <w:color w:val="auto"/>
              </w:rPr>
              <w:t>20,516</w:t>
            </w:r>
          </w:p>
        </w:tc>
        <w:tc>
          <w:tcPr>
            <w:tcW w:w="16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1,587,554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Andrea D. Inserra</w:t>
            </w:r>
          </w:p>
        </w:tc>
        <w:tc>
          <w:tcPr>
            <w:tcW w:w="1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left="58"/>
              <w:spacing w:after="0"/>
              <w:rPr>
                <w:sz w:val="20"/>
                <w:szCs w:val="20"/>
                <w:color w:val="auto"/>
              </w:rPr>
            </w:pPr>
            <w:r>
              <w:rPr>
                <w:rFonts w:ascii="Arial" w:cs="Arial" w:eastAsia="Arial" w:hAnsi="Arial"/>
                <w:sz w:val="12"/>
                <w:szCs w:val="12"/>
                <w:color w:val="auto"/>
                <w:w w:val="99"/>
              </w:rPr>
              <w:t>5,343</w:t>
            </w:r>
          </w:p>
        </w:tc>
        <w:tc>
          <w:tcPr>
            <w:tcW w:w="1660" w:type="dxa"/>
            <w:vAlign w:val="bottom"/>
          </w:tcPr>
          <w:p>
            <w:pPr>
              <w:jc w:val="center"/>
              <w:spacing w:after="0"/>
              <w:rPr>
                <w:sz w:val="20"/>
                <w:szCs w:val="20"/>
                <w:color w:val="auto"/>
              </w:rPr>
            </w:pPr>
            <w:r>
              <w:rPr>
                <w:rFonts w:ascii="Arial" w:cs="Arial" w:eastAsia="Arial" w:hAnsi="Arial"/>
                <w:sz w:val="12"/>
                <w:szCs w:val="12"/>
                <w:color w:val="auto"/>
              </w:rPr>
              <w:t>413,948</w:t>
            </w:r>
          </w:p>
        </w:tc>
        <w:tc>
          <w:tcPr>
            <w:tcW w:w="0" w:type="dxa"/>
            <w:vAlign w:val="bottom"/>
          </w:tcPr>
          <w:p>
            <w:pPr>
              <w:spacing w:after="0"/>
              <w:rPr>
                <w:sz w:val="1"/>
                <w:szCs w:val="1"/>
                <w:color w:val="auto"/>
              </w:rPr>
            </w:pPr>
          </w:p>
        </w:tc>
      </w:tr>
      <w:tr>
        <w:trPr>
          <w:trHeight w:val="173"/>
        </w:trPr>
        <w:tc>
          <w:tcPr>
            <w:tcW w:w="220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Thomas J. Pfeifer</w:t>
            </w:r>
          </w:p>
        </w:tc>
        <w:tc>
          <w:tcPr>
            <w:tcW w:w="17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shd w:val="clear" w:color="auto" w:fill="CCEEF0"/>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0"/>
          </w:tcPr>
          <w:p>
            <w:pPr>
              <w:jc w:val="center"/>
              <w:ind w:left="58"/>
              <w:spacing w:after="0"/>
              <w:rPr>
                <w:sz w:val="20"/>
                <w:szCs w:val="20"/>
                <w:color w:val="auto"/>
              </w:rPr>
            </w:pPr>
            <w:r>
              <w:rPr>
                <w:rFonts w:ascii="Arial" w:cs="Arial" w:eastAsia="Arial" w:hAnsi="Arial"/>
                <w:sz w:val="12"/>
                <w:szCs w:val="12"/>
                <w:color w:val="auto"/>
              </w:rPr>
              <w:t>14,109</w:t>
            </w:r>
          </w:p>
        </w:tc>
        <w:tc>
          <w:tcPr>
            <w:tcW w:w="16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1,090,401</w:t>
            </w:r>
          </w:p>
        </w:tc>
        <w:tc>
          <w:tcPr>
            <w:tcW w:w="0" w:type="dxa"/>
            <w:vAlign w:val="bottom"/>
          </w:tcPr>
          <w:p>
            <w:pPr>
              <w:spacing w:after="0"/>
              <w:rPr>
                <w:sz w:val="1"/>
                <w:szCs w:val="1"/>
                <w:color w:val="auto"/>
              </w:rPr>
            </w:pPr>
          </w:p>
        </w:tc>
      </w:tr>
      <w:tr>
        <w:trPr>
          <w:trHeight w:val="170"/>
        </w:trPr>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Matthew A. Calderone</w:t>
            </w:r>
          </w:p>
        </w:tc>
        <w:tc>
          <w:tcPr>
            <w:tcW w:w="17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720" w:type="dxa"/>
            <w:vAlign w:val="bottom"/>
          </w:tcPr>
          <w:p>
            <w:pPr>
              <w:jc w:val="center"/>
              <w:ind w:right="58"/>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left="58"/>
              <w:spacing w:after="0"/>
              <w:rPr>
                <w:sz w:val="20"/>
                <w:szCs w:val="20"/>
                <w:color w:val="auto"/>
              </w:rPr>
            </w:pPr>
            <w:r>
              <w:rPr>
                <w:rFonts w:ascii="Arial" w:cs="Arial" w:eastAsia="Arial" w:hAnsi="Arial"/>
                <w:sz w:val="12"/>
                <w:szCs w:val="12"/>
                <w:color w:val="auto"/>
                <w:w w:val="99"/>
              </w:rPr>
              <w:t>3,567</w:t>
            </w:r>
          </w:p>
        </w:tc>
        <w:tc>
          <w:tcPr>
            <w:tcW w:w="1660" w:type="dxa"/>
            <w:vAlign w:val="bottom"/>
          </w:tcPr>
          <w:p>
            <w:pPr>
              <w:jc w:val="center"/>
              <w:spacing w:after="0"/>
              <w:rPr>
                <w:sz w:val="20"/>
                <w:szCs w:val="20"/>
                <w:color w:val="auto"/>
              </w:rPr>
            </w:pPr>
            <w:r>
              <w:rPr>
                <w:rFonts w:ascii="Arial" w:cs="Arial" w:eastAsia="Arial" w:hAnsi="Arial"/>
                <w:sz w:val="12"/>
                <w:szCs w:val="12"/>
                <w:color w:val="auto"/>
              </w:rPr>
              <w:t>278,333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hanging="316"/>
        <w:spacing w:after="0" w:line="293" w:lineRule="auto"/>
        <w:tabs>
          <w:tab w:leader="none" w:pos="563"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performance-based restricted stock units earned by our named executive officers, as applicable, in connection with the fiscal years 2024-2026 performance period that vested on March 31, 2026 for all named executive officers and a portion of the time-based restricted stock units granted in previous fiscal years that vested on March 31, 2026.</w:t>
      </w:r>
    </w:p>
    <w:p>
      <w:pPr>
        <w:spacing w:after="0" w:line="58" w:lineRule="exact"/>
        <w:rPr>
          <w:rFonts w:ascii="Arial" w:cs="Arial" w:eastAsia="Arial" w:hAnsi="Arial"/>
          <w:sz w:val="13"/>
          <w:szCs w:val="13"/>
          <w:color w:val="auto"/>
        </w:rPr>
      </w:pPr>
    </w:p>
    <w:p>
      <w:pPr>
        <w:ind w:left="560" w:hanging="316"/>
        <w:spacing w:after="0" w:line="293" w:lineRule="auto"/>
        <w:tabs>
          <w:tab w:leader="none" w:pos="563"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value realized on vesting is calculated based on fair market value on the last trading day of the fiscal year, March 31, 2026, for time-based restricted stock units and fair market value on the applicable vesting date, May 19, 2026, for performance-based restricted stock units, multiplied by the number of shares of our common stock underlying such award.</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19"/>
          <w:szCs w:val="19"/>
          <w:color w:val="00A5B5"/>
        </w:rPr>
        <w:t>Pension Benefits Table</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Officers’ Retirement Plan is an unfunded defined benefit retirement plan that we maintain for our executives. Under the Officers’ Retirement Plan, if any of the fiscal year 2026 named executive officers retire of his or her own volition (and is not entitled to severance) after a minimum of either (a) age 60 with five years of service as an executive, or (b) age 50 with 10 years of service as an executive, such executive will be entitled to receive a single lump sum retirement payment equal to $20,000 for each year of service as an executive, pro -rated as appropriate. As of fiscal year-end, all of the fiscal year 2026 named executive officers are eligible to receive benefits under the Officers’ Retirement Plan upon retirement, as shown in the table below. For a description of these benefits, see "Potential Payments upon Termination or a Change in Control — Retirement Benefits"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111125</wp:posOffset>
            </wp:positionV>
            <wp:extent cx="6160135" cy="1159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60135" cy="1159510"/>
                    </a:xfrm>
                    <a:prstGeom prst="rect">
                      <a:avLst/>
                    </a:prstGeom>
                    <a:noFill/>
                  </pic:spPr>
                </pic:pic>
              </a:graphicData>
            </a:graphic>
          </wp:anchor>
        </w:drawing>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PENSION BENEFITS TABLE</w:t>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vMerge w:val="restart"/>
          </w:tcPr>
          <w:p>
            <w:pPr>
              <w:ind w:left="600"/>
              <w:spacing w:after="0"/>
              <w:rPr>
                <w:sz w:val="20"/>
                <w:szCs w:val="20"/>
                <w:color w:val="auto"/>
              </w:rPr>
            </w:pPr>
            <w:r>
              <w:rPr>
                <w:rFonts w:ascii="Arial" w:cs="Arial" w:eastAsia="Arial" w:hAnsi="Arial"/>
                <w:sz w:val="12"/>
                <w:szCs w:val="12"/>
                <w:b w:val="1"/>
                <w:bCs w:val="1"/>
                <w:color w:val="FFFFFF"/>
              </w:rPr>
              <w:t>Number of Years</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FFFFFF"/>
              </w:rPr>
              <w:t>Present Value of</w:t>
            </w:r>
          </w:p>
        </w:tc>
        <w:tc>
          <w:tcPr>
            <w:tcW w:w="1800" w:type="dxa"/>
            <w:vAlign w:val="bottom"/>
            <w:vMerge w:val="restart"/>
          </w:tcPr>
          <w:p>
            <w:pPr>
              <w:jc w:val="center"/>
              <w:spacing w:after="0"/>
              <w:rPr>
                <w:sz w:val="20"/>
                <w:szCs w:val="20"/>
                <w:color w:val="auto"/>
              </w:rPr>
            </w:pPr>
            <w:r>
              <w:rPr>
                <w:rFonts w:ascii="Arial" w:cs="Arial" w:eastAsia="Arial" w:hAnsi="Arial"/>
                <w:sz w:val="12"/>
                <w:szCs w:val="12"/>
                <w:b w:val="1"/>
                <w:bCs w:val="1"/>
                <w:color w:val="FFFFFF"/>
              </w:rPr>
              <w:t>Payments During</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760" w:type="dxa"/>
            <w:vAlign w:val="bottom"/>
          </w:tcPr>
          <w:p>
            <w:pPr>
              <w:jc w:val="center"/>
              <w:spacing w:after="0" w:line="120" w:lineRule="exact"/>
              <w:rPr>
                <w:sz w:val="20"/>
                <w:szCs w:val="20"/>
                <w:color w:val="auto"/>
              </w:rPr>
            </w:pPr>
            <w:r>
              <w:rPr>
                <w:rFonts w:ascii="Arial" w:cs="Arial" w:eastAsia="Arial" w:hAnsi="Arial"/>
                <w:sz w:val="12"/>
                <w:szCs w:val="12"/>
                <w:b w:val="1"/>
                <w:bCs w:val="1"/>
                <w:color w:val="FFFFFF"/>
              </w:rPr>
              <w:t>Accumulated</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40" w:type="dxa"/>
            <w:vAlign w:val="bottom"/>
            <w:vMerge w:val="restart"/>
          </w:tcPr>
          <w:p>
            <w:pPr>
              <w:ind w:left="40"/>
              <w:spacing w:after="0"/>
              <w:rPr>
                <w:sz w:val="20"/>
                <w:szCs w:val="20"/>
                <w:color w:val="auto"/>
              </w:rPr>
            </w:pPr>
            <w:r>
              <w:rPr>
                <w:rFonts w:ascii="Arial" w:cs="Arial" w:eastAsia="Arial" w:hAnsi="Arial"/>
                <w:sz w:val="12"/>
                <w:szCs w:val="12"/>
                <w:b w:val="1"/>
                <w:bCs w:val="1"/>
                <w:color w:val="FFFFFF"/>
              </w:rPr>
              <w:t>Name</w:t>
            </w:r>
          </w:p>
        </w:tc>
        <w:tc>
          <w:tcPr>
            <w:tcW w:w="320" w:type="dxa"/>
            <w:vAlign w:val="bottom"/>
          </w:tcPr>
          <w:p>
            <w:pPr>
              <w:spacing w:after="0"/>
              <w:rPr>
                <w:sz w:val="11"/>
                <w:szCs w:val="11"/>
                <w:color w:val="auto"/>
              </w:rPr>
            </w:pPr>
          </w:p>
        </w:tc>
        <w:tc>
          <w:tcPr>
            <w:tcW w:w="2000" w:type="dxa"/>
            <w:vAlign w:val="bottom"/>
            <w:vMerge w:val="restart"/>
          </w:tcPr>
          <w:p>
            <w:pPr>
              <w:ind w:left="780"/>
              <w:spacing w:after="0"/>
              <w:rPr>
                <w:sz w:val="20"/>
                <w:szCs w:val="20"/>
                <w:color w:val="auto"/>
              </w:rPr>
            </w:pPr>
            <w:r>
              <w:rPr>
                <w:rFonts w:ascii="Arial" w:cs="Arial" w:eastAsia="Arial" w:hAnsi="Arial"/>
                <w:sz w:val="12"/>
                <w:szCs w:val="12"/>
                <w:b w:val="1"/>
                <w:bCs w:val="1"/>
                <w:color w:val="FFFFFF"/>
              </w:rPr>
              <w:t>Plan Name</w:t>
            </w:r>
          </w:p>
        </w:tc>
        <w:tc>
          <w:tcPr>
            <w:tcW w:w="1980" w:type="dxa"/>
            <w:vAlign w:val="bottom"/>
          </w:tcPr>
          <w:p>
            <w:pPr>
              <w:ind w:left="600"/>
              <w:spacing w:after="0" w:line="133" w:lineRule="exact"/>
              <w:rPr>
                <w:sz w:val="20"/>
                <w:szCs w:val="20"/>
                <w:color w:val="auto"/>
              </w:rPr>
            </w:pPr>
            <w:r>
              <w:rPr>
                <w:rFonts w:ascii="Arial" w:cs="Arial" w:eastAsia="Arial" w:hAnsi="Arial"/>
                <w:sz w:val="12"/>
                <w:szCs w:val="12"/>
                <w:b w:val="1"/>
                <w:bCs w:val="1"/>
                <w:color w:val="FFFFFF"/>
              </w:rPr>
              <w:t>Credited Service</w:t>
            </w:r>
          </w:p>
        </w:tc>
        <w:tc>
          <w:tcPr>
            <w:tcW w:w="176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Benefits</w:t>
            </w:r>
          </w:p>
        </w:tc>
        <w:tc>
          <w:tcPr>
            <w:tcW w:w="1800" w:type="dxa"/>
            <w:vAlign w:val="bottom"/>
          </w:tcPr>
          <w:p>
            <w:pPr>
              <w:jc w:val="center"/>
              <w:spacing w:after="0" w:line="133" w:lineRule="exact"/>
              <w:rPr>
                <w:sz w:val="20"/>
                <w:szCs w:val="20"/>
                <w:color w:val="auto"/>
              </w:rPr>
            </w:pPr>
            <w:r>
              <w:rPr>
                <w:rFonts w:ascii="Arial" w:cs="Arial" w:eastAsia="Arial" w:hAnsi="Arial"/>
                <w:sz w:val="12"/>
                <w:szCs w:val="12"/>
                <w:b w:val="1"/>
                <w:bCs w:val="1"/>
                <w:color w:val="FFFFFF"/>
              </w:rPr>
              <w:t>Last Fiscal Year</w:t>
            </w:r>
          </w:p>
        </w:tc>
        <w:tc>
          <w:tcPr>
            <w:tcW w:w="0" w:type="dxa"/>
            <w:vAlign w:val="bottom"/>
          </w:tcPr>
          <w:p>
            <w:pPr>
              <w:spacing w:after="0"/>
              <w:rPr>
                <w:sz w:val="1"/>
                <w:szCs w:val="1"/>
                <w:color w:val="auto"/>
              </w:rPr>
            </w:pPr>
          </w:p>
        </w:tc>
      </w:tr>
      <w:tr>
        <w:trPr>
          <w:trHeight w:val="172"/>
        </w:trPr>
        <w:tc>
          <w:tcPr>
            <w:tcW w:w="1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980" w:type="dxa"/>
            <w:vAlign w:val="bottom"/>
          </w:tcPr>
          <w:p>
            <w:pPr>
              <w:jc w:val="center"/>
              <w:ind w:left="158"/>
              <w:spacing w:after="0" w:line="172" w:lineRule="exact"/>
              <w:rPr>
                <w:sz w:val="20"/>
                <w:szCs w:val="20"/>
                <w:color w:val="auto"/>
              </w:rPr>
            </w:pPr>
            <w:r>
              <w:rPr>
                <w:rFonts w:ascii="Arial" w:cs="Arial" w:eastAsia="Arial" w:hAnsi="Arial"/>
                <w:sz w:val="12"/>
                <w:szCs w:val="12"/>
                <w:b w:val="1"/>
                <w:bCs w:val="1"/>
                <w:color w:val="FFFFFF"/>
                <w:w w:val="96"/>
              </w:rPr>
              <w:t>(#)</w:t>
            </w:r>
            <w:r>
              <w:rPr>
                <w:rFonts w:ascii="Arial" w:cs="Arial" w:eastAsia="Arial" w:hAnsi="Arial"/>
                <w:sz w:val="16"/>
                <w:szCs w:val="16"/>
                <w:b w:val="1"/>
                <w:bCs w:val="1"/>
                <w:color w:val="FFFFFF"/>
                <w:w w:val="96"/>
                <w:vertAlign w:val="superscript"/>
              </w:rPr>
              <w:t>1</w:t>
            </w:r>
          </w:p>
        </w:tc>
        <w:tc>
          <w:tcPr>
            <w:tcW w:w="1760" w:type="dxa"/>
            <w:vAlign w:val="bottom"/>
          </w:tcPr>
          <w:p>
            <w:pPr>
              <w:jc w:val="center"/>
              <w:ind w:right="698"/>
              <w:spacing w:after="0" w:line="172"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6"/>
                <w:szCs w:val="16"/>
                <w:b w:val="1"/>
                <w:bCs w:val="1"/>
                <w:color w:val="FFFFFF"/>
                <w:vertAlign w:val="superscript"/>
              </w:rPr>
              <w:t>2</w:t>
            </w:r>
          </w:p>
        </w:tc>
        <w:tc>
          <w:tcPr>
            <w:tcW w:w="1800" w:type="dxa"/>
            <w:vAlign w:val="bottom"/>
          </w:tcPr>
          <w:p>
            <w:pPr>
              <w:jc w:val="center"/>
              <w:spacing w:after="0" w:line="172" w:lineRule="exact"/>
              <w:rPr>
                <w:sz w:val="20"/>
                <w:szCs w:val="20"/>
                <w:color w:val="auto"/>
              </w:rPr>
            </w:pPr>
            <w:r>
              <w:rPr>
                <w:rFonts w:ascii="Arial" w:cs="Arial" w:eastAsia="Arial" w:hAnsi="Arial"/>
                <w:sz w:val="12"/>
                <w:szCs w:val="12"/>
                <w:b w:val="1"/>
                <w:bCs w:val="1"/>
                <w:color w:val="FFFFFF"/>
                <w:w w:val="96"/>
              </w:rPr>
              <w:t>($)</w:t>
            </w:r>
            <w:r>
              <w:rPr>
                <w:rFonts w:ascii="Arial" w:cs="Arial" w:eastAsia="Arial" w:hAnsi="Arial"/>
                <w:sz w:val="16"/>
                <w:szCs w:val="16"/>
                <w:b w:val="1"/>
                <w:bCs w:val="1"/>
                <w:color w:val="FFFFFF"/>
                <w:w w:val="96"/>
                <w:vertAlign w:val="superscript"/>
              </w:rPr>
              <w:t>3</w:t>
            </w:r>
          </w:p>
        </w:tc>
        <w:tc>
          <w:tcPr>
            <w:tcW w:w="0" w:type="dxa"/>
            <w:vAlign w:val="bottom"/>
          </w:tcPr>
          <w:p>
            <w:pPr>
              <w:spacing w:after="0"/>
              <w:rPr>
                <w:sz w:val="1"/>
                <w:szCs w:val="1"/>
                <w:color w:val="auto"/>
              </w:rPr>
            </w:pPr>
          </w:p>
        </w:tc>
      </w:tr>
      <w:tr>
        <w:trPr>
          <w:trHeight w:val="152"/>
        </w:trPr>
        <w:tc>
          <w:tcPr>
            <w:tcW w:w="1840" w:type="dxa"/>
            <w:vAlign w:val="bottom"/>
            <w:tcBorders>
              <w:bottom w:val="single" w:sz="8" w:color="CCEEF0"/>
            </w:tcBorders>
            <w:shd w:val="clear" w:color="auto" w:fill="CCEEF0"/>
          </w:tcPr>
          <w:p>
            <w:pPr>
              <w:ind w:left="40"/>
              <w:spacing w:after="0"/>
              <w:rPr>
                <w:sz w:val="20"/>
                <w:szCs w:val="20"/>
                <w:color w:val="auto"/>
              </w:rPr>
            </w:pPr>
            <w:r>
              <w:rPr>
                <w:rFonts w:ascii="Arial" w:cs="Arial" w:eastAsia="Arial" w:hAnsi="Arial"/>
                <w:sz w:val="12"/>
                <w:szCs w:val="12"/>
                <w:b w:val="1"/>
                <w:bCs w:val="1"/>
                <w:color w:val="auto"/>
                <w:shd w:val="clear" w:color="auto" w:fill="CCEEF0"/>
              </w:rPr>
              <w:t>Horacio D. Rozanski</w:t>
            </w:r>
          </w:p>
        </w:tc>
        <w:tc>
          <w:tcPr>
            <w:tcW w:w="320" w:type="dxa"/>
            <w:vAlign w:val="bottom"/>
            <w:tcBorders>
              <w:bottom w:val="single" w:sz="8" w:color="CCEEF0"/>
            </w:tcBorders>
            <w:shd w:val="clear" w:color="auto" w:fill="CCEEF0"/>
          </w:tcPr>
          <w:p>
            <w:pPr>
              <w:spacing w:after="0"/>
              <w:rPr>
                <w:sz w:val="13"/>
                <w:szCs w:val="13"/>
                <w:color w:val="auto"/>
              </w:rPr>
            </w:pPr>
          </w:p>
        </w:tc>
        <w:tc>
          <w:tcPr>
            <w:tcW w:w="2000" w:type="dxa"/>
            <w:vAlign w:val="bottom"/>
            <w:tcBorders>
              <w:bottom w:val="single" w:sz="8" w:color="CCEEF0"/>
            </w:tcBorders>
            <w:shd w:val="clear" w:color="auto" w:fill="CCEEF0"/>
          </w:tcPr>
          <w:p>
            <w:pPr>
              <w:spacing w:after="0"/>
              <w:rPr>
                <w:sz w:val="20"/>
                <w:szCs w:val="20"/>
                <w:color w:val="auto"/>
              </w:rPr>
            </w:pPr>
            <w:r>
              <w:rPr>
                <w:rFonts w:ascii="Arial" w:cs="Arial" w:eastAsia="Arial" w:hAnsi="Arial"/>
                <w:sz w:val="12"/>
                <w:szCs w:val="12"/>
                <w:color w:val="auto"/>
                <w:shd w:val="clear" w:color="auto" w:fill="CCEEF0"/>
              </w:rPr>
              <w:t>Officers' Retirement Plan</w:t>
            </w:r>
          </w:p>
        </w:tc>
        <w:tc>
          <w:tcPr>
            <w:tcW w:w="1980" w:type="dxa"/>
            <w:vAlign w:val="bottom"/>
            <w:tcBorders>
              <w:bottom w:val="single" w:sz="8" w:color="CCEEF0"/>
            </w:tcBorders>
            <w:shd w:val="clear" w:color="auto" w:fill="CCEEF0"/>
          </w:tcPr>
          <w:p>
            <w:pPr>
              <w:jc w:val="center"/>
              <w:ind w:left="158"/>
              <w:spacing w:after="0"/>
              <w:rPr>
                <w:sz w:val="20"/>
                <w:szCs w:val="20"/>
                <w:color w:val="auto"/>
              </w:rPr>
            </w:pPr>
            <w:r>
              <w:rPr>
                <w:rFonts w:ascii="Arial" w:cs="Arial" w:eastAsia="Arial" w:hAnsi="Arial"/>
                <w:sz w:val="12"/>
                <w:szCs w:val="12"/>
                <w:color w:val="auto"/>
                <w:shd w:val="clear" w:color="auto" w:fill="CCEEF0"/>
              </w:rPr>
              <w:t>26.5</w:t>
            </w:r>
          </w:p>
        </w:tc>
        <w:tc>
          <w:tcPr>
            <w:tcW w:w="1760" w:type="dxa"/>
            <w:vAlign w:val="bottom"/>
            <w:tcBorders>
              <w:bottom w:val="single" w:sz="8" w:color="CCEEF0"/>
            </w:tcBorders>
            <w:shd w:val="clear" w:color="auto" w:fill="CCEEF0"/>
          </w:tcPr>
          <w:p>
            <w:pPr>
              <w:ind w:left="660"/>
              <w:spacing w:after="0"/>
              <w:rPr>
                <w:sz w:val="20"/>
                <w:szCs w:val="20"/>
                <w:color w:val="auto"/>
              </w:rPr>
            </w:pPr>
            <w:r>
              <w:rPr>
                <w:rFonts w:ascii="Arial" w:cs="Arial" w:eastAsia="Arial" w:hAnsi="Arial"/>
                <w:sz w:val="12"/>
                <w:szCs w:val="12"/>
                <w:color w:val="auto"/>
                <w:shd w:val="clear" w:color="auto" w:fill="CCEEF0"/>
              </w:rPr>
              <w:t>530,000</w:t>
            </w:r>
          </w:p>
        </w:tc>
        <w:tc>
          <w:tcPr>
            <w:tcW w:w="180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shd w:val="clear" w:color="auto" w:fill="CCEEF0"/>
              </w:rPr>
              <w:t>—</w:t>
            </w:r>
          </w:p>
        </w:tc>
        <w:tc>
          <w:tcPr>
            <w:tcW w:w="0" w:type="dxa"/>
            <w:vAlign w:val="bottom"/>
          </w:tcPr>
          <w:p>
            <w:pPr>
              <w:spacing w:after="0"/>
              <w:rPr>
                <w:sz w:val="1"/>
                <w:szCs w:val="1"/>
                <w:color w:val="auto"/>
              </w:rPr>
            </w:pPr>
          </w:p>
        </w:tc>
      </w:tr>
      <w:tr>
        <w:trPr>
          <w:trHeight w:val="171"/>
        </w:trPr>
        <w:tc>
          <w:tcPr>
            <w:tcW w:w="1840" w:type="dxa"/>
            <w:vAlign w:val="bottom"/>
          </w:tcPr>
          <w:p>
            <w:pPr>
              <w:ind w:left="40"/>
              <w:spacing w:after="0"/>
              <w:rPr>
                <w:sz w:val="20"/>
                <w:szCs w:val="20"/>
                <w:color w:val="auto"/>
              </w:rPr>
            </w:pPr>
            <w:r>
              <w:rPr>
                <w:rFonts w:ascii="Arial" w:cs="Arial" w:eastAsia="Arial" w:hAnsi="Arial"/>
                <w:sz w:val="12"/>
                <w:szCs w:val="12"/>
                <w:b w:val="1"/>
                <w:bCs w:val="1"/>
                <w:color w:val="auto"/>
              </w:rPr>
              <w:t>Kristine Martin Anderson</w:t>
            </w:r>
          </w:p>
        </w:tc>
        <w:tc>
          <w:tcPr>
            <w:tcW w:w="2320" w:type="dxa"/>
            <w:vAlign w:val="bottom"/>
            <w:gridSpan w:val="2"/>
          </w:tcPr>
          <w:p>
            <w:pPr>
              <w:ind w:left="320"/>
              <w:spacing w:after="0"/>
              <w:rPr>
                <w:sz w:val="20"/>
                <w:szCs w:val="20"/>
                <w:color w:val="auto"/>
              </w:rPr>
            </w:pPr>
            <w:r>
              <w:rPr>
                <w:rFonts w:ascii="Arial" w:cs="Arial" w:eastAsia="Arial" w:hAnsi="Arial"/>
                <w:sz w:val="12"/>
                <w:szCs w:val="12"/>
                <w:color w:val="auto"/>
              </w:rPr>
              <w:t>Officers' Retirement Plan</w:t>
            </w:r>
          </w:p>
        </w:tc>
        <w:tc>
          <w:tcPr>
            <w:tcW w:w="1980" w:type="dxa"/>
            <w:vAlign w:val="bottom"/>
          </w:tcPr>
          <w:p>
            <w:pPr>
              <w:jc w:val="center"/>
              <w:ind w:left="158"/>
              <w:spacing w:after="0"/>
              <w:rPr>
                <w:sz w:val="20"/>
                <w:szCs w:val="20"/>
                <w:color w:val="auto"/>
              </w:rPr>
            </w:pPr>
            <w:r>
              <w:rPr>
                <w:rFonts w:ascii="Arial" w:cs="Arial" w:eastAsia="Arial" w:hAnsi="Arial"/>
                <w:sz w:val="12"/>
                <w:szCs w:val="12"/>
                <w:color w:val="auto"/>
              </w:rPr>
              <w:t>16.0</w:t>
            </w:r>
          </w:p>
        </w:tc>
        <w:tc>
          <w:tcPr>
            <w:tcW w:w="1760" w:type="dxa"/>
            <w:vAlign w:val="bottom"/>
          </w:tcPr>
          <w:p>
            <w:pPr>
              <w:ind w:left="660"/>
              <w:spacing w:after="0"/>
              <w:rPr>
                <w:sz w:val="20"/>
                <w:szCs w:val="20"/>
                <w:color w:val="auto"/>
              </w:rPr>
            </w:pPr>
            <w:r>
              <w:rPr>
                <w:rFonts w:ascii="Arial" w:cs="Arial" w:eastAsia="Arial" w:hAnsi="Arial"/>
                <w:sz w:val="12"/>
                <w:szCs w:val="12"/>
                <w:color w:val="auto"/>
              </w:rPr>
              <w:t>320,000</w:t>
            </w:r>
          </w:p>
        </w:tc>
        <w:tc>
          <w:tcPr>
            <w:tcW w:w="18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CCEEF0"/>
            </w:tcBorders>
            <w:shd w:val="clear" w:color="auto" w:fill="CCEEF0"/>
          </w:tcPr>
          <w:p>
            <w:pPr>
              <w:ind w:left="40"/>
              <w:spacing w:after="0"/>
              <w:rPr>
                <w:sz w:val="20"/>
                <w:szCs w:val="20"/>
                <w:color w:val="auto"/>
              </w:rPr>
            </w:pPr>
            <w:r>
              <w:rPr>
                <w:rFonts w:ascii="Arial" w:cs="Arial" w:eastAsia="Arial" w:hAnsi="Arial"/>
                <w:sz w:val="12"/>
                <w:szCs w:val="12"/>
                <w:b w:val="1"/>
                <w:bCs w:val="1"/>
                <w:color w:val="auto"/>
                <w:shd w:val="clear" w:color="auto" w:fill="CCEEF0"/>
              </w:rPr>
              <w:t>Richard C. Crowe</w:t>
            </w:r>
          </w:p>
        </w:tc>
        <w:tc>
          <w:tcPr>
            <w:tcW w:w="320" w:type="dxa"/>
            <w:vAlign w:val="bottom"/>
            <w:tcBorders>
              <w:bottom w:val="single" w:sz="8" w:color="CCEEF0"/>
            </w:tcBorders>
            <w:shd w:val="clear" w:color="auto" w:fill="CCEEF0"/>
          </w:tcPr>
          <w:p>
            <w:pPr>
              <w:spacing w:after="0"/>
              <w:rPr>
                <w:sz w:val="13"/>
                <w:szCs w:val="13"/>
                <w:color w:val="auto"/>
              </w:rPr>
            </w:pPr>
          </w:p>
        </w:tc>
        <w:tc>
          <w:tcPr>
            <w:tcW w:w="2000" w:type="dxa"/>
            <w:vAlign w:val="bottom"/>
            <w:tcBorders>
              <w:bottom w:val="single" w:sz="8" w:color="CCEEF0"/>
            </w:tcBorders>
            <w:shd w:val="clear" w:color="auto" w:fill="CCEEF0"/>
          </w:tcPr>
          <w:p>
            <w:pPr>
              <w:spacing w:after="0"/>
              <w:rPr>
                <w:sz w:val="20"/>
                <w:szCs w:val="20"/>
                <w:color w:val="auto"/>
              </w:rPr>
            </w:pPr>
            <w:r>
              <w:rPr>
                <w:rFonts w:ascii="Arial" w:cs="Arial" w:eastAsia="Arial" w:hAnsi="Arial"/>
                <w:sz w:val="12"/>
                <w:szCs w:val="12"/>
                <w:color w:val="auto"/>
                <w:shd w:val="clear" w:color="auto" w:fill="CCEEF0"/>
              </w:rPr>
              <w:t>Officers' Retirement Plan</w:t>
            </w:r>
          </w:p>
        </w:tc>
        <w:tc>
          <w:tcPr>
            <w:tcW w:w="1980" w:type="dxa"/>
            <w:vAlign w:val="bottom"/>
            <w:tcBorders>
              <w:bottom w:val="single" w:sz="8" w:color="CCEEF0"/>
            </w:tcBorders>
            <w:shd w:val="clear" w:color="auto" w:fill="CCEEF0"/>
          </w:tcPr>
          <w:p>
            <w:pPr>
              <w:jc w:val="center"/>
              <w:ind w:left="158"/>
              <w:spacing w:after="0"/>
              <w:rPr>
                <w:sz w:val="20"/>
                <w:szCs w:val="20"/>
                <w:color w:val="auto"/>
              </w:rPr>
            </w:pPr>
            <w:r>
              <w:rPr>
                <w:rFonts w:ascii="Arial" w:cs="Arial" w:eastAsia="Arial" w:hAnsi="Arial"/>
                <w:sz w:val="12"/>
                <w:szCs w:val="12"/>
                <w:color w:val="auto"/>
                <w:shd w:val="clear" w:color="auto" w:fill="CCEEF0"/>
              </w:rPr>
              <w:t>12.0</w:t>
            </w:r>
          </w:p>
        </w:tc>
        <w:tc>
          <w:tcPr>
            <w:tcW w:w="1760" w:type="dxa"/>
            <w:vAlign w:val="bottom"/>
            <w:tcBorders>
              <w:bottom w:val="single" w:sz="8" w:color="CCEEF0"/>
            </w:tcBorders>
            <w:shd w:val="clear" w:color="auto" w:fill="CCEEF0"/>
          </w:tcPr>
          <w:p>
            <w:pPr>
              <w:ind w:left="660"/>
              <w:spacing w:after="0"/>
              <w:rPr>
                <w:sz w:val="20"/>
                <w:szCs w:val="20"/>
                <w:color w:val="auto"/>
              </w:rPr>
            </w:pPr>
            <w:r>
              <w:rPr>
                <w:rFonts w:ascii="Arial" w:cs="Arial" w:eastAsia="Arial" w:hAnsi="Arial"/>
                <w:sz w:val="12"/>
                <w:szCs w:val="12"/>
                <w:color w:val="auto"/>
                <w:shd w:val="clear" w:color="auto" w:fill="CCEEF0"/>
              </w:rPr>
              <w:t>240,000</w:t>
            </w:r>
          </w:p>
        </w:tc>
        <w:tc>
          <w:tcPr>
            <w:tcW w:w="180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shd w:val="clear" w:color="auto" w:fill="CCEEF0"/>
              </w:rPr>
              <w:t>—</w:t>
            </w:r>
          </w:p>
        </w:tc>
        <w:tc>
          <w:tcPr>
            <w:tcW w:w="0" w:type="dxa"/>
            <w:vAlign w:val="bottom"/>
          </w:tcPr>
          <w:p>
            <w:pPr>
              <w:spacing w:after="0"/>
              <w:rPr>
                <w:sz w:val="1"/>
                <w:szCs w:val="1"/>
                <w:color w:val="auto"/>
              </w:rPr>
            </w:pPr>
          </w:p>
        </w:tc>
      </w:tr>
      <w:tr>
        <w:trPr>
          <w:trHeight w:val="171"/>
        </w:trPr>
        <w:tc>
          <w:tcPr>
            <w:tcW w:w="1840" w:type="dxa"/>
            <w:vAlign w:val="bottom"/>
          </w:tcPr>
          <w:p>
            <w:pPr>
              <w:ind w:left="40"/>
              <w:spacing w:after="0"/>
              <w:rPr>
                <w:sz w:val="20"/>
                <w:szCs w:val="20"/>
                <w:color w:val="auto"/>
              </w:rPr>
            </w:pPr>
            <w:r>
              <w:rPr>
                <w:rFonts w:ascii="Arial" w:cs="Arial" w:eastAsia="Arial" w:hAnsi="Arial"/>
                <w:sz w:val="12"/>
                <w:szCs w:val="12"/>
                <w:b w:val="1"/>
                <w:bCs w:val="1"/>
                <w:color w:val="auto"/>
              </w:rPr>
              <w:t>Andrea D. Inserra</w:t>
            </w:r>
          </w:p>
        </w:tc>
        <w:tc>
          <w:tcPr>
            <w:tcW w:w="2320" w:type="dxa"/>
            <w:vAlign w:val="bottom"/>
            <w:gridSpan w:val="2"/>
          </w:tcPr>
          <w:p>
            <w:pPr>
              <w:ind w:left="320"/>
              <w:spacing w:after="0"/>
              <w:rPr>
                <w:sz w:val="20"/>
                <w:szCs w:val="20"/>
                <w:color w:val="auto"/>
              </w:rPr>
            </w:pPr>
            <w:r>
              <w:rPr>
                <w:rFonts w:ascii="Arial" w:cs="Arial" w:eastAsia="Arial" w:hAnsi="Arial"/>
                <w:sz w:val="12"/>
                <w:szCs w:val="12"/>
                <w:color w:val="auto"/>
              </w:rPr>
              <w:t>Officers' Retirement Plan</w:t>
            </w:r>
          </w:p>
        </w:tc>
        <w:tc>
          <w:tcPr>
            <w:tcW w:w="1980" w:type="dxa"/>
            <w:vAlign w:val="bottom"/>
          </w:tcPr>
          <w:p>
            <w:pPr>
              <w:jc w:val="center"/>
              <w:ind w:left="158"/>
              <w:spacing w:after="0"/>
              <w:rPr>
                <w:sz w:val="20"/>
                <w:szCs w:val="20"/>
                <w:color w:val="auto"/>
              </w:rPr>
            </w:pPr>
            <w:r>
              <w:rPr>
                <w:rFonts w:ascii="Arial" w:cs="Arial" w:eastAsia="Arial" w:hAnsi="Arial"/>
                <w:sz w:val="12"/>
                <w:szCs w:val="12"/>
                <w:color w:val="auto"/>
              </w:rPr>
              <w:t>14.0</w:t>
            </w:r>
          </w:p>
        </w:tc>
        <w:tc>
          <w:tcPr>
            <w:tcW w:w="1760" w:type="dxa"/>
            <w:vAlign w:val="bottom"/>
          </w:tcPr>
          <w:p>
            <w:pPr>
              <w:ind w:left="660"/>
              <w:spacing w:after="0"/>
              <w:rPr>
                <w:sz w:val="20"/>
                <w:szCs w:val="20"/>
                <w:color w:val="auto"/>
              </w:rPr>
            </w:pPr>
            <w:r>
              <w:rPr>
                <w:rFonts w:ascii="Arial" w:cs="Arial" w:eastAsia="Arial" w:hAnsi="Arial"/>
                <w:sz w:val="12"/>
                <w:szCs w:val="12"/>
                <w:color w:val="auto"/>
              </w:rPr>
              <w:t>280,000</w:t>
            </w:r>
          </w:p>
        </w:tc>
        <w:tc>
          <w:tcPr>
            <w:tcW w:w="18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CCEEF0"/>
            </w:tcBorders>
            <w:shd w:val="clear" w:color="auto" w:fill="CCEEF0"/>
          </w:tcPr>
          <w:p>
            <w:pPr>
              <w:ind w:left="40"/>
              <w:spacing w:after="0"/>
              <w:rPr>
                <w:sz w:val="20"/>
                <w:szCs w:val="20"/>
                <w:color w:val="auto"/>
              </w:rPr>
            </w:pPr>
            <w:r>
              <w:rPr>
                <w:rFonts w:ascii="Arial" w:cs="Arial" w:eastAsia="Arial" w:hAnsi="Arial"/>
                <w:sz w:val="12"/>
                <w:szCs w:val="12"/>
                <w:b w:val="1"/>
                <w:bCs w:val="1"/>
                <w:color w:val="auto"/>
                <w:shd w:val="clear" w:color="auto" w:fill="CCEEF0"/>
              </w:rPr>
              <w:t>Thomas J. Pfeifer</w:t>
            </w:r>
          </w:p>
        </w:tc>
        <w:tc>
          <w:tcPr>
            <w:tcW w:w="320" w:type="dxa"/>
            <w:vAlign w:val="bottom"/>
            <w:tcBorders>
              <w:bottom w:val="single" w:sz="8" w:color="CCEEF0"/>
            </w:tcBorders>
            <w:shd w:val="clear" w:color="auto" w:fill="CCEEF0"/>
          </w:tcPr>
          <w:p>
            <w:pPr>
              <w:spacing w:after="0"/>
              <w:rPr>
                <w:sz w:val="13"/>
                <w:szCs w:val="13"/>
                <w:color w:val="auto"/>
              </w:rPr>
            </w:pPr>
          </w:p>
        </w:tc>
        <w:tc>
          <w:tcPr>
            <w:tcW w:w="2000" w:type="dxa"/>
            <w:vAlign w:val="bottom"/>
            <w:tcBorders>
              <w:bottom w:val="single" w:sz="8" w:color="CCEEF0"/>
            </w:tcBorders>
            <w:shd w:val="clear" w:color="auto" w:fill="CCEEF0"/>
          </w:tcPr>
          <w:p>
            <w:pPr>
              <w:spacing w:after="0"/>
              <w:rPr>
                <w:sz w:val="20"/>
                <w:szCs w:val="20"/>
                <w:color w:val="auto"/>
              </w:rPr>
            </w:pPr>
            <w:r>
              <w:rPr>
                <w:rFonts w:ascii="Arial" w:cs="Arial" w:eastAsia="Arial" w:hAnsi="Arial"/>
                <w:sz w:val="12"/>
                <w:szCs w:val="12"/>
                <w:color w:val="auto"/>
                <w:shd w:val="clear" w:color="auto" w:fill="CCEEF0"/>
              </w:rPr>
              <w:t>Officers' Retirement Plan</w:t>
            </w:r>
          </w:p>
        </w:tc>
        <w:tc>
          <w:tcPr>
            <w:tcW w:w="1980" w:type="dxa"/>
            <w:vAlign w:val="bottom"/>
            <w:tcBorders>
              <w:bottom w:val="single" w:sz="8" w:color="CCEEF0"/>
            </w:tcBorders>
            <w:shd w:val="clear" w:color="auto" w:fill="CCEEF0"/>
          </w:tcPr>
          <w:p>
            <w:pPr>
              <w:jc w:val="center"/>
              <w:ind w:left="158"/>
              <w:spacing w:after="0"/>
              <w:rPr>
                <w:sz w:val="20"/>
                <w:szCs w:val="20"/>
                <w:color w:val="auto"/>
              </w:rPr>
            </w:pPr>
            <w:r>
              <w:rPr>
                <w:rFonts w:ascii="Arial" w:cs="Arial" w:eastAsia="Arial" w:hAnsi="Arial"/>
                <w:sz w:val="12"/>
                <w:szCs w:val="12"/>
                <w:color w:val="auto"/>
                <w:shd w:val="clear" w:color="auto" w:fill="CCEEF0"/>
              </w:rPr>
              <w:t>17.5</w:t>
            </w:r>
          </w:p>
        </w:tc>
        <w:tc>
          <w:tcPr>
            <w:tcW w:w="1760" w:type="dxa"/>
            <w:vAlign w:val="bottom"/>
            <w:tcBorders>
              <w:bottom w:val="single" w:sz="8" w:color="CCEEF0"/>
            </w:tcBorders>
            <w:shd w:val="clear" w:color="auto" w:fill="CCEEF0"/>
          </w:tcPr>
          <w:p>
            <w:pPr>
              <w:ind w:left="660"/>
              <w:spacing w:after="0"/>
              <w:rPr>
                <w:sz w:val="20"/>
                <w:szCs w:val="20"/>
                <w:color w:val="auto"/>
              </w:rPr>
            </w:pPr>
            <w:r>
              <w:rPr>
                <w:rFonts w:ascii="Arial" w:cs="Arial" w:eastAsia="Arial" w:hAnsi="Arial"/>
                <w:sz w:val="12"/>
                <w:szCs w:val="12"/>
                <w:color w:val="auto"/>
                <w:shd w:val="clear" w:color="auto" w:fill="CCEEF0"/>
              </w:rPr>
              <w:t>350,000</w:t>
            </w:r>
          </w:p>
        </w:tc>
        <w:tc>
          <w:tcPr>
            <w:tcW w:w="1800" w:type="dxa"/>
            <w:vAlign w:val="bottom"/>
            <w:tcBorders>
              <w:bottom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shd w:val="clear" w:color="auto" w:fill="CCEEF0"/>
              </w:rPr>
              <w:t>—</w:t>
            </w:r>
          </w:p>
        </w:tc>
        <w:tc>
          <w:tcPr>
            <w:tcW w:w="0" w:type="dxa"/>
            <w:vAlign w:val="bottom"/>
          </w:tcPr>
          <w:p>
            <w:pPr>
              <w:spacing w:after="0"/>
              <w:rPr>
                <w:sz w:val="1"/>
                <w:szCs w:val="1"/>
                <w:color w:val="auto"/>
              </w:rPr>
            </w:pPr>
          </w:p>
        </w:tc>
      </w:tr>
      <w:tr>
        <w:trPr>
          <w:trHeight w:val="170"/>
        </w:trPr>
        <w:tc>
          <w:tcPr>
            <w:tcW w:w="1840" w:type="dxa"/>
            <w:vAlign w:val="bottom"/>
          </w:tcPr>
          <w:p>
            <w:pPr>
              <w:ind w:left="40"/>
              <w:spacing w:after="0"/>
              <w:rPr>
                <w:sz w:val="20"/>
                <w:szCs w:val="20"/>
                <w:color w:val="auto"/>
              </w:rPr>
            </w:pPr>
            <w:r>
              <w:rPr>
                <w:rFonts w:ascii="Arial" w:cs="Arial" w:eastAsia="Arial" w:hAnsi="Arial"/>
                <w:sz w:val="12"/>
                <w:szCs w:val="12"/>
                <w:b w:val="1"/>
                <w:bCs w:val="1"/>
                <w:color w:val="auto"/>
              </w:rPr>
              <w:t>Matthew A. Calderone</w:t>
            </w:r>
          </w:p>
        </w:tc>
        <w:tc>
          <w:tcPr>
            <w:tcW w:w="2320" w:type="dxa"/>
            <w:vAlign w:val="bottom"/>
            <w:gridSpan w:val="2"/>
          </w:tcPr>
          <w:p>
            <w:pPr>
              <w:ind w:left="320"/>
              <w:spacing w:after="0"/>
              <w:rPr>
                <w:sz w:val="20"/>
                <w:szCs w:val="20"/>
                <w:color w:val="auto"/>
              </w:rPr>
            </w:pPr>
            <w:r>
              <w:rPr>
                <w:rFonts w:ascii="Arial" w:cs="Arial" w:eastAsia="Arial" w:hAnsi="Arial"/>
                <w:sz w:val="12"/>
                <w:szCs w:val="12"/>
                <w:color w:val="auto"/>
              </w:rPr>
              <w:t>Officers' Retirement Plan</w:t>
            </w:r>
          </w:p>
        </w:tc>
        <w:tc>
          <w:tcPr>
            <w:tcW w:w="1980" w:type="dxa"/>
            <w:vAlign w:val="bottom"/>
          </w:tcPr>
          <w:p>
            <w:pPr>
              <w:jc w:val="center"/>
              <w:ind w:left="158"/>
              <w:spacing w:after="0"/>
              <w:rPr>
                <w:sz w:val="20"/>
                <w:szCs w:val="20"/>
                <w:color w:val="auto"/>
              </w:rPr>
            </w:pPr>
            <w:r>
              <w:rPr>
                <w:rFonts w:ascii="Arial" w:cs="Arial" w:eastAsia="Arial" w:hAnsi="Arial"/>
                <w:sz w:val="12"/>
                <w:szCs w:val="12"/>
                <w:color w:val="auto"/>
              </w:rPr>
              <w:t>13.8</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rPr>
                <w:sz w:val="20"/>
                <w:szCs w:val="20"/>
                <w:color w:val="auto"/>
              </w:rPr>
            </w:pPr>
            <w:r>
              <w:rPr>
                <w:rFonts w:ascii="Arial" w:cs="Arial" w:eastAsia="Arial" w:hAnsi="Arial"/>
                <w:sz w:val="12"/>
                <w:szCs w:val="12"/>
                <w:color w:val="auto"/>
              </w:rPr>
              <w:t>276,000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hanging="315"/>
        <w:spacing w:after="0" w:line="293" w:lineRule="auto"/>
        <w:tabs>
          <w:tab w:leader="none" w:pos="443"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number of years of credited service is less than the named executive officer’s number of actual years of service with the Company, as only the named executive officer’s service as an executive is relevant for purposes of the benefits available under the Officers’ Retirement Plan.</w:t>
      </w:r>
    </w:p>
    <w:p>
      <w:pPr>
        <w:spacing w:after="0" w:line="190" w:lineRule="exact"/>
        <w:rPr>
          <w:rFonts w:ascii="Arial" w:cs="Arial" w:eastAsia="Arial" w:hAnsi="Arial"/>
          <w:sz w:val="13"/>
          <w:szCs w:val="13"/>
          <w:color w:val="auto"/>
        </w:rPr>
      </w:pPr>
    </w:p>
    <w:p>
      <w:pPr>
        <w:jc w:val="both"/>
        <w:ind w:left="440" w:hanging="315"/>
        <w:spacing w:after="0" w:line="267" w:lineRule="auto"/>
        <w:tabs>
          <w:tab w:leader="none" w:pos="443"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present value of accumulated benefits has been calculated in a manner consistent with our reporting of the Retired Officers’ Bonus Plan under FASB ASC 715-30, using the Accumulated Benefit Obligation with the exception of the retirement rate assumptions, as set forth in Note 14 to our financial statements included in our Annual Report on Form 10-K for the fiscal year ended March 31, 2026, which are incorporated by reference herein. The amounts shown above reflect an assumption that each participant collects his or her benefit at the earliest age at which an unreduced benefit is available.</w:t>
      </w:r>
    </w:p>
    <w:p>
      <w:pPr>
        <w:spacing w:after="0" w:line="208" w:lineRule="exact"/>
        <w:rPr>
          <w:rFonts w:ascii="Arial" w:cs="Arial" w:eastAsia="Arial" w:hAnsi="Arial"/>
          <w:sz w:val="13"/>
          <w:szCs w:val="13"/>
          <w:color w:val="auto"/>
        </w:rPr>
      </w:pPr>
    </w:p>
    <w:p>
      <w:pPr>
        <w:ind w:left="440" w:hanging="315"/>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Calderone received a payment during fiscal year 2026 associated with his retirement effective February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5" w:name="page66"/>
    <w:bookmarkEnd w:id="65"/>
    <w:p>
      <w:pPr>
        <w:ind w:left="320"/>
        <w:spacing w:after="0"/>
        <w:rPr>
          <w:sz w:val="20"/>
          <w:szCs w:val="20"/>
          <w:color w:val="auto"/>
        </w:rPr>
      </w:pPr>
      <w:r>
        <w:rPr>
          <w:rFonts w:ascii="Arial" w:cs="Arial" w:eastAsia="Arial" w:hAnsi="Arial"/>
          <w:sz w:val="19"/>
          <w:szCs w:val="19"/>
          <w:color w:val="00A5B5"/>
        </w:rPr>
        <w:t>Non-Qualified Deferred Compensation Table</w:t>
      </w:r>
    </w:p>
    <w:p>
      <w:pPr>
        <w:spacing w:after="0" w:line="18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shows information regarding the participation of our named executive officers in the Deferred Compensation Plan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97155</wp:posOffset>
            </wp:positionV>
            <wp:extent cx="6899910" cy="1117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99910" cy="1117600"/>
                    </a:xfrm>
                    <a:prstGeom prst="rect">
                      <a:avLst/>
                    </a:prstGeom>
                    <a:noFill/>
                  </pic:spPr>
                </pic:pic>
              </a:graphicData>
            </a:graphic>
          </wp:anchor>
        </w:drawing>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NON-QUALIFIED DEFERRED COMPENSATION PLAN TABLE</w:t>
      </w:r>
    </w:p>
    <w:p>
      <w:pPr>
        <w:spacing w:after="0" w:line="23"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840" w:type="dxa"/>
            <w:vAlign w:val="bottom"/>
            <w:vMerge w:val="restart"/>
          </w:tcPr>
          <w:p>
            <w:pPr>
              <w:ind w:left="840"/>
              <w:spacing w:after="0"/>
              <w:rPr>
                <w:sz w:val="20"/>
                <w:szCs w:val="20"/>
                <w:color w:val="auto"/>
              </w:rPr>
            </w:pPr>
            <w:r>
              <w:rPr>
                <w:rFonts w:ascii="Arial" w:cs="Arial" w:eastAsia="Arial" w:hAnsi="Arial"/>
                <w:sz w:val="12"/>
                <w:szCs w:val="12"/>
                <w:b w:val="1"/>
                <w:bCs w:val="1"/>
                <w:color w:val="FFFFFF"/>
              </w:rPr>
              <w:t>Name</w:t>
            </w:r>
          </w:p>
        </w:tc>
        <w:tc>
          <w:tcPr>
            <w:tcW w:w="2100" w:type="dxa"/>
            <w:vAlign w:val="bottom"/>
          </w:tcPr>
          <w:p>
            <w:pPr>
              <w:jc w:val="right"/>
              <w:ind w:right="112"/>
              <w:spacing w:after="0"/>
              <w:rPr>
                <w:sz w:val="20"/>
                <w:szCs w:val="20"/>
                <w:color w:val="auto"/>
              </w:rPr>
            </w:pPr>
            <w:r>
              <w:rPr>
                <w:rFonts w:ascii="Arial" w:cs="Arial" w:eastAsia="Arial" w:hAnsi="Arial"/>
                <w:sz w:val="12"/>
                <w:szCs w:val="12"/>
                <w:b w:val="1"/>
                <w:bCs w:val="1"/>
                <w:color w:val="FFFFFF"/>
              </w:rPr>
              <w:t>Executive Contributions in</w:t>
            </w:r>
          </w:p>
        </w:tc>
        <w:tc>
          <w:tcPr>
            <w:tcW w:w="2080" w:type="dxa"/>
            <w:vAlign w:val="bottom"/>
          </w:tcPr>
          <w:p>
            <w:pPr>
              <w:ind w:left="20"/>
              <w:spacing w:after="0"/>
              <w:rPr>
                <w:sz w:val="20"/>
                <w:szCs w:val="20"/>
                <w:color w:val="auto"/>
              </w:rPr>
            </w:pPr>
            <w:r>
              <w:rPr>
                <w:rFonts w:ascii="Arial" w:cs="Arial" w:eastAsia="Arial" w:hAnsi="Arial"/>
                <w:sz w:val="12"/>
                <w:szCs w:val="12"/>
                <w:b w:val="1"/>
                <w:bCs w:val="1"/>
                <w:color w:val="FFFFFF"/>
              </w:rPr>
              <w:t>Company Contributions in Fiscal</w:t>
            </w:r>
          </w:p>
        </w:tc>
        <w:tc>
          <w:tcPr>
            <w:tcW w:w="1680" w:type="dxa"/>
            <w:vAlign w:val="bottom"/>
          </w:tcPr>
          <w:p>
            <w:pPr>
              <w:ind w:left="120"/>
              <w:spacing w:after="0"/>
              <w:rPr>
                <w:sz w:val="20"/>
                <w:szCs w:val="20"/>
                <w:color w:val="auto"/>
              </w:rPr>
            </w:pPr>
            <w:r>
              <w:rPr>
                <w:rFonts w:ascii="Arial" w:cs="Arial" w:eastAsia="Arial" w:hAnsi="Arial"/>
                <w:sz w:val="12"/>
                <w:szCs w:val="12"/>
                <w:b w:val="1"/>
                <w:bCs w:val="1"/>
                <w:color w:val="FFFFFF"/>
              </w:rPr>
              <w:t>Aggregate Earnings in</w:t>
            </w:r>
          </w:p>
        </w:tc>
        <w:tc>
          <w:tcPr>
            <w:tcW w:w="1680" w:type="dxa"/>
            <w:vAlign w:val="bottom"/>
          </w:tcPr>
          <w:p>
            <w:pPr>
              <w:ind w:left="500"/>
              <w:spacing w:after="0"/>
              <w:rPr>
                <w:sz w:val="20"/>
                <w:szCs w:val="20"/>
                <w:color w:val="auto"/>
              </w:rPr>
            </w:pPr>
            <w:r>
              <w:rPr>
                <w:rFonts w:ascii="Arial" w:cs="Arial" w:eastAsia="Arial" w:hAnsi="Arial"/>
                <w:sz w:val="12"/>
                <w:szCs w:val="12"/>
                <w:b w:val="1"/>
                <w:bCs w:val="1"/>
                <w:color w:val="FFFFFF"/>
              </w:rPr>
              <w:t>Aggregate</w:t>
            </w:r>
          </w:p>
        </w:tc>
        <w:tc>
          <w:tcPr>
            <w:tcW w:w="1480" w:type="dxa"/>
            <w:vAlign w:val="bottom"/>
          </w:tcPr>
          <w:p>
            <w:pPr>
              <w:ind w:left="100"/>
              <w:spacing w:after="0"/>
              <w:rPr>
                <w:sz w:val="20"/>
                <w:szCs w:val="20"/>
                <w:color w:val="auto"/>
              </w:rPr>
            </w:pPr>
            <w:r>
              <w:rPr>
                <w:rFonts w:ascii="Arial" w:cs="Arial" w:eastAsia="Arial" w:hAnsi="Arial"/>
                <w:sz w:val="12"/>
                <w:szCs w:val="12"/>
                <w:b w:val="1"/>
                <w:bCs w:val="1"/>
                <w:color w:val="FFFFFF"/>
              </w:rPr>
              <w:t>Aggregate Balance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right"/>
              <w:ind w:right="392"/>
              <w:spacing w:after="0"/>
              <w:rPr>
                <w:sz w:val="20"/>
                <w:szCs w:val="20"/>
                <w:color w:val="auto"/>
              </w:rPr>
            </w:pPr>
            <w:r>
              <w:rPr>
                <w:rFonts w:ascii="Arial" w:cs="Arial" w:eastAsia="Arial" w:hAnsi="Arial"/>
                <w:sz w:val="12"/>
                <w:szCs w:val="12"/>
                <w:b w:val="1"/>
                <w:bCs w:val="1"/>
                <w:color w:val="FFFFFF"/>
              </w:rPr>
              <w:t xml:space="preserve">Fiscal Year 2026 </w:t>
            </w:r>
            <w:r>
              <w:rPr>
                <w:rFonts w:ascii="Arial" w:cs="Arial" w:eastAsia="Arial" w:hAnsi="Arial"/>
                <w:sz w:val="16"/>
                <w:szCs w:val="16"/>
                <w:b w:val="1"/>
                <w:bCs w:val="1"/>
                <w:color w:val="FFFFFF"/>
                <w:vertAlign w:val="superscript"/>
              </w:rPr>
              <w:t>1</w:t>
            </w:r>
          </w:p>
        </w:tc>
        <w:tc>
          <w:tcPr>
            <w:tcW w:w="208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FFFFFF"/>
              </w:rPr>
              <w:t>Year 2026</w:t>
            </w: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FFFFFF"/>
              </w:rPr>
              <w:t xml:space="preserve">Fiscal Year </w:t>
            </w:r>
            <w:r>
              <w:rPr>
                <w:rFonts w:ascii="Arial" w:cs="Arial" w:eastAsia="Arial" w:hAnsi="Arial"/>
                <w:sz w:val="16"/>
                <w:szCs w:val="16"/>
                <w:b w:val="1"/>
                <w:bCs w:val="1"/>
                <w:color w:val="FFFFFF"/>
                <w:vertAlign w:val="superscript"/>
              </w:rPr>
              <w:t>2</w:t>
            </w: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FFFFFF"/>
              </w:rPr>
              <w:t>Withdrawals/Distributions</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FFFFFF"/>
              </w:rPr>
              <w:t>March 31, 2026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4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Horacio D. Rozanski</w:t>
            </w:r>
          </w:p>
        </w:tc>
        <w:tc>
          <w:tcPr>
            <w:tcW w:w="210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0"/>
          </w:tcPr>
          <w:p>
            <w:pPr>
              <w:ind w:left="178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0"/>
          </w:tcPr>
          <w:p>
            <w:pPr>
              <w:ind w:left="144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0"/>
          </w:tcPr>
          <w:p>
            <w:pPr>
              <w:ind w:left="14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0"/>
          </w:tcPr>
          <w:p>
            <w:pPr>
              <w:ind w:left="1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20"/>
              <w:spacing w:after="0"/>
              <w:rPr>
                <w:sz w:val="20"/>
                <w:szCs w:val="20"/>
                <w:color w:val="auto"/>
              </w:rPr>
            </w:pPr>
            <w:r>
              <w:rPr>
                <w:rFonts w:ascii="Arial" w:cs="Arial" w:eastAsia="Arial" w:hAnsi="Arial"/>
                <w:sz w:val="12"/>
                <w:szCs w:val="12"/>
                <w:b w:val="1"/>
                <w:bCs w:val="1"/>
                <w:color w:val="auto"/>
              </w:rPr>
              <w:t>Kristine Martin Anderson</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80" w:type="dxa"/>
            <w:vAlign w:val="bottom"/>
          </w:tcPr>
          <w:p>
            <w:pPr>
              <w:ind w:left="1780"/>
              <w:spacing w:after="0"/>
              <w:rPr>
                <w:sz w:val="20"/>
                <w:szCs w:val="20"/>
                <w:color w:val="auto"/>
              </w:rPr>
            </w:pPr>
            <w:r>
              <w:rPr>
                <w:rFonts w:ascii="Arial" w:cs="Arial" w:eastAsia="Arial" w:hAnsi="Arial"/>
                <w:sz w:val="14"/>
                <w:szCs w:val="14"/>
                <w:color w:val="auto"/>
              </w:rPr>
              <w:t>—</w:t>
            </w:r>
          </w:p>
        </w:tc>
        <w:tc>
          <w:tcPr>
            <w:tcW w:w="1680" w:type="dxa"/>
            <w:vAlign w:val="bottom"/>
          </w:tcPr>
          <w:p>
            <w:pPr>
              <w:ind w:left="1440"/>
              <w:spacing w:after="0"/>
              <w:rPr>
                <w:sz w:val="20"/>
                <w:szCs w:val="20"/>
                <w:color w:val="auto"/>
              </w:rPr>
            </w:pPr>
            <w:r>
              <w:rPr>
                <w:rFonts w:ascii="Arial" w:cs="Arial" w:eastAsia="Arial" w:hAnsi="Arial"/>
                <w:sz w:val="14"/>
                <w:szCs w:val="14"/>
                <w:color w:val="auto"/>
              </w:rPr>
              <w:t>—</w:t>
            </w:r>
          </w:p>
        </w:tc>
        <w:tc>
          <w:tcPr>
            <w:tcW w:w="1680" w:type="dxa"/>
            <w:vAlign w:val="bottom"/>
          </w:tcPr>
          <w:p>
            <w:pPr>
              <w:ind w:left="1440"/>
              <w:spacing w:after="0"/>
              <w:rPr>
                <w:sz w:val="20"/>
                <w:szCs w:val="20"/>
                <w:color w:val="auto"/>
              </w:rPr>
            </w:pPr>
            <w:r>
              <w:rPr>
                <w:rFonts w:ascii="Arial" w:cs="Arial" w:eastAsia="Arial" w:hAnsi="Arial"/>
                <w:sz w:val="14"/>
                <w:szCs w:val="14"/>
                <w:color w:val="auto"/>
              </w:rPr>
              <w:t>—</w:t>
            </w:r>
          </w:p>
        </w:tc>
        <w:tc>
          <w:tcPr>
            <w:tcW w:w="1480" w:type="dxa"/>
            <w:vAlign w:val="bottom"/>
          </w:tcPr>
          <w:p>
            <w:pPr>
              <w:ind w:left="1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Richard C. Crowe</w:t>
            </w:r>
          </w:p>
        </w:tc>
        <w:tc>
          <w:tcPr>
            <w:tcW w:w="2100" w:type="dxa"/>
            <w:vAlign w:val="bottom"/>
            <w:shd w:val="clear" w:color="auto" w:fill="CCEEF0"/>
          </w:tcPr>
          <w:p>
            <w:pPr>
              <w:jc w:val="right"/>
              <w:spacing w:after="0"/>
              <w:rPr>
                <w:sz w:val="20"/>
                <w:szCs w:val="20"/>
                <w:color w:val="auto"/>
              </w:rPr>
            </w:pPr>
            <w:r>
              <w:rPr>
                <w:rFonts w:ascii="Arial" w:cs="Arial" w:eastAsia="Arial" w:hAnsi="Arial"/>
                <w:sz w:val="14"/>
                <w:szCs w:val="14"/>
                <w:color w:val="auto"/>
              </w:rPr>
              <w:t>$111,800</w:t>
            </w:r>
          </w:p>
        </w:tc>
        <w:tc>
          <w:tcPr>
            <w:tcW w:w="2080" w:type="dxa"/>
            <w:vAlign w:val="bottom"/>
            <w:shd w:val="clear" w:color="auto" w:fill="CCEEF0"/>
          </w:tcPr>
          <w:p>
            <w:pPr>
              <w:ind w:left="178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0"/>
          </w:tcPr>
          <w:p>
            <w:pPr>
              <w:ind w:left="1040"/>
              <w:spacing w:after="0"/>
              <w:rPr>
                <w:sz w:val="20"/>
                <w:szCs w:val="20"/>
                <w:color w:val="auto"/>
              </w:rPr>
            </w:pPr>
            <w:r>
              <w:rPr>
                <w:rFonts w:ascii="Arial" w:cs="Arial" w:eastAsia="Arial" w:hAnsi="Arial"/>
                <w:sz w:val="14"/>
                <w:szCs w:val="14"/>
                <w:color w:val="auto"/>
              </w:rPr>
              <w:t>$191,680</w:t>
            </w:r>
          </w:p>
        </w:tc>
        <w:tc>
          <w:tcPr>
            <w:tcW w:w="1680" w:type="dxa"/>
            <w:vAlign w:val="bottom"/>
            <w:shd w:val="clear" w:color="auto" w:fill="CCEEF0"/>
          </w:tcPr>
          <w:p>
            <w:pPr>
              <w:ind w:left="14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0"/>
          </w:tcPr>
          <w:p>
            <w:pPr>
              <w:ind w:left="740"/>
              <w:spacing w:after="0"/>
              <w:rPr>
                <w:sz w:val="20"/>
                <w:szCs w:val="20"/>
                <w:color w:val="auto"/>
              </w:rPr>
            </w:pPr>
            <w:r>
              <w:rPr>
                <w:rFonts w:ascii="Arial" w:cs="Arial" w:eastAsia="Arial" w:hAnsi="Arial"/>
                <w:sz w:val="14"/>
                <w:szCs w:val="14"/>
                <w:color w:val="auto"/>
              </w:rPr>
              <w:t>$1,160,522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tcPr>
          <w:p>
            <w:pPr>
              <w:ind w:left="20"/>
              <w:spacing w:after="0"/>
              <w:rPr>
                <w:sz w:val="20"/>
                <w:szCs w:val="20"/>
                <w:color w:val="auto"/>
              </w:rPr>
            </w:pPr>
            <w:r>
              <w:rPr>
                <w:rFonts w:ascii="Arial" w:cs="Arial" w:eastAsia="Arial" w:hAnsi="Arial"/>
                <w:sz w:val="12"/>
                <w:szCs w:val="12"/>
                <w:b w:val="1"/>
                <w:bCs w:val="1"/>
                <w:color w:val="auto"/>
              </w:rPr>
              <w:t xml:space="preserve">Andrea D. Inserra </w:t>
            </w:r>
            <w:r>
              <w:rPr>
                <w:rFonts w:ascii="Arial" w:cs="Arial" w:eastAsia="Arial" w:hAnsi="Arial"/>
                <w:sz w:val="16"/>
                <w:szCs w:val="16"/>
                <w:b w:val="1"/>
                <w:bCs w:val="1"/>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4"/>
                <w:szCs w:val="14"/>
                <w:color w:val="auto"/>
              </w:rPr>
              <w:t>$291,210</w:t>
            </w:r>
          </w:p>
        </w:tc>
        <w:tc>
          <w:tcPr>
            <w:tcW w:w="2080" w:type="dxa"/>
            <w:vAlign w:val="bottom"/>
          </w:tcPr>
          <w:p>
            <w:pPr>
              <w:ind w:left="1780"/>
              <w:spacing w:after="0"/>
              <w:rPr>
                <w:sz w:val="20"/>
                <w:szCs w:val="20"/>
                <w:color w:val="auto"/>
              </w:rPr>
            </w:pPr>
            <w:r>
              <w:rPr>
                <w:rFonts w:ascii="Arial" w:cs="Arial" w:eastAsia="Arial" w:hAnsi="Arial"/>
                <w:sz w:val="14"/>
                <w:szCs w:val="14"/>
                <w:color w:val="auto"/>
              </w:rPr>
              <w:t>—</w:t>
            </w:r>
          </w:p>
        </w:tc>
        <w:tc>
          <w:tcPr>
            <w:tcW w:w="1680" w:type="dxa"/>
            <w:vAlign w:val="bottom"/>
          </w:tcPr>
          <w:p>
            <w:pPr>
              <w:ind w:left="1040"/>
              <w:spacing w:after="0"/>
              <w:rPr>
                <w:sz w:val="20"/>
                <w:szCs w:val="20"/>
                <w:color w:val="auto"/>
              </w:rPr>
            </w:pPr>
            <w:r>
              <w:rPr>
                <w:rFonts w:ascii="Arial" w:cs="Arial" w:eastAsia="Arial" w:hAnsi="Arial"/>
                <w:sz w:val="14"/>
                <w:szCs w:val="14"/>
                <w:color w:val="auto"/>
              </w:rPr>
              <w:t>$263,225</w:t>
            </w:r>
          </w:p>
        </w:tc>
        <w:tc>
          <w:tcPr>
            <w:tcW w:w="1680" w:type="dxa"/>
            <w:vAlign w:val="bottom"/>
          </w:tcPr>
          <w:p>
            <w:pPr>
              <w:ind w:left="1440"/>
              <w:spacing w:after="0"/>
              <w:rPr>
                <w:sz w:val="20"/>
                <w:szCs w:val="20"/>
                <w:color w:val="auto"/>
              </w:rPr>
            </w:pPr>
            <w:r>
              <w:rPr>
                <w:rFonts w:ascii="Arial" w:cs="Arial" w:eastAsia="Arial" w:hAnsi="Arial"/>
                <w:sz w:val="14"/>
                <w:szCs w:val="14"/>
                <w:color w:val="auto"/>
              </w:rPr>
              <w:t>—</w:t>
            </w:r>
          </w:p>
        </w:tc>
        <w:tc>
          <w:tcPr>
            <w:tcW w:w="1480" w:type="dxa"/>
            <w:vAlign w:val="bottom"/>
          </w:tcPr>
          <w:p>
            <w:pPr>
              <w:ind w:left="740"/>
              <w:spacing w:after="0"/>
              <w:rPr>
                <w:sz w:val="20"/>
                <w:szCs w:val="20"/>
                <w:color w:val="auto"/>
              </w:rPr>
            </w:pPr>
            <w:r>
              <w:rPr>
                <w:rFonts w:ascii="Arial" w:cs="Arial" w:eastAsia="Arial" w:hAnsi="Arial"/>
                <w:sz w:val="14"/>
                <w:szCs w:val="14"/>
                <w:color w:val="auto"/>
              </w:rPr>
              <w:t>$1,547,745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0"/>
          </w:tcPr>
          <w:p>
            <w:pPr>
              <w:ind w:left="20"/>
              <w:spacing w:after="0"/>
              <w:rPr>
                <w:sz w:val="20"/>
                <w:szCs w:val="20"/>
                <w:color w:val="auto"/>
              </w:rPr>
            </w:pPr>
            <w:r>
              <w:rPr>
                <w:rFonts w:ascii="Arial" w:cs="Arial" w:eastAsia="Arial" w:hAnsi="Arial"/>
                <w:sz w:val="12"/>
                <w:szCs w:val="12"/>
                <w:b w:val="1"/>
                <w:bCs w:val="1"/>
                <w:color w:val="auto"/>
              </w:rPr>
              <w:t>Thomas J. Pfeifer</w:t>
            </w:r>
          </w:p>
        </w:tc>
        <w:tc>
          <w:tcPr>
            <w:tcW w:w="2100" w:type="dxa"/>
            <w:vAlign w:val="bottom"/>
            <w:shd w:val="clear" w:color="auto" w:fill="CCEEF0"/>
          </w:tcPr>
          <w:p>
            <w:pPr>
              <w:jc w:val="right"/>
              <w:ind w:right="12"/>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0"/>
          </w:tcPr>
          <w:p>
            <w:pPr>
              <w:ind w:left="178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0"/>
          </w:tcPr>
          <w:p>
            <w:pPr>
              <w:ind w:left="144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0"/>
          </w:tcPr>
          <w:p>
            <w:pPr>
              <w:ind w:left="14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0"/>
          </w:tcPr>
          <w:p>
            <w:pPr>
              <w:ind w:left="1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2"/>
                <w:szCs w:val="12"/>
                <w:b w:val="1"/>
                <w:bCs w:val="1"/>
                <w:color w:val="auto"/>
              </w:rPr>
              <w:t>Matthew A. Calderone</w:t>
            </w:r>
          </w:p>
        </w:tc>
        <w:tc>
          <w:tcPr>
            <w:tcW w:w="2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80" w:type="dxa"/>
            <w:vAlign w:val="bottom"/>
          </w:tcPr>
          <w:p>
            <w:pPr>
              <w:ind w:left="1780"/>
              <w:spacing w:after="0"/>
              <w:rPr>
                <w:sz w:val="20"/>
                <w:szCs w:val="20"/>
                <w:color w:val="auto"/>
              </w:rPr>
            </w:pPr>
            <w:r>
              <w:rPr>
                <w:rFonts w:ascii="Arial" w:cs="Arial" w:eastAsia="Arial" w:hAnsi="Arial"/>
                <w:sz w:val="14"/>
                <w:szCs w:val="14"/>
                <w:color w:val="auto"/>
              </w:rPr>
              <w:t>—</w:t>
            </w:r>
          </w:p>
        </w:tc>
        <w:tc>
          <w:tcPr>
            <w:tcW w:w="1680" w:type="dxa"/>
            <w:vAlign w:val="bottom"/>
          </w:tcPr>
          <w:p>
            <w:pPr>
              <w:ind w:left="1440"/>
              <w:spacing w:after="0"/>
              <w:rPr>
                <w:sz w:val="20"/>
                <w:szCs w:val="20"/>
                <w:color w:val="auto"/>
              </w:rPr>
            </w:pPr>
            <w:r>
              <w:rPr>
                <w:rFonts w:ascii="Arial" w:cs="Arial" w:eastAsia="Arial" w:hAnsi="Arial"/>
                <w:sz w:val="14"/>
                <w:szCs w:val="14"/>
                <w:color w:val="auto"/>
              </w:rPr>
              <w:t>—</w:t>
            </w:r>
          </w:p>
        </w:tc>
        <w:tc>
          <w:tcPr>
            <w:tcW w:w="1680" w:type="dxa"/>
            <w:vAlign w:val="bottom"/>
          </w:tcPr>
          <w:p>
            <w:pPr>
              <w:ind w:left="1440"/>
              <w:spacing w:after="0"/>
              <w:rPr>
                <w:sz w:val="20"/>
                <w:szCs w:val="20"/>
                <w:color w:val="auto"/>
              </w:rPr>
            </w:pPr>
            <w:r>
              <w:rPr>
                <w:rFonts w:ascii="Arial" w:cs="Arial" w:eastAsia="Arial" w:hAnsi="Arial"/>
                <w:sz w:val="14"/>
                <w:szCs w:val="14"/>
                <w:color w:val="auto"/>
              </w:rPr>
              <w:t>—</w:t>
            </w:r>
          </w:p>
        </w:tc>
        <w:tc>
          <w:tcPr>
            <w:tcW w:w="1480" w:type="dxa"/>
            <w:vAlign w:val="bottom"/>
          </w:tcPr>
          <w:p>
            <w:pPr>
              <w:ind w:left="1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440" w:hanging="315"/>
        <w:spacing w:after="0" w:line="274" w:lineRule="auto"/>
        <w:tabs>
          <w:tab w:leader="none" w:pos="443"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amounts reported in this column reflect executive contributions to the Deferred Compensation Plan that became effective in fiscal year 2026 and is attributable to the executive's election to defer all or a portion of their fiscal year 2025 annual performance bonus. For each of Mr. Crowe and Ms. Inserra, these executive contributions are reported in the "Non-Equity Incentive Plan Compensation" column for the fiscal year 2025 in the Summary Compensation Table.</w:t>
      </w:r>
    </w:p>
    <w:p>
      <w:pPr>
        <w:spacing w:after="0" w:line="123" w:lineRule="exact"/>
        <w:rPr>
          <w:rFonts w:ascii="Arial" w:cs="Arial" w:eastAsia="Arial" w:hAnsi="Arial"/>
          <w:sz w:val="13"/>
          <w:szCs w:val="13"/>
          <w:color w:val="auto"/>
        </w:rPr>
      </w:pPr>
    </w:p>
    <w:p>
      <w:pPr>
        <w:ind w:left="440" w:hanging="315"/>
        <w:spacing w:after="0"/>
        <w:tabs>
          <w:tab w:leader="none" w:pos="4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Aggregate earnings were not included in the Named Executive Officer's compensation in the last completed fiscal year in the Summary Compensation Table.</w:t>
      </w:r>
    </w:p>
    <w:p>
      <w:pPr>
        <w:spacing w:after="0" w:line="168" w:lineRule="exact"/>
        <w:rPr>
          <w:rFonts w:ascii="Arial" w:cs="Arial" w:eastAsia="Arial" w:hAnsi="Arial"/>
          <w:sz w:val="13"/>
          <w:szCs w:val="13"/>
          <w:color w:val="auto"/>
        </w:rPr>
      </w:pPr>
    </w:p>
    <w:p>
      <w:pPr>
        <w:ind w:left="440" w:hanging="315"/>
        <w:spacing w:after="0" w:line="293" w:lineRule="auto"/>
        <w:tabs>
          <w:tab w:leader="none" w:pos="443" w:val="left"/>
        </w:tabs>
        <w:numPr>
          <w:ilvl w:val="0"/>
          <w:numId w:val="58"/>
        </w:numPr>
        <w:rPr>
          <w:rFonts w:ascii="Arial" w:cs="Arial" w:eastAsia="Arial" w:hAnsi="Arial"/>
          <w:sz w:val="13"/>
          <w:szCs w:val="13"/>
          <w:color w:val="auto"/>
        </w:rPr>
      </w:pPr>
      <w:r>
        <w:rPr>
          <w:rFonts w:ascii="Arial" w:cs="Arial" w:eastAsia="Arial" w:hAnsi="Arial"/>
          <w:sz w:val="13"/>
          <w:szCs w:val="13"/>
          <w:color w:val="auto"/>
        </w:rPr>
        <w:t>Ms. Inserra is the only Named Executive Officer who enrolled in the fiscal year 2026 Deferred Compensation Plan, and her contributions to the Deferred Compensation Plan for such fiscal year will become effective only in fiscal year 2027.</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non-qualified deferred compensation plan (or Deferred Compensation Plan) allows eligible executives to defer all or a portion of their annual bonus to this plan. Participants make an irrevocable election to defer compensation in March prior to the fiscal year in which it is earned. Amounts deferred under the Deferred Compensation Plan, as adjusted for applicable earnings gains and losses and fees, are credited to an account in the participant’s name. Contributions made to the plan are immediately vested and remain fully vested at all times. Participants may select at any time from a diversified menu of notional investment options, and the value of their Deferred Compensation Plan account balance may increase or decrease based on the performance of their selected investment options. In fiscal year 2026, the average annual return on the investment options available for the Deferred Compensation Plan was 15.3%.</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Deferred Compensation Plan participants may elect to receive distributions of their deferred amounts either upon separation from service or as of a specified in-service distribution date. Distributions will be made in a lump sum payment unless the participant elects installment payments over a period between two and ten years. In case of an unforeseeable emergency that causes a severe financial hardship for a participant, the Compensation, Culture and People Committee of the Board of Directors or its designee may approve a distribution under the Deferred Compensation Plan to the participant without penalty in an amount necessary to help alleviate the hardship to the extent permitted by Section 409A of the tax code. All distributions are taxable income as of the date of the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6" w:name="page67"/>
    <w:bookmarkEnd w:id="66"/>
    <w:p>
      <w:pPr>
        <w:ind w:left="320"/>
        <w:spacing w:after="0"/>
        <w:rPr>
          <w:sz w:val="20"/>
          <w:szCs w:val="20"/>
          <w:color w:val="auto"/>
        </w:rPr>
      </w:pPr>
      <w:r>
        <w:rPr>
          <w:rFonts w:ascii="Arial" w:cs="Arial" w:eastAsia="Arial" w:hAnsi="Arial"/>
          <w:sz w:val="19"/>
          <w:szCs w:val="19"/>
          <w:color w:val="00A5B5"/>
        </w:rPr>
        <w:t>Potential Payments upon Termination or a Change in Control</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Transition Pay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Consistent with our Transition Policy, which deals with departures other than retirement, resignation, death, disability, and terminations for cause, each named executive officer is eligible for transition pay equal to three months of base pay, as well as a lump sum payment equal to one month of base pay for each completed year as an executive, up to a maximum of nine months’ base pay. Additionally, the Company will reimburse each named executed officer for up to $30,000 for outplacement career services and up to three months of premium costs in accordance with the Continuous Omnibus Budget Reconciliation Act, "COBRA", based on the eligible healthcare plan(s) in which the named executive officer is enrolled. Under the terms of our Transition Policy and Retirement Policy, all departure payments and benefits are contingent upon the executives’ signing of a general release.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Retirement Benefits</w:t>
      </w:r>
    </w:p>
    <w:p>
      <w:pPr>
        <w:spacing w:after="0" w:line="16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Under our Officers' Retirement Plan, if our named executive officers retire, they will each be entitled to receive a single lump sum retirement payment equal to $20,000 for each year of service as an executive, pro-rated as appropriate. In addition, each of our named executive officers and their eligible dependents are also entitled to receive the benefit of Company-paid retiree medical and dental coverage post-retirement.</w:t>
      </w:r>
    </w:p>
    <w:p>
      <w:pPr>
        <w:spacing w:after="0" w:line="1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During fiscal year 2026, we entered into a retirement letter agreement with Mr. Calderone pursuant to which he remained eligible for the fiscal year 2026 annual bonus, prorated for the portion of fiscal year 2026 that elapsed prior to the retirement date, and payable on the Company’s regular payment date for fiscal year 2026 bonuses, subject to Company performance. In addition, the equity awards held by Mr. Calderone as of his retirement date were generally treated in accordance with the term of the Equity Incentive Plan and applicable award agreements. Upon Mr. Calderone's retirement (i) the outstanding time-based restricted stock units granted to Mr. Calderone on May 27, 2025 and the one-time time-based restricted stock units grants to him on May 23, 2024 were forfeited, and (ii) all outstanding performance-based restricted stock units granted to Mr. Calderone were also forfeited since (a) his retirement did not meet the conditions of a "qualifying permanent retirement" (as discussed below) at any time with respect to the annual performance-based restricted stock units granted to him on July 22, 2025, May 23, 2024, and May 25, 2023, and (b) the one-time performance-based restricted stock units grant to Mr Calderone on May 23, 2024 did not include a "qualifying permanent retirement" provision. The outstanding time-based restricted stock units associated with annual equity compensation granted to Mr. Calderone on each of May 23, 2024 and May 25, 2023 were permitted to continue to vest following his retirement, subject to forfeiture for competitive activity and other terms and conditions of the Equity Incentive Plan and applicable award agreements.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A5B5"/>
        </w:rPr>
        <w:t>Treatment of Equity Awards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our Equity Incentive Plan and the award agreements governing the equity awards held by our named executive officers include provisions related to the treatment of the awards upon a termination of employment: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Death</w:t>
      </w:r>
    </w:p>
    <w:p>
      <w:pPr>
        <w:spacing w:after="0" w:line="16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In the event of a named executive officer’s termination of employment due to death, (i) unvested options immediately vest and remain outstanding until the first anniversary of the termination date, or if earlier, the option’s expiration date, (ii) unvested time-based restricted stock units and restricted stock immediately vest, and (iii) unvested performance-based restricted stock units immediately vest at target award levels.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Disability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event of a named executive officer’s termination of employment due to disability, (i) unvested options continue to vest on the normal schedule, and vested options will remain outstanding until the first anniversary of the termination date (or for options vesting after the termination date, the first anniversary of the vesting date), or if earlier, the option’s expiration date, (ii) unvested time-based restricted stock units and restricted stock continue to vest on the normal schedule, and (iii) unvested performance-based restricted stock units vest on the normal vesting date in a pro rata amount of the units that would have been earned and vested based on the actual achievement of the performance goals as if employment had not terminated (with the amount prorated based on the portion of the performance period that lapsed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7" w:name="page68"/>
    <w:bookmarkEnd w:id="67"/>
    <w:p>
      <w:pPr>
        <w:ind w:left="320"/>
        <w:spacing w:after="0"/>
        <w:rPr>
          <w:sz w:val="20"/>
          <w:szCs w:val="20"/>
          <w:color w:val="auto"/>
        </w:rPr>
      </w:pPr>
      <w:r>
        <w:rPr>
          <w:rFonts w:ascii="Arial" w:cs="Arial" w:eastAsia="Arial" w:hAnsi="Arial"/>
          <w:sz w:val="18"/>
          <w:szCs w:val="18"/>
          <w:i w:val="1"/>
          <w:iCs w:val="1"/>
          <w:color w:val="00A5B5"/>
        </w:rPr>
        <w:t>For Cause</w:t>
      </w:r>
    </w:p>
    <w:p>
      <w:pPr>
        <w:spacing w:after="0" w:line="16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the event of a named executive officer’s termination of employment for cause (as defined in the applicable award agreement), all vested and unvested options, and all unvested time-based restricted stock units, restricted stock, and performance-based restricted stock units are immediately forfeited and canceled, effective as of the termination date.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Qualifying Permanent Retirement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If a named executive officer’s employment is terminated by reason of a qualifying permanent retirement on or after March 31 of the first fiscal year of a performance period, unvested performance-based restricted stock units will continue to vest on the vesting date based on actual achievement of the performance goals as if employment had not terminated, except as otherwise noted below. In the event of a retirement occurring prior to March 31 of the first fiscal year of the performance period, or if at any time if the retirement is not a qualifying permanent retirement, all unvested performance-based restricted stock units will be immediately forfeited. Certain one-time performance-based restricted stock units granted to Ms. Anderson and Messrs. Calderone and Crowe in fiscal year 2025 did not include a qualifying permanent retirement condition and will be forfeited upon each such Named Executive Officer's retirement if outstanding at such time. Mr. Calderone forfeited his one-time grant of performance-based restricted stock units received in fiscal year 2025 upon his retirement from the Company effective February 1, 2026.</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Any Other Termination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event of a named executive officer’s termination of employment for any reason other than death, disability, a qualifying permanent retirement after the first fiscal year of a performance period (in the case of the performance-based restricted stock units), or cause, unvested options are immediately forfeited and canceled, and vested options remain outstanding until the 90th day following the termination date, or if earlier, the option’s expiration date, and unvested time-based restricted stock units and performance-based restricted stock units are immediately forfeited, in each case unless otherwise determined by our Compensation, Culture and People Committee.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Non-Competition Agreements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To the extent legally permissible, the named executive officers are party to agreements that include non-competition, non-solicitation, and non-recruitment covenants, which generally cover the period during which the executive is employed with us and for one year following termination of employment, along with perpetual confidentiality covenants. If the named executive officer breaches these agreements or otherwise engages in competitive activity as defined in the Equity Incentive Plan, the Company has the discretion to suspend vesting of all or a portion of any award and/or require the forfeiture or disgorgement to us of any equity award (including gains on the sale of the stock, if any) that vested, or was paid or settled, in the 12 months prior to, or any time after, such breach or the date the individual otherwise engaged in such competitive activity.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Change in Control Protections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change in control agreements with any of our employees.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Equity Awards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With respect to equity awards granted to our named executive officers under the Equity Incentive Plan in fiscal years 2025 and 2026, pursuant to the terms of the applicable award agreements as approved by our Compensation, Culture and People Committee, in the event of a change in control, unless otherwise determined by the Compensation, Culture and People Committee or as otherwise provided in an award agreement, any unvested or unexercisable time-based and performance-based awards granted under the Equity Incentive Plan will not become fully vested upon the occurrence of a change in control, and will instead be honored, assumed or substituted following the change in control, so long as such substitute awards (i) provide a participant with rights and entitlements (including economic value) that are substantially equivalent to or better than the rights and terms applicable to the awards held by such participant immediately prior to the change in control, and (ii) provide for accelerated vesting upon an involuntary termination of a participant’s employment without cause or for good reason within two years following the occurrence of the change in control. If the awards are not honored, assumed or substituted upon a change in control, then any time-based awards granted under the Equity Incentive Plan, including time-based options and time-based restricted stock units, will fully vest, and a portion of any outstanding performance-based awards granted under the Equity Incentive Plan, including performance-based restricted stock units, will vest based on performance achieved as of the consummation of the transaction constituting a change in control.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8" w:name="page69"/>
    <w:bookmarkEnd w:id="68"/>
    <w:p>
      <w:pPr>
        <w:jc w:val="both"/>
        <w:ind w:left="560" w:hanging="156"/>
        <w:spacing w:after="0" w:line="259" w:lineRule="auto"/>
        <w:rPr>
          <w:sz w:val="20"/>
          <w:szCs w:val="20"/>
          <w:color w:val="auto"/>
        </w:rPr>
      </w:pPr>
      <w:r>
        <w:rPr>
          <w:rFonts w:ascii="Arial" w:cs="Arial" w:eastAsia="Arial" w:hAnsi="Arial"/>
          <w:sz w:val="18"/>
          <w:szCs w:val="18"/>
          <w:color w:val="auto"/>
        </w:rPr>
        <w:t>With respect to equity awards granted to our named executive officers under the Prior Equity Incentive Plan in fiscal years 2024, pursuant to the terms of the applicable award agreements as approved by our Compensation, Culture and People Committee, in the event of a change in control:</w:t>
      </w:r>
    </w:p>
    <w:p>
      <w:pPr>
        <w:spacing w:after="0" w:line="124" w:lineRule="exact"/>
        <w:rPr>
          <w:sz w:val="20"/>
          <w:szCs w:val="20"/>
          <w:color w:val="auto"/>
        </w:rPr>
      </w:pPr>
    </w:p>
    <w:p>
      <w:pPr>
        <w:jc w:val="both"/>
        <w:ind w:left="640" w:hanging="316"/>
        <w:spacing w:after="0" w:line="252" w:lineRule="auto"/>
        <w:tabs>
          <w:tab w:leader="none" w:pos="6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time-based options and time-based restricted stock units shall remain outstanding and vest on the applicable vesting date, subject to the continued employment or service of the participant with the Company or any subsidiary thereof through such vesting date. However, if the participant’s employment or service is terminated by the Company without “cause” or for “good reason” (in each case, as defined in the applicable award agreement) within two years following the effective date of the change in control transaction (each, a "Qualifying Termination"), such outstanding options and restricted stock units will vest as of the date of such termination; and</w:t>
      </w:r>
    </w:p>
    <w:p>
      <w:pPr>
        <w:spacing w:after="0" w:line="130" w:lineRule="exact"/>
        <w:rPr>
          <w:rFonts w:ascii="Arial" w:cs="Arial" w:eastAsia="Arial" w:hAnsi="Arial"/>
          <w:sz w:val="18"/>
          <w:szCs w:val="18"/>
          <w:color w:val="auto"/>
        </w:rPr>
      </w:pPr>
    </w:p>
    <w:p>
      <w:pPr>
        <w:jc w:val="both"/>
        <w:ind w:left="640" w:hanging="316"/>
        <w:spacing w:after="0" w:line="252" w:lineRule="auto"/>
        <w:tabs>
          <w:tab w:leader="none" w:pos="6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unvested performance-based restricted stock units will remain outstanding at target levels and will vest on the original vesting date, subject to the continued employment or service of the participant by the Company or any subsidiary thereof through such vesting date, but without regard to achievement of any performance goals; however, if the participant’s employment or service is terminated in a Qualifying Termination within two years following the effective date of the change in control, such outstanding restricted stock units will vest as of the date of such termination.</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0A5B5"/>
        </w:rPr>
        <w:t>Retirement Benefits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during the five-year period after a change in control, our executives' retiree medical plan is terminated or modified in a manner that is materially adverse to our executives, each of our executives, including our named executive officers, will be guaranteed their existing benefits under the plan through the fifth anniversary of the change in control and receive at the end of the five-year period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giving effect to the termination or modification (but excluding the accrual on the payment itself).</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table presents potential payments to each named executive officer as if the named executive officer’s employment had been terminated or a change in control had occurred as of the last day of fiscal year 2026. If applicable, amounts in the table were calculated using $78.03, the closing fair market value of our common stock on the last trading day of the fiscal year, March 31, 2026. The actual amounts that would be paid to any named executive officer can only be determined at the time of an actual termination of employment or change in control and would vary from those listed below. For Mr. Calderone, the table sets forth the actual amount of compensation received or receivable in connection with his retirement during fiscal year 2026. The estimated amounts listed below are in addition to any retirement, welfare, and other benefits that are available to our salaried employees generally.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tbl>
      <w:tblPr>
        <w:tblLayout w:type="fixed"/>
        <w:tblInd w:w="745" w:type="dxa"/>
        <w:tblCellMar>
          <w:top w:w="0" w:type="dxa"/>
          <w:left w:w="0" w:type="dxa"/>
          <w:bottom w:w="0" w:type="dxa"/>
          <w:right w:w="0" w:type="dxa"/>
        </w:tblCellMar>
      </w:tblPr>
      <w:tr>
        <w:trPr>
          <w:trHeight w:val="159"/>
        </w:trPr>
        <w:tc>
          <w:tcPr>
            <w:tcW w:w="2840" w:type="dxa"/>
            <w:vAlign w:val="bottom"/>
            <w:tcBorders>
              <w:top w:val="single" w:sz="8" w:color="auto"/>
              <w:left w:val="single" w:sz="8" w:color="auto"/>
            </w:tcBorders>
            <w:shd w:val="clear" w:color="auto" w:fill="00A5B5"/>
          </w:tcPr>
          <w:p>
            <w:pPr>
              <w:spacing w:after="0"/>
              <w:rPr>
                <w:sz w:val="13"/>
                <w:szCs w:val="13"/>
                <w:color w:val="auto"/>
              </w:rPr>
            </w:pPr>
          </w:p>
        </w:tc>
        <w:tc>
          <w:tcPr>
            <w:tcW w:w="920" w:type="dxa"/>
            <w:vAlign w:val="bottom"/>
            <w:tcBorders>
              <w:top w:val="single" w:sz="8" w:color="auto"/>
            </w:tcBorders>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Severance</w:t>
            </w:r>
          </w:p>
        </w:tc>
        <w:tc>
          <w:tcPr>
            <w:tcW w:w="80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Equity With</w:t>
            </w:r>
          </w:p>
        </w:tc>
        <w:tc>
          <w:tcPr>
            <w:tcW w:w="600" w:type="dxa"/>
            <w:vAlign w:val="bottom"/>
            <w:tcBorders>
              <w:top w:val="single" w:sz="8" w:color="auto"/>
            </w:tcBorders>
            <w:shd w:val="clear" w:color="auto" w:fill="00A5B5"/>
          </w:tcPr>
          <w:p>
            <w:pPr>
              <w:spacing w:after="0"/>
              <w:rPr>
                <w:sz w:val="13"/>
                <w:szCs w:val="13"/>
                <w:color w:val="auto"/>
              </w:rPr>
            </w:pPr>
          </w:p>
        </w:tc>
        <w:tc>
          <w:tcPr>
            <w:tcW w:w="86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Retirement</w:t>
            </w:r>
          </w:p>
        </w:tc>
        <w:tc>
          <w:tcPr>
            <w:tcW w:w="80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Death and</w:t>
            </w:r>
          </w:p>
        </w:tc>
        <w:tc>
          <w:tcPr>
            <w:tcW w:w="720" w:type="dxa"/>
            <w:vAlign w:val="bottom"/>
            <w:tcBorders>
              <w:top w:val="single" w:sz="8" w:color="auto"/>
            </w:tcBorders>
            <w:shd w:val="clear" w:color="auto" w:fill="00A5B5"/>
          </w:tcPr>
          <w:p>
            <w:pPr>
              <w:spacing w:after="0"/>
              <w:rPr>
                <w:sz w:val="13"/>
                <w:szCs w:val="13"/>
                <w:color w:val="auto"/>
              </w:rPr>
            </w:pPr>
          </w:p>
        </w:tc>
        <w:tc>
          <w:tcPr>
            <w:tcW w:w="860" w:type="dxa"/>
            <w:vAlign w:val="bottom"/>
            <w:tcBorders>
              <w:top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Continued</w:t>
            </w:r>
          </w:p>
        </w:tc>
        <w:tc>
          <w:tcPr>
            <w:tcW w:w="380" w:type="dxa"/>
            <w:vAlign w:val="bottom"/>
            <w:tcBorders>
              <w:top w:val="single" w:sz="8" w:color="auto"/>
            </w:tcBorders>
            <w:shd w:val="clear" w:color="auto" w:fill="00A5B5"/>
          </w:tcPr>
          <w:p>
            <w:pPr>
              <w:spacing w:after="0"/>
              <w:rPr>
                <w:sz w:val="13"/>
                <w:szCs w:val="13"/>
                <w:color w:val="auto"/>
              </w:rPr>
            </w:pPr>
          </w:p>
        </w:tc>
        <w:tc>
          <w:tcPr>
            <w:tcW w:w="1000" w:type="dxa"/>
            <w:vAlign w:val="bottom"/>
            <w:tcBorders>
              <w:top w:val="single" w:sz="8" w:color="auto"/>
              <w:right w:val="single" w:sz="8" w:color="auto"/>
            </w:tcBorders>
            <w:shd w:val="clear" w:color="auto" w:fill="00A5B5"/>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40" w:type="dxa"/>
            <w:vAlign w:val="bottom"/>
            <w:tcBorders>
              <w:left w:val="single" w:sz="8" w:color="auto"/>
            </w:tcBorders>
            <w:shd w:val="clear" w:color="auto" w:fill="00A5B5"/>
          </w:tcPr>
          <w:p>
            <w:pPr>
              <w:spacing w:after="0"/>
              <w:rPr>
                <w:sz w:val="10"/>
                <w:szCs w:val="10"/>
                <w:color w:val="auto"/>
              </w:rPr>
            </w:pPr>
          </w:p>
        </w:tc>
        <w:tc>
          <w:tcPr>
            <w:tcW w:w="920" w:type="dxa"/>
            <w:vAlign w:val="bottom"/>
            <w:vMerge w:val="continue"/>
            <w:shd w:val="clear" w:color="auto" w:fill="00A5B5"/>
          </w:tcPr>
          <w:p>
            <w:pPr>
              <w:spacing w:after="0"/>
              <w:rPr>
                <w:sz w:val="10"/>
                <w:szCs w:val="10"/>
                <w:color w:val="auto"/>
              </w:rPr>
            </w:pPr>
          </w:p>
        </w:tc>
        <w:tc>
          <w:tcPr>
            <w:tcW w:w="8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Accelerated</w:t>
            </w:r>
          </w:p>
        </w:tc>
        <w:tc>
          <w:tcPr>
            <w:tcW w:w="600" w:type="dxa"/>
            <w:vAlign w:val="bottom"/>
            <w:shd w:val="clear" w:color="auto" w:fill="00A5B5"/>
          </w:tcPr>
          <w:p>
            <w:pPr>
              <w:spacing w:after="0"/>
              <w:rPr>
                <w:sz w:val="10"/>
                <w:szCs w:val="10"/>
                <w:color w:val="auto"/>
              </w:rPr>
            </w:pPr>
          </w:p>
        </w:tc>
        <w:tc>
          <w:tcPr>
            <w:tcW w:w="8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Plan</w:t>
            </w:r>
          </w:p>
        </w:tc>
        <w:tc>
          <w:tcPr>
            <w:tcW w:w="80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Disability</w:t>
            </w:r>
          </w:p>
        </w:tc>
        <w:tc>
          <w:tcPr>
            <w:tcW w:w="720" w:type="dxa"/>
            <w:vAlign w:val="bottom"/>
            <w:shd w:val="clear" w:color="auto" w:fill="00A5B5"/>
          </w:tcPr>
          <w:p>
            <w:pPr>
              <w:spacing w:after="0"/>
              <w:rPr>
                <w:sz w:val="10"/>
                <w:szCs w:val="10"/>
                <w:color w:val="auto"/>
              </w:rPr>
            </w:pPr>
          </w:p>
        </w:tc>
        <w:tc>
          <w:tcPr>
            <w:tcW w:w="860" w:type="dxa"/>
            <w:vAlign w:val="bottom"/>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Perquisites</w:t>
            </w:r>
          </w:p>
        </w:tc>
        <w:tc>
          <w:tcPr>
            <w:tcW w:w="380" w:type="dxa"/>
            <w:vAlign w:val="bottom"/>
            <w:shd w:val="clear" w:color="auto" w:fill="00A5B5"/>
          </w:tcPr>
          <w:p>
            <w:pPr>
              <w:spacing w:after="0"/>
              <w:rPr>
                <w:sz w:val="10"/>
                <w:szCs w:val="10"/>
                <w:color w:val="auto"/>
              </w:rPr>
            </w:pPr>
          </w:p>
        </w:tc>
        <w:tc>
          <w:tcPr>
            <w:tcW w:w="1000" w:type="dxa"/>
            <w:vAlign w:val="bottom"/>
            <w:tcBorders>
              <w:right w:val="single" w:sz="8" w:color="auto"/>
            </w:tcBorders>
            <w:vMerge w:val="restart"/>
            <w:shd w:val="clear" w:color="auto" w:fill="00A5B5"/>
          </w:tcPr>
          <w:p>
            <w:pPr>
              <w:ind w:left="340"/>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85"/>
        </w:trPr>
        <w:tc>
          <w:tcPr>
            <w:tcW w:w="2840" w:type="dxa"/>
            <w:vAlign w:val="bottom"/>
            <w:tcBorders>
              <w:left w:val="single" w:sz="8" w:color="auto"/>
            </w:tcBorders>
            <w:shd w:val="clear" w:color="auto" w:fill="00A5B5"/>
          </w:tcPr>
          <w:p>
            <w:pPr>
              <w:spacing w:after="0"/>
              <w:rPr>
                <w:sz w:val="16"/>
                <w:szCs w:val="16"/>
                <w:color w:val="auto"/>
              </w:rPr>
            </w:pPr>
          </w:p>
        </w:tc>
        <w:tc>
          <w:tcPr>
            <w:tcW w:w="92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w w:val="91"/>
              </w:rPr>
              <w:t xml:space="preserve">Pay </w:t>
            </w:r>
            <w:r>
              <w:rPr>
                <w:rFonts w:ascii="Arial" w:cs="Arial" w:eastAsia="Arial" w:hAnsi="Arial"/>
                <w:sz w:val="16"/>
                <w:szCs w:val="16"/>
                <w:b w:val="1"/>
                <w:bCs w:val="1"/>
                <w:color w:val="FFFFFF"/>
                <w:w w:val="91"/>
                <w:vertAlign w:val="superscript"/>
              </w:rPr>
              <w:t>1</w:t>
            </w:r>
          </w:p>
        </w:tc>
        <w:tc>
          <w:tcPr>
            <w:tcW w:w="80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rPr>
              <w:t>Vesting</w:t>
            </w:r>
          </w:p>
        </w:tc>
        <w:tc>
          <w:tcPr>
            <w:tcW w:w="600" w:type="dxa"/>
            <w:vAlign w:val="bottom"/>
            <w:shd w:val="clear" w:color="auto" w:fill="00A5B5"/>
          </w:tcPr>
          <w:p>
            <w:pPr>
              <w:spacing w:after="0"/>
              <w:rPr>
                <w:sz w:val="16"/>
                <w:szCs w:val="16"/>
                <w:color w:val="auto"/>
              </w:rPr>
            </w:pPr>
          </w:p>
        </w:tc>
        <w:tc>
          <w:tcPr>
            <w:tcW w:w="86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w w:val="97"/>
              </w:rPr>
              <w:t>Benefits</w:t>
            </w:r>
            <w:r>
              <w:rPr>
                <w:rFonts w:ascii="Arial" w:cs="Arial" w:eastAsia="Arial" w:hAnsi="Arial"/>
                <w:sz w:val="16"/>
                <w:szCs w:val="16"/>
                <w:b w:val="1"/>
                <w:bCs w:val="1"/>
                <w:color w:val="FFFFFF"/>
                <w:w w:val="97"/>
                <w:vertAlign w:val="superscript"/>
              </w:rPr>
              <w:t>3</w:t>
            </w:r>
          </w:p>
        </w:tc>
        <w:tc>
          <w:tcPr>
            <w:tcW w:w="80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rPr>
              <w:t>Benefits</w:t>
            </w:r>
          </w:p>
        </w:tc>
        <w:tc>
          <w:tcPr>
            <w:tcW w:w="720" w:type="dxa"/>
            <w:vAlign w:val="bottom"/>
            <w:shd w:val="clear" w:color="auto" w:fill="00A5B5"/>
          </w:tcPr>
          <w:p>
            <w:pPr>
              <w:spacing w:after="0"/>
              <w:rPr>
                <w:sz w:val="16"/>
                <w:szCs w:val="16"/>
                <w:color w:val="auto"/>
              </w:rPr>
            </w:pPr>
          </w:p>
        </w:tc>
        <w:tc>
          <w:tcPr>
            <w:tcW w:w="860" w:type="dxa"/>
            <w:vAlign w:val="bottom"/>
            <w:shd w:val="clear" w:color="auto" w:fill="00A5B5"/>
          </w:tcPr>
          <w:p>
            <w:pPr>
              <w:jc w:val="center"/>
              <w:spacing w:after="0"/>
              <w:rPr>
                <w:sz w:val="20"/>
                <w:szCs w:val="20"/>
                <w:color w:val="auto"/>
              </w:rPr>
            </w:pPr>
            <w:r>
              <w:rPr>
                <w:rFonts w:ascii="Arial" w:cs="Arial" w:eastAsia="Arial" w:hAnsi="Arial"/>
                <w:sz w:val="12"/>
                <w:szCs w:val="12"/>
                <w:b w:val="1"/>
                <w:bCs w:val="1"/>
                <w:color w:val="FFFFFF"/>
              </w:rPr>
              <w:t>and Benefits</w:t>
            </w:r>
          </w:p>
        </w:tc>
        <w:tc>
          <w:tcPr>
            <w:tcW w:w="380" w:type="dxa"/>
            <w:vAlign w:val="bottom"/>
            <w:shd w:val="clear" w:color="auto" w:fill="00A5B5"/>
          </w:tcPr>
          <w:p>
            <w:pPr>
              <w:spacing w:after="0"/>
              <w:rPr>
                <w:sz w:val="16"/>
                <w:szCs w:val="16"/>
                <w:color w:val="auto"/>
              </w:rPr>
            </w:pPr>
          </w:p>
        </w:tc>
        <w:tc>
          <w:tcPr>
            <w:tcW w:w="1000" w:type="dxa"/>
            <w:vAlign w:val="bottom"/>
            <w:tcBorders>
              <w:right w:val="single" w:sz="8" w:color="auto"/>
            </w:tcBorders>
            <w:vMerge w:val="continue"/>
            <w:shd w:val="clear" w:color="auto" w:fill="00A5B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bottom w:val="single" w:sz="8" w:color="auto"/>
            </w:tcBorders>
            <w:shd w:val="clear" w:color="auto" w:fill="00A5B5"/>
          </w:tcPr>
          <w:p>
            <w:pPr>
              <w:ind w:left="40"/>
              <w:spacing w:after="0"/>
              <w:rPr>
                <w:sz w:val="20"/>
                <w:szCs w:val="20"/>
                <w:color w:val="auto"/>
              </w:rPr>
            </w:pPr>
            <w:r>
              <w:rPr>
                <w:rFonts w:ascii="Arial" w:cs="Arial" w:eastAsia="Arial" w:hAnsi="Arial"/>
                <w:sz w:val="12"/>
                <w:szCs w:val="12"/>
                <w:b w:val="1"/>
                <w:bCs w:val="1"/>
                <w:color w:val="FFFFFF"/>
              </w:rPr>
              <w:t>Name</w:t>
            </w:r>
          </w:p>
        </w:tc>
        <w:tc>
          <w:tcPr>
            <w:tcW w:w="92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8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600" w:type="dxa"/>
            <w:vAlign w:val="bottom"/>
            <w:tcBorders>
              <w:bottom w:val="single" w:sz="8" w:color="auto"/>
            </w:tcBorders>
            <w:shd w:val="clear" w:color="auto" w:fill="00A5B5"/>
          </w:tcPr>
          <w:p>
            <w:pPr>
              <w:spacing w:after="0"/>
              <w:rPr>
                <w:sz w:val="16"/>
                <w:szCs w:val="16"/>
                <w:color w:val="auto"/>
              </w:rPr>
            </w:pPr>
          </w:p>
        </w:tc>
        <w:tc>
          <w:tcPr>
            <w:tcW w:w="86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80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720" w:type="dxa"/>
            <w:vAlign w:val="bottom"/>
            <w:tcBorders>
              <w:bottom w:val="single" w:sz="8" w:color="auto"/>
            </w:tcBorders>
            <w:shd w:val="clear" w:color="auto" w:fill="00A5B5"/>
          </w:tcPr>
          <w:p>
            <w:pPr>
              <w:spacing w:after="0"/>
              <w:rPr>
                <w:sz w:val="16"/>
                <w:szCs w:val="16"/>
                <w:color w:val="auto"/>
              </w:rPr>
            </w:pPr>
          </w:p>
        </w:tc>
        <w:tc>
          <w:tcPr>
            <w:tcW w:w="860" w:type="dxa"/>
            <w:vAlign w:val="bottom"/>
            <w:tcBorders>
              <w:bottom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w w:val="95"/>
              </w:rPr>
              <w:t>($)</w:t>
            </w:r>
          </w:p>
        </w:tc>
        <w:tc>
          <w:tcPr>
            <w:tcW w:w="380" w:type="dxa"/>
            <w:vAlign w:val="bottom"/>
            <w:tcBorders>
              <w:bottom w:val="single" w:sz="8" w:color="auto"/>
            </w:tcBorders>
            <w:shd w:val="clear" w:color="auto" w:fill="00A5B5"/>
          </w:tcPr>
          <w:p>
            <w:pPr>
              <w:spacing w:after="0"/>
              <w:rPr>
                <w:sz w:val="16"/>
                <w:szCs w:val="16"/>
                <w:color w:val="auto"/>
              </w:rPr>
            </w:pPr>
          </w:p>
        </w:tc>
        <w:tc>
          <w:tcPr>
            <w:tcW w:w="1000" w:type="dxa"/>
            <w:vAlign w:val="bottom"/>
            <w:tcBorders>
              <w:bottom w:val="single" w:sz="8" w:color="auto"/>
              <w:right w:val="single" w:sz="8" w:color="auto"/>
            </w:tcBorders>
            <w:shd w:val="clear" w:color="auto" w:fill="00A5B5"/>
          </w:tcPr>
          <w:p>
            <w:pPr>
              <w:jc w:val="cente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5"/>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b w:val="1"/>
                <w:bCs w:val="1"/>
                <w:color w:val="auto"/>
              </w:rPr>
              <w:t>Horacio D. Rozanski</w:t>
            </w:r>
          </w:p>
        </w:tc>
        <w:tc>
          <w:tcPr>
            <w:tcW w:w="920" w:type="dxa"/>
            <w:vAlign w:val="bottom"/>
            <w:shd w:val="clear" w:color="auto" w:fill="CCEEF0"/>
          </w:tcPr>
          <w:p>
            <w:pPr>
              <w:spacing w:after="0"/>
              <w:rPr>
                <w:sz w:val="15"/>
                <w:szCs w:val="15"/>
                <w:color w:val="auto"/>
              </w:rPr>
            </w:pPr>
          </w:p>
        </w:tc>
        <w:tc>
          <w:tcPr>
            <w:tcW w:w="800" w:type="dxa"/>
            <w:vAlign w:val="bottom"/>
            <w:shd w:val="clear" w:color="auto" w:fill="CCEEF0"/>
          </w:tcPr>
          <w:p>
            <w:pPr>
              <w:spacing w:after="0"/>
              <w:rPr>
                <w:sz w:val="15"/>
                <w:szCs w:val="15"/>
                <w:color w:val="auto"/>
              </w:rPr>
            </w:pPr>
          </w:p>
        </w:tc>
        <w:tc>
          <w:tcPr>
            <w:tcW w:w="600" w:type="dxa"/>
            <w:vAlign w:val="bottom"/>
            <w:shd w:val="clear" w:color="auto" w:fill="CCEEF0"/>
          </w:tcPr>
          <w:p>
            <w:pPr>
              <w:spacing w:after="0"/>
              <w:rPr>
                <w:sz w:val="15"/>
                <w:szCs w:val="15"/>
                <w:color w:val="auto"/>
              </w:rPr>
            </w:pPr>
          </w:p>
        </w:tc>
        <w:tc>
          <w:tcPr>
            <w:tcW w:w="860" w:type="dxa"/>
            <w:vAlign w:val="bottom"/>
            <w:shd w:val="clear" w:color="auto" w:fill="CCEEF0"/>
          </w:tcPr>
          <w:p>
            <w:pPr>
              <w:spacing w:after="0"/>
              <w:rPr>
                <w:sz w:val="15"/>
                <w:szCs w:val="15"/>
                <w:color w:val="auto"/>
              </w:rPr>
            </w:pPr>
          </w:p>
        </w:tc>
        <w:tc>
          <w:tcPr>
            <w:tcW w:w="800" w:type="dxa"/>
            <w:vAlign w:val="bottom"/>
            <w:shd w:val="clear" w:color="auto" w:fill="CCEEF0"/>
          </w:tcPr>
          <w:p>
            <w:pPr>
              <w:spacing w:after="0"/>
              <w:rPr>
                <w:sz w:val="15"/>
                <w:szCs w:val="15"/>
                <w:color w:val="auto"/>
              </w:rPr>
            </w:pPr>
          </w:p>
        </w:tc>
        <w:tc>
          <w:tcPr>
            <w:tcW w:w="720" w:type="dxa"/>
            <w:vAlign w:val="bottom"/>
            <w:shd w:val="clear" w:color="auto" w:fill="CCEEF0"/>
          </w:tcPr>
          <w:p>
            <w:pPr>
              <w:spacing w:after="0"/>
              <w:rPr>
                <w:sz w:val="15"/>
                <w:szCs w:val="15"/>
                <w:color w:val="auto"/>
              </w:rPr>
            </w:pPr>
          </w:p>
        </w:tc>
        <w:tc>
          <w:tcPr>
            <w:tcW w:w="860" w:type="dxa"/>
            <w:vAlign w:val="bottom"/>
            <w:shd w:val="clear" w:color="auto" w:fill="CCEEF0"/>
          </w:tcPr>
          <w:p>
            <w:pPr>
              <w:spacing w:after="0"/>
              <w:rPr>
                <w:sz w:val="15"/>
                <w:szCs w:val="15"/>
                <w:color w:val="auto"/>
              </w:rPr>
            </w:pPr>
          </w:p>
        </w:tc>
        <w:tc>
          <w:tcPr>
            <w:tcW w:w="380" w:type="dxa"/>
            <w:vAlign w:val="bottom"/>
            <w:shd w:val="clear" w:color="auto" w:fill="CCEEF0"/>
          </w:tcPr>
          <w:p>
            <w:pPr>
              <w:spacing w:after="0"/>
              <w:rPr>
                <w:sz w:val="15"/>
                <w:szCs w:val="15"/>
                <w:color w:val="auto"/>
              </w:rPr>
            </w:pPr>
          </w:p>
        </w:tc>
        <w:tc>
          <w:tcPr>
            <w:tcW w:w="1000" w:type="dxa"/>
            <w:vAlign w:val="bottom"/>
            <w:tcBorders>
              <w:right w:val="single" w:sz="8" w:color="auto"/>
            </w:tcBorders>
            <w:shd w:val="clear" w:color="auto" w:fill="CCEEF0"/>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Death</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10,092,946</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2,125,000</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4</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12,217,946</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Disability</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1,930,823</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5</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1,369,563</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6</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3,300,386</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Involuntary Termination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1,500,000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56,741</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7</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1,556,741</w:t>
            </w:r>
          </w:p>
        </w:tc>
        <w:tc>
          <w:tcPr>
            <w:tcW w:w="0" w:type="dxa"/>
            <w:vAlign w:val="bottom"/>
          </w:tcPr>
          <w:p>
            <w:pPr>
              <w:spacing w:after="0"/>
              <w:rPr>
                <w:sz w:val="1"/>
                <w:szCs w:val="1"/>
                <w:color w:val="auto"/>
              </w:rPr>
            </w:pPr>
          </w:p>
        </w:tc>
      </w:tr>
      <w:tr>
        <w:trPr>
          <w:trHeight w:val="211"/>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530,000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1,369,563</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1,899,563</w:t>
            </w: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Voluntary Resignation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Termination for Cause</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7"/>
                <w:szCs w:val="17"/>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Change-In-Control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1,369,563</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9</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1,369,563</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shd w:val="clear" w:color="auto" w:fill="CCEEF0"/>
          </w:tcPr>
          <w:p>
            <w:pPr>
              <w:ind w:left="360"/>
              <w:spacing w:after="0" w:line="132" w:lineRule="exact"/>
              <w:rPr>
                <w:sz w:val="20"/>
                <w:szCs w:val="20"/>
                <w:color w:val="auto"/>
              </w:rPr>
            </w:pPr>
            <w:r>
              <w:rPr>
                <w:rFonts w:ascii="Arial" w:cs="Arial" w:eastAsia="Arial" w:hAnsi="Arial"/>
                <w:sz w:val="12"/>
                <w:szCs w:val="12"/>
                <w:color w:val="auto"/>
              </w:rPr>
              <w:t>Qualifying Termination On or After Change-</w:t>
            </w:r>
          </w:p>
        </w:tc>
        <w:tc>
          <w:tcPr>
            <w:tcW w:w="92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60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72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380" w:type="dxa"/>
            <w:vAlign w:val="bottom"/>
            <w:shd w:val="clear" w:color="auto" w:fill="CCEEF0"/>
          </w:tcPr>
          <w:p>
            <w:pPr>
              <w:spacing w:after="0"/>
              <w:rPr>
                <w:sz w:val="11"/>
                <w:szCs w:val="11"/>
                <w:color w:val="auto"/>
              </w:rPr>
            </w:pPr>
          </w:p>
        </w:tc>
        <w:tc>
          <w:tcPr>
            <w:tcW w:w="1000" w:type="dxa"/>
            <w:vAlign w:val="bottom"/>
            <w:tcBorders>
              <w:right w:val="single" w:sz="8" w:color="auto"/>
            </w:tcBorders>
            <w:shd w:val="clear" w:color="auto" w:fill="CCEEF0"/>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color w:val="auto"/>
              </w:rPr>
              <w:t>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10,092,946</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10,092,946</w:t>
            </w:r>
          </w:p>
        </w:tc>
        <w:tc>
          <w:tcPr>
            <w:tcW w:w="0" w:type="dxa"/>
            <w:vAlign w:val="bottom"/>
          </w:tcPr>
          <w:p>
            <w:pPr>
              <w:spacing w:after="0"/>
              <w:rPr>
                <w:sz w:val="1"/>
                <w:szCs w:val="1"/>
                <w:color w:val="auto"/>
              </w:rPr>
            </w:pPr>
          </w:p>
        </w:tc>
      </w:tr>
      <w:tr>
        <w:trPr>
          <w:trHeight w:val="192"/>
        </w:trPr>
        <w:tc>
          <w:tcPr>
            <w:tcW w:w="284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Kristine Martin Anderson</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Death</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3,028,891</w:t>
            </w:r>
          </w:p>
        </w:tc>
        <w:tc>
          <w:tcPr>
            <w:tcW w:w="600" w:type="dxa"/>
            <w:vAlign w:val="bottom"/>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2,075,000</w:t>
            </w:r>
          </w:p>
        </w:tc>
        <w:tc>
          <w:tcPr>
            <w:tcW w:w="720" w:type="dxa"/>
            <w:vAlign w:val="bottom"/>
          </w:tcPr>
          <w:p>
            <w:pPr>
              <w:jc w:val="right"/>
              <w:ind w:right="258"/>
              <w:spacing w:after="0"/>
              <w:rPr>
                <w:sz w:val="20"/>
                <w:szCs w:val="20"/>
                <w:color w:val="auto"/>
              </w:rPr>
            </w:pPr>
            <w:r>
              <w:rPr>
                <w:rFonts w:ascii="Arial" w:cs="Arial" w:eastAsia="Arial" w:hAnsi="Arial"/>
                <w:sz w:val="12"/>
                <w:szCs w:val="12"/>
                <w:color w:val="494949"/>
              </w:rPr>
              <w:t>4</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5,103,891</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Disability</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2,130,650</w:t>
            </w:r>
          </w:p>
        </w:tc>
        <w:tc>
          <w:tcPr>
            <w:tcW w:w="720" w:type="dxa"/>
            <w:vAlign w:val="bottom"/>
          </w:tcPr>
          <w:p>
            <w:pPr>
              <w:jc w:val="right"/>
              <w:ind w:right="258"/>
              <w:spacing w:after="0"/>
              <w:rPr>
                <w:sz w:val="20"/>
                <w:szCs w:val="20"/>
                <w:color w:val="auto"/>
              </w:rPr>
            </w:pPr>
            <w:r>
              <w:rPr>
                <w:rFonts w:ascii="Arial" w:cs="Arial" w:eastAsia="Arial" w:hAnsi="Arial"/>
                <w:sz w:val="12"/>
                <w:szCs w:val="12"/>
                <w:color w:val="494949"/>
              </w:rPr>
              <w:t>5</w:t>
            </w:r>
          </w:p>
        </w:tc>
        <w:tc>
          <w:tcPr>
            <w:tcW w:w="860" w:type="dxa"/>
            <w:vAlign w:val="bottom"/>
          </w:tcPr>
          <w:p>
            <w:pPr>
              <w:jc w:val="center"/>
              <w:spacing w:after="0"/>
              <w:rPr>
                <w:sz w:val="20"/>
                <w:szCs w:val="20"/>
                <w:color w:val="auto"/>
              </w:rPr>
            </w:pPr>
            <w:r>
              <w:rPr>
                <w:rFonts w:ascii="Arial" w:cs="Arial" w:eastAsia="Arial" w:hAnsi="Arial"/>
                <w:sz w:val="12"/>
                <w:szCs w:val="12"/>
                <w:color w:val="494949"/>
              </w:rPr>
              <w:t>1,294,097</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3,424,747</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Involuntary Termination</w:t>
            </w:r>
          </w:p>
        </w:tc>
        <w:tc>
          <w:tcPr>
            <w:tcW w:w="920" w:type="dxa"/>
            <w:vAlign w:val="bottom"/>
          </w:tcPr>
          <w:p>
            <w:pPr>
              <w:jc w:val="center"/>
              <w:spacing w:after="0"/>
              <w:rPr>
                <w:sz w:val="20"/>
                <w:szCs w:val="20"/>
                <w:color w:val="auto"/>
              </w:rPr>
            </w:pPr>
            <w:r>
              <w:rPr>
                <w:rFonts w:ascii="Arial" w:cs="Arial" w:eastAsia="Arial" w:hAnsi="Arial"/>
                <w:sz w:val="12"/>
                <w:szCs w:val="12"/>
                <w:color w:val="494949"/>
              </w:rPr>
              <w:t>900,000</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56,741</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956,741</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320,000</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1,294,097</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1,614,097</w:t>
            </w:r>
          </w:p>
        </w:tc>
        <w:tc>
          <w:tcPr>
            <w:tcW w:w="0" w:type="dxa"/>
            <w:vAlign w:val="bottom"/>
          </w:tcPr>
          <w:p>
            <w:pPr>
              <w:spacing w:after="0"/>
              <w:rPr>
                <w:sz w:val="1"/>
                <w:szCs w:val="1"/>
                <w:color w:val="auto"/>
              </w:rPr>
            </w:pPr>
          </w:p>
        </w:tc>
      </w:tr>
      <w:tr>
        <w:trPr>
          <w:trHeight w:val="164"/>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Voluntary Resignation</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Termination for Cause</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Change-In-Control</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1,294,097</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1,294,097</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tcPr>
          <w:p>
            <w:pPr>
              <w:ind w:left="360"/>
              <w:spacing w:after="0" w:line="132" w:lineRule="exact"/>
              <w:rPr>
                <w:sz w:val="20"/>
                <w:szCs w:val="20"/>
                <w:color w:val="auto"/>
              </w:rPr>
            </w:pPr>
            <w:r>
              <w:rPr>
                <w:rFonts w:ascii="Arial" w:cs="Arial" w:eastAsia="Arial" w:hAnsi="Arial"/>
                <w:sz w:val="12"/>
                <w:szCs w:val="12"/>
                <w:color w:val="auto"/>
              </w:rPr>
              <w:t>Qualifying Termination On or After Change-</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84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In-Control</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3,028,891</w:t>
            </w:r>
          </w:p>
        </w:tc>
        <w:tc>
          <w:tcPr>
            <w:tcW w:w="600" w:type="dxa"/>
            <w:vAlign w:val="bottom"/>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3,028,891</w:t>
            </w:r>
          </w:p>
        </w:tc>
        <w:tc>
          <w:tcPr>
            <w:tcW w:w="0" w:type="dxa"/>
            <w:vAlign w:val="bottom"/>
          </w:tcPr>
          <w:p>
            <w:pPr>
              <w:spacing w:after="0"/>
              <w:rPr>
                <w:sz w:val="1"/>
                <w:szCs w:val="1"/>
                <w:color w:val="auto"/>
              </w:rPr>
            </w:pPr>
          </w:p>
        </w:tc>
      </w:tr>
      <w:tr>
        <w:trPr>
          <w:trHeight w:val="198"/>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b w:val="1"/>
                <w:bCs w:val="1"/>
                <w:color w:val="auto"/>
              </w:rPr>
              <w:t>Richard C. Crowe</w:t>
            </w:r>
          </w:p>
        </w:tc>
        <w:tc>
          <w:tcPr>
            <w:tcW w:w="920" w:type="dxa"/>
            <w:vAlign w:val="bottom"/>
            <w:shd w:val="clear" w:color="auto" w:fill="CCEEF0"/>
          </w:tcPr>
          <w:p>
            <w:pPr>
              <w:spacing w:after="0"/>
              <w:rPr>
                <w:sz w:val="17"/>
                <w:szCs w:val="17"/>
                <w:color w:val="auto"/>
              </w:rPr>
            </w:pPr>
          </w:p>
        </w:tc>
        <w:tc>
          <w:tcPr>
            <w:tcW w:w="800" w:type="dxa"/>
            <w:vAlign w:val="bottom"/>
            <w:shd w:val="clear" w:color="auto" w:fill="CCEEF0"/>
          </w:tcPr>
          <w:p>
            <w:pPr>
              <w:spacing w:after="0"/>
              <w:rPr>
                <w:sz w:val="17"/>
                <w:szCs w:val="17"/>
                <w:color w:val="auto"/>
              </w:rPr>
            </w:pP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spacing w:after="0"/>
              <w:rPr>
                <w:sz w:val="17"/>
                <w:szCs w:val="17"/>
                <w:color w:val="auto"/>
              </w:rPr>
            </w:pPr>
          </w:p>
        </w:tc>
        <w:tc>
          <w:tcPr>
            <w:tcW w:w="800" w:type="dxa"/>
            <w:vAlign w:val="bottom"/>
            <w:shd w:val="clear" w:color="auto" w:fill="CCEEF0"/>
          </w:tcPr>
          <w:p>
            <w:pPr>
              <w:spacing w:after="0"/>
              <w:rPr>
                <w:sz w:val="17"/>
                <w:szCs w:val="17"/>
                <w:color w:val="auto"/>
              </w:rPr>
            </w:pP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spacing w:after="0"/>
              <w:rPr>
                <w:sz w:val="17"/>
                <w:szCs w:val="17"/>
                <w:color w:val="auto"/>
              </w:rPr>
            </w:pPr>
          </w:p>
        </w:tc>
        <w:tc>
          <w:tcPr>
            <w:tcW w:w="380" w:type="dxa"/>
            <w:vAlign w:val="bottom"/>
            <w:shd w:val="clear" w:color="auto" w:fill="CCEEF0"/>
          </w:tcPr>
          <w:p>
            <w:pPr>
              <w:spacing w:after="0"/>
              <w:rPr>
                <w:sz w:val="17"/>
                <w:szCs w:val="17"/>
                <w:color w:val="auto"/>
              </w:rPr>
            </w:pPr>
          </w:p>
        </w:tc>
        <w:tc>
          <w:tcPr>
            <w:tcW w:w="1000" w:type="dxa"/>
            <w:vAlign w:val="bottom"/>
            <w:tcBorders>
              <w:right w:val="single" w:sz="8" w:color="auto"/>
            </w:tcBorders>
            <w:shd w:val="clear" w:color="auto" w:fill="CCEEF0"/>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Death</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2,327,323</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2,054,167</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4</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4,381,490</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Disability</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1,926,994</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5</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1,341,997</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6</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3,268,991</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Involuntary Termination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650,000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56,741</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7</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706,741</w:t>
            </w:r>
          </w:p>
        </w:tc>
        <w:tc>
          <w:tcPr>
            <w:tcW w:w="0" w:type="dxa"/>
            <w:vAlign w:val="bottom"/>
          </w:tcPr>
          <w:p>
            <w:pPr>
              <w:spacing w:after="0"/>
              <w:rPr>
                <w:sz w:val="1"/>
                <w:szCs w:val="1"/>
                <w:color w:val="auto"/>
              </w:rPr>
            </w:pPr>
          </w:p>
        </w:tc>
      </w:tr>
      <w:tr>
        <w:trPr>
          <w:trHeight w:val="211"/>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240,000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1,341,997</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1,581,997</w:t>
            </w: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Voluntary Resignation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Termination for Cause</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7"/>
                <w:szCs w:val="17"/>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Change-In-Control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1,341,997</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9</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1,341,997</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shd w:val="clear" w:color="auto" w:fill="CCEEF0"/>
          </w:tcPr>
          <w:p>
            <w:pPr>
              <w:ind w:left="360"/>
              <w:spacing w:after="0" w:line="132" w:lineRule="exact"/>
              <w:rPr>
                <w:sz w:val="20"/>
                <w:szCs w:val="20"/>
                <w:color w:val="auto"/>
              </w:rPr>
            </w:pPr>
            <w:r>
              <w:rPr>
                <w:rFonts w:ascii="Arial" w:cs="Arial" w:eastAsia="Arial" w:hAnsi="Arial"/>
                <w:sz w:val="12"/>
                <w:szCs w:val="12"/>
                <w:color w:val="auto"/>
              </w:rPr>
              <w:t>Qualifying Termination On or After Change-</w:t>
            </w:r>
          </w:p>
        </w:tc>
        <w:tc>
          <w:tcPr>
            <w:tcW w:w="92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60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72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380" w:type="dxa"/>
            <w:vAlign w:val="bottom"/>
            <w:shd w:val="clear" w:color="auto" w:fill="CCEEF0"/>
          </w:tcPr>
          <w:p>
            <w:pPr>
              <w:spacing w:after="0"/>
              <w:rPr>
                <w:sz w:val="11"/>
                <w:szCs w:val="11"/>
                <w:color w:val="auto"/>
              </w:rPr>
            </w:pPr>
          </w:p>
        </w:tc>
        <w:tc>
          <w:tcPr>
            <w:tcW w:w="1000" w:type="dxa"/>
            <w:vAlign w:val="bottom"/>
            <w:tcBorders>
              <w:right w:val="single" w:sz="8" w:color="auto"/>
            </w:tcBorders>
            <w:shd w:val="clear" w:color="auto" w:fill="CCEEF0"/>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color w:val="auto"/>
              </w:rPr>
              <w:t>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2,327,323</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2,327,323</w:t>
            </w:r>
          </w:p>
        </w:tc>
        <w:tc>
          <w:tcPr>
            <w:tcW w:w="0" w:type="dxa"/>
            <w:vAlign w:val="bottom"/>
          </w:tcPr>
          <w:p>
            <w:pPr>
              <w:spacing w:after="0"/>
              <w:rPr>
                <w:sz w:val="1"/>
                <w:szCs w:val="1"/>
                <w:color w:val="auto"/>
              </w:rPr>
            </w:pPr>
          </w:p>
        </w:tc>
      </w:tr>
      <w:tr>
        <w:trPr>
          <w:trHeight w:val="192"/>
        </w:trPr>
        <w:tc>
          <w:tcPr>
            <w:tcW w:w="284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Andrea D. Inserra</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Death</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928,089</w:t>
            </w:r>
          </w:p>
        </w:tc>
        <w:tc>
          <w:tcPr>
            <w:tcW w:w="600" w:type="dxa"/>
            <w:vAlign w:val="bottom"/>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2,050,000</w:t>
            </w:r>
          </w:p>
        </w:tc>
        <w:tc>
          <w:tcPr>
            <w:tcW w:w="720" w:type="dxa"/>
            <w:vAlign w:val="bottom"/>
          </w:tcPr>
          <w:p>
            <w:pPr>
              <w:jc w:val="right"/>
              <w:ind w:right="258"/>
              <w:spacing w:after="0"/>
              <w:rPr>
                <w:sz w:val="20"/>
                <w:szCs w:val="20"/>
                <w:color w:val="auto"/>
              </w:rPr>
            </w:pPr>
            <w:r>
              <w:rPr>
                <w:rFonts w:ascii="Arial" w:cs="Arial" w:eastAsia="Arial" w:hAnsi="Arial"/>
                <w:sz w:val="12"/>
                <w:szCs w:val="12"/>
                <w:color w:val="494949"/>
              </w:rPr>
              <w:t>4</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2,978,089</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Disability</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2,279,493</w:t>
            </w:r>
          </w:p>
        </w:tc>
        <w:tc>
          <w:tcPr>
            <w:tcW w:w="720" w:type="dxa"/>
            <w:vAlign w:val="bottom"/>
          </w:tcPr>
          <w:p>
            <w:pPr>
              <w:jc w:val="right"/>
              <w:ind w:right="258"/>
              <w:spacing w:after="0"/>
              <w:rPr>
                <w:sz w:val="20"/>
                <w:szCs w:val="20"/>
                <w:color w:val="auto"/>
              </w:rPr>
            </w:pPr>
            <w:r>
              <w:rPr>
                <w:rFonts w:ascii="Arial" w:cs="Arial" w:eastAsia="Arial" w:hAnsi="Arial"/>
                <w:sz w:val="12"/>
                <w:szCs w:val="12"/>
                <w:color w:val="494949"/>
              </w:rPr>
              <w:t>5</w:t>
            </w:r>
          </w:p>
        </w:tc>
        <w:tc>
          <w:tcPr>
            <w:tcW w:w="860" w:type="dxa"/>
            <w:vAlign w:val="bottom"/>
          </w:tcPr>
          <w:p>
            <w:pPr>
              <w:jc w:val="center"/>
              <w:spacing w:after="0"/>
              <w:rPr>
                <w:sz w:val="20"/>
                <w:szCs w:val="20"/>
                <w:color w:val="auto"/>
              </w:rPr>
            </w:pPr>
            <w:r>
              <w:rPr>
                <w:rFonts w:ascii="Arial" w:cs="Arial" w:eastAsia="Arial" w:hAnsi="Arial"/>
                <w:sz w:val="12"/>
                <w:szCs w:val="12"/>
                <w:color w:val="494949"/>
              </w:rPr>
              <w:t>1,354,156</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3,633,649</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Involuntary Termination</w:t>
            </w:r>
          </w:p>
        </w:tc>
        <w:tc>
          <w:tcPr>
            <w:tcW w:w="920" w:type="dxa"/>
            <w:vAlign w:val="bottom"/>
          </w:tcPr>
          <w:p>
            <w:pPr>
              <w:jc w:val="center"/>
              <w:spacing w:after="0"/>
              <w:rPr>
                <w:sz w:val="20"/>
                <w:szCs w:val="20"/>
                <w:color w:val="auto"/>
              </w:rPr>
            </w:pPr>
            <w:r>
              <w:rPr>
                <w:rFonts w:ascii="Arial" w:cs="Arial" w:eastAsia="Arial" w:hAnsi="Arial"/>
                <w:sz w:val="12"/>
                <w:szCs w:val="12"/>
                <w:color w:val="494949"/>
              </w:rPr>
              <w:t>600,000</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56,741</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656,741</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280,000</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1,354,156</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1,634,156</w:t>
            </w:r>
          </w:p>
        </w:tc>
        <w:tc>
          <w:tcPr>
            <w:tcW w:w="0" w:type="dxa"/>
            <w:vAlign w:val="bottom"/>
          </w:tcPr>
          <w:p>
            <w:pPr>
              <w:spacing w:after="0"/>
              <w:rPr>
                <w:sz w:val="1"/>
                <w:szCs w:val="1"/>
                <w:color w:val="auto"/>
              </w:rPr>
            </w:pPr>
          </w:p>
        </w:tc>
      </w:tr>
      <w:tr>
        <w:trPr>
          <w:trHeight w:val="164"/>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Voluntary Resignation</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Termination for Cause</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tcPr>
          <w:p>
            <w:pPr>
              <w:ind w:left="360"/>
              <w:spacing w:after="0"/>
              <w:rPr>
                <w:sz w:val="20"/>
                <w:szCs w:val="20"/>
                <w:color w:val="auto"/>
              </w:rPr>
            </w:pPr>
            <w:r>
              <w:rPr>
                <w:rFonts w:ascii="Arial" w:cs="Arial" w:eastAsia="Arial" w:hAnsi="Arial"/>
                <w:sz w:val="12"/>
                <w:szCs w:val="12"/>
                <w:color w:val="auto"/>
              </w:rPr>
              <w:t>Change-In-Control</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rPr>
              <w:t>1,354,156</w:t>
            </w:r>
          </w:p>
        </w:tc>
        <w:tc>
          <w:tcPr>
            <w:tcW w:w="380" w:type="dxa"/>
            <w:vAlign w:val="bottom"/>
          </w:tcPr>
          <w:p>
            <w:pPr>
              <w:jc w:val="right"/>
              <w:ind w:right="98"/>
              <w:spacing w:after="0"/>
              <w:rPr>
                <w:sz w:val="20"/>
                <w:szCs w:val="20"/>
                <w:color w:val="auto"/>
              </w:rPr>
            </w:pPr>
            <w:r>
              <w:rPr>
                <w:rFonts w:ascii="Arial" w:cs="Arial" w:eastAsia="Arial" w:hAnsi="Arial"/>
                <w:sz w:val="12"/>
                <w:szCs w:val="12"/>
                <w:color w:val="494949"/>
              </w:rPr>
              <w:t>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1,354,156</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tcPr>
          <w:p>
            <w:pPr>
              <w:ind w:left="360"/>
              <w:spacing w:after="0" w:line="132" w:lineRule="exact"/>
              <w:rPr>
                <w:sz w:val="20"/>
                <w:szCs w:val="20"/>
                <w:color w:val="auto"/>
              </w:rPr>
            </w:pPr>
            <w:r>
              <w:rPr>
                <w:rFonts w:ascii="Arial" w:cs="Arial" w:eastAsia="Arial" w:hAnsi="Arial"/>
                <w:sz w:val="12"/>
                <w:szCs w:val="12"/>
                <w:color w:val="auto"/>
              </w:rPr>
              <w:t>Qualifying Termination On or After Change-</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84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In-Control</w:t>
            </w:r>
          </w:p>
        </w:tc>
        <w:tc>
          <w:tcPr>
            <w:tcW w:w="92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rPr>
              <w:t>928,089</w:t>
            </w:r>
          </w:p>
        </w:tc>
        <w:tc>
          <w:tcPr>
            <w:tcW w:w="600" w:type="dxa"/>
            <w:vAlign w:val="bottom"/>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494949"/>
              </w:rPr>
              <w:t>928,089</w:t>
            </w:r>
          </w:p>
        </w:tc>
        <w:tc>
          <w:tcPr>
            <w:tcW w:w="0" w:type="dxa"/>
            <w:vAlign w:val="bottom"/>
          </w:tcPr>
          <w:p>
            <w:pPr>
              <w:spacing w:after="0"/>
              <w:rPr>
                <w:sz w:val="1"/>
                <w:szCs w:val="1"/>
                <w:color w:val="auto"/>
              </w:rPr>
            </w:pPr>
          </w:p>
        </w:tc>
      </w:tr>
      <w:tr>
        <w:trPr>
          <w:trHeight w:val="198"/>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b w:val="1"/>
                <w:bCs w:val="1"/>
                <w:color w:val="auto"/>
              </w:rPr>
              <w:t>Thomas J. Pfeifer</w:t>
            </w:r>
          </w:p>
        </w:tc>
        <w:tc>
          <w:tcPr>
            <w:tcW w:w="920" w:type="dxa"/>
            <w:vAlign w:val="bottom"/>
            <w:shd w:val="clear" w:color="auto" w:fill="CCEEF0"/>
          </w:tcPr>
          <w:p>
            <w:pPr>
              <w:spacing w:after="0"/>
              <w:rPr>
                <w:sz w:val="17"/>
                <w:szCs w:val="17"/>
                <w:color w:val="auto"/>
              </w:rPr>
            </w:pPr>
          </w:p>
        </w:tc>
        <w:tc>
          <w:tcPr>
            <w:tcW w:w="800" w:type="dxa"/>
            <w:vAlign w:val="bottom"/>
            <w:shd w:val="clear" w:color="auto" w:fill="CCEEF0"/>
          </w:tcPr>
          <w:p>
            <w:pPr>
              <w:spacing w:after="0"/>
              <w:rPr>
                <w:sz w:val="17"/>
                <w:szCs w:val="17"/>
                <w:color w:val="auto"/>
              </w:rPr>
            </w:pP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spacing w:after="0"/>
              <w:rPr>
                <w:sz w:val="17"/>
                <w:szCs w:val="17"/>
                <w:color w:val="auto"/>
              </w:rPr>
            </w:pPr>
          </w:p>
        </w:tc>
        <w:tc>
          <w:tcPr>
            <w:tcW w:w="800" w:type="dxa"/>
            <w:vAlign w:val="bottom"/>
            <w:shd w:val="clear" w:color="auto" w:fill="CCEEF0"/>
          </w:tcPr>
          <w:p>
            <w:pPr>
              <w:spacing w:after="0"/>
              <w:rPr>
                <w:sz w:val="17"/>
                <w:szCs w:val="17"/>
                <w:color w:val="auto"/>
              </w:rPr>
            </w:pP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spacing w:after="0"/>
              <w:rPr>
                <w:sz w:val="17"/>
                <w:szCs w:val="17"/>
                <w:color w:val="auto"/>
              </w:rPr>
            </w:pPr>
          </w:p>
        </w:tc>
        <w:tc>
          <w:tcPr>
            <w:tcW w:w="380" w:type="dxa"/>
            <w:vAlign w:val="bottom"/>
            <w:shd w:val="clear" w:color="auto" w:fill="CCEEF0"/>
          </w:tcPr>
          <w:p>
            <w:pPr>
              <w:spacing w:after="0"/>
              <w:rPr>
                <w:sz w:val="17"/>
                <w:szCs w:val="17"/>
                <w:color w:val="auto"/>
              </w:rPr>
            </w:pPr>
          </w:p>
        </w:tc>
        <w:tc>
          <w:tcPr>
            <w:tcW w:w="1000" w:type="dxa"/>
            <w:vAlign w:val="bottom"/>
            <w:tcBorders>
              <w:right w:val="single" w:sz="8" w:color="auto"/>
            </w:tcBorders>
            <w:shd w:val="clear" w:color="auto" w:fill="CCEEF0"/>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Death</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1,265,413</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2,054,167</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4</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3,319,580</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Disability</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486,767</w:t>
            </w:r>
          </w:p>
        </w:tc>
        <w:tc>
          <w:tcPr>
            <w:tcW w:w="720" w:type="dxa"/>
            <w:vAlign w:val="bottom"/>
            <w:shd w:val="clear" w:color="auto" w:fill="CCEEF0"/>
          </w:tcPr>
          <w:p>
            <w:pPr>
              <w:jc w:val="right"/>
              <w:ind w:right="258"/>
              <w:spacing w:after="0"/>
              <w:rPr>
                <w:sz w:val="20"/>
                <w:szCs w:val="20"/>
                <w:color w:val="auto"/>
              </w:rPr>
            </w:pPr>
            <w:r>
              <w:rPr>
                <w:rFonts w:ascii="Arial" w:cs="Arial" w:eastAsia="Arial" w:hAnsi="Arial"/>
                <w:sz w:val="12"/>
                <w:szCs w:val="12"/>
                <w:color w:val="494949"/>
              </w:rPr>
              <w:t>5</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1,103,756</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6</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1,590,523</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Involuntary Termination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650,000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56,741</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7</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706,741</w:t>
            </w:r>
          </w:p>
        </w:tc>
        <w:tc>
          <w:tcPr>
            <w:tcW w:w="0" w:type="dxa"/>
            <w:vAlign w:val="bottom"/>
          </w:tcPr>
          <w:p>
            <w:pPr>
              <w:spacing w:after="0"/>
              <w:rPr>
                <w:sz w:val="1"/>
                <w:szCs w:val="1"/>
                <w:color w:val="auto"/>
              </w:rPr>
            </w:pPr>
          </w:p>
        </w:tc>
      </w:tr>
      <w:tr>
        <w:trPr>
          <w:trHeight w:val="211"/>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350,000</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8"/>
                <w:szCs w:val="18"/>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1,103,756</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1,453,756</w:t>
            </w: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Voluntary Resignation</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Termination for Cause</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7"/>
                <w:szCs w:val="17"/>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0" w:type="dxa"/>
            <w:vAlign w:val="bottom"/>
          </w:tcPr>
          <w:p>
            <w:pPr>
              <w:spacing w:after="0"/>
              <w:rPr>
                <w:sz w:val="1"/>
                <w:szCs w:val="1"/>
                <w:color w:val="auto"/>
              </w:rPr>
            </w:pPr>
          </w:p>
        </w:tc>
      </w:tr>
      <w:tr>
        <w:trPr>
          <w:trHeight w:val="199"/>
        </w:trPr>
        <w:tc>
          <w:tcPr>
            <w:tcW w:w="2840" w:type="dxa"/>
            <w:vAlign w:val="bottom"/>
            <w:tcBorders>
              <w:left w:val="single" w:sz="8" w:color="auto"/>
            </w:tcBorders>
            <w:shd w:val="clear" w:color="auto" w:fill="CCEEF0"/>
          </w:tcPr>
          <w:p>
            <w:pPr>
              <w:ind w:left="360"/>
              <w:spacing w:after="0"/>
              <w:rPr>
                <w:sz w:val="20"/>
                <w:szCs w:val="20"/>
                <w:color w:val="auto"/>
              </w:rPr>
            </w:pPr>
            <w:r>
              <w:rPr>
                <w:rFonts w:ascii="Arial" w:cs="Arial" w:eastAsia="Arial" w:hAnsi="Arial"/>
                <w:sz w:val="12"/>
                <w:szCs w:val="12"/>
                <w:color w:val="auto"/>
              </w:rPr>
              <w:t>Change-In-Control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7"/>
                <w:szCs w:val="17"/>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1,103,756</w:t>
            </w:r>
          </w:p>
        </w:tc>
        <w:tc>
          <w:tcPr>
            <w:tcW w:w="380" w:type="dxa"/>
            <w:vAlign w:val="bottom"/>
            <w:shd w:val="clear" w:color="auto" w:fill="CCEEF0"/>
          </w:tcPr>
          <w:p>
            <w:pPr>
              <w:jc w:val="right"/>
              <w:ind w:right="98"/>
              <w:spacing w:after="0"/>
              <w:rPr>
                <w:sz w:val="20"/>
                <w:szCs w:val="20"/>
                <w:color w:val="auto"/>
              </w:rPr>
            </w:pPr>
            <w:r>
              <w:rPr>
                <w:rFonts w:ascii="Arial" w:cs="Arial" w:eastAsia="Arial" w:hAnsi="Arial"/>
                <w:sz w:val="12"/>
                <w:szCs w:val="12"/>
                <w:color w:val="494949"/>
              </w:rPr>
              <w:t>9</w:t>
            </w: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1,103,756</w:t>
            </w:r>
          </w:p>
        </w:tc>
        <w:tc>
          <w:tcPr>
            <w:tcW w:w="0" w:type="dxa"/>
            <w:vAlign w:val="bottom"/>
          </w:tcPr>
          <w:p>
            <w:pPr>
              <w:spacing w:after="0"/>
              <w:rPr>
                <w:sz w:val="1"/>
                <w:szCs w:val="1"/>
                <w:color w:val="auto"/>
              </w:rPr>
            </w:pPr>
          </w:p>
        </w:tc>
      </w:tr>
      <w:tr>
        <w:trPr>
          <w:trHeight w:val="132"/>
        </w:trPr>
        <w:tc>
          <w:tcPr>
            <w:tcW w:w="2840" w:type="dxa"/>
            <w:vAlign w:val="bottom"/>
            <w:tcBorders>
              <w:left w:val="single" w:sz="8" w:color="auto"/>
            </w:tcBorders>
            <w:shd w:val="clear" w:color="auto" w:fill="CCEEF0"/>
          </w:tcPr>
          <w:p>
            <w:pPr>
              <w:ind w:left="360"/>
              <w:spacing w:after="0" w:line="132" w:lineRule="exact"/>
              <w:rPr>
                <w:sz w:val="20"/>
                <w:szCs w:val="20"/>
                <w:color w:val="auto"/>
              </w:rPr>
            </w:pPr>
            <w:r>
              <w:rPr>
                <w:rFonts w:ascii="Arial" w:cs="Arial" w:eastAsia="Arial" w:hAnsi="Arial"/>
                <w:sz w:val="12"/>
                <w:szCs w:val="12"/>
                <w:color w:val="auto"/>
              </w:rPr>
              <w:t>Qualifying Termination On or After Change-</w:t>
            </w:r>
          </w:p>
        </w:tc>
        <w:tc>
          <w:tcPr>
            <w:tcW w:w="92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60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800" w:type="dxa"/>
            <w:vAlign w:val="bottom"/>
            <w:shd w:val="clear" w:color="auto" w:fill="CCEEF0"/>
          </w:tcPr>
          <w:p>
            <w:pPr>
              <w:spacing w:after="0"/>
              <w:rPr>
                <w:sz w:val="11"/>
                <w:szCs w:val="11"/>
                <w:color w:val="auto"/>
              </w:rPr>
            </w:pPr>
          </w:p>
        </w:tc>
        <w:tc>
          <w:tcPr>
            <w:tcW w:w="720" w:type="dxa"/>
            <w:vAlign w:val="bottom"/>
            <w:shd w:val="clear" w:color="auto" w:fill="CCEEF0"/>
          </w:tcPr>
          <w:p>
            <w:pPr>
              <w:spacing w:after="0"/>
              <w:rPr>
                <w:sz w:val="11"/>
                <w:szCs w:val="11"/>
                <w:color w:val="auto"/>
              </w:rPr>
            </w:pPr>
          </w:p>
        </w:tc>
        <w:tc>
          <w:tcPr>
            <w:tcW w:w="860" w:type="dxa"/>
            <w:vAlign w:val="bottom"/>
            <w:shd w:val="clear" w:color="auto" w:fill="CCEEF0"/>
          </w:tcPr>
          <w:p>
            <w:pPr>
              <w:spacing w:after="0"/>
              <w:rPr>
                <w:sz w:val="11"/>
                <w:szCs w:val="11"/>
                <w:color w:val="auto"/>
              </w:rPr>
            </w:pPr>
          </w:p>
        </w:tc>
        <w:tc>
          <w:tcPr>
            <w:tcW w:w="380" w:type="dxa"/>
            <w:vAlign w:val="bottom"/>
            <w:shd w:val="clear" w:color="auto" w:fill="CCEEF0"/>
          </w:tcPr>
          <w:p>
            <w:pPr>
              <w:spacing w:after="0"/>
              <w:rPr>
                <w:sz w:val="11"/>
                <w:szCs w:val="11"/>
                <w:color w:val="auto"/>
              </w:rPr>
            </w:pPr>
          </w:p>
        </w:tc>
        <w:tc>
          <w:tcPr>
            <w:tcW w:w="1000" w:type="dxa"/>
            <w:vAlign w:val="bottom"/>
            <w:tcBorders>
              <w:right w:val="single" w:sz="8" w:color="auto"/>
            </w:tcBorders>
            <w:shd w:val="clear" w:color="auto" w:fill="CCEEF0"/>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40" w:type="dxa"/>
            <w:vAlign w:val="bottom"/>
            <w:tcBorders>
              <w:left w:val="single" w:sz="8" w:color="auto"/>
            </w:tcBorders>
            <w:shd w:val="clear" w:color="auto" w:fill="CCEEF0"/>
          </w:tcPr>
          <w:p>
            <w:pPr>
              <w:ind w:left="40"/>
              <w:spacing w:after="0"/>
              <w:rPr>
                <w:sz w:val="20"/>
                <w:szCs w:val="20"/>
                <w:color w:val="auto"/>
              </w:rPr>
            </w:pPr>
            <w:r>
              <w:rPr>
                <w:rFonts w:ascii="Arial" w:cs="Arial" w:eastAsia="Arial" w:hAnsi="Arial"/>
                <w:sz w:val="12"/>
                <w:szCs w:val="12"/>
                <w:color w:val="auto"/>
              </w:rPr>
              <w:t>In-Control</w:t>
            </w:r>
          </w:p>
        </w:tc>
        <w:tc>
          <w:tcPr>
            <w:tcW w:w="92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rPr>
              <w:t>1,265,413</w:t>
            </w:r>
          </w:p>
        </w:tc>
        <w:tc>
          <w:tcPr>
            <w:tcW w:w="600" w:type="dxa"/>
            <w:vAlign w:val="bottom"/>
            <w:shd w:val="clear" w:color="auto" w:fill="CCEEF0"/>
          </w:tcPr>
          <w:p>
            <w:pPr>
              <w:jc w:val="right"/>
              <w:ind w:right="198"/>
              <w:spacing w:after="0"/>
              <w:rPr>
                <w:sz w:val="20"/>
                <w:szCs w:val="20"/>
                <w:color w:val="auto"/>
              </w:rPr>
            </w:pPr>
            <w:r>
              <w:rPr>
                <w:rFonts w:ascii="Arial" w:cs="Arial" w:eastAsia="Arial" w:hAnsi="Arial"/>
                <w:sz w:val="12"/>
                <w:szCs w:val="12"/>
                <w:color w:val="494949"/>
              </w:rPr>
              <w:t>2</w:t>
            </w: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shd w:val="clear" w:color="auto" w:fill="CCEEF0"/>
          </w:tcPr>
          <w:p>
            <w:pPr>
              <w:spacing w:after="0"/>
              <w:rPr>
                <w:sz w:val="16"/>
                <w:szCs w:val="16"/>
                <w:color w:val="auto"/>
              </w:rPr>
            </w:pPr>
          </w:p>
        </w:tc>
        <w:tc>
          <w:tcPr>
            <w:tcW w:w="860" w:type="dxa"/>
            <w:vAlign w:val="bottom"/>
            <w:shd w:val="clear" w:color="auto" w:fill="CCEEF0"/>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shd w:val="clear" w:color="auto" w:fill="CCEEF0"/>
          </w:tcPr>
          <w:p>
            <w:pPr>
              <w:spacing w:after="0"/>
              <w:rPr>
                <w:sz w:val="16"/>
                <w:szCs w:val="16"/>
                <w:color w:val="auto"/>
              </w:rPr>
            </w:pPr>
          </w:p>
        </w:tc>
        <w:tc>
          <w:tcPr>
            <w:tcW w:w="10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494949"/>
              </w:rPr>
              <w:t>1,265,413</w:t>
            </w:r>
          </w:p>
        </w:tc>
        <w:tc>
          <w:tcPr>
            <w:tcW w:w="0" w:type="dxa"/>
            <w:vAlign w:val="bottom"/>
          </w:tcPr>
          <w:p>
            <w:pPr>
              <w:spacing w:after="0"/>
              <w:rPr>
                <w:sz w:val="1"/>
                <w:szCs w:val="1"/>
                <w:color w:val="auto"/>
              </w:rPr>
            </w:pPr>
          </w:p>
        </w:tc>
      </w:tr>
      <w:tr>
        <w:trPr>
          <w:trHeight w:val="245"/>
        </w:trPr>
        <w:tc>
          <w:tcPr>
            <w:tcW w:w="284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Matthew A. Calderone</w:t>
            </w: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4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 xml:space="preserve">Retirement </w:t>
            </w:r>
            <w:r>
              <w:rPr>
                <w:rFonts w:ascii="Arial" w:cs="Arial" w:eastAsia="Arial" w:hAnsi="Arial"/>
                <w:sz w:val="16"/>
                <w:szCs w:val="16"/>
                <w:color w:val="auto"/>
                <w:vertAlign w:val="superscript"/>
              </w:rPr>
              <w:t>10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494949"/>
              </w:rPr>
              <w:t>276,000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494949"/>
                <w:w w:val="99"/>
              </w:rPr>
              <w:t>—</w:t>
            </w:r>
          </w:p>
        </w:tc>
        <w:tc>
          <w:tcPr>
            <w:tcW w:w="3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494949"/>
              </w:rPr>
              <w:t>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494949"/>
              </w:rPr>
              <w:t>276,000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95" w:hanging="395"/>
        <w:spacing w:after="0" w:line="293" w:lineRule="auto"/>
        <w:tabs>
          <w:tab w:leader="none" w:pos="398"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named executive officer is eligible for transition pay under our Transition Policy upon an involuntary termination equal to three months of base pay, plus one additional month for each year of service as an executive, up to a maximum of nine months’ base pay.</w:t>
      </w:r>
    </w:p>
    <w:p>
      <w:pPr>
        <w:spacing w:after="0" w:line="58" w:lineRule="exact"/>
        <w:rPr>
          <w:rFonts w:ascii="Arial" w:cs="Arial" w:eastAsia="Arial" w:hAnsi="Arial"/>
          <w:sz w:val="13"/>
          <w:szCs w:val="13"/>
          <w:color w:val="auto"/>
        </w:rPr>
      </w:pPr>
    </w:p>
    <w:p>
      <w:pPr>
        <w:jc w:val="both"/>
        <w:ind w:left="395" w:hanging="395"/>
        <w:spacing w:after="0" w:line="264" w:lineRule="auto"/>
        <w:tabs>
          <w:tab w:leader="none" w:pos="398"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amount for each named executive officer reflects the value of the equity awards that fully vest upon an involuntary termination of employment (i.e., a termination without "cause" or for "good reason"), on the date of a change in control or upon a named executive officer's death, calculated using $78.03, the closing fair market value of our common stock on the last trading day of the fiscal year, March 31, 2026. The accelerated vesting of these awards is described in more detail above under the heading "Change in Control Protections." In the event of a named executive officer's death, all outstanding time-based restricted stock units immediately vest and all outstanding performance-based restricted stock units immediately vest at target levels.</w:t>
      </w:r>
    </w:p>
    <w:p>
      <w:pPr>
        <w:spacing w:after="0" w:line="77" w:lineRule="exact"/>
        <w:rPr>
          <w:rFonts w:ascii="Arial" w:cs="Arial" w:eastAsia="Arial" w:hAnsi="Arial"/>
          <w:sz w:val="13"/>
          <w:szCs w:val="13"/>
          <w:color w:val="auto"/>
        </w:rPr>
      </w:pPr>
    </w:p>
    <w:p>
      <w:pPr>
        <w:jc w:val="both"/>
        <w:ind w:left="395" w:hanging="395"/>
        <w:spacing w:after="0" w:line="274" w:lineRule="auto"/>
        <w:tabs>
          <w:tab w:leader="none" w:pos="398"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column represents the benefits under the Officers’ Retirement Plan, as described above under the heading "Retirement Benefits." The amounts have been calculated using the methodology and assumptions described in footnote 2 to the Pension Benefits Table above. For Mr. Calderone, this column represents the actual amount that he received under the Officers' Retirement Plan in connection with his retirement in fiscal year 2026.</w:t>
      </w:r>
    </w:p>
    <w:p>
      <w:pPr>
        <w:spacing w:after="0" w:line="70" w:lineRule="exact"/>
        <w:rPr>
          <w:rFonts w:ascii="Arial" w:cs="Arial" w:eastAsia="Arial" w:hAnsi="Arial"/>
          <w:sz w:val="13"/>
          <w:szCs w:val="13"/>
          <w:color w:val="auto"/>
        </w:rPr>
      </w:pPr>
    </w:p>
    <w:p>
      <w:pPr>
        <w:ind w:left="395" w:hanging="395"/>
        <w:spacing w:after="0" w:line="293" w:lineRule="auto"/>
        <w:tabs>
          <w:tab w:leader="none" w:pos="398"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named executive officer has a $2 million life insurance policy. If the death was accidental, an additional $1.5 million would be paid. Decedents' survivors also receive one month’s base pay.</w:t>
      </w:r>
    </w:p>
    <w:p>
      <w:pPr>
        <w:sectPr>
          <w:pgSz w:w="11900" w:h="16838" w:orient="portrait"/>
          <w:cols w:equalWidth="0" w:num="1">
            <w:col w:w="11075"/>
          </w:cols>
          <w:pgMar w:left="485" w:top="1059"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65"/>
        <w:spacing w:after="0"/>
        <w:rPr>
          <w:sz w:val="20"/>
          <w:szCs w:val="20"/>
          <w:color w:val="auto"/>
        </w:rPr>
      </w:pPr>
      <w:r>
        <w:rPr>
          <w:rFonts w:ascii="Arial" w:cs="Arial" w:eastAsia="Arial" w:hAnsi="Arial"/>
          <w:sz w:val="17"/>
          <w:szCs w:val="17"/>
          <w:color w:val="66666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75565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75"/>
          </w:cols>
          <w:pgMar w:left="485" w:top="1059" w:right="339" w:bottom="1440" w:gutter="0" w:footer="0" w:header="0"/>
          <w:type w:val="continuous"/>
        </w:sectPr>
      </w:pPr>
    </w:p>
    <w:bookmarkStart w:id="70" w:name="page71"/>
    <w:bookmarkEnd w:id="70"/>
    <w:p>
      <w:pPr>
        <w:jc w:val="both"/>
        <w:ind w:left="400" w:hanging="395"/>
        <w:spacing w:after="0" w:line="274" w:lineRule="auto"/>
        <w:tabs>
          <w:tab w:leader="none" w:pos="40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amount for each named executive officer includes the present value of disability insurance payments that cover up to 60% of base salary and bonus with a maximum benefit of $25,000 per month ($300,000 per year). This amount was calculated by valuing the benefit as a standard annuity benefit based on the incidence of disability, using assumptions consistent with FASB ASC 715-30 and 715-60 accounting for our other benefit programs and, for the assumption of a rate of disability, the 1977 Social Security Disability Index table.</w:t>
      </w:r>
    </w:p>
    <w:p>
      <w:pPr>
        <w:spacing w:after="0" w:line="70" w:lineRule="exact"/>
        <w:rPr>
          <w:rFonts w:ascii="Arial" w:cs="Arial" w:eastAsia="Arial" w:hAnsi="Arial"/>
          <w:sz w:val="13"/>
          <w:szCs w:val="13"/>
          <w:color w:val="auto"/>
        </w:rPr>
      </w:pPr>
    </w:p>
    <w:p>
      <w:pPr>
        <w:jc w:val="both"/>
        <w:ind w:left="400" w:hanging="395"/>
        <w:spacing w:after="0" w:line="274" w:lineRule="auto"/>
        <w:tabs>
          <w:tab w:leader="none" w:pos="40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amount for each named executive officer includes the actuarial present value of retiree medical benefits. The present value of accumulated benefits has been calculated in a manner consistent with our reporting of the Retired Officers’ Welfare Plan under FASB ASC 715-60, using the Accumulated Post-Retirement Benefit Obligation, with an adjustment made to retirement age assumptions as required by SEC regulations.</w:t>
      </w:r>
    </w:p>
    <w:p>
      <w:pPr>
        <w:spacing w:after="0" w:line="70" w:lineRule="exact"/>
        <w:rPr>
          <w:rFonts w:ascii="Arial" w:cs="Arial" w:eastAsia="Arial" w:hAnsi="Arial"/>
          <w:sz w:val="13"/>
          <w:szCs w:val="13"/>
          <w:color w:val="auto"/>
        </w:rPr>
      </w:pPr>
    </w:p>
    <w:p>
      <w:pPr>
        <w:ind w:left="400" w:hanging="395"/>
        <w:spacing w:after="0" w:line="293" w:lineRule="auto"/>
        <w:tabs>
          <w:tab w:leader="none" w:pos="40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amount for each named executive officer reflects $30,000 in outplacement assistance and three months' COBRA premiums based on healthcare eligible plan enrollments as of fiscal year end.</w:t>
      </w:r>
    </w:p>
    <w:p>
      <w:pPr>
        <w:spacing w:after="0" w:line="58" w:lineRule="exact"/>
        <w:rPr>
          <w:rFonts w:ascii="Arial" w:cs="Arial" w:eastAsia="Arial" w:hAnsi="Arial"/>
          <w:sz w:val="13"/>
          <w:szCs w:val="13"/>
          <w:color w:val="auto"/>
        </w:rPr>
      </w:pPr>
    </w:p>
    <w:p>
      <w:pPr>
        <w:ind w:left="400" w:hanging="395"/>
        <w:spacing w:after="0"/>
        <w:tabs>
          <w:tab w:leader="none" w:pos="4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amount for each named executive officer represents the actuarial present value of retiree medical benefits which were calculated as described in footnote 6 above.</w:t>
      </w:r>
    </w:p>
    <w:p>
      <w:pPr>
        <w:spacing w:after="0" w:line="115" w:lineRule="exact"/>
        <w:rPr>
          <w:rFonts w:ascii="Arial" w:cs="Arial" w:eastAsia="Arial" w:hAnsi="Arial"/>
          <w:sz w:val="13"/>
          <w:szCs w:val="13"/>
          <w:color w:val="auto"/>
        </w:rPr>
      </w:pPr>
    </w:p>
    <w:p>
      <w:pPr>
        <w:ind w:left="400" w:hanging="395"/>
        <w:spacing w:after="0" w:line="293" w:lineRule="auto"/>
        <w:tabs>
          <w:tab w:leader="none" w:pos="40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amount for each named executive officer reflects the present value of the guaranteed benefits and cash payment of the actuarial cost of the executive’s benefits under the executives’ retiree medical plan, assuming that the plan was terminated during the five years following a change in control.</w:t>
      </w:r>
    </w:p>
    <w:p>
      <w:pPr>
        <w:spacing w:after="0" w:line="58" w:lineRule="exact"/>
        <w:rPr>
          <w:rFonts w:ascii="Arial" w:cs="Arial" w:eastAsia="Arial" w:hAnsi="Arial"/>
          <w:sz w:val="13"/>
          <w:szCs w:val="13"/>
          <w:color w:val="auto"/>
        </w:rPr>
      </w:pPr>
    </w:p>
    <w:p>
      <w:pPr>
        <w:jc w:val="both"/>
        <w:ind w:left="400" w:hanging="395"/>
        <w:spacing w:after="0" w:line="258" w:lineRule="auto"/>
        <w:tabs>
          <w:tab w:leader="none" w:pos="41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If the named executive officer’s employment is terminated on or after March 31, 2026 by reason of a “qualifying permanent retirement” (as defined in the applicable award agreement), outstanding unvested performance-based restricted stock units (other than the one-time grants issued to Ms. Anderson and Messrs. Calderone and Crowe in fiscal year 2025) will be eligible to continue to vest on the vesting date, subject to and based on actual achievement of the performance goals. The estimated value of the continued vesting for such performance-based restricted stock units would be $18,221,940, $3,573,150, $2,322,547, $1,593,123, and $2,248,762 for Mr. Rozanski, Ms. Anderson, Mr. Crowe, Ms. Inserra, and Mr. Pfeifer, respectively, calculated based on the closing fair market value of our common stock on last trading day of the fiscal year, March 31, 2026, and assuming achievement of maximum performance levels. With respect to the certain one-time performance-based restricted stock units granted in fiscal year 2025, or in the event of a named executive officer's retirement that at any time is not considered a "qualifying permanent retirement," the outstanding unvested performance-based restricted stock units will be forfeited. Certain outstanding annual performance-based restricted stock units granted to Mr. Calderone on July 22, 2025, May 23, 2024 and May 25, 2023 were eligible for “qualifying permanent retirement” treatment in connection with his retirement on February 1, 2026, subject to the terms of the applicable award agreements; however, Mr. Calderone's retirement did not meet the conditions of a “qualifying permanent retirement” under the terms of the applicable award agreement, therefore all performance-based restricted stock units granted to Mr. Calderone on July 22, 2025, May 23, 2024 and May 25, 2023, were forfeited in connection with his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666666"/>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67945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480" w:top="881" w:right="339" w:bottom="1440" w:gutter="0" w:footer="0" w:header="0"/>
        </w:sectPr>
      </w:pPr>
    </w:p>
    <w:bookmarkStart w:id="71" w:name="page72"/>
    <w:bookmarkEnd w:id="71"/>
    <w:p>
      <w:pPr>
        <w:spacing w:after="0"/>
        <w:rPr>
          <w:sz w:val="20"/>
          <w:szCs w:val="20"/>
          <w:color w:val="auto"/>
        </w:rPr>
      </w:pPr>
      <w:r>
        <w:rPr>
          <w:rFonts w:ascii="Arial" w:cs="Arial" w:eastAsia="Arial" w:hAnsi="Arial"/>
          <w:sz w:val="21"/>
          <w:szCs w:val="21"/>
          <w:u w:val="single" w:color="auto"/>
          <w:color w:val="00A5B5"/>
        </w:rPr>
        <w:t>Pay Ratio</w:t>
      </w:r>
    </w:p>
    <w:p>
      <w:pPr>
        <w:spacing w:after="0" w:line="16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In accordance with Section 953(b) of the Dodd-Frank Wall Street Reform and Consumer Protection Act and Item 402(u) of Regulation S-K ("Item 402(u)"), we are providing the following estimated information for fiscal year 2026:</w:t>
      </w:r>
    </w:p>
    <w:p>
      <w:pPr>
        <w:spacing w:after="0" w:line="110" w:lineRule="exact"/>
        <w:rPr>
          <w:sz w:val="20"/>
          <w:szCs w:val="20"/>
          <w:color w:val="auto"/>
        </w:rPr>
      </w:pPr>
    </w:p>
    <w:p>
      <w:pPr>
        <w:jc w:val="both"/>
        <w:ind w:left="640" w:hanging="316"/>
        <w:spacing w:after="0" w:line="255" w:lineRule="auto"/>
        <w:tabs>
          <w:tab w:leader="none" w:pos="6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(excluding our CEO) was approximately $157,918, which we calculated using the same methodology we used to determine the annual total compensation of our named executive officers for fiscal year 2026 (as set forth in the Summary Compensation Table), and included base salary, any employee bonuses and awards, the Company 401(k) plan match, and the Company-paid portion of the medical and dental benefits;</w:t>
      </w:r>
    </w:p>
    <w:p>
      <w:pPr>
        <w:spacing w:after="0" w:line="126" w:lineRule="exact"/>
        <w:rPr>
          <w:rFonts w:ascii="Arial" w:cs="Arial" w:eastAsia="Arial" w:hAnsi="Arial"/>
          <w:sz w:val="18"/>
          <w:szCs w:val="18"/>
          <w:color w:val="auto"/>
        </w:rPr>
      </w:pPr>
    </w:p>
    <w:p>
      <w:pPr>
        <w:ind w:left="620" w:hanging="29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was $13,800,777; and</w:t>
      </w:r>
    </w:p>
    <w:p>
      <w:pPr>
        <w:spacing w:after="0" w:line="163" w:lineRule="exact"/>
        <w:rPr>
          <w:rFonts w:ascii="Arial" w:cs="Arial" w:eastAsia="Arial" w:hAnsi="Arial"/>
          <w:sz w:val="18"/>
          <w:szCs w:val="18"/>
          <w:color w:val="auto"/>
        </w:rPr>
      </w:pPr>
    </w:p>
    <w:p>
      <w:pPr>
        <w:ind w:left="640" w:hanging="316"/>
        <w:spacing w:after="0" w:line="274" w:lineRule="auto"/>
        <w:tabs>
          <w:tab w:leader="none" w:pos="6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all our other employees (the "Pay Ratio") was approximately 87 to 1.</w:t>
      </w:r>
    </w:p>
    <w:p>
      <w:pPr>
        <w:spacing w:after="0" w:line="110"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The Pay Ratio is a reasonable estimate calculated in a manner consistent with Item 402(u). Additionally,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A5B5"/>
        </w:rPr>
        <w:t>Methodology for Identifying Our "Median Employee"</w:t>
      </w:r>
    </w:p>
    <w:p>
      <w:pPr>
        <w:spacing w:after="0" w:line="1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We determined that as of March 31, 2026 our total employee population consisted of approximately 32,085 individuals, including our CEO, and both full-time and part-time employees, of which approximately 30,948 were aligned to offices in the United States or U.S. jurisdictions, and 1,137 to offices in non-U.S. jurisdictions. As the population of employees located in non-U.S. jurisdictions accounts for less than 5% of our total workforce, we were able to rely on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permitted under Item 402(u) and exclude the non-U.S. population from our "median employee" calculation, which included employees located in Australia (30), Belgium (8), Djibouti (2), Eswatini (1), Georgia (1), Germany (518), Greece (1), Italy (34), Japan (190), Republic of Korea (53), Kuwait (2), Lithuania (1), Netherlands (14), Pakistan (30), Poland (1), Romania (1), Kingdom of Saudi Arabia (2), Serbia (1), Singapore (6), Spain (2), Taiwan (1), and the United Kingdom (238). After excluding the non-U.S. population, our CEO, and employees on unpaid leave of absence for the full fiscal year 2026, the resulting adjusted employee population to be used for identifying our "median employee" was 30,947.</w:t>
      </w:r>
    </w:p>
    <w:p>
      <w:pPr>
        <w:spacing w:after="0" w:line="13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compared the annual salary of our adjusted employee population as reflected in our human resources system of record. This measure was consistently applied to all individuals in the adjusted employee population. This analysis yielded our median salary which identified a single individual, for whom we performed a detailed analysis of the annual total compensation, as discussed below.</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A5B5"/>
        </w:rPr>
        <w:t>Annual Total Compensation Determination</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calculated annual total compensation using the same methodology we used for purposes of determining the annual total compensation of our named executive officers for fiscal year 2026 (as set forth in the Summary Compensation Table). Specifically, in addition to the actual salary paid for fiscal year 2026, the calculation of total compensation for our "median employee" included Company-paid portions of health and wellness benefits and qualified retirement plan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2" w:name="page73"/>
    <w:bookmarkEnd w:id="72"/>
    <w:p>
      <w:pPr>
        <w:spacing w:after="0"/>
        <w:rPr>
          <w:sz w:val="20"/>
          <w:szCs w:val="20"/>
          <w:color w:val="auto"/>
        </w:rPr>
      </w:pPr>
      <w:r>
        <w:rPr>
          <w:rFonts w:ascii="Arial" w:cs="Arial" w:eastAsia="Arial" w:hAnsi="Arial"/>
          <w:sz w:val="21"/>
          <w:szCs w:val="21"/>
          <w:u w:val="single" w:color="auto"/>
          <w:color w:val="00A5B5"/>
        </w:rPr>
        <w:t>Pay Versus Performance</w:t>
      </w:r>
    </w:p>
    <w:p>
      <w:pPr>
        <w:spacing w:after="0" w:line="16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This Pay Versus Performance (or "PvP") section, along with corresponding tables, has been written in compliance with Item 402(v) of Regulation S-K under the Exchange Act. Compensation Actually Paid (or "CAP") to our named executive officers in each of fiscal years 2022 through 2026 has been calculated in accordance with such PvP rules and is compared below with specific performance measures as required by the rules.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A5B5"/>
        </w:rPr>
        <w:t>Performance Measures</w:t>
      </w:r>
    </w:p>
    <w:p>
      <w:pPr>
        <w:spacing w:after="0" w:line="18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In accordance with the PvP rules, the most important performance measures we use to link CAP to our named executive officers for fiscal year 2026 to our performance are listed in the table below. These metrics are not in rank order. Under the "Annual Cash Incentive" and "Long-term Equity Incentives" titles in the "Compensation Discussion and Analysis" section of this proxy statement, each of these performance measures is described in depth.</w:t>
      </w:r>
    </w:p>
    <w:p>
      <w:pPr>
        <w:spacing w:after="0" w:line="149" w:lineRule="exact"/>
        <w:rPr>
          <w:sz w:val="20"/>
          <w:szCs w:val="20"/>
          <w:color w:val="auto"/>
        </w:rPr>
      </w:pPr>
    </w:p>
    <w:tbl>
      <w:tblPr>
        <w:tblLayout w:type="fixed"/>
        <w:tblInd w:w="3730" w:type="dxa"/>
        <w:tblCellMar>
          <w:top w:w="0" w:type="dxa"/>
          <w:left w:w="0" w:type="dxa"/>
          <w:bottom w:w="0" w:type="dxa"/>
          <w:right w:w="0" w:type="dxa"/>
        </w:tblCellMar>
      </w:tblPr>
      <w:tr>
        <w:trPr>
          <w:trHeight w:val="184"/>
        </w:trPr>
        <w:tc>
          <w:tcPr>
            <w:tcW w:w="2460" w:type="dxa"/>
            <w:vAlign w:val="bottom"/>
            <w:tcBorders>
              <w:top w:val="single" w:sz="8" w:color="auto"/>
              <w:left w:val="single" w:sz="8" w:color="auto"/>
              <w:bottom w:val="single" w:sz="8" w:color="auto"/>
            </w:tcBorders>
            <w:shd w:val="clear" w:color="auto" w:fill="00A5B5"/>
          </w:tcPr>
          <w:p>
            <w:pPr>
              <w:jc w:val="center"/>
              <w:ind w:right="38"/>
              <w:spacing w:after="0"/>
              <w:rPr>
                <w:sz w:val="20"/>
                <w:szCs w:val="20"/>
                <w:color w:val="auto"/>
              </w:rPr>
            </w:pPr>
            <w:r>
              <w:rPr>
                <w:rFonts w:ascii="Arial" w:cs="Arial" w:eastAsia="Arial" w:hAnsi="Arial"/>
                <w:sz w:val="12"/>
                <w:szCs w:val="12"/>
                <w:b w:val="1"/>
                <w:bCs w:val="1"/>
                <w:color w:val="FFFFFF"/>
              </w:rPr>
              <w:t>Metric</w:t>
            </w:r>
          </w:p>
        </w:tc>
        <w:tc>
          <w:tcPr>
            <w:tcW w:w="1680" w:type="dxa"/>
            <w:vAlign w:val="bottom"/>
            <w:tcBorders>
              <w:top w:val="single" w:sz="8" w:color="auto"/>
              <w:bottom w:val="single" w:sz="8" w:color="auto"/>
              <w:right w:val="single" w:sz="8" w:color="auto"/>
            </w:tcBorders>
            <w:shd w:val="clear" w:color="auto" w:fill="00A5B5"/>
          </w:tcPr>
          <w:p>
            <w:pPr>
              <w:jc w:val="center"/>
              <w:ind w:right="58"/>
              <w:spacing w:after="0"/>
              <w:rPr>
                <w:sz w:val="20"/>
                <w:szCs w:val="20"/>
                <w:color w:val="auto"/>
              </w:rPr>
            </w:pPr>
            <w:r>
              <w:rPr>
                <w:rFonts w:ascii="Arial" w:cs="Arial" w:eastAsia="Arial" w:hAnsi="Arial"/>
                <w:sz w:val="12"/>
                <w:szCs w:val="12"/>
                <w:b w:val="1"/>
                <w:bCs w:val="1"/>
                <w:color w:val="FFFFFF"/>
              </w:rPr>
              <w:t>Metric Type</w:t>
            </w:r>
          </w:p>
        </w:tc>
      </w:tr>
      <w:tr>
        <w:trPr>
          <w:trHeight w:val="166"/>
        </w:trPr>
        <w:tc>
          <w:tcPr>
            <w:tcW w:w="2460" w:type="dxa"/>
            <w:vAlign w:val="bottom"/>
            <w:tcBorders>
              <w:left w:val="single" w:sz="8" w:color="auto"/>
            </w:tcBorders>
            <w:shd w:val="clear" w:color="auto" w:fill="CCEEF0"/>
          </w:tcPr>
          <w:p>
            <w:pPr>
              <w:jc w:val="center"/>
              <w:ind w:right="38"/>
              <w:spacing w:after="0"/>
              <w:rPr>
                <w:sz w:val="20"/>
                <w:szCs w:val="20"/>
                <w:color w:val="auto"/>
              </w:rPr>
            </w:pPr>
            <w:r>
              <w:rPr>
                <w:rFonts w:ascii="Arial" w:cs="Arial" w:eastAsia="Arial" w:hAnsi="Arial"/>
                <w:sz w:val="12"/>
                <w:szCs w:val="12"/>
                <w:color w:val="auto"/>
              </w:rPr>
              <w:t>Adjusted EBITDA</w:t>
            </w:r>
          </w:p>
        </w:tc>
        <w:tc>
          <w:tcPr>
            <w:tcW w:w="1680" w:type="dxa"/>
            <w:vAlign w:val="bottom"/>
            <w:tcBorders>
              <w:right w:val="single" w:sz="8" w:color="auto"/>
            </w:tcBorders>
            <w:shd w:val="clear" w:color="auto" w:fill="CCEEF0"/>
          </w:tcPr>
          <w:p>
            <w:pPr>
              <w:jc w:val="center"/>
              <w:ind w:right="78"/>
              <w:spacing w:after="0"/>
              <w:rPr>
                <w:sz w:val="20"/>
                <w:szCs w:val="20"/>
                <w:color w:val="auto"/>
              </w:rPr>
            </w:pPr>
            <w:r>
              <w:rPr>
                <w:rFonts w:ascii="Arial" w:cs="Arial" w:eastAsia="Arial" w:hAnsi="Arial"/>
                <w:sz w:val="12"/>
                <w:szCs w:val="12"/>
                <w:color w:val="auto"/>
              </w:rPr>
              <w:t>Financial Measure</w:t>
            </w:r>
          </w:p>
        </w:tc>
      </w:tr>
      <w:tr>
        <w:trPr>
          <w:trHeight w:val="168"/>
        </w:trPr>
        <w:tc>
          <w:tcPr>
            <w:tcW w:w="2460" w:type="dxa"/>
            <w:vAlign w:val="bottom"/>
            <w:tcBorders>
              <w:left w:val="single" w:sz="8" w:color="auto"/>
            </w:tcBorders>
          </w:tcPr>
          <w:p>
            <w:pPr>
              <w:jc w:val="center"/>
              <w:ind w:right="38"/>
              <w:spacing w:after="0"/>
              <w:rPr>
                <w:sz w:val="20"/>
                <w:szCs w:val="20"/>
                <w:color w:val="auto"/>
              </w:rPr>
            </w:pPr>
            <w:r>
              <w:rPr>
                <w:rFonts w:ascii="Arial" w:cs="Arial" w:eastAsia="Arial" w:hAnsi="Arial"/>
                <w:sz w:val="12"/>
                <w:szCs w:val="12"/>
                <w:color w:val="auto"/>
                <w:w w:val="99"/>
              </w:rPr>
              <w:t>Revenue</w:t>
            </w:r>
          </w:p>
        </w:tc>
        <w:tc>
          <w:tcPr>
            <w:tcW w:w="1680" w:type="dxa"/>
            <w:vAlign w:val="bottom"/>
            <w:tcBorders>
              <w:right w:val="single" w:sz="8" w:color="auto"/>
            </w:tcBorders>
          </w:tcPr>
          <w:p>
            <w:pPr>
              <w:jc w:val="center"/>
              <w:ind w:right="78"/>
              <w:spacing w:after="0"/>
              <w:rPr>
                <w:sz w:val="20"/>
                <w:szCs w:val="20"/>
                <w:color w:val="auto"/>
              </w:rPr>
            </w:pPr>
            <w:r>
              <w:rPr>
                <w:rFonts w:ascii="Arial" w:cs="Arial" w:eastAsia="Arial" w:hAnsi="Arial"/>
                <w:sz w:val="12"/>
                <w:szCs w:val="12"/>
                <w:color w:val="auto"/>
              </w:rPr>
              <w:t>Financial Measure</w:t>
            </w:r>
          </w:p>
        </w:tc>
      </w:tr>
      <w:tr>
        <w:trPr>
          <w:trHeight w:val="176"/>
        </w:trPr>
        <w:tc>
          <w:tcPr>
            <w:tcW w:w="2460" w:type="dxa"/>
            <w:vAlign w:val="bottom"/>
            <w:tcBorders>
              <w:left w:val="single" w:sz="8" w:color="auto"/>
            </w:tcBorders>
            <w:shd w:val="clear" w:color="auto" w:fill="CCEEF0"/>
          </w:tcPr>
          <w:p>
            <w:pPr>
              <w:jc w:val="center"/>
              <w:ind w:right="38"/>
              <w:spacing w:after="0"/>
              <w:rPr>
                <w:sz w:val="20"/>
                <w:szCs w:val="20"/>
                <w:color w:val="auto"/>
              </w:rPr>
            </w:pPr>
            <w:r>
              <w:rPr>
                <w:rFonts w:ascii="Arial" w:cs="Arial" w:eastAsia="Arial" w:hAnsi="Arial"/>
                <w:sz w:val="12"/>
                <w:szCs w:val="12"/>
                <w:color w:val="auto"/>
              </w:rPr>
              <w:t>Capability Amplification</w:t>
            </w:r>
          </w:p>
        </w:tc>
        <w:tc>
          <w:tcPr>
            <w:tcW w:w="1680" w:type="dxa"/>
            <w:vAlign w:val="bottom"/>
            <w:tcBorders>
              <w:right w:val="single" w:sz="8" w:color="auto"/>
            </w:tcBorders>
            <w:shd w:val="clear" w:color="auto" w:fill="CCEEF0"/>
          </w:tcPr>
          <w:p>
            <w:pPr>
              <w:jc w:val="center"/>
              <w:ind w:right="58"/>
              <w:spacing w:after="0"/>
              <w:rPr>
                <w:sz w:val="20"/>
                <w:szCs w:val="20"/>
                <w:color w:val="auto"/>
              </w:rPr>
            </w:pPr>
            <w:r>
              <w:rPr>
                <w:rFonts w:ascii="Arial" w:cs="Arial" w:eastAsia="Arial" w:hAnsi="Arial"/>
                <w:sz w:val="12"/>
                <w:szCs w:val="12"/>
                <w:color w:val="auto"/>
              </w:rPr>
              <w:t>Strategic Measure</w:t>
            </w:r>
          </w:p>
        </w:tc>
      </w:tr>
      <w:tr>
        <w:trPr>
          <w:trHeight w:val="168"/>
        </w:trPr>
        <w:tc>
          <w:tcPr>
            <w:tcW w:w="2460" w:type="dxa"/>
            <w:vAlign w:val="bottom"/>
            <w:tcBorders>
              <w:left w:val="single" w:sz="8" w:color="auto"/>
            </w:tcBorders>
          </w:tcPr>
          <w:p>
            <w:pPr>
              <w:jc w:val="center"/>
              <w:ind w:right="38"/>
              <w:spacing w:after="0"/>
              <w:rPr>
                <w:sz w:val="20"/>
                <w:szCs w:val="20"/>
                <w:color w:val="auto"/>
              </w:rPr>
            </w:pPr>
            <w:r>
              <w:rPr>
                <w:rFonts w:ascii="Arial" w:cs="Arial" w:eastAsia="Arial" w:hAnsi="Arial"/>
                <w:sz w:val="12"/>
                <w:szCs w:val="12"/>
                <w:color w:val="auto"/>
              </w:rPr>
              <w:t>Technical Upskilling</w:t>
            </w:r>
          </w:p>
        </w:tc>
        <w:tc>
          <w:tcPr>
            <w:tcW w:w="1680" w:type="dxa"/>
            <w:vAlign w:val="bottom"/>
            <w:tcBorders>
              <w:right w:val="single" w:sz="8" w:color="auto"/>
            </w:tcBorders>
          </w:tcPr>
          <w:p>
            <w:pPr>
              <w:jc w:val="center"/>
              <w:ind w:right="58"/>
              <w:spacing w:after="0"/>
              <w:rPr>
                <w:sz w:val="20"/>
                <w:szCs w:val="20"/>
                <w:color w:val="auto"/>
              </w:rPr>
            </w:pPr>
            <w:r>
              <w:rPr>
                <w:rFonts w:ascii="Arial" w:cs="Arial" w:eastAsia="Arial" w:hAnsi="Arial"/>
                <w:sz w:val="12"/>
                <w:szCs w:val="12"/>
                <w:color w:val="auto"/>
              </w:rPr>
              <w:t>Strategic Measure</w:t>
            </w:r>
          </w:p>
        </w:tc>
      </w:tr>
      <w:tr>
        <w:trPr>
          <w:trHeight w:val="172"/>
        </w:trPr>
        <w:tc>
          <w:tcPr>
            <w:tcW w:w="2460" w:type="dxa"/>
            <w:vAlign w:val="bottom"/>
            <w:tcBorders>
              <w:left w:val="single" w:sz="8" w:color="auto"/>
              <w:bottom w:val="single" w:sz="8" w:color="auto"/>
            </w:tcBorders>
            <w:shd w:val="clear" w:color="auto" w:fill="CCEEF0"/>
          </w:tcPr>
          <w:p>
            <w:pPr>
              <w:jc w:val="center"/>
              <w:ind w:right="38"/>
              <w:spacing w:after="0"/>
              <w:rPr>
                <w:sz w:val="20"/>
                <w:szCs w:val="20"/>
                <w:color w:val="auto"/>
              </w:rPr>
            </w:pPr>
            <w:r>
              <w:rPr>
                <w:rFonts w:ascii="Arial" w:cs="Arial" w:eastAsia="Arial" w:hAnsi="Arial"/>
                <w:sz w:val="12"/>
                <w:szCs w:val="12"/>
                <w:color w:val="auto"/>
              </w:rPr>
              <w:t>Advanced Technology Demonstration</w:t>
            </w:r>
          </w:p>
        </w:tc>
        <w:tc>
          <w:tcPr>
            <w:tcW w:w="1680" w:type="dxa"/>
            <w:vAlign w:val="bottom"/>
            <w:tcBorders>
              <w:bottom w:val="single" w:sz="8" w:color="auto"/>
              <w:right w:val="single" w:sz="8" w:color="auto"/>
            </w:tcBorders>
            <w:shd w:val="clear" w:color="auto" w:fill="CCEEF0"/>
          </w:tcPr>
          <w:p>
            <w:pPr>
              <w:jc w:val="center"/>
              <w:ind w:right="58"/>
              <w:spacing w:after="0"/>
              <w:rPr>
                <w:sz w:val="20"/>
                <w:szCs w:val="20"/>
                <w:color w:val="auto"/>
              </w:rPr>
            </w:pPr>
            <w:r>
              <w:rPr>
                <w:rFonts w:ascii="Arial" w:cs="Arial" w:eastAsia="Arial" w:hAnsi="Arial"/>
                <w:sz w:val="12"/>
                <w:szCs w:val="12"/>
                <w:color w:val="auto"/>
              </w:rPr>
              <w:t>Strategic Measure</w:t>
            </w:r>
          </w:p>
        </w:tc>
      </w:tr>
    </w:tbl>
    <w:p>
      <w:pPr>
        <w:spacing w:after="0" w:line="2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A5B5"/>
        </w:rPr>
        <w:t>Pay Versus Performance Table</w:t>
      </w:r>
    </w:p>
    <w:p>
      <w:pPr>
        <w:spacing w:after="0" w:line="185"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The CAP figures in the table below do not represent the compensation that the CEO or the NEOs actually earned, realized or received due to the change in fair value of the equity awards over time. As a result, when designing or deciding on the compensation for our NEOs, the Compensation, Culture and People Committee did not take the data in the table into account. Our "Compensation Discussion and Analysis" includes a thorough explanation of the Company's executive pay program and the guiding principles and methodology of the Committee (beginning on page 35).</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top w:val="single" w:sz="8" w:color="auto"/>
              <w:right w:val="single" w:sz="8" w:color="auto"/>
            </w:tcBorders>
            <w:gridSpan w:val="2"/>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Value of Initial Fixed $100 Investment</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gridSpan w:val="2"/>
            <w:shd w:val="clear" w:color="auto" w:fill="00A5B5"/>
          </w:tcPr>
          <w:p>
            <w:pPr>
              <w:jc w:val="center"/>
              <w:spacing w:after="0"/>
              <w:rPr>
                <w:sz w:val="20"/>
                <w:szCs w:val="20"/>
                <w:color w:val="auto"/>
              </w:rPr>
            </w:pPr>
            <w:r>
              <w:rPr>
                <w:rFonts w:ascii="Arial" w:cs="Arial" w:eastAsia="Arial" w:hAnsi="Arial"/>
                <w:sz w:val="12"/>
                <w:szCs w:val="12"/>
                <w:b w:val="1"/>
                <w:bCs w:val="1"/>
                <w:color w:val="FFFFFF"/>
              </w:rPr>
              <w:t>Based On:</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00" w:type="dxa"/>
            <w:vAlign w:val="bottom"/>
            <w:tcBorders>
              <w:left w:val="single" w:sz="8" w:color="auto"/>
            </w:tcBorders>
            <w:shd w:val="clear" w:color="auto" w:fill="00A5B5"/>
          </w:tcPr>
          <w:p>
            <w:pPr>
              <w:spacing w:after="0"/>
              <w:rPr>
                <w:sz w:val="10"/>
                <w:szCs w:val="10"/>
                <w:color w:val="auto"/>
              </w:rPr>
            </w:pPr>
          </w:p>
        </w:tc>
        <w:tc>
          <w:tcPr>
            <w:tcW w:w="1320" w:type="dxa"/>
            <w:vAlign w:val="bottom"/>
            <w:shd w:val="clear" w:color="auto" w:fill="00A5B5"/>
          </w:tcPr>
          <w:p>
            <w:pPr>
              <w:spacing w:after="0"/>
              <w:rPr>
                <w:sz w:val="10"/>
                <w:szCs w:val="10"/>
                <w:color w:val="auto"/>
              </w:rPr>
            </w:pPr>
          </w:p>
        </w:tc>
        <w:tc>
          <w:tcPr>
            <w:tcW w:w="800" w:type="dxa"/>
            <w:vAlign w:val="bottom"/>
            <w:shd w:val="clear" w:color="auto" w:fill="00A5B5"/>
          </w:tcPr>
          <w:p>
            <w:pPr>
              <w:spacing w:after="0"/>
              <w:rPr>
                <w:sz w:val="10"/>
                <w:szCs w:val="10"/>
                <w:color w:val="auto"/>
              </w:rPr>
            </w:pPr>
          </w:p>
        </w:tc>
        <w:tc>
          <w:tcPr>
            <w:tcW w:w="500" w:type="dxa"/>
            <w:vAlign w:val="bottom"/>
            <w:shd w:val="clear" w:color="auto" w:fill="00A5B5"/>
          </w:tcPr>
          <w:p>
            <w:pPr>
              <w:spacing w:after="0"/>
              <w:rPr>
                <w:sz w:val="10"/>
                <w:szCs w:val="10"/>
                <w:color w:val="auto"/>
              </w:rPr>
            </w:pPr>
          </w:p>
        </w:tc>
        <w:tc>
          <w:tcPr>
            <w:tcW w:w="940" w:type="dxa"/>
            <w:vAlign w:val="bottom"/>
            <w:vMerge w:val="restart"/>
            <w:shd w:val="clear" w:color="auto" w:fill="00A5B5"/>
          </w:tcPr>
          <w:p>
            <w:pPr>
              <w:jc w:val="center"/>
              <w:ind w:left="241"/>
              <w:spacing w:after="0"/>
              <w:rPr>
                <w:sz w:val="20"/>
                <w:szCs w:val="20"/>
                <w:color w:val="auto"/>
              </w:rPr>
            </w:pPr>
            <w:r>
              <w:rPr>
                <w:rFonts w:ascii="Arial" w:cs="Arial" w:eastAsia="Arial" w:hAnsi="Arial"/>
                <w:sz w:val="12"/>
                <w:szCs w:val="12"/>
                <w:b w:val="1"/>
                <w:bCs w:val="1"/>
                <w:color w:val="FFFFFF"/>
              </w:rPr>
              <w:t>Average</w:t>
            </w:r>
          </w:p>
        </w:tc>
        <w:tc>
          <w:tcPr>
            <w:tcW w:w="280" w:type="dxa"/>
            <w:vAlign w:val="bottom"/>
            <w:shd w:val="clear" w:color="auto" w:fill="00A5B5"/>
          </w:tcPr>
          <w:p>
            <w:pPr>
              <w:spacing w:after="0"/>
              <w:rPr>
                <w:sz w:val="10"/>
                <w:szCs w:val="10"/>
                <w:color w:val="auto"/>
              </w:rPr>
            </w:pPr>
          </w:p>
        </w:tc>
        <w:tc>
          <w:tcPr>
            <w:tcW w:w="920" w:type="dxa"/>
            <w:vAlign w:val="bottom"/>
            <w:shd w:val="clear" w:color="auto" w:fill="00A5B5"/>
          </w:tcPr>
          <w:p>
            <w:pPr>
              <w:spacing w:after="0"/>
              <w:rPr>
                <w:sz w:val="10"/>
                <w:szCs w:val="10"/>
                <w:color w:val="auto"/>
              </w:rPr>
            </w:pPr>
          </w:p>
        </w:tc>
        <w:tc>
          <w:tcPr>
            <w:tcW w:w="460" w:type="dxa"/>
            <w:vAlign w:val="bottom"/>
            <w:tcBorders>
              <w:right w:val="single" w:sz="8" w:color="00A5B5"/>
            </w:tcBorders>
            <w:shd w:val="clear" w:color="auto" w:fill="00A5B5"/>
          </w:tcPr>
          <w:p>
            <w:pPr>
              <w:spacing w:after="0"/>
              <w:rPr>
                <w:sz w:val="10"/>
                <w:szCs w:val="10"/>
                <w:color w:val="auto"/>
              </w:rPr>
            </w:pPr>
          </w:p>
        </w:tc>
        <w:tc>
          <w:tcPr>
            <w:tcW w:w="1240" w:type="dxa"/>
            <w:vAlign w:val="bottom"/>
            <w:shd w:val="clear" w:color="auto" w:fill="00A5B5"/>
          </w:tcPr>
          <w:p>
            <w:pPr>
              <w:spacing w:after="0"/>
              <w:rPr>
                <w:sz w:val="10"/>
                <w:szCs w:val="10"/>
                <w:color w:val="auto"/>
              </w:rPr>
            </w:pPr>
          </w:p>
        </w:tc>
        <w:tc>
          <w:tcPr>
            <w:tcW w:w="1380" w:type="dxa"/>
            <w:vAlign w:val="bottom"/>
            <w:tcBorders>
              <w:right w:val="single" w:sz="8" w:color="00A5B5"/>
            </w:tcBorders>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S&amp;P Software &amp;</w:t>
            </w:r>
          </w:p>
        </w:tc>
        <w:tc>
          <w:tcPr>
            <w:tcW w:w="800" w:type="dxa"/>
            <w:vAlign w:val="bottom"/>
            <w:shd w:val="clear" w:color="auto" w:fill="00A5B5"/>
          </w:tcPr>
          <w:p>
            <w:pPr>
              <w:spacing w:after="0"/>
              <w:rPr>
                <w:sz w:val="10"/>
                <w:szCs w:val="10"/>
                <w:color w:val="auto"/>
              </w:rPr>
            </w:pPr>
          </w:p>
        </w:tc>
        <w:tc>
          <w:tcPr>
            <w:tcW w:w="320" w:type="dxa"/>
            <w:vAlign w:val="bottom"/>
            <w:shd w:val="clear" w:color="auto" w:fill="00A5B5"/>
          </w:tcPr>
          <w:p>
            <w:pPr>
              <w:spacing w:after="0"/>
              <w:rPr>
                <w:sz w:val="10"/>
                <w:szCs w:val="10"/>
                <w:color w:val="auto"/>
              </w:rPr>
            </w:pPr>
          </w:p>
        </w:tc>
        <w:tc>
          <w:tcPr>
            <w:tcW w:w="1500" w:type="dxa"/>
            <w:vAlign w:val="bottom"/>
            <w:tcBorders>
              <w:right w:val="single" w:sz="8" w:color="auto"/>
            </w:tcBorders>
            <w:shd w:val="clear" w:color="auto" w:fill="00A5B5"/>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00" w:type="dxa"/>
            <w:vAlign w:val="bottom"/>
            <w:tcBorders>
              <w:left w:val="single" w:sz="8" w:color="auto"/>
            </w:tcBorders>
            <w:shd w:val="clear" w:color="auto" w:fill="00A5B5"/>
          </w:tcPr>
          <w:p>
            <w:pPr>
              <w:spacing w:after="0"/>
              <w:rPr>
                <w:sz w:val="4"/>
                <w:szCs w:val="4"/>
                <w:color w:val="auto"/>
              </w:rPr>
            </w:pPr>
          </w:p>
        </w:tc>
        <w:tc>
          <w:tcPr>
            <w:tcW w:w="1320" w:type="dxa"/>
            <w:vAlign w:val="bottom"/>
            <w:shd w:val="clear" w:color="auto" w:fill="00A5B5"/>
          </w:tcPr>
          <w:p>
            <w:pPr>
              <w:spacing w:after="0"/>
              <w:rPr>
                <w:sz w:val="4"/>
                <w:szCs w:val="4"/>
                <w:color w:val="auto"/>
              </w:rPr>
            </w:pPr>
          </w:p>
        </w:tc>
        <w:tc>
          <w:tcPr>
            <w:tcW w:w="800" w:type="dxa"/>
            <w:vAlign w:val="bottom"/>
            <w:shd w:val="clear" w:color="auto" w:fill="00A5B5"/>
          </w:tcPr>
          <w:p>
            <w:pPr>
              <w:spacing w:after="0"/>
              <w:rPr>
                <w:sz w:val="4"/>
                <w:szCs w:val="4"/>
                <w:color w:val="auto"/>
              </w:rPr>
            </w:pPr>
          </w:p>
        </w:tc>
        <w:tc>
          <w:tcPr>
            <w:tcW w:w="500" w:type="dxa"/>
            <w:vAlign w:val="bottom"/>
            <w:shd w:val="clear" w:color="auto" w:fill="00A5B5"/>
          </w:tcPr>
          <w:p>
            <w:pPr>
              <w:spacing w:after="0"/>
              <w:rPr>
                <w:sz w:val="4"/>
                <w:szCs w:val="4"/>
                <w:color w:val="auto"/>
              </w:rPr>
            </w:pPr>
          </w:p>
        </w:tc>
        <w:tc>
          <w:tcPr>
            <w:tcW w:w="940" w:type="dxa"/>
            <w:vAlign w:val="bottom"/>
            <w:vMerge w:val="continue"/>
            <w:shd w:val="clear" w:color="auto" w:fill="00A5B5"/>
          </w:tcPr>
          <w:p>
            <w:pPr>
              <w:spacing w:after="0"/>
              <w:rPr>
                <w:sz w:val="4"/>
                <w:szCs w:val="4"/>
                <w:color w:val="auto"/>
              </w:rPr>
            </w:pPr>
          </w:p>
        </w:tc>
        <w:tc>
          <w:tcPr>
            <w:tcW w:w="280" w:type="dxa"/>
            <w:vAlign w:val="bottom"/>
            <w:shd w:val="clear" w:color="auto" w:fill="00A5B5"/>
          </w:tcPr>
          <w:p>
            <w:pPr>
              <w:spacing w:after="0"/>
              <w:rPr>
                <w:sz w:val="4"/>
                <w:szCs w:val="4"/>
                <w:color w:val="auto"/>
              </w:rPr>
            </w:pPr>
          </w:p>
        </w:tc>
        <w:tc>
          <w:tcPr>
            <w:tcW w:w="1380" w:type="dxa"/>
            <w:vAlign w:val="bottom"/>
            <w:tcBorders>
              <w:right w:val="single" w:sz="8" w:color="00A5B5"/>
            </w:tcBorders>
            <w:gridSpan w:val="2"/>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Average</w:t>
            </w:r>
          </w:p>
        </w:tc>
        <w:tc>
          <w:tcPr>
            <w:tcW w:w="1240" w:type="dxa"/>
            <w:vAlign w:val="bottom"/>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BAH</w:t>
            </w:r>
          </w:p>
        </w:tc>
        <w:tc>
          <w:tcPr>
            <w:tcW w:w="1380" w:type="dxa"/>
            <w:vAlign w:val="bottom"/>
            <w:tcBorders>
              <w:right w:val="single" w:sz="8" w:color="00A5B5"/>
            </w:tcBorders>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Services Select</w:t>
            </w:r>
          </w:p>
        </w:tc>
        <w:tc>
          <w:tcPr>
            <w:tcW w:w="800" w:type="dxa"/>
            <w:vAlign w:val="bottom"/>
            <w:shd w:val="clear" w:color="auto" w:fill="00A5B5"/>
          </w:tcPr>
          <w:p>
            <w:pPr>
              <w:spacing w:after="0"/>
              <w:rPr>
                <w:sz w:val="4"/>
                <w:szCs w:val="4"/>
                <w:color w:val="auto"/>
              </w:rPr>
            </w:pPr>
          </w:p>
        </w:tc>
        <w:tc>
          <w:tcPr>
            <w:tcW w:w="320" w:type="dxa"/>
            <w:vAlign w:val="bottom"/>
            <w:shd w:val="clear" w:color="auto" w:fill="00A5B5"/>
          </w:tcPr>
          <w:p>
            <w:pPr>
              <w:spacing w:after="0"/>
              <w:rPr>
                <w:sz w:val="4"/>
                <w:szCs w:val="4"/>
                <w:color w:val="auto"/>
              </w:rPr>
            </w:pPr>
          </w:p>
        </w:tc>
        <w:tc>
          <w:tcPr>
            <w:tcW w:w="1500" w:type="dxa"/>
            <w:vAlign w:val="bottom"/>
            <w:tcBorders>
              <w:right w:val="single" w:sz="8" w:color="auto"/>
            </w:tcBorders>
            <w:shd w:val="clear" w:color="auto" w:fill="00A5B5"/>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800" w:type="dxa"/>
            <w:vAlign w:val="bottom"/>
            <w:tcBorders>
              <w:left w:val="single" w:sz="8" w:color="auto"/>
            </w:tcBorders>
            <w:shd w:val="clear" w:color="auto" w:fill="00A5B5"/>
          </w:tcPr>
          <w:p>
            <w:pPr>
              <w:spacing w:after="0"/>
              <w:rPr>
                <w:sz w:val="5"/>
                <w:szCs w:val="5"/>
                <w:color w:val="auto"/>
              </w:rPr>
            </w:pPr>
          </w:p>
        </w:tc>
        <w:tc>
          <w:tcPr>
            <w:tcW w:w="1320" w:type="dxa"/>
            <w:vAlign w:val="bottom"/>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Summary</w:t>
            </w:r>
          </w:p>
        </w:tc>
        <w:tc>
          <w:tcPr>
            <w:tcW w:w="1300" w:type="dxa"/>
            <w:vAlign w:val="bottom"/>
            <w:gridSpan w:val="2"/>
            <w:vMerge w:val="restart"/>
            <w:shd w:val="clear" w:color="auto" w:fill="00A5B5"/>
          </w:tcPr>
          <w:p>
            <w:pPr>
              <w:jc w:val="center"/>
              <w:spacing w:after="0"/>
              <w:rPr>
                <w:sz w:val="20"/>
                <w:szCs w:val="20"/>
                <w:color w:val="auto"/>
              </w:rPr>
            </w:pPr>
            <w:r>
              <w:rPr>
                <w:rFonts w:ascii="Arial" w:cs="Arial" w:eastAsia="Arial" w:hAnsi="Arial"/>
                <w:sz w:val="12"/>
                <w:szCs w:val="12"/>
                <w:b w:val="1"/>
                <w:bCs w:val="1"/>
                <w:color w:val="FFFFFF"/>
              </w:rPr>
              <w:t>Compensation</w:t>
            </w:r>
          </w:p>
        </w:tc>
        <w:tc>
          <w:tcPr>
            <w:tcW w:w="940" w:type="dxa"/>
            <w:vAlign w:val="bottom"/>
            <w:vMerge w:val="restart"/>
            <w:shd w:val="clear" w:color="auto" w:fill="00A5B5"/>
          </w:tcPr>
          <w:p>
            <w:pPr>
              <w:jc w:val="center"/>
              <w:ind w:left="241"/>
              <w:spacing w:after="0"/>
              <w:rPr>
                <w:sz w:val="20"/>
                <w:szCs w:val="20"/>
                <w:color w:val="auto"/>
              </w:rPr>
            </w:pPr>
            <w:r>
              <w:rPr>
                <w:rFonts w:ascii="Arial" w:cs="Arial" w:eastAsia="Arial" w:hAnsi="Arial"/>
                <w:sz w:val="12"/>
                <w:szCs w:val="12"/>
                <w:b w:val="1"/>
                <w:bCs w:val="1"/>
                <w:color w:val="FFFFFF"/>
              </w:rPr>
              <w:t>Summary</w:t>
            </w:r>
          </w:p>
        </w:tc>
        <w:tc>
          <w:tcPr>
            <w:tcW w:w="280" w:type="dxa"/>
            <w:vAlign w:val="bottom"/>
            <w:shd w:val="clear" w:color="auto" w:fill="00A5B5"/>
          </w:tcPr>
          <w:p>
            <w:pPr>
              <w:spacing w:after="0"/>
              <w:rPr>
                <w:sz w:val="5"/>
                <w:szCs w:val="5"/>
                <w:color w:val="auto"/>
              </w:rPr>
            </w:pPr>
          </w:p>
        </w:tc>
        <w:tc>
          <w:tcPr>
            <w:tcW w:w="1380" w:type="dxa"/>
            <w:vAlign w:val="bottom"/>
            <w:tcBorders>
              <w:right w:val="single" w:sz="8" w:color="00A5B5"/>
            </w:tcBorders>
            <w:gridSpan w:val="2"/>
            <w:vMerge w:val="continue"/>
            <w:shd w:val="clear" w:color="auto" w:fill="00A5B5"/>
          </w:tcPr>
          <w:p>
            <w:pPr>
              <w:spacing w:after="0"/>
              <w:rPr>
                <w:sz w:val="5"/>
                <w:szCs w:val="5"/>
                <w:color w:val="auto"/>
              </w:rPr>
            </w:pPr>
          </w:p>
        </w:tc>
        <w:tc>
          <w:tcPr>
            <w:tcW w:w="1240" w:type="dxa"/>
            <w:vAlign w:val="bottom"/>
            <w:vMerge w:val="continue"/>
            <w:shd w:val="clear" w:color="auto" w:fill="00A5B5"/>
          </w:tcPr>
          <w:p>
            <w:pPr>
              <w:spacing w:after="0"/>
              <w:rPr>
                <w:sz w:val="5"/>
                <w:szCs w:val="5"/>
                <w:color w:val="auto"/>
              </w:rPr>
            </w:pPr>
          </w:p>
        </w:tc>
        <w:tc>
          <w:tcPr>
            <w:tcW w:w="1380" w:type="dxa"/>
            <w:vAlign w:val="bottom"/>
            <w:tcBorders>
              <w:right w:val="single" w:sz="8" w:color="00A5B5"/>
            </w:tcBorders>
            <w:vMerge w:val="continue"/>
            <w:shd w:val="clear" w:color="auto" w:fill="00A5B5"/>
          </w:tcPr>
          <w:p>
            <w:pPr>
              <w:spacing w:after="0"/>
              <w:rPr>
                <w:sz w:val="5"/>
                <w:szCs w:val="5"/>
                <w:color w:val="auto"/>
              </w:rPr>
            </w:pPr>
          </w:p>
        </w:tc>
        <w:tc>
          <w:tcPr>
            <w:tcW w:w="800" w:type="dxa"/>
            <w:vAlign w:val="bottom"/>
            <w:vMerge w:val="restart"/>
            <w:shd w:val="clear" w:color="auto" w:fill="00A5B5"/>
          </w:tcPr>
          <w:p>
            <w:pPr>
              <w:jc w:val="center"/>
              <w:ind w:left="418"/>
              <w:spacing w:after="0"/>
              <w:rPr>
                <w:sz w:val="20"/>
                <w:szCs w:val="20"/>
                <w:color w:val="auto"/>
              </w:rPr>
            </w:pPr>
            <w:r>
              <w:rPr>
                <w:rFonts w:ascii="Arial" w:cs="Arial" w:eastAsia="Arial" w:hAnsi="Arial"/>
                <w:sz w:val="12"/>
                <w:szCs w:val="12"/>
                <w:b w:val="1"/>
                <w:bCs w:val="1"/>
                <w:color w:val="FFFFFF"/>
              </w:rPr>
              <w:t>Net</w:t>
            </w:r>
          </w:p>
        </w:tc>
        <w:tc>
          <w:tcPr>
            <w:tcW w:w="320" w:type="dxa"/>
            <w:vAlign w:val="bottom"/>
            <w:shd w:val="clear" w:color="auto" w:fill="00A5B5"/>
          </w:tcPr>
          <w:p>
            <w:pPr>
              <w:spacing w:after="0"/>
              <w:rPr>
                <w:sz w:val="5"/>
                <w:szCs w:val="5"/>
                <w:color w:val="auto"/>
              </w:rPr>
            </w:pPr>
          </w:p>
        </w:tc>
        <w:tc>
          <w:tcPr>
            <w:tcW w:w="1500" w:type="dxa"/>
            <w:vAlign w:val="bottom"/>
            <w:tcBorders>
              <w:right w:val="single" w:sz="8" w:color="auto"/>
            </w:tcBorders>
            <w:shd w:val="clear" w:color="auto" w:fill="00A5B5"/>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800" w:type="dxa"/>
            <w:vAlign w:val="bottom"/>
            <w:tcBorders>
              <w:left w:val="single" w:sz="8" w:color="auto"/>
            </w:tcBorders>
            <w:vMerge w:val="restart"/>
            <w:shd w:val="clear" w:color="auto" w:fill="00A5B5"/>
          </w:tcPr>
          <w:p>
            <w:pPr>
              <w:ind w:left="80"/>
              <w:spacing w:after="0"/>
              <w:rPr>
                <w:sz w:val="20"/>
                <w:szCs w:val="20"/>
                <w:color w:val="auto"/>
              </w:rPr>
            </w:pPr>
            <w:r>
              <w:rPr>
                <w:rFonts w:ascii="Arial" w:cs="Arial" w:eastAsia="Arial" w:hAnsi="Arial"/>
                <w:sz w:val="12"/>
                <w:szCs w:val="12"/>
                <w:b w:val="1"/>
                <w:bCs w:val="1"/>
                <w:color w:val="FFFFFF"/>
              </w:rPr>
              <w:t>Fiscal Year</w:t>
            </w:r>
          </w:p>
        </w:tc>
        <w:tc>
          <w:tcPr>
            <w:tcW w:w="1320" w:type="dxa"/>
            <w:vAlign w:val="bottom"/>
            <w:vMerge w:val="continue"/>
            <w:shd w:val="clear" w:color="auto" w:fill="00A5B5"/>
          </w:tcPr>
          <w:p>
            <w:pPr>
              <w:spacing w:after="0"/>
              <w:rPr>
                <w:sz w:val="11"/>
                <w:szCs w:val="11"/>
                <w:color w:val="auto"/>
              </w:rPr>
            </w:pPr>
          </w:p>
        </w:tc>
        <w:tc>
          <w:tcPr>
            <w:tcW w:w="1300" w:type="dxa"/>
            <w:vAlign w:val="bottom"/>
            <w:gridSpan w:val="2"/>
            <w:vMerge w:val="continue"/>
            <w:shd w:val="clear" w:color="auto" w:fill="00A5B5"/>
          </w:tcPr>
          <w:p>
            <w:pPr>
              <w:spacing w:after="0"/>
              <w:rPr>
                <w:sz w:val="11"/>
                <w:szCs w:val="11"/>
                <w:color w:val="auto"/>
              </w:rPr>
            </w:pPr>
          </w:p>
        </w:tc>
        <w:tc>
          <w:tcPr>
            <w:tcW w:w="940" w:type="dxa"/>
            <w:vAlign w:val="bottom"/>
            <w:vMerge w:val="continue"/>
            <w:shd w:val="clear" w:color="auto" w:fill="00A5B5"/>
          </w:tcPr>
          <w:p>
            <w:pPr>
              <w:spacing w:after="0"/>
              <w:rPr>
                <w:sz w:val="11"/>
                <w:szCs w:val="11"/>
                <w:color w:val="auto"/>
              </w:rPr>
            </w:pPr>
          </w:p>
        </w:tc>
        <w:tc>
          <w:tcPr>
            <w:tcW w:w="280" w:type="dxa"/>
            <w:vAlign w:val="bottom"/>
            <w:shd w:val="clear" w:color="auto" w:fill="00A5B5"/>
          </w:tcPr>
          <w:p>
            <w:pPr>
              <w:spacing w:after="0"/>
              <w:rPr>
                <w:sz w:val="11"/>
                <w:szCs w:val="11"/>
                <w:color w:val="auto"/>
              </w:rPr>
            </w:pPr>
          </w:p>
        </w:tc>
        <w:tc>
          <w:tcPr>
            <w:tcW w:w="1380" w:type="dxa"/>
            <w:vAlign w:val="bottom"/>
            <w:tcBorders>
              <w:right w:val="single" w:sz="8" w:color="00A5B5"/>
            </w:tcBorders>
            <w:gridSpan w:val="2"/>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Compensation</w:t>
            </w:r>
          </w:p>
        </w:tc>
        <w:tc>
          <w:tcPr>
            <w:tcW w:w="1240" w:type="dxa"/>
            <w:vAlign w:val="bottom"/>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w w:val="97"/>
              </w:rPr>
              <w:t>Total</w:t>
            </w:r>
          </w:p>
        </w:tc>
        <w:tc>
          <w:tcPr>
            <w:tcW w:w="1380" w:type="dxa"/>
            <w:vAlign w:val="bottom"/>
            <w:tcBorders>
              <w:right w:val="single" w:sz="8" w:color="00A5B5"/>
            </w:tcBorders>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Industry Index</w:t>
            </w:r>
          </w:p>
        </w:tc>
        <w:tc>
          <w:tcPr>
            <w:tcW w:w="800" w:type="dxa"/>
            <w:vAlign w:val="bottom"/>
            <w:vMerge w:val="continue"/>
            <w:shd w:val="clear" w:color="auto" w:fill="00A5B5"/>
          </w:tcPr>
          <w:p>
            <w:pPr>
              <w:spacing w:after="0"/>
              <w:rPr>
                <w:sz w:val="11"/>
                <w:szCs w:val="11"/>
                <w:color w:val="auto"/>
              </w:rPr>
            </w:pPr>
          </w:p>
        </w:tc>
        <w:tc>
          <w:tcPr>
            <w:tcW w:w="320" w:type="dxa"/>
            <w:vAlign w:val="bottom"/>
            <w:shd w:val="clear" w:color="auto" w:fill="00A5B5"/>
          </w:tcPr>
          <w:p>
            <w:pPr>
              <w:spacing w:after="0"/>
              <w:rPr>
                <w:sz w:val="11"/>
                <w:szCs w:val="11"/>
                <w:color w:val="auto"/>
              </w:rPr>
            </w:pPr>
          </w:p>
        </w:tc>
        <w:tc>
          <w:tcPr>
            <w:tcW w:w="1500" w:type="dxa"/>
            <w:vAlign w:val="bottom"/>
            <w:tcBorders>
              <w:right w:val="single" w:sz="8" w:color="auto"/>
            </w:tcBorders>
            <w:vMerge w:val="restart"/>
            <w:shd w:val="clear" w:color="auto" w:fill="00A5B5"/>
          </w:tcPr>
          <w:p>
            <w:pPr>
              <w:ind w:left="220"/>
              <w:spacing w:after="0"/>
              <w:rPr>
                <w:sz w:val="20"/>
                <w:szCs w:val="20"/>
                <w:color w:val="auto"/>
              </w:rPr>
            </w:pPr>
            <w:r>
              <w:rPr>
                <w:rFonts w:ascii="Arial" w:cs="Arial" w:eastAsia="Arial" w:hAnsi="Arial"/>
                <w:sz w:val="12"/>
                <w:szCs w:val="12"/>
                <w:b w:val="1"/>
                <w:bCs w:val="1"/>
                <w:color w:val="FFFFFF"/>
              </w:rPr>
              <w:t>Adjusted EBITDA ($)</w:t>
            </w:r>
          </w:p>
        </w:tc>
        <w:tc>
          <w:tcPr>
            <w:tcW w:w="0" w:type="dxa"/>
            <w:vAlign w:val="bottom"/>
          </w:tcPr>
          <w:p>
            <w:pPr>
              <w:spacing w:after="0"/>
              <w:rPr>
                <w:sz w:val="1"/>
                <w:szCs w:val="1"/>
                <w:color w:val="auto"/>
              </w:rPr>
            </w:pPr>
          </w:p>
        </w:tc>
      </w:tr>
      <w:tr>
        <w:trPr>
          <w:trHeight w:val="66"/>
        </w:trPr>
        <w:tc>
          <w:tcPr>
            <w:tcW w:w="800" w:type="dxa"/>
            <w:vAlign w:val="bottom"/>
            <w:tcBorders>
              <w:left w:val="single" w:sz="8" w:color="auto"/>
            </w:tcBorders>
            <w:vMerge w:val="continue"/>
            <w:shd w:val="clear" w:color="auto" w:fill="00A5B5"/>
          </w:tcPr>
          <w:p>
            <w:pPr>
              <w:spacing w:after="0"/>
              <w:rPr>
                <w:sz w:val="5"/>
                <w:szCs w:val="5"/>
                <w:color w:val="auto"/>
              </w:rPr>
            </w:pPr>
          </w:p>
        </w:tc>
        <w:tc>
          <w:tcPr>
            <w:tcW w:w="1320" w:type="dxa"/>
            <w:vAlign w:val="bottom"/>
            <w:shd w:val="clear" w:color="auto" w:fill="00A5B5"/>
          </w:tcPr>
          <w:p>
            <w:pPr>
              <w:jc w:val="center"/>
              <w:spacing w:after="0" w:line="67" w:lineRule="exact"/>
              <w:rPr>
                <w:sz w:val="20"/>
                <w:szCs w:val="20"/>
                <w:color w:val="auto"/>
              </w:rPr>
            </w:pPr>
            <w:r>
              <w:rPr>
                <w:rFonts w:ascii="Arial" w:cs="Arial" w:eastAsia="Arial" w:hAnsi="Arial"/>
                <w:sz w:val="7"/>
                <w:szCs w:val="7"/>
                <w:b w:val="1"/>
                <w:bCs w:val="1"/>
                <w:color w:val="FFFFFF"/>
              </w:rPr>
              <w:t>Compensation Table</w:t>
            </w:r>
          </w:p>
        </w:tc>
        <w:tc>
          <w:tcPr>
            <w:tcW w:w="1300" w:type="dxa"/>
            <w:vAlign w:val="bottom"/>
            <w:gridSpan w:val="2"/>
            <w:vMerge w:val="restart"/>
            <w:shd w:val="clear" w:color="auto" w:fill="00A5B5"/>
          </w:tcPr>
          <w:p>
            <w:pPr>
              <w:jc w:val="center"/>
              <w:ind w:right="20"/>
              <w:spacing w:after="0" w:line="120" w:lineRule="exact"/>
              <w:rPr>
                <w:sz w:val="20"/>
                <w:szCs w:val="20"/>
                <w:color w:val="auto"/>
              </w:rPr>
            </w:pPr>
            <w:r>
              <w:rPr>
                <w:rFonts w:ascii="Arial" w:cs="Arial" w:eastAsia="Arial" w:hAnsi="Arial"/>
                <w:sz w:val="12"/>
                <w:szCs w:val="12"/>
                <w:b w:val="1"/>
                <w:bCs w:val="1"/>
                <w:color w:val="FFFFFF"/>
              </w:rPr>
              <w:t>Actually Paid to</w:t>
            </w:r>
          </w:p>
        </w:tc>
        <w:tc>
          <w:tcPr>
            <w:tcW w:w="1220" w:type="dxa"/>
            <w:vAlign w:val="bottom"/>
            <w:gridSpan w:val="2"/>
            <w:shd w:val="clear" w:color="auto" w:fill="00A5B5"/>
          </w:tcPr>
          <w:p>
            <w:pPr>
              <w:jc w:val="center"/>
              <w:spacing w:after="0" w:line="67" w:lineRule="exact"/>
              <w:rPr>
                <w:sz w:val="20"/>
                <w:szCs w:val="20"/>
                <w:color w:val="auto"/>
              </w:rPr>
            </w:pPr>
            <w:r>
              <w:rPr>
                <w:rFonts w:ascii="Arial" w:cs="Arial" w:eastAsia="Arial" w:hAnsi="Arial"/>
                <w:sz w:val="7"/>
                <w:szCs w:val="7"/>
                <w:b w:val="1"/>
                <w:bCs w:val="1"/>
                <w:color w:val="FFFFFF"/>
              </w:rPr>
              <w:t>Compensation</w:t>
            </w:r>
          </w:p>
        </w:tc>
        <w:tc>
          <w:tcPr>
            <w:tcW w:w="1380" w:type="dxa"/>
            <w:vAlign w:val="bottom"/>
            <w:tcBorders>
              <w:right w:val="single" w:sz="8" w:color="00A5B5"/>
            </w:tcBorders>
            <w:gridSpan w:val="2"/>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Actually Paid</w:t>
            </w:r>
          </w:p>
        </w:tc>
        <w:tc>
          <w:tcPr>
            <w:tcW w:w="1240" w:type="dxa"/>
            <w:vAlign w:val="bottom"/>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Shareholder</w:t>
            </w:r>
          </w:p>
        </w:tc>
        <w:tc>
          <w:tcPr>
            <w:tcW w:w="1380" w:type="dxa"/>
            <w:vAlign w:val="bottom"/>
            <w:tcBorders>
              <w:right w:val="single" w:sz="8" w:color="00A5B5"/>
            </w:tcBorders>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w w:val="97"/>
              </w:rPr>
              <w:t>Total</w:t>
            </w:r>
          </w:p>
        </w:tc>
        <w:tc>
          <w:tcPr>
            <w:tcW w:w="1120" w:type="dxa"/>
            <w:vAlign w:val="bottom"/>
            <w:gridSpan w:val="2"/>
            <w:vMerge w:val="restart"/>
            <w:shd w:val="clear" w:color="auto" w:fill="00A5B5"/>
          </w:tcPr>
          <w:p>
            <w:pPr>
              <w:jc w:val="center"/>
              <w:ind w:left="98"/>
              <w:spacing w:after="0" w:line="120" w:lineRule="exact"/>
              <w:rPr>
                <w:sz w:val="20"/>
                <w:szCs w:val="20"/>
                <w:color w:val="auto"/>
              </w:rPr>
            </w:pPr>
            <w:r>
              <w:rPr>
                <w:rFonts w:ascii="Arial" w:cs="Arial" w:eastAsia="Arial" w:hAnsi="Arial"/>
                <w:sz w:val="12"/>
                <w:szCs w:val="12"/>
                <w:b w:val="1"/>
                <w:bCs w:val="1"/>
                <w:color w:val="FFFFFF"/>
              </w:rPr>
              <w:t>Income</w:t>
            </w:r>
          </w:p>
        </w:tc>
        <w:tc>
          <w:tcPr>
            <w:tcW w:w="1500" w:type="dxa"/>
            <w:vAlign w:val="bottom"/>
            <w:tcBorders>
              <w:right w:val="single" w:sz="8" w:color="auto"/>
            </w:tcBorders>
            <w:vMerge w:val="continue"/>
            <w:shd w:val="clear" w:color="auto" w:fill="00A5B5"/>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0" w:type="dxa"/>
            <w:vAlign w:val="bottom"/>
            <w:tcBorders>
              <w:left w:val="single" w:sz="8" w:color="auto"/>
            </w:tcBorders>
            <w:shd w:val="clear" w:color="auto" w:fill="00A5B5"/>
          </w:tcPr>
          <w:p>
            <w:pPr>
              <w:jc w:val="center"/>
              <w:spacing w:after="0" w:line="53" w:lineRule="exact"/>
              <w:rPr>
                <w:sz w:val="20"/>
                <w:szCs w:val="20"/>
                <w:color w:val="auto"/>
              </w:rPr>
            </w:pPr>
            <w:r>
              <w:rPr>
                <w:rFonts w:ascii="Arial" w:cs="Arial" w:eastAsia="Arial" w:hAnsi="Arial"/>
                <w:sz w:val="6"/>
                <w:szCs w:val="6"/>
                <w:b w:val="1"/>
                <w:bCs w:val="1"/>
                <w:color w:val="FFFFFF"/>
              </w:rPr>
              <w:t>(7)</w:t>
            </w:r>
          </w:p>
        </w:tc>
        <w:tc>
          <w:tcPr>
            <w:tcW w:w="1320" w:type="dxa"/>
            <w:vAlign w:val="bottom"/>
            <w:vMerge w:val="restart"/>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Total for PEO ($)(000)</w:t>
            </w:r>
          </w:p>
        </w:tc>
        <w:tc>
          <w:tcPr>
            <w:tcW w:w="1300" w:type="dxa"/>
            <w:vAlign w:val="bottom"/>
            <w:gridSpan w:val="2"/>
            <w:vMerge w:val="continue"/>
            <w:shd w:val="clear" w:color="auto" w:fill="00A5B5"/>
          </w:tcPr>
          <w:p>
            <w:pPr>
              <w:spacing w:after="0"/>
              <w:rPr>
                <w:sz w:val="4"/>
                <w:szCs w:val="4"/>
                <w:color w:val="auto"/>
              </w:rPr>
            </w:pPr>
          </w:p>
        </w:tc>
        <w:tc>
          <w:tcPr>
            <w:tcW w:w="940" w:type="dxa"/>
            <w:vAlign w:val="bottom"/>
            <w:vMerge w:val="restart"/>
            <w:shd w:val="clear" w:color="auto" w:fill="00A5B5"/>
          </w:tcPr>
          <w:p>
            <w:pPr>
              <w:jc w:val="center"/>
              <w:ind w:left="241"/>
              <w:spacing w:after="0" w:line="133" w:lineRule="exact"/>
              <w:rPr>
                <w:sz w:val="20"/>
                <w:szCs w:val="20"/>
                <w:color w:val="auto"/>
              </w:rPr>
            </w:pPr>
            <w:r>
              <w:rPr>
                <w:rFonts w:ascii="Arial" w:cs="Arial" w:eastAsia="Arial" w:hAnsi="Arial"/>
                <w:sz w:val="12"/>
                <w:szCs w:val="12"/>
                <w:b w:val="1"/>
                <w:bCs w:val="1"/>
                <w:color w:val="FFFFFF"/>
              </w:rPr>
              <w:t>Table Total</w:t>
            </w:r>
          </w:p>
        </w:tc>
        <w:tc>
          <w:tcPr>
            <w:tcW w:w="280" w:type="dxa"/>
            <w:vAlign w:val="bottom"/>
            <w:shd w:val="clear" w:color="auto" w:fill="00A5B5"/>
          </w:tcPr>
          <w:p>
            <w:pPr>
              <w:spacing w:after="0"/>
              <w:rPr>
                <w:sz w:val="4"/>
                <w:szCs w:val="4"/>
                <w:color w:val="auto"/>
              </w:rPr>
            </w:pPr>
          </w:p>
        </w:tc>
        <w:tc>
          <w:tcPr>
            <w:tcW w:w="1380" w:type="dxa"/>
            <w:vAlign w:val="bottom"/>
            <w:tcBorders>
              <w:right w:val="single" w:sz="8" w:color="00A5B5"/>
            </w:tcBorders>
            <w:gridSpan w:val="2"/>
            <w:vMerge w:val="continue"/>
            <w:shd w:val="clear" w:color="auto" w:fill="00A5B5"/>
          </w:tcPr>
          <w:p>
            <w:pPr>
              <w:spacing w:after="0"/>
              <w:rPr>
                <w:sz w:val="4"/>
                <w:szCs w:val="4"/>
                <w:color w:val="auto"/>
              </w:rPr>
            </w:pPr>
          </w:p>
        </w:tc>
        <w:tc>
          <w:tcPr>
            <w:tcW w:w="1240" w:type="dxa"/>
            <w:vAlign w:val="bottom"/>
            <w:vMerge w:val="continue"/>
            <w:shd w:val="clear" w:color="auto" w:fill="00A5B5"/>
          </w:tcPr>
          <w:p>
            <w:pPr>
              <w:spacing w:after="0"/>
              <w:rPr>
                <w:sz w:val="4"/>
                <w:szCs w:val="4"/>
                <w:color w:val="auto"/>
              </w:rPr>
            </w:pPr>
          </w:p>
        </w:tc>
        <w:tc>
          <w:tcPr>
            <w:tcW w:w="1380" w:type="dxa"/>
            <w:vAlign w:val="bottom"/>
            <w:tcBorders>
              <w:right w:val="single" w:sz="8" w:color="00A5B5"/>
            </w:tcBorders>
            <w:vMerge w:val="continue"/>
            <w:shd w:val="clear" w:color="auto" w:fill="00A5B5"/>
          </w:tcPr>
          <w:p>
            <w:pPr>
              <w:spacing w:after="0"/>
              <w:rPr>
                <w:sz w:val="4"/>
                <w:szCs w:val="4"/>
                <w:color w:val="auto"/>
              </w:rPr>
            </w:pPr>
          </w:p>
        </w:tc>
        <w:tc>
          <w:tcPr>
            <w:tcW w:w="1120" w:type="dxa"/>
            <w:vAlign w:val="bottom"/>
            <w:gridSpan w:val="2"/>
            <w:vMerge w:val="continue"/>
            <w:shd w:val="clear" w:color="auto" w:fill="00A5B5"/>
          </w:tcPr>
          <w:p>
            <w:pPr>
              <w:spacing w:after="0"/>
              <w:rPr>
                <w:sz w:val="4"/>
                <w:szCs w:val="4"/>
                <w:color w:val="auto"/>
              </w:rPr>
            </w:pPr>
          </w:p>
        </w:tc>
        <w:tc>
          <w:tcPr>
            <w:tcW w:w="1500" w:type="dxa"/>
            <w:vAlign w:val="bottom"/>
            <w:tcBorders>
              <w:right w:val="single" w:sz="8" w:color="auto"/>
            </w:tcBorders>
            <w:vMerge w:val="restart"/>
            <w:shd w:val="clear" w:color="auto" w:fill="00A5B5"/>
          </w:tcPr>
          <w:p>
            <w:pPr>
              <w:jc w:val="center"/>
              <w:ind w:left="98"/>
              <w:spacing w:after="0" w:line="133" w:lineRule="exact"/>
              <w:rPr>
                <w:sz w:val="20"/>
                <w:szCs w:val="20"/>
                <w:color w:val="auto"/>
              </w:rPr>
            </w:pPr>
            <w:r>
              <w:rPr>
                <w:rFonts w:ascii="Arial" w:cs="Arial" w:eastAsia="Arial" w:hAnsi="Arial"/>
                <w:sz w:val="12"/>
                <w:szCs w:val="12"/>
                <w:b w:val="1"/>
                <w:bCs w:val="1"/>
                <w:color w:val="FFFFFF"/>
              </w:rPr>
              <w:t>(000)</w:t>
            </w:r>
          </w:p>
        </w:tc>
        <w:tc>
          <w:tcPr>
            <w:tcW w:w="0" w:type="dxa"/>
            <w:vAlign w:val="bottom"/>
          </w:tcPr>
          <w:p>
            <w:pPr>
              <w:spacing w:after="0"/>
              <w:rPr>
                <w:sz w:val="1"/>
                <w:szCs w:val="1"/>
                <w:color w:val="auto"/>
              </w:rPr>
            </w:pPr>
          </w:p>
        </w:tc>
      </w:tr>
      <w:tr>
        <w:trPr>
          <w:trHeight w:val="79"/>
        </w:trPr>
        <w:tc>
          <w:tcPr>
            <w:tcW w:w="800" w:type="dxa"/>
            <w:vAlign w:val="bottom"/>
            <w:tcBorders>
              <w:left w:val="single" w:sz="8" w:color="auto"/>
            </w:tcBorders>
            <w:shd w:val="clear" w:color="auto" w:fill="00A5B5"/>
          </w:tcPr>
          <w:p>
            <w:pPr>
              <w:spacing w:after="0"/>
              <w:rPr>
                <w:sz w:val="6"/>
                <w:szCs w:val="6"/>
                <w:color w:val="auto"/>
              </w:rPr>
            </w:pPr>
          </w:p>
        </w:tc>
        <w:tc>
          <w:tcPr>
            <w:tcW w:w="1320" w:type="dxa"/>
            <w:vAlign w:val="bottom"/>
            <w:vMerge w:val="continue"/>
            <w:shd w:val="clear" w:color="auto" w:fill="00A5B5"/>
          </w:tcPr>
          <w:p>
            <w:pPr>
              <w:spacing w:after="0"/>
              <w:rPr>
                <w:sz w:val="6"/>
                <w:szCs w:val="6"/>
                <w:color w:val="auto"/>
              </w:rPr>
            </w:pPr>
          </w:p>
        </w:tc>
        <w:tc>
          <w:tcPr>
            <w:tcW w:w="800" w:type="dxa"/>
            <w:vAlign w:val="bottom"/>
            <w:vMerge w:val="restart"/>
            <w:shd w:val="clear" w:color="auto" w:fill="00A5B5"/>
          </w:tcPr>
          <w:p>
            <w:pPr>
              <w:ind w:left="40"/>
              <w:spacing w:after="0" w:line="133" w:lineRule="exact"/>
              <w:rPr>
                <w:sz w:val="20"/>
                <w:szCs w:val="20"/>
                <w:color w:val="auto"/>
              </w:rPr>
            </w:pPr>
            <w:r>
              <w:rPr>
                <w:rFonts w:ascii="Arial" w:cs="Arial" w:eastAsia="Arial" w:hAnsi="Arial"/>
                <w:sz w:val="12"/>
                <w:szCs w:val="12"/>
                <w:b w:val="1"/>
                <w:bCs w:val="1"/>
                <w:color w:val="FFFFFF"/>
              </w:rPr>
              <w:t>PEO ($)(000)</w:t>
            </w:r>
          </w:p>
        </w:tc>
        <w:tc>
          <w:tcPr>
            <w:tcW w:w="500" w:type="dxa"/>
            <w:vAlign w:val="bottom"/>
            <w:shd w:val="clear" w:color="auto" w:fill="00A5B5"/>
          </w:tcPr>
          <w:p>
            <w:pPr>
              <w:jc w:val="right"/>
              <w:ind w:right="60"/>
              <w:spacing w:after="0" w:line="80" w:lineRule="exact"/>
              <w:rPr>
                <w:sz w:val="20"/>
                <w:szCs w:val="20"/>
                <w:color w:val="auto"/>
              </w:rPr>
            </w:pPr>
            <w:r>
              <w:rPr>
                <w:rFonts w:ascii="Arial" w:cs="Arial" w:eastAsia="Arial" w:hAnsi="Arial"/>
                <w:sz w:val="8"/>
                <w:szCs w:val="8"/>
                <w:b w:val="1"/>
                <w:bCs w:val="1"/>
                <w:color w:val="FFFFFF"/>
                <w:w w:val="97"/>
              </w:rPr>
              <w:t>(1)(3)(4)(5)</w:t>
            </w:r>
          </w:p>
        </w:tc>
        <w:tc>
          <w:tcPr>
            <w:tcW w:w="940" w:type="dxa"/>
            <w:vAlign w:val="bottom"/>
            <w:vMerge w:val="continue"/>
            <w:shd w:val="clear" w:color="auto" w:fill="00A5B5"/>
          </w:tcPr>
          <w:p>
            <w:pPr>
              <w:spacing w:after="0"/>
              <w:rPr>
                <w:sz w:val="6"/>
                <w:szCs w:val="6"/>
                <w:color w:val="auto"/>
              </w:rPr>
            </w:pPr>
          </w:p>
        </w:tc>
        <w:tc>
          <w:tcPr>
            <w:tcW w:w="280" w:type="dxa"/>
            <w:vAlign w:val="bottom"/>
            <w:shd w:val="clear" w:color="auto" w:fill="00A5B5"/>
          </w:tcPr>
          <w:p>
            <w:pPr>
              <w:spacing w:after="0"/>
              <w:rPr>
                <w:sz w:val="6"/>
                <w:szCs w:val="6"/>
                <w:color w:val="auto"/>
              </w:rPr>
            </w:pPr>
          </w:p>
        </w:tc>
        <w:tc>
          <w:tcPr>
            <w:tcW w:w="1380" w:type="dxa"/>
            <w:vAlign w:val="bottom"/>
            <w:tcBorders>
              <w:right w:val="single" w:sz="8" w:color="00A5B5"/>
            </w:tcBorders>
            <w:gridSpan w:val="2"/>
            <w:vMerge w:val="restart"/>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to Non-PEO</w:t>
            </w:r>
          </w:p>
        </w:tc>
        <w:tc>
          <w:tcPr>
            <w:tcW w:w="1240" w:type="dxa"/>
            <w:vAlign w:val="bottom"/>
            <w:vMerge w:val="restart"/>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Return</w:t>
            </w:r>
          </w:p>
        </w:tc>
        <w:tc>
          <w:tcPr>
            <w:tcW w:w="1380" w:type="dxa"/>
            <w:vAlign w:val="bottom"/>
            <w:tcBorders>
              <w:right w:val="single" w:sz="8" w:color="00A5B5"/>
            </w:tcBorders>
            <w:vMerge w:val="restart"/>
            <w:shd w:val="clear" w:color="auto" w:fill="00A5B5"/>
          </w:tcPr>
          <w:p>
            <w:pPr>
              <w:jc w:val="center"/>
              <w:spacing w:after="0" w:line="133" w:lineRule="exact"/>
              <w:rPr>
                <w:sz w:val="20"/>
                <w:szCs w:val="20"/>
                <w:color w:val="auto"/>
              </w:rPr>
            </w:pPr>
            <w:r>
              <w:rPr>
                <w:rFonts w:ascii="Arial" w:cs="Arial" w:eastAsia="Arial" w:hAnsi="Arial"/>
                <w:sz w:val="12"/>
                <w:szCs w:val="12"/>
                <w:b w:val="1"/>
                <w:bCs w:val="1"/>
                <w:color w:val="FFFFFF"/>
              </w:rPr>
              <w:t>Shareholder</w:t>
            </w:r>
          </w:p>
        </w:tc>
        <w:tc>
          <w:tcPr>
            <w:tcW w:w="800" w:type="dxa"/>
            <w:vAlign w:val="bottom"/>
            <w:vMerge w:val="restart"/>
            <w:shd w:val="clear" w:color="auto" w:fill="00A5B5"/>
          </w:tcPr>
          <w:p>
            <w:pPr>
              <w:jc w:val="right"/>
              <w:spacing w:after="0" w:line="133" w:lineRule="exact"/>
              <w:rPr>
                <w:sz w:val="20"/>
                <w:szCs w:val="20"/>
                <w:color w:val="auto"/>
              </w:rPr>
            </w:pPr>
            <w:r>
              <w:rPr>
                <w:rFonts w:ascii="Arial" w:cs="Arial" w:eastAsia="Arial" w:hAnsi="Arial"/>
                <w:sz w:val="12"/>
                <w:szCs w:val="12"/>
                <w:b w:val="1"/>
                <w:bCs w:val="1"/>
                <w:color w:val="FFFFFF"/>
              </w:rPr>
              <w:t>($)(000)</w:t>
            </w:r>
          </w:p>
        </w:tc>
        <w:tc>
          <w:tcPr>
            <w:tcW w:w="320" w:type="dxa"/>
            <w:vAlign w:val="bottom"/>
            <w:shd w:val="clear" w:color="auto" w:fill="00A5B5"/>
          </w:tcPr>
          <w:p>
            <w:pPr>
              <w:jc w:val="right"/>
              <w:ind w:right="180"/>
              <w:spacing w:after="0" w:line="80" w:lineRule="exact"/>
              <w:rPr>
                <w:sz w:val="20"/>
                <w:szCs w:val="20"/>
                <w:color w:val="auto"/>
              </w:rPr>
            </w:pPr>
            <w:r>
              <w:rPr>
                <w:rFonts w:ascii="Arial" w:cs="Arial" w:eastAsia="Arial" w:hAnsi="Arial"/>
                <w:sz w:val="8"/>
                <w:szCs w:val="8"/>
                <w:b w:val="1"/>
                <w:bCs w:val="1"/>
                <w:color w:val="FFFFFF"/>
                <w:w w:val="81"/>
              </w:rPr>
              <w:t>(8)</w:t>
            </w:r>
          </w:p>
        </w:tc>
        <w:tc>
          <w:tcPr>
            <w:tcW w:w="1500" w:type="dxa"/>
            <w:vAlign w:val="bottom"/>
            <w:tcBorders>
              <w:right w:val="single" w:sz="8" w:color="auto"/>
            </w:tcBorders>
            <w:vMerge w:val="continue"/>
            <w:shd w:val="clear" w:color="auto" w:fill="00A5B5"/>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800" w:type="dxa"/>
            <w:vAlign w:val="bottom"/>
            <w:tcBorders>
              <w:left w:val="single" w:sz="8" w:color="auto"/>
            </w:tcBorders>
            <w:shd w:val="clear" w:color="auto" w:fill="00A5B5"/>
          </w:tcPr>
          <w:p>
            <w:pPr>
              <w:spacing w:after="0"/>
              <w:rPr>
                <w:sz w:val="4"/>
                <w:szCs w:val="4"/>
                <w:color w:val="auto"/>
              </w:rPr>
            </w:pPr>
          </w:p>
        </w:tc>
        <w:tc>
          <w:tcPr>
            <w:tcW w:w="1320" w:type="dxa"/>
            <w:vAlign w:val="bottom"/>
            <w:shd w:val="clear" w:color="auto" w:fill="00A5B5"/>
          </w:tcPr>
          <w:p>
            <w:pPr>
              <w:jc w:val="center"/>
              <w:spacing w:after="0" w:line="53" w:lineRule="exact"/>
              <w:rPr>
                <w:sz w:val="20"/>
                <w:szCs w:val="20"/>
                <w:color w:val="auto"/>
              </w:rPr>
            </w:pPr>
            <w:r>
              <w:rPr>
                <w:rFonts w:ascii="Arial" w:cs="Arial" w:eastAsia="Arial" w:hAnsi="Arial"/>
                <w:sz w:val="6"/>
                <w:szCs w:val="6"/>
                <w:b w:val="1"/>
                <w:bCs w:val="1"/>
                <w:color w:val="FFFFFF"/>
              </w:rPr>
              <w:t>(1)(2)</w:t>
            </w:r>
          </w:p>
        </w:tc>
        <w:tc>
          <w:tcPr>
            <w:tcW w:w="800" w:type="dxa"/>
            <w:vAlign w:val="bottom"/>
            <w:vMerge w:val="continue"/>
            <w:shd w:val="clear" w:color="auto" w:fill="00A5B5"/>
          </w:tcPr>
          <w:p>
            <w:pPr>
              <w:spacing w:after="0"/>
              <w:rPr>
                <w:sz w:val="4"/>
                <w:szCs w:val="4"/>
                <w:color w:val="auto"/>
              </w:rPr>
            </w:pPr>
          </w:p>
        </w:tc>
        <w:tc>
          <w:tcPr>
            <w:tcW w:w="500" w:type="dxa"/>
            <w:vAlign w:val="bottom"/>
            <w:shd w:val="clear" w:color="auto" w:fill="00A5B5"/>
          </w:tcPr>
          <w:p>
            <w:pPr>
              <w:spacing w:after="0"/>
              <w:rPr>
                <w:sz w:val="4"/>
                <w:szCs w:val="4"/>
                <w:color w:val="auto"/>
              </w:rPr>
            </w:pPr>
          </w:p>
        </w:tc>
        <w:tc>
          <w:tcPr>
            <w:tcW w:w="1220" w:type="dxa"/>
            <w:vAlign w:val="bottom"/>
            <w:gridSpan w:val="2"/>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for Non-PEO</w:t>
            </w:r>
          </w:p>
        </w:tc>
        <w:tc>
          <w:tcPr>
            <w:tcW w:w="1380" w:type="dxa"/>
            <w:vAlign w:val="bottom"/>
            <w:tcBorders>
              <w:right w:val="single" w:sz="8" w:color="00A5B5"/>
            </w:tcBorders>
            <w:gridSpan w:val="2"/>
            <w:vMerge w:val="continue"/>
            <w:shd w:val="clear" w:color="auto" w:fill="00A5B5"/>
          </w:tcPr>
          <w:p>
            <w:pPr>
              <w:spacing w:after="0"/>
              <w:rPr>
                <w:sz w:val="4"/>
                <w:szCs w:val="4"/>
                <w:color w:val="auto"/>
              </w:rPr>
            </w:pPr>
          </w:p>
        </w:tc>
        <w:tc>
          <w:tcPr>
            <w:tcW w:w="1240" w:type="dxa"/>
            <w:vAlign w:val="bottom"/>
            <w:vMerge w:val="continue"/>
            <w:shd w:val="clear" w:color="auto" w:fill="00A5B5"/>
          </w:tcPr>
          <w:p>
            <w:pPr>
              <w:spacing w:after="0"/>
              <w:rPr>
                <w:sz w:val="4"/>
                <w:szCs w:val="4"/>
                <w:color w:val="auto"/>
              </w:rPr>
            </w:pPr>
          </w:p>
        </w:tc>
        <w:tc>
          <w:tcPr>
            <w:tcW w:w="1380" w:type="dxa"/>
            <w:vAlign w:val="bottom"/>
            <w:tcBorders>
              <w:right w:val="single" w:sz="8" w:color="00A5B5"/>
            </w:tcBorders>
            <w:vMerge w:val="continue"/>
            <w:shd w:val="clear" w:color="auto" w:fill="00A5B5"/>
          </w:tcPr>
          <w:p>
            <w:pPr>
              <w:spacing w:after="0"/>
              <w:rPr>
                <w:sz w:val="4"/>
                <w:szCs w:val="4"/>
                <w:color w:val="auto"/>
              </w:rPr>
            </w:pPr>
          </w:p>
        </w:tc>
        <w:tc>
          <w:tcPr>
            <w:tcW w:w="800" w:type="dxa"/>
            <w:vAlign w:val="bottom"/>
            <w:vMerge w:val="continue"/>
            <w:shd w:val="clear" w:color="auto" w:fill="00A5B5"/>
          </w:tcPr>
          <w:p>
            <w:pPr>
              <w:spacing w:after="0"/>
              <w:rPr>
                <w:sz w:val="4"/>
                <w:szCs w:val="4"/>
                <w:color w:val="auto"/>
              </w:rPr>
            </w:pPr>
          </w:p>
        </w:tc>
        <w:tc>
          <w:tcPr>
            <w:tcW w:w="320" w:type="dxa"/>
            <w:vAlign w:val="bottom"/>
            <w:shd w:val="clear" w:color="auto" w:fill="00A5B5"/>
          </w:tcPr>
          <w:p>
            <w:pPr>
              <w:spacing w:after="0"/>
              <w:rPr>
                <w:sz w:val="4"/>
                <w:szCs w:val="4"/>
                <w:color w:val="auto"/>
              </w:rPr>
            </w:pPr>
          </w:p>
        </w:tc>
        <w:tc>
          <w:tcPr>
            <w:tcW w:w="1500" w:type="dxa"/>
            <w:vAlign w:val="bottom"/>
            <w:tcBorders>
              <w:right w:val="single" w:sz="8" w:color="auto"/>
            </w:tcBorders>
            <w:shd w:val="clear" w:color="auto" w:fill="00A5B5"/>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800" w:type="dxa"/>
            <w:vAlign w:val="bottom"/>
            <w:tcBorders>
              <w:left w:val="single" w:sz="8" w:color="auto"/>
            </w:tcBorders>
            <w:shd w:val="clear" w:color="auto" w:fill="00A5B5"/>
          </w:tcPr>
          <w:p>
            <w:pPr>
              <w:spacing w:after="0"/>
              <w:rPr>
                <w:sz w:val="5"/>
                <w:szCs w:val="5"/>
                <w:color w:val="auto"/>
              </w:rPr>
            </w:pPr>
          </w:p>
        </w:tc>
        <w:tc>
          <w:tcPr>
            <w:tcW w:w="1320" w:type="dxa"/>
            <w:vAlign w:val="bottom"/>
            <w:shd w:val="clear" w:color="auto" w:fill="00A5B5"/>
          </w:tcPr>
          <w:p>
            <w:pPr>
              <w:spacing w:after="0"/>
              <w:rPr>
                <w:sz w:val="5"/>
                <w:szCs w:val="5"/>
                <w:color w:val="auto"/>
              </w:rPr>
            </w:pPr>
          </w:p>
        </w:tc>
        <w:tc>
          <w:tcPr>
            <w:tcW w:w="800" w:type="dxa"/>
            <w:vAlign w:val="bottom"/>
            <w:shd w:val="clear" w:color="auto" w:fill="00A5B5"/>
          </w:tcPr>
          <w:p>
            <w:pPr>
              <w:spacing w:after="0"/>
              <w:rPr>
                <w:sz w:val="5"/>
                <w:szCs w:val="5"/>
                <w:color w:val="auto"/>
              </w:rPr>
            </w:pPr>
          </w:p>
        </w:tc>
        <w:tc>
          <w:tcPr>
            <w:tcW w:w="500" w:type="dxa"/>
            <w:vAlign w:val="bottom"/>
            <w:shd w:val="clear" w:color="auto" w:fill="00A5B5"/>
          </w:tcPr>
          <w:p>
            <w:pPr>
              <w:spacing w:after="0"/>
              <w:rPr>
                <w:sz w:val="5"/>
                <w:szCs w:val="5"/>
                <w:color w:val="auto"/>
              </w:rPr>
            </w:pPr>
          </w:p>
        </w:tc>
        <w:tc>
          <w:tcPr>
            <w:tcW w:w="1220" w:type="dxa"/>
            <w:vAlign w:val="bottom"/>
            <w:gridSpan w:val="2"/>
            <w:vMerge w:val="continue"/>
            <w:shd w:val="clear" w:color="auto" w:fill="00A5B5"/>
          </w:tcPr>
          <w:p>
            <w:pPr>
              <w:spacing w:after="0"/>
              <w:rPr>
                <w:sz w:val="5"/>
                <w:szCs w:val="5"/>
                <w:color w:val="auto"/>
              </w:rPr>
            </w:pPr>
          </w:p>
        </w:tc>
        <w:tc>
          <w:tcPr>
            <w:tcW w:w="920" w:type="dxa"/>
            <w:vAlign w:val="bottom"/>
            <w:vMerge w:val="restart"/>
            <w:shd w:val="clear" w:color="auto" w:fill="00A5B5"/>
          </w:tcPr>
          <w:p>
            <w:pPr>
              <w:ind w:left="80"/>
              <w:spacing w:after="0" w:line="120" w:lineRule="exact"/>
              <w:rPr>
                <w:sz w:val="20"/>
                <w:szCs w:val="20"/>
                <w:color w:val="auto"/>
              </w:rPr>
            </w:pPr>
            <w:r>
              <w:rPr>
                <w:rFonts w:ascii="Arial" w:cs="Arial" w:eastAsia="Arial" w:hAnsi="Arial"/>
                <w:sz w:val="12"/>
                <w:szCs w:val="12"/>
                <w:b w:val="1"/>
                <w:bCs w:val="1"/>
                <w:color w:val="FFFFFF"/>
              </w:rPr>
              <w:t>NEOs ($)(000)</w:t>
            </w:r>
          </w:p>
        </w:tc>
        <w:tc>
          <w:tcPr>
            <w:tcW w:w="460" w:type="dxa"/>
            <w:vAlign w:val="bottom"/>
            <w:tcBorders>
              <w:right w:val="single" w:sz="8" w:color="00A5B5"/>
            </w:tcBorders>
            <w:shd w:val="clear" w:color="auto" w:fill="00A5B5"/>
          </w:tcPr>
          <w:p>
            <w:pPr>
              <w:jc w:val="right"/>
              <w:ind w:right="25"/>
              <w:spacing w:after="0" w:line="67" w:lineRule="exact"/>
              <w:rPr>
                <w:sz w:val="20"/>
                <w:szCs w:val="20"/>
                <w:color w:val="auto"/>
              </w:rPr>
            </w:pPr>
            <w:r>
              <w:rPr>
                <w:rFonts w:ascii="Arial" w:cs="Arial" w:eastAsia="Arial" w:hAnsi="Arial"/>
                <w:sz w:val="7"/>
                <w:szCs w:val="7"/>
                <w:b w:val="1"/>
                <w:bCs w:val="1"/>
                <w:color w:val="FFFFFF"/>
              </w:rPr>
              <w:t>(1)(3)(4)(5)</w:t>
            </w:r>
          </w:p>
        </w:tc>
        <w:tc>
          <w:tcPr>
            <w:tcW w:w="1240" w:type="dxa"/>
            <w:vAlign w:val="bottom"/>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w:t>
            </w:r>
          </w:p>
        </w:tc>
        <w:tc>
          <w:tcPr>
            <w:tcW w:w="1380" w:type="dxa"/>
            <w:vAlign w:val="bottom"/>
            <w:tcBorders>
              <w:right w:val="single" w:sz="8" w:color="00A5B5"/>
            </w:tcBorders>
            <w:vMerge w:val="restart"/>
            <w:shd w:val="clear" w:color="auto" w:fill="00A5B5"/>
          </w:tcPr>
          <w:p>
            <w:pPr>
              <w:jc w:val="center"/>
              <w:spacing w:after="0" w:line="120" w:lineRule="exact"/>
              <w:rPr>
                <w:sz w:val="20"/>
                <w:szCs w:val="20"/>
                <w:color w:val="auto"/>
              </w:rPr>
            </w:pPr>
            <w:r>
              <w:rPr>
                <w:rFonts w:ascii="Arial" w:cs="Arial" w:eastAsia="Arial" w:hAnsi="Arial"/>
                <w:sz w:val="12"/>
                <w:szCs w:val="12"/>
                <w:b w:val="1"/>
                <w:bCs w:val="1"/>
                <w:color w:val="FFFFFF"/>
              </w:rPr>
              <w:t>Return</w:t>
            </w:r>
          </w:p>
        </w:tc>
        <w:tc>
          <w:tcPr>
            <w:tcW w:w="800" w:type="dxa"/>
            <w:vAlign w:val="bottom"/>
            <w:shd w:val="clear" w:color="auto" w:fill="00A5B5"/>
          </w:tcPr>
          <w:p>
            <w:pPr>
              <w:spacing w:after="0"/>
              <w:rPr>
                <w:sz w:val="5"/>
                <w:szCs w:val="5"/>
                <w:color w:val="auto"/>
              </w:rPr>
            </w:pPr>
          </w:p>
        </w:tc>
        <w:tc>
          <w:tcPr>
            <w:tcW w:w="320" w:type="dxa"/>
            <w:vAlign w:val="bottom"/>
            <w:shd w:val="clear" w:color="auto" w:fill="00A5B5"/>
          </w:tcPr>
          <w:p>
            <w:pPr>
              <w:spacing w:after="0"/>
              <w:rPr>
                <w:sz w:val="5"/>
                <w:szCs w:val="5"/>
                <w:color w:val="auto"/>
              </w:rPr>
            </w:pPr>
          </w:p>
        </w:tc>
        <w:tc>
          <w:tcPr>
            <w:tcW w:w="1500" w:type="dxa"/>
            <w:vAlign w:val="bottom"/>
            <w:tcBorders>
              <w:right w:val="single" w:sz="8" w:color="auto"/>
            </w:tcBorders>
            <w:shd w:val="clear" w:color="auto" w:fill="00A5B5"/>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0" w:type="dxa"/>
            <w:vAlign w:val="bottom"/>
            <w:tcBorders>
              <w:left w:val="single" w:sz="8" w:color="auto"/>
            </w:tcBorders>
            <w:shd w:val="clear" w:color="auto" w:fill="00A5B5"/>
          </w:tcPr>
          <w:p>
            <w:pPr>
              <w:spacing w:after="0"/>
              <w:rPr>
                <w:sz w:val="4"/>
                <w:szCs w:val="4"/>
                <w:color w:val="auto"/>
              </w:rPr>
            </w:pPr>
          </w:p>
        </w:tc>
        <w:tc>
          <w:tcPr>
            <w:tcW w:w="1320" w:type="dxa"/>
            <w:vAlign w:val="bottom"/>
            <w:shd w:val="clear" w:color="auto" w:fill="00A5B5"/>
          </w:tcPr>
          <w:p>
            <w:pPr>
              <w:spacing w:after="0"/>
              <w:rPr>
                <w:sz w:val="4"/>
                <w:szCs w:val="4"/>
                <w:color w:val="auto"/>
              </w:rPr>
            </w:pPr>
          </w:p>
        </w:tc>
        <w:tc>
          <w:tcPr>
            <w:tcW w:w="800" w:type="dxa"/>
            <w:vAlign w:val="bottom"/>
            <w:shd w:val="clear" w:color="auto" w:fill="00A5B5"/>
          </w:tcPr>
          <w:p>
            <w:pPr>
              <w:spacing w:after="0"/>
              <w:rPr>
                <w:sz w:val="4"/>
                <w:szCs w:val="4"/>
                <w:color w:val="auto"/>
              </w:rPr>
            </w:pPr>
          </w:p>
        </w:tc>
        <w:tc>
          <w:tcPr>
            <w:tcW w:w="500" w:type="dxa"/>
            <w:vAlign w:val="bottom"/>
            <w:shd w:val="clear" w:color="auto" w:fill="00A5B5"/>
          </w:tcPr>
          <w:p>
            <w:pPr>
              <w:spacing w:after="0"/>
              <w:rPr>
                <w:sz w:val="4"/>
                <w:szCs w:val="4"/>
                <w:color w:val="auto"/>
              </w:rPr>
            </w:pPr>
          </w:p>
        </w:tc>
        <w:tc>
          <w:tcPr>
            <w:tcW w:w="940" w:type="dxa"/>
            <w:vAlign w:val="bottom"/>
            <w:vMerge w:val="restart"/>
            <w:shd w:val="clear" w:color="auto" w:fill="00A5B5"/>
          </w:tcPr>
          <w:p>
            <w:pPr>
              <w:ind w:left="100"/>
              <w:spacing w:after="0"/>
              <w:rPr>
                <w:sz w:val="20"/>
                <w:szCs w:val="20"/>
                <w:color w:val="auto"/>
              </w:rPr>
            </w:pPr>
            <w:r>
              <w:rPr>
                <w:rFonts w:ascii="Arial" w:cs="Arial" w:eastAsia="Arial" w:hAnsi="Arial"/>
                <w:sz w:val="12"/>
                <w:szCs w:val="12"/>
                <w:b w:val="1"/>
                <w:bCs w:val="1"/>
                <w:color w:val="FFFFFF"/>
              </w:rPr>
              <w:t>NEOs ($)(000)</w:t>
            </w:r>
          </w:p>
        </w:tc>
        <w:tc>
          <w:tcPr>
            <w:tcW w:w="280" w:type="dxa"/>
            <w:vAlign w:val="bottom"/>
            <w:shd w:val="clear" w:color="auto" w:fill="00A5B5"/>
          </w:tcPr>
          <w:p>
            <w:pPr>
              <w:jc w:val="right"/>
              <w:ind w:right="50"/>
              <w:spacing w:after="0" w:line="53" w:lineRule="exact"/>
              <w:rPr>
                <w:sz w:val="20"/>
                <w:szCs w:val="20"/>
                <w:color w:val="auto"/>
              </w:rPr>
            </w:pPr>
            <w:r>
              <w:rPr>
                <w:rFonts w:ascii="Arial" w:cs="Arial" w:eastAsia="Arial" w:hAnsi="Arial"/>
                <w:sz w:val="6"/>
                <w:szCs w:val="6"/>
                <w:b w:val="1"/>
                <w:bCs w:val="1"/>
                <w:color w:val="FFFFFF"/>
              </w:rPr>
              <w:t>(1)(2)</w:t>
            </w:r>
          </w:p>
        </w:tc>
        <w:tc>
          <w:tcPr>
            <w:tcW w:w="920" w:type="dxa"/>
            <w:vAlign w:val="bottom"/>
            <w:vMerge w:val="continue"/>
            <w:shd w:val="clear" w:color="auto" w:fill="00A5B5"/>
          </w:tcPr>
          <w:p>
            <w:pPr>
              <w:spacing w:after="0"/>
              <w:rPr>
                <w:sz w:val="4"/>
                <w:szCs w:val="4"/>
                <w:color w:val="auto"/>
              </w:rPr>
            </w:pPr>
          </w:p>
        </w:tc>
        <w:tc>
          <w:tcPr>
            <w:tcW w:w="460" w:type="dxa"/>
            <w:vAlign w:val="bottom"/>
            <w:tcBorders>
              <w:right w:val="single" w:sz="8" w:color="00A5B5"/>
            </w:tcBorders>
            <w:shd w:val="clear" w:color="auto" w:fill="00A5B5"/>
          </w:tcPr>
          <w:p>
            <w:pPr>
              <w:spacing w:after="0"/>
              <w:rPr>
                <w:sz w:val="4"/>
                <w:szCs w:val="4"/>
                <w:color w:val="auto"/>
              </w:rPr>
            </w:pPr>
          </w:p>
        </w:tc>
        <w:tc>
          <w:tcPr>
            <w:tcW w:w="1240" w:type="dxa"/>
            <w:vAlign w:val="bottom"/>
            <w:vMerge w:val="continue"/>
            <w:shd w:val="clear" w:color="auto" w:fill="00A5B5"/>
          </w:tcPr>
          <w:p>
            <w:pPr>
              <w:spacing w:after="0"/>
              <w:rPr>
                <w:sz w:val="4"/>
                <w:szCs w:val="4"/>
                <w:color w:val="auto"/>
              </w:rPr>
            </w:pPr>
          </w:p>
        </w:tc>
        <w:tc>
          <w:tcPr>
            <w:tcW w:w="1380" w:type="dxa"/>
            <w:vAlign w:val="bottom"/>
            <w:tcBorders>
              <w:right w:val="single" w:sz="8" w:color="00A5B5"/>
            </w:tcBorders>
            <w:vMerge w:val="continue"/>
            <w:shd w:val="clear" w:color="auto" w:fill="00A5B5"/>
          </w:tcPr>
          <w:p>
            <w:pPr>
              <w:spacing w:after="0"/>
              <w:rPr>
                <w:sz w:val="4"/>
                <w:szCs w:val="4"/>
                <w:color w:val="auto"/>
              </w:rPr>
            </w:pPr>
          </w:p>
        </w:tc>
        <w:tc>
          <w:tcPr>
            <w:tcW w:w="800" w:type="dxa"/>
            <w:vAlign w:val="bottom"/>
            <w:shd w:val="clear" w:color="auto" w:fill="00A5B5"/>
          </w:tcPr>
          <w:p>
            <w:pPr>
              <w:spacing w:after="0"/>
              <w:rPr>
                <w:sz w:val="4"/>
                <w:szCs w:val="4"/>
                <w:color w:val="auto"/>
              </w:rPr>
            </w:pPr>
          </w:p>
        </w:tc>
        <w:tc>
          <w:tcPr>
            <w:tcW w:w="320" w:type="dxa"/>
            <w:vAlign w:val="bottom"/>
            <w:shd w:val="clear" w:color="auto" w:fill="00A5B5"/>
          </w:tcPr>
          <w:p>
            <w:pPr>
              <w:spacing w:after="0"/>
              <w:rPr>
                <w:sz w:val="4"/>
                <w:szCs w:val="4"/>
                <w:color w:val="auto"/>
              </w:rPr>
            </w:pPr>
          </w:p>
        </w:tc>
        <w:tc>
          <w:tcPr>
            <w:tcW w:w="1500" w:type="dxa"/>
            <w:vAlign w:val="bottom"/>
            <w:tcBorders>
              <w:right w:val="single" w:sz="8" w:color="auto"/>
            </w:tcBorders>
            <w:shd w:val="clear" w:color="auto" w:fill="00A5B5"/>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bottom w:val="single" w:sz="8" w:color="auto"/>
            </w:tcBorders>
            <w:shd w:val="clear" w:color="auto" w:fill="00A5B5"/>
          </w:tcPr>
          <w:p>
            <w:pPr>
              <w:spacing w:after="0"/>
              <w:rPr>
                <w:sz w:val="14"/>
                <w:szCs w:val="14"/>
                <w:color w:val="auto"/>
              </w:rPr>
            </w:pPr>
          </w:p>
        </w:tc>
        <w:tc>
          <w:tcPr>
            <w:tcW w:w="1320" w:type="dxa"/>
            <w:vAlign w:val="bottom"/>
            <w:tcBorders>
              <w:bottom w:val="single" w:sz="8" w:color="auto"/>
            </w:tcBorders>
            <w:shd w:val="clear" w:color="auto" w:fill="00A5B5"/>
          </w:tcPr>
          <w:p>
            <w:pPr>
              <w:spacing w:after="0"/>
              <w:rPr>
                <w:sz w:val="14"/>
                <w:szCs w:val="14"/>
                <w:color w:val="auto"/>
              </w:rPr>
            </w:pPr>
          </w:p>
        </w:tc>
        <w:tc>
          <w:tcPr>
            <w:tcW w:w="800" w:type="dxa"/>
            <w:vAlign w:val="bottom"/>
            <w:tcBorders>
              <w:bottom w:val="single" w:sz="8" w:color="auto"/>
            </w:tcBorders>
            <w:shd w:val="clear" w:color="auto" w:fill="00A5B5"/>
          </w:tcPr>
          <w:p>
            <w:pPr>
              <w:spacing w:after="0"/>
              <w:rPr>
                <w:sz w:val="14"/>
                <w:szCs w:val="14"/>
                <w:color w:val="auto"/>
              </w:rPr>
            </w:pPr>
          </w:p>
        </w:tc>
        <w:tc>
          <w:tcPr>
            <w:tcW w:w="500" w:type="dxa"/>
            <w:vAlign w:val="bottom"/>
            <w:tcBorders>
              <w:bottom w:val="single" w:sz="8" w:color="auto"/>
            </w:tcBorders>
            <w:shd w:val="clear" w:color="auto" w:fill="00A5B5"/>
          </w:tcPr>
          <w:p>
            <w:pPr>
              <w:spacing w:after="0"/>
              <w:rPr>
                <w:sz w:val="14"/>
                <w:szCs w:val="14"/>
                <w:color w:val="auto"/>
              </w:rPr>
            </w:pPr>
          </w:p>
        </w:tc>
        <w:tc>
          <w:tcPr>
            <w:tcW w:w="940" w:type="dxa"/>
            <w:vAlign w:val="bottom"/>
            <w:tcBorders>
              <w:bottom w:val="single" w:sz="8" w:color="auto"/>
            </w:tcBorders>
            <w:vMerge w:val="continue"/>
            <w:shd w:val="clear" w:color="auto" w:fill="00A5B5"/>
          </w:tcPr>
          <w:p>
            <w:pPr>
              <w:spacing w:after="0"/>
              <w:rPr>
                <w:sz w:val="14"/>
                <w:szCs w:val="14"/>
                <w:color w:val="auto"/>
              </w:rPr>
            </w:pPr>
          </w:p>
        </w:tc>
        <w:tc>
          <w:tcPr>
            <w:tcW w:w="280" w:type="dxa"/>
            <w:vAlign w:val="bottom"/>
            <w:tcBorders>
              <w:bottom w:val="single" w:sz="8" w:color="auto"/>
            </w:tcBorders>
            <w:shd w:val="clear" w:color="auto" w:fill="00A5B5"/>
          </w:tcPr>
          <w:p>
            <w:pPr>
              <w:spacing w:after="0"/>
              <w:rPr>
                <w:sz w:val="14"/>
                <w:szCs w:val="14"/>
                <w:color w:val="auto"/>
              </w:rPr>
            </w:pPr>
          </w:p>
        </w:tc>
        <w:tc>
          <w:tcPr>
            <w:tcW w:w="920" w:type="dxa"/>
            <w:vAlign w:val="bottom"/>
            <w:tcBorders>
              <w:bottom w:val="single" w:sz="8" w:color="auto"/>
            </w:tcBorders>
            <w:shd w:val="clear" w:color="auto" w:fill="00A5B5"/>
          </w:tcPr>
          <w:p>
            <w:pPr>
              <w:spacing w:after="0"/>
              <w:rPr>
                <w:sz w:val="14"/>
                <w:szCs w:val="14"/>
                <w:color w:val="auto"/>
              </w:rPr>
            </w:pPr>
          </w:p>
        </w:tc>
        <w:tc>
          <w:tcPr>
            <w:tcW w:w="460" w:type="dxa"/>
            <w:vAlign w:val="bottom"/>
            <w:tcBorders>
              <w:bottom w:val="single" w:sz="8" w:color="auto"/>
              <w:right w:val="single" w:sz="8" w:color="00A5B5"/>
            </w:tcBorders>
            <w:shd w:val="clear" w:color="auto" w:fill="00A5B5"/>
          </w:tcPr>
          <w:p>
            <w:pPr>
              <w:spacing w:after="0"/>
              <w:rPr>
                <w:sz w:val="14"/>
                <w:szCs w:val="14"/>
                <w:color w:val="auto"/>
              </w:rPr>
            </w:pPr>
          </w:p>
        </w:tc>
        <w:tc>
          <w:tcPr>
            <w:tcW w:w="1240" w:type="dxa"/>
            <w:vAlign w:val="bottom"/>
            <w:tcBorders>
              <w:bottom w:val="single" w:sz="8" w:color="auto"/>
            </w:tcBorders>
            <w:shd w:val="clear" w:color="auto" w:fill="00A5B5"/>
          </w:tcPr>
          <w:p>
            <w:pPr>
              <w:spacing w:after="0"/>
              <w:rPr>
                <w:sz w:val="14"/>
                <w:szCs w:val="14"/>
                <w:color w:val="auto"/>
              </w:rPr>
            </w:pPr>
          </w:p>
        </w:tc>
        <w:tc>
          <w:tcPr>
            <w:tcW w:w="1380" w:type="dxa"/>
            <w:vAlign w:val="bottom"/>
            <w:tcBorders>
              <w:bottom w:val="single" w:sz="8" w:color="auto"/>
              <w:right w:val="single" w:sz="8" w:color="00A5B5"/>
            </w:tcBorders>
            <w:shd w:val="clear" w:color="auto" w:fill="00A5B5"/>
          </w:tcPr>
          <w:p>
            <w:pPr>
              <w:jc w:val="center"/>
              <w:spacing w:after="0" w:line="172" w:lineRule="exact"/>
              <w:rPr>
                <w:sz w:val="20"/>
                <w:szCs w:val="20"/>
                <w:color w:val="auto"/>
              </w:rPr>
            </w:pPr>
            <w:r>
              <w:rPr>
                <w:rFonts w:ascii="Arial" w:cs="Arial" w:eastAsia="Arial" w:hAnsi="Arial"/>
                <w:sz w:val="12"/>
                <w:szCs w:val="12"/>
                <w:b w:val="1"/>
                <w:bCs w:val="1"/>
                <w:color w:val="FFFFFF"/>
                <w:w w:val="93"/>
              </w:rPr>
              <w:t>($)</w:t>
            </w:r>
            <w:r>
              <w:rPr>
                <w:rFonts w:ascii="Arial" w:cs="Arial" w:eastAsia="Arial" w:hAnsi="Arial"/>
                <w:sz w:val="16"/>
                <w:szCs w:val="16"/>
                <w:b w:val="1"/>
                <w:bCs w:val="1"/>
                <w:color w:val="FFFFFF"/>
                <w:w w:val="93"/>
                <w:vertAlign w:val="superscript"/>
              </w:rPr>
              <w:t>(6)</w:t>
            </w:r>
          </w:p>
        </w:tc>
        <w:tc>
          <w:tcPr>
            <w:tcW w:w="800" w:type="dxa"/>
            <w:vAlign w:val="bottom"/>
            <w:tcBorders>
              <w:bottom w:val="single" w:sz="8" w:color="auto"/>
            </w:tcBorders>
            <w:shd w:val="clear" w:color="auto" w:fill="00A5B5"/>
          </w:tcPr>
          <w:p>
            <w:pPr>
              <w:spacing w:after="0"/>
              <w:rPr>
                <w:sz w:val="14"/>
                <w:szCs w:val="14"/>
                <w:color w:val="auto"/>
              </w:rPr>
            </w:pPr>
          </w:p>
        </w:tc>
        <w:tc>
          <w:tcPr>
            <w:tcW w:w="320" w:type="dxa"/>
            <w:vAlign w:val="bottom"/>
            <w:tcBorders>
              <w:bottom w:val="single" w:sz="8" w:color="auto"/>
            </w:tcBorders>
            <w:shd w:val="clear" w:color="auto" w:fill="00A5B5"/>
          </w:tcPr>
          <w:p>
            <w:pPr>
              <w:spacing w:after="0"/>
              <w:rPr>
                <w:sz w:val="14"/>
                <w:szCs w:val="14"/>
                <w:color w:val="auto"/>
              </w:rPr>
            </w:pPr>
          </w:p>
        </w:tc>
        <w:tc>
          <w:tcPr>
            <w:tcW w:w="1500" w:type="dxa"/>
            <w:vAlign w:val="bottom"/>
            <w:tcBorders>
              <w:bottom w:val="single" w:sz="8" w:color="auto"/>
              <w:right w:val="single" w:sz="8" w:color="auto"/>
            </w:tcBorders>
            <w:shd w:val="clear" w:color="auto" w:fill="00A5B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Borders>
              <w:left w:val="single" w:sz="8" w:color="auto"/>
            </w:tcBorders>
            <w:shd w:val="clear" w:color="auto" w:fill="E8F7F8"/>
          </w:tcPr>
          <w:p>
            <w:pPr>
              <w:jc w:val="center"/>
              <w:spacing w:after="0"/>
              <w:rPr>
                <w:sz w:val="20"/>
                <w:szCs w:val="20"/>
                <w:color w:val="auto"/>
              </w:rPr>
            </w:pPr>
            <w:r>
              <w:rPr>
                <w:rFonts w:ascii="Arial" w:cs="Arial" w:eastAsia="Arial" w:hAnsi="Arial"/>
                <w:sz w:val="12"/>
                <w:szCs w:val="12"/>
                <w:color w:val="auto"/>
                <w:w w:val="97"/>
              </w:rPr>
              <w:t>2026</w:t>
            </w:r>
          </w:p>
        </w:tc>
        <w:tc>
          <w:tcPr>
            <w:tcW w:w="1320" w:type="dxa"/>
            <w:vAlign w:val="bottom"/>
            <w:shd w:val="clear" w:color="auto" w:fill="E8F7F8"/>
          </w:tcPr>
          <w:p>
            <w:pPr>
              <w:jc w:val="center"/>
              <w:spacing w:after="0"/>
              <w:rPr>
                <w:sz w:val="20"/>
                <w:szCs w:val="20"/>
                <w:color w:val="auto"/>
              </w:rPr>
            </w:pPr>
            <w:r>
              <w:rPr>
                <w:rFonts w:ascii="Arial" w:cs="Arial" w:eastAsia="Arial" w:hAnsi="Arial"/>
                <w:sz w:val="12"/>
                <w:szCs w:val="12"/>
                <w:color w:val="auto"/>
              </w:rPr>
              <w:t>13,801</w:t>
            </w:r>
          </w:p>
        </w:tc>
        <w:tc>
          <w:tcPr>
            <w:tcW w:w="800" w:type="dxa"/>
            <w:vAlign w:val="bottom"/>
            <w:shd w:val="clear" w:color="auto" w:fill="E8F7F8"/>
          </w:tcPr>
          <w:p>
            <w:pPr>
              <w:jc w:val="center"/>
              <w:ind w:left="398"/>
              <w:spacing w:after="0"/>
              <w:rPr>
                <w:sz w:val="20"/>
                <w:szCs w:val="20"/>
                <w:color w:val="auto"/>
              </w:rPr>
            </w:pPr>
            <w:r>
              <w:rPr>
                <w:rFonts w:ascii="Arial" w:cs="Arial" w:eastAsia="Arial" w:hAnsi="Arial"/>
                <w:sz w:val="12"/>
                <w:szCs w:val="12"/>
                <w:color w:val="auto"/>
                <w:w w:val="99"/>
              </w:rPr>
              <w:t>3,269</w:t>
            </w:r>
          </w:p>
        </w:tc>
        <w:tc>
          <w:tcPr>
            <w:tcW w:w="500" w:type="dxa"/>
            <w:vAlign w:val="bottom"/>
            <w:shd w:val="clear" w:color="auto" w:fill="E8F7F8"/>
          </w:tcPr>
          <w:p>
            <w:pPr>
              <w:spacing w:after="0"/>
              <w:rPr>
                <w:sz w:val="13"/>
                <w:szCs w:val="13"/>
                <w:color w:val="auto"/>
              </w:rPr>
            </w:pPr>
          </w:p>
        </w:tc>
        <w:tc>
          <w:tcPr>
            <w:tcW w:w="940" w:type="dxa"/>
            <w:vAlign w:val="bottom"/>
            <w:shd w:val="clear" w:color="auto" w:fill="E8F7F8"/>
          </w:tcPr>
          <w:p>
            <w:pPr>
              <w:jc w:val="center"/>
              <w:ind w:left="241"/>
              <w:spacing w:after="0"/>
              <w:rPr>
                <w:sz w:val="20"/>
                <w:szCs w:val="20"/>
                <w:color w:val="auto"/>
              </w:rPr>
            </w:pPr>
            <w:r>
              <w:rPr>
                <w:rFonts w:ascii="Arial" w:cs="Arial" w:eastAsia="Arial" w:hAnsi="Arial"/>
                <w:sz w:val="12"/>
                <w:szCs w:val="12"/>
                <w:color w:val="auto"/>
              </w:rPr>
              <w:t>3,079</w:t>
            </w:r>
          </w:p>
        </w:tc>
        <w:tc>
          <w:tcPr>
            <w:tcW w:w="280" w:type="dxa"/>
            <w:vAlign w:val="bottom"/>
            <w:shd w:val="clear" w:color="auto" w:fill="E8F7F8"/>
          </w:tcPr>
          <w:p>
            <w:pPr>
              <w:spacing w:after="0"/>
              <w:rPr>
                <w:sz w:val="13"/>
                <w:szCs w:val="13"/>
                <w:color w:val="auto"/>
              </w:rPr>
            </w:pPr>
          </w:p>
        </w:tc>
        <w:tc>
          <w:tcPr>
            <w:tcW w:w="920" w:type="dxa"/>
            <w:vAlign w:val="bottom"/>
            <w:shd w:val="clear" w:color="auto" w:fill="E8F7F8"/>
          </w:tcPr>
          <w:p>
            <w:pPr>
              <w:jc w:val="center"/>
              <w:ind w:left="418"/>
              <w:spacing w:after="0"/>
              <w:rPr>
                <w:sz w:val="20"/>
                <w:szCs w:val="20"/>
                <w:color w:val="auto"/>
              </w:rPr>
            </w:pPr>
            <w:r>
              <w:rPr>
                <w:rFonts w:ascii="Arial" w:cs="Arial" w:eastAsia="Arial" w:hAnsi="Arial"/>
                <w:sz w:val="12"/>
                <w:szCs w:val="12"/>
                <w:color w:val="auto"/>
                <w:w w:val="99"/>
              </w:rPr>
              <w:t>285</w:t>
            </w:r>
          </w:p>
        </w:tc>
        <w:tc>
          <w:tcPr>
            <w:tcW w:w="460" w:type="dxa"/>
            <w:vAlign w:val="bottom"/>
            <w:tcBorders>
              <w:right w:val="single" w:sz="8" w:color="E8F7F8"/>
            </w:tcBorders>
            <w:shd w:val="clear" w:color="auto" w:fill="E8F7F8"/>
          </w:tcPr>
          <w:p>
            <w:pPr>
              <w:spacing w:after="0"/>
              <w:rPr>
                <w:sz w:val="13"/>
                <w:szCs w:val="13"/>
                <w:color w:val="auto"/>
              </w:rPr>
            </w:pPr>
          </w:p>
        </w:tc>
        <w:tc>
          <w:tcPr>
            <w:tcW w:w="1240" w:type="dxa"/>
            <w:vAlign w:val="bottom"/>
            <w:shd w:val="clear" w:color="auto" w:fill="E8F7F8"/>
          </w:tcPr>
          <w:p>
            <w:pPr>
              <w:jc w:val="center"/>
              <w:spacing w:after="0"/>
              <w:rPr>
                <w:sz w:val="20"/>
                <w:szCs w:val="20"/>
                <w:color w:val="auto"/>
              </w:rPr>
            </w:pPr>
            <w:r>
              <w:rPr>
                <w:rFonts w:ascii="Arial" w:cs="Arial" w:eastAsia="Arial" w:hAnsi="Arial"/>
                <w:sz w:val="12"/>
                <w:szCs w:val="12"/>
                <w:color w:val="auto"/>
                <w:w w:val="99"/>
              </w:rPr>
              <w:t>106</w:t>
            </w:r>
          </w:p>
        </w:tc>
        <w:tc>
          <w:tcPr>
            <w:tcW w:w="1380" w:type="dxa"/>
            <w:vAlign w:val="bottom"/>
            <w:tcBorders>
              <w:right w:val="single" w:sz="8" w:color="E8F7F8"/>
            </w:tcBorders>
            <w:shd w:val="clear" w:color="auto" w:fill="E8F7F8"/>
          </w:tcPr>
          <w:p>
            <w:pPr>
              <w:jc w:val="center"/>
              <w:spacing w:after="0"/>
              <w:rPr>
                <w:sz w:val="20"/>
                <w:szCs w:val="20"/>
                <w:color w:val="auto"/>
              </w:rPr>
            </w:pPr>
            <w:r>
              <w:rPr>
                <w:rFonts w:ascii="Arial" w:cs="Arial" w:eastAsia="Arial" w:hAnsi="Arial"/>
                <w:sz w:val="12"/>
                <w:szCs w:val="12"/>
                <w:color w:val="auto"/>
              </w:rPr>
              <w:t>92</w:t>
            </w:r>
          </w:p>
        </w:tc>
        <w:tc>
          <w:tcPr>
            <w:tcW w:w="1120" w:type="dxa"/>
            <w:vAlign w:val="bottom"/>
            <w:gridSpan w:val="2"/>
            <w:shd w:val="clear" w:color="auto" w:fill="E8F7F8"/>
          </w:tcPr>
          <w:p>
            <w:pPr>
              <w:jc w:val="center"/>
              <w:ind w:left="98"/>
              <w:spacing w:after="0"/>
              <w:rPr>
                <w:sz w:val="20"/>
                <w:szCs w:val="20"/>
                <w:color w:val="auto"/>
              </w:rPr>
            </w:pPr>
            <w:r>
              <w:rPr>
                <w:rFonts w:ascii="Arial" w:cs="Arial" w:eastAsia="Arial" w:hAnsi="Arial"/>
                <w:sz w:val="12"/>
                <w:szCs w:val="12"/>
                <w:color w:val="auto"/>
              </w:rPr>
              <w:t>850,497</w:t>
            </w:r>
          </w:p>
        </w:tc>
        <w:tc>
          <w:tcPr>
            <w:tcW w:w="1500" w:type="dxa"/>
            <w:vAlign w:val="bottom"/>
            <w:tcBorders>
              <w:right w:val="single" w:sz="8" w:color="auto"/>
            </w:tcBorders>
            <w:shd w:val="clear" w:color="auto" w:fill="E8F7F8"/>
          </w:tcPr>
          <w:p>
            <w:pPr>
              <w:jc w:val="center"/>
              <w:ind w:left="98"/>
              <w:spacing w:after="0"/>
              <w:rPr>
                <w:sz w:val="20"/>
                <w:szCs w:val="20"/>
                <w:color w:val="auto"/>
              </w:rPr>
            </w:pPr>
            <w:r>
              <w:rPr>
                <w:rFonts w:ascii="Arial" w:cs="Arial" w:eastAsia="Arial" w:hAnsi="Arial"/>
                <w:sz w:val="12"/>
                <w:szCs w:val="12"/>
                <w:color w:val="auto"/>
              </w:rPr>
              <w:t>1,229,000</w:t>
            </w:r>
          </w:p>
        </w:tc>
        <w:tc>
          <w:tcPr>
            <w:tcW w:w="0" w:type="dxa"/>
            <w:vAlign w:val="bottom"/>
          </w:tcPr>
          <w:p>
            <w:pPr>
              <w:spacing w:after="0"/>
              <w:rPr>
                <w:sz w:val="1"/>
                <w:szCs w:val="1"/>
                <w:color w:val="auto"/>
              </w:rPr>
            </w:pPr>
          </w:p>
        </w:tc>
      </w:tr>
      <w:tr>
        <w:trPr>
          <w:trHeight w:val="174"/>
        </w:trPr>
        <w:tc>
          <w:tcPr>
            <w:tcW w:w="800" w:type="dxa"/>
            <w:vAlign w:val="bottom"/>
            <w:tcBorders>
              <w:left w:val="single" w:sz="8" w:color="auto"/>
            </w:tcBorders>
            <w:shd w:val="clear" w:color="auto" w:fill="E8F7F8"/>
          </w:tcPr>
          <w:p>
            <w:pPr>
              <w:jc w:val="center"/>
              <w:spacing w:after="0"/>
              <w:rPr>
                <w:sz w:val="20"/>
                <w:szCs w:val="20"/>
                <w:color w:val="auto"/>
              </w:rPr>
            </w:pPr>
            <w:r>
              <w:rPr>
                <w:rFonts w:ascii="Arial" w:cs="Arial" w:eastAsia="Arial" w:hAnsi="Arial"/>
                <w:sz w:val="12"/>
                <w:szCs w:val="12"/>
                <w:color w:val="auto"/>
                <w:w w:val="97"/>
              </w:rPr>
              <w:t>2025</w:t>
            </w:r>
          </w:p>
        </w:tc>
        <w:tc>
          <w:tcPr>
            <w:tcW w:w="1320" w:type="dxa"/>
            <w:vAlign w:val="bottom"/>
            <w:shd w:val="clear" w:color="auto" w:fill="E8F7F8"/>
          </w:tcPr>
          <w:p>
            <w:pPr>
              <w:jc w:val="center"/>
              <w:spacing w:after="0"/>
              <w:rPr>
                <w:sz w:val="20"/>
                <w:szCs w:val="20"/>
                <w:color w:val="auto"/>
              </w:rPr>
            </w:pPr>
            <w:r>
              <w:rPr>
                <w:rFonts w:ascii="Arial" w:cs="Arial" w:eastAsia="Arial" w:hAnsi="Arial"/>
                <w:sz w:val="12"/>
                <w:szCs w:val="12"/>
                <w:color w:val="auto"/>
              </w:rPr>
              <w:t>13,999</w:t>
            </w:r>
          </w:p>
        </w:tc>
        <w:tc>
          <w:tcPr>
            <w:tcW w:w="1300" w:type="dxa"/>
            <w:vAlign w:val="bottom"/>
            <w:gridSpan w:val="2"/>
            <w:shd w:val="clear" w:color="auto" w:fill="E8F7F8"/>
          </w:tcPr>
          <w:p>
            <w:pPr>
              <w:jc w:val="center"/>
              <w:ind w:right="20"/>
              <w:spacing w:after="0"/>
              <w:rPr>
                <w:sz w:val="20"/>
                <w:szCs w:val="20"/>
                <w:color w:val="auto"/>
              </w:rPr>
            </w:pPr>
            <w:r>
              <w:rPr>
                <w:rFonts w:ascii="Arial" w:cs="Arial" w:eastAsia="Arial" w:hAnsi="Arial"/>
                <w:sz w:val="12"/>
                <w:szCs w:val="12"/>
                <w:color w:val="auto"/>
              </w:rPr>
              <w:t>(2,718)</w:t>
            </w:r>
          </w:p>
        </w:tc>
        <w:tc>
          <w:tcPr>
            <w:tcW w:w="940" w:type="dxa"/>
            <w:vAlign w:val="bottom"/>
            <w:shd w:val="clear" w:color="auto" w:fill="E8F7F8"/>
          </w:tcPr>
          <w:p>
            <w:pPr>
              <w:jc w:val="center"/>
              <w:ind w:left="241"/>
              <w:spacing w:after="0"/>
              <w:rPr>
                <w:sz w:val="20"/>
                <w:szCs w:val="20"/>
                <w:color w:val="auto"/>
              </w:rPr>
            </w:pPr>
            <w:r>
              <w:rPr>
                <w:rFonts w:ascii="Arial" w:cs="Arial" w:eastAsia="Arial" w:hAnsi="Arial"/>
                <w:sz w:val="12"/>
                <w:szCs w:val="12"/>
                <w:color w:val="auto"/>
              </w:rPr>
              <w:t>5,890</w:t>
            </w:r>
          </w:p>
        </w:tc>
        <w:tc>
          <w:tcPr>
            <w:tcW w:w="280" w:type="dxa"/>
            <w:vAlign w:val="bottom"/>
            <w:shd w:val="clear" w:color="auto" w:fill="E8F7F8"/>
          </w:tcPr>
          <w:p>
            <w:pPr>
              <w:spacing w:after="0"/>
              <w:rPr>
                <w:sz w:val="15"/>
                <w:szCs w:val="15"/>
                <w:color w:val="auto"/>
              </w:rPr>
            </w:pPr>
          </w:p>
        </w:tc>
        <w:tc>
          <w:tcPr>
            <w:tcW w:w="920" w:type="dxa"/>
            <w:vAlign w:val="bottom"/>
            <w:shd w:val="clear" w:color="auto" w:fill="E8F7F8"/>
          </w:tcPr>
          <w:p>
            <w:pPr>
              <w:jc w:val="center"/>
              <w:ind w:left="438"/>
              <w:spacing w:after="0"/>
              <w:rPr>
                <w:sz w:val="20"/>
                <w:szCs w:val="20"/>
                <w:color w:val="auto"/>
              </w:rPr>
            </w:pPr>
            <w:r>
              <w:rPr>
                <w:rFonts w:ascii="Arial" w:cs="Arial" w:eastAsia="Arial" w:hAnsi="Arial"/>
                <w:sz w:val="12"/>
                <w:szCs w:val="12"/>
                <w:color w:val="auto"/>
                <w:w w:val="99"/>
              </w:rPr>
              <w:t>2,563</w:t>
            </w:r>
          </w:p>
        </w:tc>
        <w:tc>
          <w:tcPr>
            <w:tcW w:w="460" w:type="dxa"/>
            <w:vAlign w:val="bottom"/>
            <w:tcBorders>
              <w:right w:val="single" w:sz="8" w:color="E8F7F8"/>
            </w:tcBorders>
            <w:shd w:val="clear" w:color="auto" w:fill="E8F7F8"/>
          </w:tcPr>
          <w:p>
            <w:pPr>
              <w:spacing w:after="0"/>
              <w:rPr>
                <w:sz w:val="15"/>
                <w:szCs w:val="15"/>
                <w:color w:val="auto"/>
              </w:rPr>
            </w:pPr>
          </w:p>
        </w:tc>
        <w:tc>
          <w:tcPr>
            <w:tcW w:w="1240" w:type="dxa"/>
            <w:vAlign w:val="bottom"/>
            <w:shd w:val="clear" w:color="auto" w:fill="E8F7F8"/>
          </w:tcPr>
          <w:p>
            <w:pPr>
              <w:jc w:val="center"/>
              <w:spacing w:after="0"/>
              <w:rPr>
                <w:sz w:val="20"/>
                <w:szCs w:val="20"/>
                <w:color w:val="auto"/>
              </w:rPr>
            </w:pPr>
            <w:r>
              <w:rPr>
                <w:rFonts w:ascii="Arial" w:cs="Arial" w:eastAsia="Arial" w:hAnsi="Arial"/>
                <w:sz w:val="12"/>
                <w:szCs w:val="12"/>
                <w:color w:val="auto"/>
                <w:w w:val="99"/>
              </w:rPr>
              <w:t>166</w:t>
            </w:r>
          </w:p>
        </w:tc>
        <w:tc>
          <w:tcPr>
            <w:tcW w:w="1380" w:type="dxa"/>
            <w:vAlign w:val="bottom"/>
            <w:tcBorders>
              <w:right w:val="single" w:sz="8" w:color="E8F7F8"/>
            </w:tcBorders>
            <w:shd w:val="clear" w:color="auto" w:fill="E8F7F8"/>
          </w:tcPr>
          <w:p>
            <w:pPr>
              <w:jc w:val="center"/>
              <w:spacing w:after="0"/>
              <w:rPr>
                <w:sz w:val="20"/>
                <w:szCs w:val="20"/>
                <w:color w:val="auto"/>
              </w:rPr>
            </w:pPr>
            <w:r>
              <w:rPr>
                <w:rFonts w:ascii="Arial" w:cs="Arial" w:eastAsia="Arial" w:hAnsi="Arial"/>
                <w:sz w:val="12"/>
                <w:szCs w:val="12"/>
                <w:color w:val="auto"/>
                <w:w w:val="99"/>
              </w:rPr>
              <w:t>198</w:t>
            </w:r>
          </w:p>
        </w:tc>
        <w:tc>
          <w:tcPr>
            <w:tcW w:w="1120" w:type="dxa"/>
            <w:vAlign w:val="bottom"/>
            <w:gridSpan w:val="2"/>
            <w:shd w:val="clear" w:color="auto" w:fill="E8F7F8"/>
          </w:tcPr>
          <w:p>
            <w:pPr>
              <w:jc w:val="center"/>
              <w:ind w:left="98"/>
              <w:spacing w:after="0"/>
              <w:rPr>
                <w:sz w:val="20"/>
                <w:szCs w:val="20"/>
                <w:color w:val="auto"/>
              </w:rPr>
            </w:pPr>
            <w:r>
              <w:rPr>
                <w:rFonts w:ascii="Arial" w:cs="Arial" w:eastAsia="Arial" w:hAnsi="Arial"/>
                <w:sz w:val="12"/>
                <w:szCs w:val="12"/>
                <w:color w:val="auto"/>
              </w:rPr>
              <w:t>935,030</w:t>
            </w:r>
          </w:p>
        </w:tc>
        <w:tc>
          <w:tcPr>
            <w:tcW w:w="1500" w:type="dxa"/>
            <w:vAlign w:val="bottom"/>
            <w:tcBorders>
              <w:right w:val="single" w:sz="8" w:color="auto"/>
            </w:tcBorders>
            <w:shd w:val="clear" w:color="auto" w:fill="E8F7F8"/>
          </w:tcPr>
          <w:p>
            <w:pPr>
              <w:jc w:val="center"/>
              <w:ind w:left="98"/>
              <w:spacing w:after="0"/>
              <w:rPr>
                <w:sz w:val="20"/>
                <w:szCs w:val="20"/>
                <w:color w:val="auto"/>
              </w:rPr>
            </w:pPr>
            <w:r>
              <w:rPr>
                <w:rFonts w:ascii="Arial" w:cs="Arial" w:eastAsia="Arial" w:hAnsi="Arial"/>
                <w:sz w:val="12"/>
                <w:szCs w:val="12"/>
                <w:color w:val="auto"/>
              </w:rPr>
              <w:t>1,315,031</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w w:val="97"/>
              </w:rPr>
              <w:t>2024</w:t>
            </w:r>
          </w:p>
        </w:tc>
        <w:tc>
          <w:tcPr>
            <w:tcW w:w="132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15,594</w:t>
            </w:r>
          </w:p>
        </w:tc>
        <w:tc>
          <w:tcPr>
            <w:tcW w:w="1300" w:type="dxa"/>
            <w:vAlign w:val="bottom"/>
            <w:gridSpan w:val="2"/>
            <w:shd w:val="clear" w:color="auto" w:fill="CCEEF0"/>
          </w:tcPr>
          <w:p>
            <w:pPr>
              <w:jc w:val="center"/>
              <w:spacing w:after="0"/>
              <w:rPr>
                <w:sz w:val="20"/>
                <w:szCs w:val="20"/>
                <w:color w:val="auto"/>
              </w:rPr>
            </w:pPr>
            <w:r>
              <w:rPr>
                <w:rFonts w:ascii="Arial" w:cs="Arial" w:eastAsia="Arial" w:hAnsi="Arial"/>
                <w:sz w:val="12"/>
                <w:szCs w:val="12"/>
                <w:color w:val="auto"/>
              </w:rPr>
              <w:t>48,237</w:t>
            </w:r>
          </w:p>
        </w:tc>
        <w:tc>
          <w:tcPr>
            <w:tcW w:w="940" w:type="dxa"/>
            <w:vAlign w:val="bottom"/>
            <w:shd w:val="clear" w:color="auto" w:fill="CCEEF0"/>
          </w:tcPr>
          <w:p>
            <w:pPr>
              <w:jc w:val="center"/>
              <w:ind w:left="241"/>
              <w:spacing w:after="0"/>
              <w:rPr>
                <w:sz w:val="20"/>
                <w:szCs w:val="20"/>
                <w:color w:val="auto"/>
              </w:rPr>
            </w:pPr>
            <w:r>
              <w:rPr>
                <w:rFonts w:ascii="Arial" w:cs="Arial" w:eastAsia="Arial" w:hAnsi="Arial"/>
                <w:sz w:val="12"/>
                <w:szCs w:val="12"/>
                <w:color w:val="auto"/>
              </w:rPr>
              <w:t>3,691</w:t>
            </w:r>
          </w:p>
        </w:tc>
        <w:tc>
          <w:tcPr>
            <w:tcW w:w="280" w:type="dxa"/>
            <w:vAlign w:val="bottom"/>
            <w:shd w:val="clear" w:color="auto" w:fill="CCEEF0"/>
          </w:tcPr>
          <w:p>
            <w:pPr>
              <w:spacing w:after="0"/>
              <w:rPr>
                <w:sz w:val="15"/>
                <w:szCs w:val="15"/>
                <w:color w:val="auto"/>
              </w:rPr>
            </w:pPr>
          </w:p>
        </w:tc>
        <w:tc>
          <w:tcPr>
            <w:tcW w:w="920" w:type="dxa"/>
            <w:vAlign w:val="bottom"/>
            <w:shd w:val="clear" w:color="auto" w:fill="CCEEF0"/>
          </w:tcPr>
          <w:p>
            <w:pPr>
              <w:jc w:val="center"/>
              <w:ind w:left="438"/>
              <w:spacing w:after="0"/>
              <w:rPr>
                <w:sz w:val="20"/>
                <w:szCs w:val="20"/>
                <w:color w:val="auto"/>
              </w:rPr>
            </w:pPr>
            <w:r>
              <w:rPr>
                <w:rFonts w:ascii="Arial" w:cs="Arial" w:eastAsia="Arial" w:hAnsi="Arial"/>
                <w:sz w:val="12"/>
                <w:szCs w:val="12"/>
                <w:color w:val="auto"/>
                <w:w w:val="99"/>
              </w:rPr>
              <w:t>8,555</w:t>
            </w:r>
          </w:p>
        </w:tc>
        <w:tc>
          <w:tcPr>
            <w:tcW w:w="460" w:type="dxa"/>
            <w:vAlign w:val="bottom"/>
            <w:tcBorders>
              <w:right w:val="single" w:sz="8" w:color="CCEEF0"/>
            </w:tcBorders>
            <w:shd w:val="clear" w:color="auto" w:fill="CCEEF0"/>
          </w:tcPr>
          <w:p>
            <w:pPr>
              <w:spacing w:after="0"/>
              <w:rPr>
                <w:sz w:val="15"/>
                <w:szCs w:val="15"/>
                <w:color w:val="auto"/>
              </w:rPr>
            </w:pPr>
          </w:p>
        </w:tc>
        <w:tc>
          <w:tcPr>
            <w:tcW w:w="124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232</w:t>
            </w:r>
          </w:p>
        </w:tc>
        <w:tc>
          <w:tcPr>
            <w:tcW w:w="1380" w:type="dxa"/>
            <w:vAlign w:val="bottom"/>
            <w:tcBorders>
              <w:right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rPr>
              <w:t>192</w:t>
            </w:r>
          </w:p>
        </w:tc>
        <w:tc>
          <w:tcPr>
            <w:tcW w:w="1120" w:type="dxa"/>
            <w:vAlign w:val="bottom"/>
            <w:gridSpan w:val="2"/>
            <w:shd w:val="clear" w:color="auto" w:fill="CCEEF0"/>
          </w:tcPr>
          <w:p>
            <w:pPr>
              <w:jc w:val="center"/>
              <w:ind w:left="98"/>
              <w:spacing w:after="0"/>
              <w:rPr>
                <w:sz w:val="20"/>
                <w:szCs w:val="20"/>
                <w:color w:val="auto"/>
              </w:rPr>
            </w:pPr>
            <w:r>
              <w:rPr>
                <w:rFonts w:ascii="Arial" w:cs="Arial" w:eastAsia="Arial" w:hAnsi="Arial"/>
                <w:sz w:val="12"/>
                <w:szCs w:val="12"/>
                <w:color w:val="auto"/>
              </w:rPr>
              <w:t>605,706</w:t>
            </w:r>
          </w:p>
        </w:tc>
        <w:tc>
          <w:tcPr>
            <w:tcW w:w="1500" w:type="dxa"/>
            <w:vAlign w:val="bottom"/>
            <w:tcBorders>
              <w:right w:val="single" w:sz="8" w:color="auto"/>
            </w:tcBorders>
            <w:shd w:val="clear" w:color="auto" w:fill="CCEEF0"/>
          </w:tcPr>
          <w:p>
            <w:pPr>
              <w:jc w:val="center"/>
              <w:ind w:left="98"/>
              <w:spacing w:after="0"/>
              <w:rPr>
                <w:sz w:val="20"/>
                <w:szCs w:val="20"/>
                <w:color w:val="auto"/>
              </w:rPr>
            </w:pPr>
            <w:r>
              <w:rPr>
                <w:rFonts w:ascii="Arial" w:cs="Arial" w:eastAsia="Arial" w:hAnsi="Arial"/>
                <w:sz w:val="12"/>
                <w:szCs w:val="12"/>
                <w:color w:val="auto"/>
              </w:rPr>
              <w:t>1,175,064</w:t>
            </w: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shd w:val="clear" w:color="auto" w:fill="E8F7F8"/>
          </w:tcPr>
          <w:p>
            <w:pPr>
              <w:jc w:val="center"/>
              <w:spacing w:after="0"/>
              <w:rPr>
                <w:sz w:val="20"/>
                <w:szCs w:val="20"/>
                <w:color w:val="auto"/>
              </w:rPr>
            </w:pPr>
            <w:r>
              <w:rPr>
                <w:rFonts w:ascii="Arial" w:cs="Arial" w:eastAsia="Arial" w:hAnsi="Arial"/>
                <w:sz w:val="12"/>
                <w:szCs w:val="12"/>
                <w:color w:val="auto"/>
                <w:w w:val="97"/>
              </w:rPr>
              <w:t>2023</w:t>
            </w:r>
          </w:p>
        </w:tc>
        <w:tc>
          <w:tcPr>
            <w:tcW w:w="1320" w:type="dxa"/>
            <w:vAlign w:val="bottom"/>
            <w:shd w:val="clear" w:color="auto" w:fill="E8F7F8"/>
          </w:tcPr>
          <w:p>
            <w:pPr>
              <w:jc w:val="center"/>
              <w:spacing w:after="0"/>
              <w:rPr>
                <w:sz w:val="20"/>
                <w:szCs w:val="20"/>
                <w:color w:val="auto"/>
              </w:rPr>
            </w:pPr>
            <w:r>
              <w:rPr>
                <w:rFonts w:ascii="Arial" w:cs="Arial" w:eastAsia="Arial" w:hAnsi="Arial"/>
                <w:sz w:val="12"/>
                <w:szCs w:val="12"/>
                <w:color w:val="auto"/>
              </w:rPr>
              <w:t>12,184</w:t>
            </w:r>
          </w:p>
        </w:tc>
        <w:tc>
          <w:tcPr>
            <w:tcW w:w="1300" w:type="dxa"/>
            <w:vAlign w:val="bottom"/>
            <w:gridSpan w:val="2"/>
            <w:shd w:val="clear" w:color="auto" w:fill="E8F7F8"/>
          </w:tcPr>
          <w:p>
            <w:pPr>
              <w:jc w:val="center"/>
              <w:spacing w:after="0"/>
              <w:rPr>
                <w:sz w:val="20"/>
                <w:szCs w:val="20"/>
                <w:color w:val="auto"/>
              </w:rPr>
            </w:pPr>
            <w:r>
              <w:rPr>
                <w:rFonts w:ascii="Arial" w:cs="Arial" w:eastAsia="Arial" w:hAnsi="Arial"/>
                <w:sz w:val="12"/>
                <w:szCs w:val="12"/>
                <w:color w:val="auto"/>
              </w:rPr>
              <w:t>16,036</w:t>
            </w:r>
          </w:p>
        </w:tc>
        <w:tc>
          <w:tcPr>
            <w:tcW w:w="940" w:type="dxa"/>
            <w:vAlign w:val="bottom"/>
            <w:shd w:val="clear" w:color="auto" w:fill="E8F7F8"/>
          </w:tcPr>
          <w:p>
            <w:pPr>
              <w:jc w:val="center"/>
              <w:ind w:left="241"/>
              <w:spacing w:after="0"/>
              <w:rPr>
                <w:sz w:val="20"/>
                <w:szCs w:val="20"/>
                <w:color w:val="auto"/>
              </w:rPr>
            </w:pPr>
            <w:r>
              <w:rPr>
                <w:rFonts w:ascii="Arial" w:cs="Arial" w:eastAsia="Arial" w:hAnsi="Arial"/>
                <w:sz w:val="12"/>
                <w:szCs w:val="12"/>
                <w:color w:val="auto"/>
              </w:rPr>
              <w:t>3,673</w:t>
            </w:r>
          </w:p>
        </w:tc>
        <w:tc>
          <w:tcPr>
            <w:tcW w:w="280" w:type="dxa"/>
            <w:vAlign w:val="bottom"/>
            <w:shd w:val="clear" w:color="auto" w:fill="E8F7F8"/>
          </w:tcPr>
          <w:p>
            <w:pPr>
              <w:spacing w:after="0"/>
              <w:rPr>
                <w:sz w:val="14"/>
                <w:szCs w:val="14"/>
                <w:color w:val="auto"/>
              </w:rPr>
            </w:pPr>
          </w:p>
        </w:tc>
        <w:tc>
          <w:tcPr>
            <w:tcW w:w="920" w:type="dxa"/>
            <w:vAlign w:val="bottom"/>
            <w:shd w:val="clear" w:color="auto" w:fill="E8F7F8"/>
          </w:tcPr>
          <w:p>
            <w:pPr>
              <w:jc w:val="center"/>
              <w:ind w:left="438"/>
              <w:spacing w:after="0"/>
              <w:rPr>
                <w:sz w:val="20"/>
                <w:szCs w:val="20"/>
                <w:color w:val="auto"/>
              </w:rPr>
            </w:pPr>
            <w:r>
              <w:rPr>
                <w:rFonts w:ascii="Arial" w:cs="Arial" w:eastAsia="Arial" w:hAnsi="Arial"/>
                <w:sz w:val="12"/>
                <w:szCs w:val="12"/>
                <w:color w:val="auto"/>
                <w:w w:val="99"/>
              </w:rPr>
              <w:t>2,879</w:t>
            </w:r>
          </w:p>
        </w:tc>
        <w:tc>
          <w:tcPr>
            <w:tcW w:w="460" w:type="dxa"/>
            <w:vAlign w:val="bottom"/>
            <w:tcBorders>
              <w:right w:val="single" w:sz="8" w:color="E8F7F8"/>
            </w:tcBorders>
            <w:shd w:val="clear" w:color="auto" w:fill="E8F7F8"/>
          </w:tcPr>
          <w:p>
            <w:pPr>
              <w:spacing w:after="0"/>
              <w:rPr>
                <w:sz w:val="14"/>
                <w:szCs w:val="14"/>
                <w:color w:val="auto"/>
              </w:rPr>
            </w:pPr>
          </w:p>
        </w:tc>
        <w:tc>
          <w:tcPr>
            <w:tcW w:w="1240" w:type="dxa"/>
            <w:vAlign w:val="bottom"/>
            <w:shd w:val="clear" w:color="auto" w:fill="E8F7F8"/>
          </w:tcPr>
          <w:p>
            <w:pPr>
              <w:jc w:val="center"/>
              <w:spacing w:after="0"/>
              <w:rPr>
                <w:sz w:val="20"/>
                <w:szCs w:val="20"/>
                <w:color w:val="auto"/>
              </w:rPr>
            </w:pPr>
            <w:r>
              <w:rPr>
                <w:rFonts w:ascii="Arial" w:cs="Arial" w:eastAsia="Arial" w:hAnsi="Arial"/>
                <w:sz w:val="12"/>
                <w:szCs w:val="12"/>
                <w:color w:val="auto"/>
                <w:w w:val="99"/>
              </w:rPr>
              <w:t>142</w:t>
            </w:r>
          </w:p>
        </w:tc>
        <w:tc>
          <w:tcPr>
            <w:tcW w:w="1380" w:type="dxa"/>
            <w:vAlign w:val="bottom"/>
            <w:tcBorders>
              <w:right w:val="single" w:sz="8" w:color="E8F7F8"/>
            </w:tcBorders>
            <w:shd w:val="clear" w:color="auto" w:fill="E8F7F8"/>
          </w:tcPr>
          <w:p>
            <w:pPr>
              <w:jc w:val="center"/>
              <w:spacing w:after="0"/>
              <w:rPr>
                <w:sz w:val="20"/>
                <w:szCs w:val="20"/>
                <w:color w:val="auto"/>
              </w:rPr>
            </w:pPr>
            <w:r>
              <w:rPr>
                <w:rFonts w:ascii="Arial" w:cs="Arial" w:eastAsia="Arial" w:hAnsi="Arial"/>
                <w:sz w:val="12"/>
                <w:szCs w:val="12"/>
                <w:color w:val="auto"/>
                <w:w w:val="99"/>
              </w:rPr>
              <w:t>152</w:t>
            </w:r>
          </w:p>
        </w:tc>
        <w:tc>
          <w:tcPr>
            <w:tcW w:w="1120" w:type="dxa"/>
            <w:vAlign w:val="bottom"/>
            <w:gridSpan w:val="2"/>
            <w:shd w:val="clear" w:color="auto" w:fill="E8F7F8"/>
          </w:tcPr>
          <w:p>
            <w:pPr>
              <w:jc w:val="center"/>
              <w:ind w:left="98"/>
              <w:spacing w:after="0"/>
              <w:rPr>
                <w:sz w:val="20"/>
                <w:szCs w:val="20"/>
                <w:color w:val="auto"/>
              </w:rPr>
            </w:pPr>
            <w:r>
              <w:rPr>
                <w:rFonts w:ascii="Arial" w:cs="Arial" w:eastAsia="Arial" w:hAnsi="Arial"/>
                <w:sz w:val="12"/>
                <w:szCs w:val="12"/>
                <w:color w:val="auto"/>
              </w:rPr>
              <w:t>271,215</w:t>
            </w:r>
          </w:p>
        </w:tc>
        <w:tc>
          <w:tcPr>
            <w:tcW w:w="1500" w:type="dxa"/>
            <w:vAlign w:val="bottom"/>
            <w:tcBorders>
              <w:right w:val="single" w:sz="8" w:color="auto"/>
            </w:tcBorders>
            <w:shd w:val="clear" w:color="auto" w:fill="E8F7F8"/>
          </w:tcPr>
          <w:p>
            <w:pPr>
              <w:jc w:val="center"/>
              <w:ind w:left="98"/>
              <w:spacing w:after="0"/>
              <w:rPr>
                <w:sz w:val="20"/>
                <w:szCs w:val="20"/>
                <w:color w:val="auto"/>
              </w:rPr>
            </w:pPr>
            <w:r>
              <w:rPr>
                <w:rFonts w:ascii="Arial" w:cs="Arial" w:eastAsia="Arial" w:hAnsi="Arial"/>
                <w:sz w:val="12"/>
                <w:szCs w:val="12"/>
                <w:color w:val="auto"/>
              </w:rPr>
              <w:t>1,014,065</w:t>
            </w:r>
          </w:p>
        </w:tc>
        <w:tc>
          <w:tcPr>
            <w:tcW w:w="0" w:type="dxa"/>
            <w:vAlign w:val="bottom"/>
          </w:tcPr>
          <w:p>
            <w:pPr>
              <w:spacing w:after="0"/>
              <w:rPr>
                <w:sz w:val="1"/>
                <w:szCs w:val="1"/>
                <w:color w:val="auto"/>
              </w:rPr>
            </w:pPr>
          </w:p>
        </w:tc>
      </w:tr>
      <w:tr>
        <w:trPr>
          <w:trHeight w:val="172"/>
        </w:trPr>
        <w:tc>
          <w:tcPr>
            <w:tcW w:w="800" w:type="dxa"/>
            <w:vAlign w:val="bottom"/>
            <w:tcBorders>
              <w:left w:val="single" w:sz="8" w:color="auto"/>
              <w:bottom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w w:val="97"/>
              </w:rPr>
              <w:t>2022</w:t>
            </w:r>
          </w:p>
        </w:tc>
        <w:tc>
          <w:tcPr>
            <w:tcW w:w="132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11,866</w:t>
            </w:r>
          </w:p>
        </w:tc>
        <w:tc>
          <w:tcPr>
            <w:tcW w:w="800" w:type="dxa"/>
            <w:vAlign w:val="bottom"/>
            <w:tcBorders>
              <w:bottom w:val="single" w:sz="8" w:color="auto"/>
            </w:tcBorders>
            <w:shd w:val="clear" w:color="auto" w:fill="CCEEF0"/>
          </w:tcPr>
          <w:p>
            <w:pPr>
              <w:jc w:val="center"/>
              <w:ind w:left="398"/>
              <w:spacing w:after="0"/>
              <w:rPr>
                <w:sz w:val="20"/>
                <w:szCs w:val="20"/>
                <w:color w:val="auto"/>
              </w:rPr>
            </w:pPr>
            <w:r>
              <w:rPr>
                <w:rFonts w:ascii="Arial" w:cs="Arial" w:eastAsia="Arial" w:hAnsi="Arial"/>
                <w:sz w:val="12"/>
                <w:szCs w:val="12"/>
                <w:color w:val="auto"/>
                <w:w w:val="99"/>
              </w:rPr>
              <w:t>9,938</w:t>
            </w:r>
          </w:p>
        </w:tc>
        <w:tc>
          <w:tcPr>
            <w:tcW w:w="500" w:type="dxa"/>
            <w:vAlign w:val="bottom"/>
            <w:tcBorders>
              <w:bottom w:val="single" w:sz="8" w:color="auto"/>
            </w:tcBorders>
            <w:shd w:val="clear" w:color="auto" w:fill="CCEEF0"/>
          </w:tcPr>
          <w:p>
            <w:pPr>
              <w:spacing w:after="0"/>
              <w:rPr>
                <w:sz w:val="14"/>
                <w:szCs w:val="14"/>
                <w:color w:val="auto"/>
              </w:rPr>
            </w:pPr>
          </w:p>
        </w:tc>
        <w:tc>
          <w:tcPr>
            <w:tcW w:w="940" w:type="dxa"/>
            <w:vAlign w:val="bottom"/>
            <w:tcBorders>
              <w:bottom w:val="single" w:sz="8" w:color="auto"/>
            </w:tcBorders>
            <w:shd w:val="clear" w:color="auto" w:fill="CCEEF0"/>
          </w:tcPr>
          <w:p>
            <w:pPr>
              <w:jc w:val="center"/>
              <w:ind w:left="241"/>
              <w:spacing w:after="0"/>
              <w:rPr>
                <w:sz w:val="20"/>
                <w:szCs w:val="20"/>
                <w:color w:val="auto"/>
              </w:rPr>
            </w:pPr>
            <w:r>
              <w:rPr>
                <w:rFonts w:ascii="Arial" w:cs="Arial" w:eastAsia="Arial" w:hAnsi="Arial"/>
                <w:sz w:val="12"/>
                <w:szCs w:val="12"/>
                <w:color w:val="auto"/>
              </w:rPr>
              <w:t>3,125</w:t>
            </w:r>
          </w:p>
        </w:tc>
        <w:tc>
          <w:tcPr>
            <w:tcW w:w="280" w:type="dxa"/>
            <w:vAlign w:val="bottom"/>
            <w:tcBorders>
              <w:bottom w:val="single" w:sz="8" w:color="auto"/>
            </w:tcBorders>
            <w:shd w:val="clear" w:color="auto" w:fill="CCEEF0"/>
          </w:tcPr>
          <w:p>
            <w:pPr>
              <w:spacing w:after="0"/>
              <w:rPr>
                <w:sz w:val="14"/>
                <w:szCs w:val="14"/>
                <w:color w:val="auto"/>
              </w:rPr>
            </w:pPr>
          </w:p>
        </w:tc>
        <w:tc>
          <w:tcPr>
            <w:tcW w:w="920" w:type="dxa"/>
            <w:vAlign w:val="bottom"/>
            <w:tcBorders>
              <w:bottom w:val="single" w:sz="8" w:color="auto"/>
            </w:tcBorders>
            <w:shd w:val="clear" w:color="auto" w:fill="CCEEF0"/>
          </w:tcPr>
          <w:p>
            <w:pPr>
              <w:jc w:val="center"/>
              <w:ind w:left="438"/>
              <w:spacing w:after="0"/>
              <w:rPr>
                <w:sz w:val="20"/>
                <w:szCs w:val="20"/>
                <w:color w:val="auto"/>
              </w:rPr>
            </w:pPr>
            <w:r>
              <w:rPr>
                <w:rFonts w:ascii="Arial" w:cs="Arial" w:eastAsia="Arial" w:hAnsi="Arial"/>
                <w:sz w:val="12"/>
                <w:szCs w:val="12"/>
                <w:color w:val="auto"/>
                <w:w w:val="99"/>
              </w:rPr>
              <w:t>3,019</w:t>
            </w:r>
          </w:p>
        </w:tc>
        <w:tc>
          <w:tcPr>
            <w:tcW w:w="460" w:type="dxa"/>
            <w:vAlign w:val="bottom"/>
            <w:tcBorders>
              <w:bottom w:val="single" w:sz="8" w:color="auto"/>
              <w:right w:val="single" w:sz="8" w:color="CCEEF0"/>
            </w:tcBorders>
            <w:shd w:val="clear" w:color="auto" w:fill="CCEEF0"/>
          </w:tcPr>
          <w:p>
            <w:pPr>
              <w:spacing w:after="0"/>
              <w:rPr>
                <w:sz w:val="14"/>
                <w:szCs w:val="14"/>
                <w:color w:val="auto"/>
              </w:rPr>
            </w:pPr>
          </w:p>
        </w:tc>
        <w:tc>
          <w:tcPr>
            <w:tcW w:w="124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w w:val="99"/>
              </w:rPr>
              <w:t>132</w:t>
            </w:r>
          </w:p>
        </w:tc>
        <w:tc>
          <w:tcPr>
            <w:tcW w:w="1380" w:type="dxa"/>
            <w:vAlign w:val="bottom"/>
            <w:tcBorders>
              <w:bottom w:val="single" w:sz="8" w:color="auto"/>
              <w:right w:val="single" w:sz="8" w:color="CCEEF0"/>
            </w:tcBorders>
            <w:shd w:val="clear" w:color="auto" w:fill="CCEEF0"/>
          </w:tcPr>
          <w:p>
            <w:pPr>
              <w:jc w:val="center"/>
              <w:spacing w:after="0"/>
              <w:rPr>
                <w:sz w:val="20"/>
                <w:szCs w:val="20"/>
                <w:color w:val="auto"/>
              </w:rPr>
            </w:pPr>
            <w:r>
              <w:rPr>
                <w:rFonts w:ascii="Arial" w:cs="Arial" w:eastAsia="Arial" w:hAnsi="Arial"/>
                <w:sz w:val="12"/>
                <w:szCs w:val="12"/>
                <w:color w:val="auto"/>
                <w:w w:val="99"/>
              </w:rPr>
              <w:t>181</w:t>
            </w:r>
          </w:p>
        </w:tc>
        <w:tc>
          <w:tcPr>
            <w:tcW w:w="1120" w:type="dxa"/>
            <w:vAlign w:val="bottom"/>
            <w:tcBorders>
              <w:bottom w:val="single" w:sz="8" w:color="auto"/>
            </w:tcBorders>
            <w:gridSpan w:val="2"/>
            <w:shd w:val="clear" w:color="auto" w:fill="CCEEF0"/>
          </w:tcPr>
          <w:p>
            <w:pPr>
              <w:jc w:val="center"/>
              <w:ind w:left="98"/>
              <w:spacing w:after="0"/>
              <w:rPr>
                <w:sz w:val="20"/>
                <w:szCs w:val="20"/>
                <w:color w:val="auto"/>
              </w:rPr>
            </w:pPr>
            <w:r>
              <w:rPr>
                <w:rFonts w:ascii="Arial" w:cs="Arial" w:eastAsia="Arial" w:hAnsi="Arial"/>
                <w:sz w:val="12"/>
                <w:szCs w:val="12"/>
                <w:color w:val="auto"/>
              </w:rPr>
              <w:t>466,577</w:t>
            </w:r>
          </w:p>
        </w:tc>
        <w:tc>
          <w:tcPr>
            <w:tcW w:w="1500" w:type="dxa"/>
            <w:vAlign w:val="bottom"/>
            <w:tcBorders>
              <w:bottom w:val="single" w:sz="8" w:color="auto"/>
              <w:right w:val="single" w:sz="8" w:color="auto"/>
            </w:tcBorders>
            <w:shd w:val="clear" w:color="auto" w:fill="CCEEF0"/>
          </w:tcPr>
          <w:p>
            <w:pPr>
              <w:jc w:val="center"/>
              <w:ind w:left="98"/>
              <w:spacing w:after="0"/>
              <w:rPr>
                <w:sz w:val="20"/>
                <w:szCs w:val="20"/>
                <w:color w:val="auto"/>
              </w:rPr>
            </w:pPr>
            <w:r>
              <w:rPr>
                <w:rFonts w:ascii="Arial" w:cs="Arial" w:eastAsia="Arial" w:hAnsi="Arial"/>
                <w:sz w:val="12"/>
                <w:szCs w:val="12"/>
                <w:color w:val="auto"/>
              </w:rPr>
              <w:t>935,088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60" w:right="20" w:hanging="395"/>
        <w:spacing w:after="0" w:line="293" w:lineRule="auto"/>
        <w:tabs>
          <w:tab w:leader="none" w:pos="563" w:val="left"/>
        </w:tabs>
        <w:numPr>
          <w:ilvl w:val="0"/>
          <w:numId w:val="63"/>
        </w:numPr>
        <w:rPr>
          <w:rFonts w:ascii="Arial" w:cs="Arial" w:eastAsia="Arial" w:hAnsi="Arial"/>
          <w:sz w:val="13"/>
          <w:szCs w:val="13"/>
          <w:color w:val="auto"/>
        </w:rPr>
      </w:pPr>
      <w:r>
        <w:rPr>
          <w:rFonts w:ascii="Arial" w:cs="Arial" w:eastAsia="Arial" w:hAnsi="Arial"/>
          <w:sz w:val="13"/>
          <w:szCs w:val="13"/>
          <w:color w:val="auto"/>
        </w:rPr>
        <w:t>Horacio D. Rozanski is our principal executive officer (PEO) for fiscal years 2022, 2023, 2024, 2025, and 2026. The individuals comprising the non-PEO named executive officers (“Non-PEO NEOs”) for each year presented are listed below.</w:t>
      </w:r>
    </w:p>
    <w:p>
      <w:pPr>
        <w:spacing w:after="0" w:line="146"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1360" w:type="dxa"/>
            <w:vAlign w:val="bottom"/>
          </w:tcPr>
          <w:p>
            <w:pPr>
              <w:jc w:val="center"/>
              <w:ind w:right="218"/>
              <w:spacing w:after="0"/>
              <w:rPr>
                <w:sz w:val="20"/>
                <w:szCs w:val="20"/>
                <w:color w:val="auto"/>
              </w:rPr>
            </w:pPr>
            <w:r>
              <w:rPr>
                <w:rFonts w:ascii="Arial" w:cs="Arial" w:eastAsia="Arial" w:hAnsi="Arial"/>
                <w:sz w:val="12"/>
                <w:szCs w:val="12"/>
                <w:b w:val="1"/>
                <w:bCs w:val="1"/>
                <w:color w:val="auto"/>
              </w:rPr>
              <w:t>2022</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7"/>
              </w:rPr>
              <w:t>2023</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7"/>
              </w:rPr>
              <w:t>2024</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7"/>
              </w:rPr>
              <w:t>2025</w:t>
            </w:r>
          </w:p>
        </w:tc>
        <w:tc>
          <w:tcPr>
            <w:tcW w:w="1540" w:type="dxa"/>
            <w:vAlign w:val="bottom"/>
          </w:tcPr>
          <w:p>
            <w:pPr>
              <w:jc w:val="center"/>
              <w:ind w:left="138"/>
              <w:spacing w:after="0"/>
              <w:rPr>
                <w:sz w:val="20"/>
                <w:szCs w:val="20"/>
                <w:color w:val="auto"/>
              </w:rPr>
            </w:pPr>
            <w:r>
              <w:rPr>
                <w:rFonts w:ascii="Arial" w:cs="Arial" w:eastAsia="Arial" w:hAnsi="Arial"/>
                <w:sz w:val="12"/>
                <w:szCs w:val="12"/>
                <w:b w:val="1"/>
                <w:bCs w:val="1"/>
                <w:color w:val="auto"/>
                <w:w w:val="97"/>
              </w:rPr>
              <w:t>2026</w:t>
            </w:r>
          </w:p>
        </w:tc>
      </w:tr>
      <w:tr>
        <w:trPr>
          <w:trHeight w:val="166"/>
        </w:trPr>
        <w:tc>
          <w:tcPr>
            <w:tcW w:w="1360" w:type="dxa"/>
            <w:vAlign w:val="bottom"/>
          </w:tcPr>
          <w:p>
            <w:pPr>
              <w:jc w:val="center"/>
              <w:ind w:right="218"/>
              <w:spacing w:after="0"/>
              <w:rPr>
                <w:sz w:val="20"/>
                <w:szCs w:val="20"/>
                <w:color w:val="auto"/>
              </w:rPr>
            </w:pPr>
            <w:r>
              <w:rPr>
                <w:rFonts w:ascii="Arial" w:cs="Arial" w:eastAsia="Arial" w:hAnsi="Arial"/>
                <w:sz w:val="12"/>
                <w:szCs w:val="12"/>
                <w:color w:val="auto"/>
              </w:rPr>
              <w:t>Lloyd W. Howell, Jr.</w:t>
            </w:r>
          </w:p>
        </w:tc>
        <w:tc>
          <w:tcPr>
            <w:tcW w:w="1840" w:type="dxa"/>
            <w:vAlign w:val="bottom"/>
          </w:tcPr>
          <w:p>
            <w:pPr>
              <w:jc w:val="center"/>
              <w:spacing w:after="0"/>
              <w:rPr>
                <w:sz w:val="20"/>
                <w:szCs w:val="20"/>
                <w:color w:val="auto"/>
              </w:rPr>
            </w:pPr>
            <w:r>
              <w:rPr>
                <w:rFonts w:ascii="Arial" w:cs="Arial" w:eastAsia="Arial" w:hAnsi="Arial"/>
                <w:sz w:val="12"/>
                <w:szCs w:val="12"/>
                <w:color w:val="auto"/>
              </w:rPr>
              <w:t>Matthew A. Calderone</w:t>
            </w:r>
          </w:p>
        </w:tc>
        <w:tc>
          <w:tcPr>
            <w:tcW w:w="1760" w:type="dxa"/>
            <w:vAlign w:val="bottom"/>
          </w:tcPr>
          <w:p>
            <w:pPr>
              <w:jc w:val="center"/>
              <w:spacing w:after="0"/>
              <w:rPr>
                <w:sz w:val="20"/>
                <w:szCs w:val="20"/>
                <w:color w:val="auto"/>
              </w:rPr>
            </w:pPr>
            <w:r>
              <w:rPr>
                <w:rFonts w:ascii="Arial" w:cs="Arial" w:eastAsia="Arial" w:hAnsi="Arial"/>
                <w:sz w:val="12"/>
                <w:szCs w:val="12"/>
                <w:color w:val="auto"/>
              </w:rPr>
              <w:t>Matthew A. Calderone</w:t>
            </w:r>
          </w:p>
        </w:tc>
        <w:tc>
          <w:tcPr>
            <w:tcW w:w="1760" w:type="dxa"/>
            <w:vAlign w:val="bottom"/>
          </w:tcPr>
          <w:p>
            <w:pPr>
              <w:jc w:val="center"/>
              <w:spacing w:after="0"/>
              <w:rPr>
                <w:sz w:val="20"/>
                <w:szCs w:val="20"/>
                <w:color w:val="auto"/>
              </w:rPr>
            </w:pPr>
            <w:r>
              <w:rPr>
                <w:rFonts w:ascii="Arial" w:cs="Arial" w:eastAsia="Arial" w:hAnsi="Arial"/>
                <w:sz w:val="12"/>
                <w:szCs w:val="12"/>
                <w:color w:val="auto"/>
              </w:rPr>
              <w:t>Matthew A. Calderone</w:t>
            </w:r>
          </w:p>
        </w:tc>
        <w:tc>
          <w:tcPr>
            <w:tcW w:w="1540" w:type="dxa"/>
            <w:vAlign w:val="bottom"/>
          </w:tcPr>
          <w:p>
            <w:pPr>
              <w:jc w:val="center"/>
              <w:ind w:left="138"/>
              <w:spacing w:after="0"/>
              <w:rPr>
                <w:sz w:val="20"/>
                <w:szCs w:val="20"/>
                <w:color w:val="auto"/>
              </w:rPr>
            </w:pPr>
            <w:r>
              <w:rPr>
                <w:rFonts w:ascii="Arial" w:cs="Arial" w:eastAsia="Arial" w:hAnsi="Arial"/>
                <w:sz w:val="12"/>
                <w:szCs w:val="12"/>
                <w:color w:val="auto"/>
              </w:rPr>
              <w:t>Kristine Martin Anderson</w:t>
            </w:r>
          </w:p>
        </w:tc>
      </w:tr>
      <w:tr>
        <w:trPr>
          <w:trHeight w:val="172"/>
        </w:trPr>
        <w:tc>
          <w:tcPr>
            <w:tcW w:w="1360" w:type="dxa"/>
            <w:vAlign w:val="bottom"/>
          </w:tcPr>
          <w:p>
            <w:pPr>
              <w:jc w:val="center"/>
              <w:ind w:right="198"/>
              <w:spacing w:after="0"/>
              <w:rPr>
                <w:sz w:val="20"/>
                <w:szCs w:val="20"/>
                <w:color w:val="auto"/>
              </w:rPr>
            </w:pPr>
            <w:r>
              <w:rPr>
                <w:rFonts w:ascii="Arial" w:cs="Arial" w:eastAsia="Arial" w:hAnsi="Arial"/>
                <w:sz w:val="12"/>
                <w:szCs w:val="12"/>
                <w:color w:val="auto"/>
              </w:rPr>
              <w:t>Karen M. Dahut</w:t>
            </w:r>
          </w:p>
        </w:tc>
        <w:tc>
          <w:tcPr>
            <w:tcW w:w="1840" w:type="dxa"/>
            <w:vAlign w:val="bottom"/>
          </w:tcPr>
          <w:p>
            <w:pPr>
              <w:jc w:val="center"/>
              <w:spacing w:after="0"/>
              <w:rPr>
                <w:sz w:val="20"/>
                <w:szCs w:val="20"/>
                <w:color w:val="auto"/>
              </w:rPr>
            </w:pPr>
            <w:r>
              <w:rPr>
                <w:rFonts w:ascii="Arial" w:cs="Arial" w:eastAsia="Arial" w:hAnsi="Arial"/>
                <w:sz w:val="12"/>
                <w:szCs w:val="12"/>
                <w:color w:val="auto"/>
              </w:rPr>
              <w:t>Kristine Martin Anderson</w:t>
            </w:r>
          </w:p>
        </w:tc>
        <w:tc>
          <w:tcPr>
            <w:tcW w:w="1760" w:type="dxa"/>
            <w:vAlign w:val="bottom"/>
          </w:tcPr>
          <w:p>
            <w:pPr>
              <w:jc w:val="center"/>
              <w:spacing w:after="0"/>
              <w:rPr>
                <w:sz w:val="20"/>
                <w:szCs w:val="20"/>
                <w:color w:val="auto"/>
              </w:rPr>
            </w:pPr>
            <w:r>
              <w:rPr>
                <w:rFonts w:ascii="Arial" w:cs="Arial" w:eastAsia="Arial" w:hAnsi="Arial"/>
                <w:sz w:val="12"/>
                <w:szCs w:val="12"/>
                <w:color w:val="auto"/>
              </w:rPr>
              <w:t>Kristine Martin Anderson</w:t>
            </w:r>
          </w:p>
        </w:tc>
        <w:tc>
          <w:tcPr>
            <w:tcW w:w="1760" w:type="dxa"/>
            <w:vAlign w:val="bottom"/>
          </w:tcPr>
          <w:p>
            <w:pPr>
              <w:jc w:val="center"/>
              <w:spacing w:after="0"/>
              <w:rPr>
                <w:sz w:val="20"/>
                <w:szCs w:val="20"/>
                <w:color w:val="auto"/>
              </w:rPr>
            </w:pPr>
            <w:r>
              <w:rPr>
                <w:rFonts w:ascii="Arial" w:cs="Arial" w:eastAsia="Arial" w:hAnsi="Arial"/>
                <w:sz w:val="12"/>
                <w:szCs w:val="12"/>
                <w:color w:val="auto"/>
              </w:rPr>
              <w:t>Kristine Martin Anderson</w:t>
            </w:r>
          </w:p>
        </w:tc>
        <w:tc>
          <w:tcPr>
            <w:tcW w:w="1540" w:type="dxa"/>
            <w:vAlign w:val="bottom"/>
          </w:tcPr>
          <w:p>
            <w:pPr>
              <w:jc w:val="center"/>
              <w:ind w:left="138"/>
              <w:spacing w:after="0"/>
              <w:rPr>
                <w:sz w:val="20"/>
                <w:szCs w:val="20"/>
                <w:color w:val="auto"/>
              </w:rPr>
            </w:pPr>
            <w:r>
              <w:rPr>
                <w:rFonts w:ascii="Arial" w:cs="Arial" w:eastAsia="Arial" w:hAnsi="Arial"/>
                <w:sz w:val="12"/>
                <w:szCs w:val="12"/>
                <w:color w:val="auto"/>
              </w:rPr>
              <w:t>Richard C. Crowe</w:t>
            </w:r>
          </w:p>
        </w:tc>
      </w:tr>
      <w:tr>
        <w:trPr>
          <w:trHeight w:val="172"/>
        </w:trPr>
        <w:tc>
          <w:tcPr>
            <w:tcW w:w="1360" w:type="dxa"/>
            <w:vAlign w:val="bottom"/>
          </w:tcPr>
          <w:p>
            <w:pPr>
              <w:jc w:val="center"/>
              <w:ind w:right="198"/>
              <w:spacing w:after="0"/>
              <w:rPr>
                <w:sz w:val="20"/>
                <w:szCs w:val="20"/>
                <w:color w:val="auto"/>
              </w:rPr>
            </w:pPr>
            <w:r>
              <w:rPr>
                <w:rFonts w:ascii="Arial" w:cs="Arial" w:eastAsia="Arial" w:hAnsi="Arial"/>
                <w:sz w:val="12"/>
                <w:szCs w:val="12"/>
                <w:color w:val="auto"/>
              </w:rPr>
              <w:t>Nancy J. Laben</w:t>
            </w:r>
          </w:p>
        </w:tc>
        <w:tc>
          <w:tcPr>
            <w:tcW w:w="1840" w:type="dxa"/>
            <w:vAlign w:val="bottom"/>
          </w:tcPr>
          <w:p>
            <w:pPr>
              <w:jc w:val="center"/>
              <w:spacing w:after="0"/>
              <w:rPr>
                <w:sz w:val="20"/>
                <w:szCs w:val="20"/>
                <w:color w:val="auto"/>
              </w:rPr>
            </w:pPr>
            <w:r>
              <w:rPr>
                <w:rFonts w:ascii="Arial" w:cs="Arial" w:eastAsia="Arial" w:hAnsi="Arial"/>
                <w:sz w:val="12"/>
                <w:szCs w:val="12"/>
                <w:color w:val="auto"/>
              </w:rPr>
              <w:t>Judith H. Dotson</w:t>
            </w:r>
          </w:p>
        </w:tc>
        <w:tc>
          <w:tcPr>
            <w:tcW w:w="1760" w:type="dxa"/>
            <w:vAlign w:val="bottom"/>
          </w:tcPr>
          <w:p>
            <w:pPr>
              <w:jc w:val="center"/>
              <w:spacing w:after="0"/>
              <w:rPr>
                <w:sz w:val="20"/>
                <w:szCs w:val="20"/>
                <w:color w:val="auto"/>
              </w:rPr>
            </w:pPr>
            <w:r>
              <w:rPr>
                <w:rFonts w:ascii="Arial" w:cs="Arial" w:eastAsia="Arial" w:hAnsi="Arial"/>
                <w:sz w:val="12"/>
                <w:szCs w:val="12"/>
                <w:color w:val="auto"/>
              </w:rPr>
              <w:t>Judith H. Dotson</w:t>
            </w:r>
          </w:p>
        </w:tc>
        <w:tc>
          <w:tcPr>
            <w:tcW w:w="1760" w:type="dxa"/>
            <w:vAlign w:val="bottom"/>
          </w:tcPr>
          <w:p>
            <w:pPr>
              <w:jc w:val="center"/>
              <w:spacing w:after="0"/>
              <w:rPr>
                <w:sz w:val="20"/>
                <w:szCs w:val="20"/>
                <w:color w:val="auto"/>
              </w:rPr>
            </w:pPr>
            <w:r>
              <w:rPr>
                <w:rFonts w:ascii="Arial" w:cs="Arial" w:eastAsia="Arial" w:hAnsi="Arial"/>
                <w:sz w:val="12"/>
                <w:szCs w:val="12"/>
                <w:color w:val="auto"/>
              </w:rPr>
              <w:t>Richard C. Crowe</w:t>
            </w:r>
          </w:p>
        </w:tc>
        <w:tc>
          <w:tcPr>
            <w:tcW w:w="1540" w:type="dxa"/>
            <w:vAlign w:val="bottom"/>
          </w:tcPr>
          <w:p>
            <w:pPr>
              <w:jc w:val="center"/>
              <w:ind w:left="138"/>
              <w:spacing w:after="0"/>
              <w:rPr>
                <w:sz w:val="20"/>
                <w:szCs w:val="20"/>
                <w:color w:val="auto"/>
              </w:rPr>
            </w:pPr>
            <w:r>
              <w:rPr>
                <w:rFonts w:ascii="Arial" w:cs="Arial" w:eastAsia="Arial" w:hAnsi="Arial"/>
                <w:sz w:val="12"/>
                <w:szCs w:val="12"/>
                <w:color w:val="auto"/>
              </w:rPr>
              <w:t>Andrea D. Inserra</w:t>
            </w:r>
          </w:p>
        </w:tc>
      </w:tr>
      <w:tr>
        <w:trPr>
          <w:trHeight w:val="172"/>
        </w:trPr>
        <w:tc>
          <w:tcPr>
            <w:tcW w:w="1360" w:type="dxa"/>
            <w:vAlign w:val="bottom"/>
          </w:tcPr>
          <w:p>
            <w:pPr>
              <w:jc w:val="center"/>
              <w:ind w:right="218"/>
              <w:spacing w:after="0"/>
              <w:rPr>
                <w:sz w:val="20"/>
                <w:szCs w:val="20"/>
                <w:color w:val="auto"/>
              </w:rPr>
            </w:pPr>
            <w:r>
              <w:rPr>
                <w:rFonts w:ascii="Arial" w:cs="Arial" w:eastAsia="Arial" w:hAnsi="Arial"/>
                <w:sz w:val="12"/>
                <w:szCs w:val="12"/>
                <w:color w:val="auto"/>
              </w:rPr>
              <w:t>Susan L. Penfield</w:t>
            </w:r>
          </w:p>
        </w:tc>
        <w:tc>
          <w:tcPr>
            <w:tcW w:w="1840" w:type="dxa"/>
            <w:vAlign w:val="bottom"/>
          </w:tcPr>
          <w:p>
            <w:pPr>
              <w:jc w:val="center"/>
              <w:spacing w:after="0"/>
              <w:rPr>
                <w:sz w:val="20"/>
                <w:szCs w:val="20"/>
                <w:color w:val="auto"/>
              </w:rPr>
            </w:pPr>
            <w:r>
              <w:rPr>
                <w:rFonts w:ascii="Arial" w:cs="Arial" w:eastAsia="Arial" w:hAnsi="Arial"/>
                <w:sz w:val="12"/>
                <w:szCs w:val="12"/>
                <w:color w:val="auto"/>
              </w:rPr>
              <w:t>Nancy J. Laben</w:t>
            </w:r>
          </w:p>
        </w:tc>
        <w:tc>
          <w:tcPr>
            <w:tcW w:w="1760" w:type="dxa"/>
            <w:vAlign w:val="bottom"/>
          </w:tcPr>
          <w:p>
            <w:pPr>
              <w:jc w:val="center"/>
              <w:spacing w:after="0"/>
              <w:rPr>
                <w:sz w:val="20"/>
                <w:szCs w:val="20"/>
                <w:color w:val="auto"/>
              </w:rPr>
            </w:pPr>
            <w:r>
              <w:rPr>
                <w:rFonts w:ascii="Arial" w:cs="Arial" w:eastAsia="Arial" w:hAnsi="Arial"/>
                <w:sz w:val="12"/>
                <w:szCs w:val="12"/>
                <w:color w:val="auto"/>
              </w:rPr>
              <w:t>Nancy J. Laben</w:t>
            </w:r>
          </w:p>
        </w:tc>
        <w:tc>
          <w:tcPr>
            <w:tcW w:w="1760" w:type="dxa"/>
            <w:vAlign w:val="bottom"/>
          </w:tcPr>
          <w:p>
            <w:pPr>
              <w:jc w:val="center"/>
              <w:spacing w:after="0"/>
              <w:rPr>
                <w:sz w:val="20"/>
                <w:szCs w:val="20"/>
                <w:color w:val="auto"/>
              </w:rPr>
            </w:pPr>
            <w:r>
              <w:rPr>
                <w:rFonts w:ascii="Arial" w:cs="Arial" w:eastAsia="Arial" w:hAnsi="Arial"/>
                <w:sz w:val="12"/>
                <w:szCs w:val="12"/>
                <w:color w:val="auto"/>
              </w:rPr>
              <w:t>Nancy J. Laben</w:t>
            </w:r>
          </w:p>
        </w:tc>
        <w:tc>
          <w:tcPr>
            <w:tcW w:w="1540" w:type="dxa"/>
            <w:vAlign w:val="bottom"/>
          </w:tcPr>
          <w:p>
            <w:pPr>
              <w:jc w:val="center"/>
              <w:ind w:left="138"/>
              <w:spacing w:after="0"/>
              <w:rPr>
                <w:sz w:val="20"/>
                <w:szCs w:val="20"/>
                <w:color w:val="auto"/>
              </w:rPr>
            </w:pPr>
            <w:r>
              <w:rPr>
                <w:rFonts w:ascii="Arial" w:cs="Arial" w:eastAsia="Arial" w:hAnsi="Arial"/>
                <w:sz w:val="12"/>
                <w:szCs w:val="12"/>
                <w:color w:val="auto"/>
              </w:rPr>
              <w:t>Thomas J. Pfeifer</w:t>
            </w:r>
          </w:p>
        </w:tc>
      </w:tr>
      <w:tr>
        <w:trPr>
          <w:trHeight w:val="172"/>
        </w:trPr>
        <w:tc>
          <w:tcPr>
            <w:tcW w:w="1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2"/>
                <w:szCs w:val="12"/>
                <w:color w:val="auto"/>
              </w:rPr>
              <w:t>Karen M. Dahut</w:t>
            </w: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center"/>
              <w:ind w:left="138"/>
              <w:spacing w:after="0"/>
              <w:rPr>
                <w:sz w:val="20"/>
                <w:szCs w:val="20"/>
                <w:color w:val="auto"/>
              </w:rPr>
            </w:pPr>
            <w:r>
              <w:rPr>
                <w:rFonts w:ascii="Arial" w:cs="Arial" w:eastAsia="Arial" w:hAnsi="Arial"/>
                <w:sz w:val="12"/>
                <w:szCs w:val="12"/>
                <w:color w:val="auto"/>
              </w:rPr>
              <w:t>Matthew A. Calderone</w:t>
            </w:r>
          </w:p>
        </w:tc>
      </w:tr>
      <w:tr>
        <w:trPr>
          <w:trHeight w:val="172"/>
        </w:trPr>
        <w:tc>
          <w:tcPr>
            <w:tcW w:w="13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2"/>
                <w:szCs w:val="12"/>
                <w:color w:val="auto"/>
                <w:w w:val="99"/>
              </w:rPr>
              <w:t>Lloyd W. Howell, Jr.</w:t>
            </w: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86" w:lineRule="exact"/>
        <w:rPr>
          <w:sz w:val="20"/>
          <w:szCs w:val="20"/>
          <w:color w:val="auto"/>
        </w:rPr>
      </w:pPr>
    </w:p>
    <w:p>
      <w:pPr>
        <w:ind w:left="560" w:right="260" w:hanging="395"/>
        <w:spacing w:after="0" w:line="263" w:lineRule="auto"/>
        <w:tabs>
          <w:tab w:leader="none" w:pos="563" w:val="left"/>
        </w:tabs>
        <w:numPr>
          <w:ilvl w:val="0"/>
          <w:numId w:val="64"/>
        </w:numPr>
        <w:rPr>
          <w:rFonts w:ascii="Arial" w:cs="Arial" w:eastAsia="Arial" w:hAnsi="Arial"/>
          <w:sz w:val="13"/>
          <w:szCs w:val="13"/>
          <w:color w:val="auto"/>
        </w:rPr>
      </w:pPr>
      <w:r>
        <w:rPr>
          <w:rFonts w:ascii="Arial" w:cs="Arial" w:eastAsia="Arial" w:hAnsi="Arial"/>
          <w:sz w:val="13"/>
          <w:szCs w:val="13"/>
          <w:color w:val="auto"/>
        </w:rPr>
        <w:t>Amounts shown for "Summary Compensation Table" total for each applicable fiscal year (i) for the PEO, are the amounts of total compensation as reported in the Summary Compensation Table for the PEO, and (ii) for the Non-PEO NEOs, are the average of the amounts of total compensation as reported in the Summary Compensation Table for such Non-PEO NEOs.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66666"/>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040" w:right="319" w:bottom="1440" w:gutter="0" w:footer="0" w:header="0"/>
        </w:sectPr>
      </w:pPr>
    </w:p>
    <w:bookmarkStart w:id="73" w:name="page74"/>
    <w:bookmarkEnd w:id="73"/>
    <w:p>
      <w:pPr>
        <w:jc w:val="both"/>
        <w:ind w:left="400" w:hanging="395"/>
        <w:spacing w:after="0" w:line="274" w:lineRule="auto"/>
        <w:tabs>
          <w:tab w:leader="none" w:pos="403"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shown for CAP are computed in accordance with Item 402(v) of Regulation S-K under the Exchange Act and do not reflect the actual amount of compensation earned by or paid to the NEOs during the applicable year. These amounts reflect total compensation for the PEO and average total compensation for Non-PEO NEOs as reported in the Summary Compensation Table, with certain adjustments as required by Item 402(v) of Regulation S-K and described in footnote 5 below.</w:t>
      </w:r>
    </w:p>
    <w:p>
      <w:pPr>
        <w:spacing w:after="0" w:line="70" w:lineRule="exact"/>
        <w:rPr>
          <w:rFonts w:ascii="Arial" w:cs="Arial" w:eastAsia="Arial" w:hAnsi="Arial"/>
          <w:sz w:val="13"/>
          <w:szCs w:val="13"/>
          <w:color w:val="auto"/>
        </w:rPr>
      </w:pPr>
    </w:p>
    <w:p>
      <w:pPr>
        <w:ind w:left="400" w:hanging="395"/>
        <w:spacing w:after="0" w:line="293" w:lineRule="auto"/>
        <w:tabs>
          <w:tab w:leader="none" w:pos="403"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For the portion of CAP that is based on year-end stock prices, $78.03 was used for fiscal year 2026, $104.58 was used for fiscal year 2025, $148.44 was used for fiscal year 2024, $92.69 was used for fiscal year 2023, and $87.84 was used for fiscal year 2022.</w:t>
      </w:r>
    </w:p>
    <w:p>
      <w:pPr>
        <w:spacing w:after="0" w:line="58" w:lineRule="exact"/>
        <w:rPr>
          <w:rFonts w:ascii="Arial" w:cs="Arial" w:eastAsia="Arial" w:hAnsi="Arial"/>
          <w:sz w:val="13"/>
          <w:szCs w:val="13"/>
          <w:color w:val="auto"/>
        </w:rPr>
      </w:pPr>
    </w:p>
    <w:p>
      <w:pPr>
        <w:jc w:val="both"/>
        <w:ind w:left="400" w:hanging="395"/>
        <w:spacing w:after="0" w:line="264" w:lineRule="auto"/>
        <w:tabs>
          <w:tab w:leader="none" w:pos="403" w:val="left"/>
        </w:tabs>
        <w:numPr>
          <w:ilvl w:val="0"/>
          <w:numId w:val="65"/>
        </w:numPr>
        <w:rPr>
          <w:rFonts w:ascii="Arial" w:cs="Arial" w:eastAsia="Arial" w:hAnsi="Arial"/>
          <w:sz w:val="13"/>
          <w:szCs w:val="13"/>
          <w:color w:val="auto"/>
        </w:rPr>
      </w:pPr>
      <w:r>
        <w:rPr>
          <w:rFonts w:ascii="Arial" w:cs="Arial" w:eastAsia="Arial" w:hAnsi="Arial"/>
          <w:sz w:val="13"/>
          <w:szCs w:val="13"/>
          <w:color w:val="auto"/>
        </w:rPr>
        <w:t>CAP reflects the exclusions and inclusions of certain amounts from Summary Compensation Table total compensation for the PEO and the Non-PEO NEOs as set forth below under the heading "Summary Compensation Table Total and Compensation Actually Paid Reconciliation for the PEO and Non-PEO NEOs." Equity values are calculated in accordance with FASB ASC Topic 718, Compensation — Stock Compensation. The valuation methodologies and assumptions used to calculate the equity values included in CAP are based on our grant date fair value of the equity awards as disclosed in the Company’s consolidated audited financial statements filed with the SEC on Form 10-K for the applicable fiscal year, with the adjustments set forth below in the "Summary Compensation Table Total and Compensation Actually Paid Reconciliation for the PEO and Non-PEO NEOs" table.</w:t>
      </w:r>
    </w:p>
    <w:p>
      <w:pPr>
        <w:spacing w:after="0" w:line="77" w:lineRule="exact"/>
        <w:rPr>
          <w:rFonts w:ascii="Arial" w:cs="Arial" w:eastAsia="Arial" w:hAnsi="Arial"/>
          <w:sz w:val="13"/>
          <w:szCs w:val="13"/>
          <w:color w:val="auto"/>
        </w:rPr>
      </w:pPr>
    </w:p>
    <w:p>
      <w:pPr>
        <w:jc w:val="both"/>
        <w:ind w:left="400" w:hanging="395"/>
        <w:spacing w:after="0" w:line="264" w:lineRule="auto"/>
        <w:tabs>
          <w:tab w:leader="none" w:pos="403"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Total stockholder return ("TSR") shown in the table above utilizes the S&amp;P Software &amp; Services Select Index which we use in the stock performance graph required by Item 201(e) of Regulation S-K included in the Company’s consolidated audited financial statements filed with the SEC on Form 10-K for fiscal years 2022, 2023 2024, 2025 and 2026. The comparison of TSR assumes that $100 was invested for the period starting April 1, 2021 through March 31 of the applicable fiscal year in each of the Company’s Common Stock and the S&amp;P Software &amp; Services Select Index. All dollar values assume reinvestment of the pre-tax value of dividends paid by companies included in the S&amp;P Software &amp; Services Select Index. The historical stock price performance of our Common Stock shown is not necessarily indicative of future stock price performance.</w:t>
      </w:r>
    </w:p>
    <w:p>
      <w:pPr>
        <w:spacing w:after="0" w:line="77" w:lineRule="exact"/>
        <w:rPr>
          <w:rFonts w:ascii="Arial" w:cs="Arial" w:eastAsia="Arial" w:hAnsi="Arial"/>
          <w:sz w:val="13"/>
          <w:szCs w:val="13"/>
          <w:color w:val="auto"/>
        </w:rPr>
      </w:pPr>
    </w:p>
    <w:p>
      <w:pPr>
        <w:ind w:left="400" w:hanging="395"/>
        <w:spacing w:after="0"/>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shown represent the amount of net income reflected in the Company's audited financial statements filed with the SEC on Form 10-K for the applicable fiscal year.</w:t>
      </w:r>
    </w:p>
    <w:p>
      <w:pPr>
        <w:spacing w:after="0" w:line="115" w:lineRule="exact"/>
        <w:rPr>
          <w:rFonts w:ascii="Arial" w:cs="Arial" w:eastAsia="Arial" w:hAnsi="Arial"/>
          <w:sz w:val="13"/>
          <w:szCs w:val="13"/>
          <w:color w:val="auto"/>
        </w:rPr>
      </w:pPr>
    </w:p>
    <w:p>
      <w:pPr>
        <w:jc w:val="both"/>
        <w:ind w:left="400" w:hanging="395"/>
        <w:spacing w:after="0" w:line="267" w:lineRule="auto"/>
        <w:tabs>
          <w:tab w:leader="none" w:pos="403" w:val="left"/>
        </w:tabs>
        <w:numPr>
          <w:ilvl w:val="0"/>
          <w:numId w:val="65"/>
        </w:numPr>
        <w:rPr>
          <w:rFonts w:ascii="Arial" w:cs="Arial" w:eastAsia="Arial" w:hAnsi="Arial"/>
          <w:sz w:val="13"/>
          <w:szCs w:val="13"/>
          <w:color w:val="auto"/>
        </w:rPr>
      </w:pPr>
      <w:r>
        <w:rPr>
          <w:rFonts w:ascii="Arial" w:cs="Arial" w:eastAsia="Arial" w:hAnsi="Arial"/>
          <w:sz w:val="13"/>
          <w:szCs w:val="13"/>
          <w:color w:val="auto"/>
        </w:rPr>
        <w:t>Pursuant to Item 402(v) of Regulation S-K, we determined annual Adjusted EBITDA to be our most important financial performance measure used to link Company performance to CAP to our PEO and other Non-PEO NEOs in fiscal year 2026. See Appendix A to this proxy statement for a reconciliation of Adjusted EBITDA to the most directly comparable financial measure calculated and presented in accordance with GAAP. Annually, we review our established performance financial metrics to ensure they maximize stockholder value. As such, we may determine a different financial performance measure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66666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67945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480" w:top="881" w:right="339" w:bottom="1440" w:gutter="0" w:footer="0" w:header="0"/>
        </w:sectPr>
      </w:pPr>
    </w:p>
    <w:bookmarkStart w:id="74" w:name="page75"/>
    <w:bookmarkEnd w:id="74"/>
    <w:p>
      <w:pPr>
        <w:ind w:left="320"/>
        <w:spacing w:after="0"/>
        <w:rPr>
          <w:sz w:val="20"/>
          <w:szCs w:val="20"/>
          <w:color w:val="auto"/>
        </w:rPr>
      </w:pPr>
      <w:r>
        <w:rPr>
          <w:rFonts w:ascii="Arial" w:cs="Arial" w:eastAsia="Arial" w:hAnsi="Arial"/>
          <w:sz w:val="19"/>
          <w:szCs w:val="19"/>
          <w:b w:val="1"/>
          <w:bCs w:val="1"/>
          <w:color w:val="00A5B5"/>
        </w:rPr>
        <w:t>Summary Compensation Table Total and Compensation Actually Paid Reconciliation for the PEO and Non-PEO NEOs</w:t>
      </w:r>
    </w:p>
    <w:p>
      <w:pPr>
        <w:spacing w:after="0" w:line="1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sets forth the adjustments that were made to Summary Compensation Table ("SCT") total compensation to calculate CAP to our PEO and the average CAP to our Non-PEO NEOs for each of the years in the PvP table above. Although the table below includes SCT compensation and CAP totals, the values are not comparable. The SCT values include base salary, short term annual cash incentive, and long-term equity incentives, and all other compensation received by the PEO and Non-PEO NEOs during the applicable fiscal year. The long-term equity incentive values for each year in the SCT are calculated by using the fair value of the grant at the time the grant was made. CAP values include a revaluation of the grants made during fiscal year 2026 at fiscal year-end, plus the fiscal year-over-year change in the fair value of multiple fiscal years of historical equity grants. CAP may be higher or lower than the SCT compensation values because CAP includes multiple fiscal years of grants and the calculation of CAP each year is heavily impacted by the change in the Company's stock price. The actual value of an equity award realized by the PEO or a Non-PEO NEO depends on several factors measured over multiple fiscal years to include but not limited to the Company's stock price, the financial performance of the Company, the relative TSR performance of the Company as compared to a peer group, and timing of stock option exercises.</w:t>
      </w:r>
    </w:p>
    <w:p>
      <w:pPr>
        <w:spacing w:after="0" w:line="397" w:lineRule="exact"/>
        <w:rPr>
          <w:sz w:val="20"/>
          <w:szCs w:val="20"/>
          <w:color w:val="auto"/>
        </w:rPr>
      </w:pPr>
    </w:p>
    <w:tbl>
      <w:tblPr>
        <w:tblLayout w:type="fixed"/>
        <w:tblInd w:w="350" w:type="dxa"/>
        <w:tblCellMar>
          <w:top w:w="0" w:type="dxa"/>
          <w:left w:w="0" w:type="dxa"/>
          <w:bottom w:w="0" w:type="dxa"/>
          <w:right w:w="0" w:type="dxa"/>
        </w:tblCellMar>
      </w:tblPr>
      <w:tr>
        <w:trPr>
          <w:trHeight w:val="184"/>
        </w:trPr>
        <w:tc>
          <w:tcPr>
            <w:tcW w:w="4260" w:type="dxa"/>
            <w:vAlign w:val="bottom"/>
            <w:tcBorders>
              <w:bottom w:val="single" w:sz="8" w:color="auto"/>
              <w:right w:val="single" w:sz="8" w:color="auto"/>
            </w:tcBorders>
          </w:tcPr>
          <w:p>
            <w:pPr>
              <w:spacing w:after="0"/>
              <w:rPr>
                <w:sz w:val="16"/>
                <w:szCs w:val="16"/>
                <w:color w:val="auto"/>
              </w:rPr>
            </w:pPr>
          </w:p>
        </w:tc>
        <w:tc>
          <w:tcPr>
            <w:tcW w:w="3160" w:type="dxa"/>
            <w:vAlign w:val="bottom"/>
            <w:tcBorders>
              <w:top w:val="single" w:sz="8" w:color="auto"/>
              <w:bottom w:val="single" w:sz="8" w:color="auto"/>
              <w:right w:val="single" w:sz="8" w:color="auto"/>
            </w:tcBorders>
            <w:gridSpan w:val="2"/>
            <w:shd w:val="clear" w:color="auto" w:fill="00A5B5"/>
          </w:tcPr>
          <w:p>
            <w:pPr>
              <w:ind w:left="980"/>
              <w:spacing w:after="0"/>
              <w:rPr>
                <w:sz w:val="20"/>
                <w:szCs w:val="20"/>
                <w:color w:val="auto"/>
              </w:rPr>
            </w:pPr>
            <w:r>
              <w:rPr>
                <w:rFonts w:ascii="Arial" w:cs="Arial" w:eastAsia="Arial" w:hAnsi="Arial"/>
                <w:sz w:val="12"/>
                <w:szCs w:val="12"/>
                <w:b w:val="1"/>
                <w:bCs w:val="1"/>
                <w:color w:val="FFFFFF"/>
              </w:rPr>
              <w:t>Calculation for PEO</w:t>
            </w:r>
          </w:p>
        </w:tc>
        <w:tc>
          <w:tcPr>
            <w:tcW w:w="3180" w:type="dxa"/>
            <w:vAlign w:val="bottom"/>
            <w:tcBorders>
              <w:top w:val="single" w:sz="8" w:color="auto"/>
              <w:bottom w:val="single" w:sz="8" w:color="auto"/>
              <w:right w:val="single" w:sz="8" w:color="auto"/>
            </w:tcBorders>
            <w:gridSpan w:val="2"/>
            <w:shd w:val="clear" w:color="auto" w:fill="00A5B5"/>
          </w:tcPr>
          <w:p>
            <w:pPr>
              <w:ind w:left="340"/>
              <w:spacing w:after="0"/>
              <w:rPr>
                <w:sz w:val="20"/>
                <w:szCs w:val="20"/>
                <w:color w:val="auto"/>
              </w:rPr>
            </w:pPr>
            <w:r>
              <w:rPr>
                <w:rFonts w:ascii="Arial" w:cs="Arial" w:eastAsia="Arial" w:hAnsi="Arial"/>
                <w:sz w:val="12"/>
                <w:szCs w:val="12"/>
                <w:b w:val="1"/>
                <w:bCs w:val="1"/>
                <w:color w:val="FFFFFF"/>
              </w:rPr>
              <w:t>Calculation for Average of Non-PEO NEOs</w:t>
            </w:r>
          </w:p>
        </w:tc>
      </w:tr>
      <w:tr>
        <w:trPr>
          <w:trHeight w:val="165"/>
        </w:trPr>
        <w:tc>
          <w:tcPr>
            <w:tcW w:w="4260" w:type="dxa"/>
            <w:vAlign w:val="bottom"/>
            <w:tcBorders>
              <w:left w:val="single" w:sz="8" w:color="auto"/>
              <w:bottom w:val="single" w:sz="8" w:color="auto"/>
              <w:right w:val="single" w:sz="8" w:color="00A5B5"/>
            </w:tcBorders>
            <w:shd w:val="clear" w:color="auto" w:fill="00A5B5"/>
          </w:tcPr>
          <w:p>
            <w:pPr>
              <w:ind w:left="860"/>
              <w:spacing w:after="0"/>
              <w:rPr>
                <w:sz w:val="20"/>
                <w:szCs w:val="20"/>
                <w:color w:val="auto"/>
              </w:rPr>
            </w:pPr>
            <w:r>
              <w:rPr>
                <w:rFonts w:ascii="Arial" w:cs="Arial" w:eastAsia="Arial" w:hAnsi="Arial"/>
                <w:sz w:val="12"/>
                <w:szCs w:val="12"/>
                <w:b w:val="1"/>
                <w:bCs w:val="1"/>
                <w:color w:val="FFFFFF"/>
              </w:rPr>
              <w:t>Calculation of Compensation Actually Paid</w:t>
            </w:r>
          </w:p>
        </w:tc>
        <w:tc>
          <w:tcPr>
            <w:tcW w:w="1560" w:type="dxa"/>
            <w:vAlign w:val="bottom"/>
            <w:tcBorders>
              <w:bottom w:val="single" w:sz="8" w:color="auto"/>
            </w:tcBorders>
            <w:shd w:val="clear" w:color="auto" w:fill="00A5B5"/>
          </w:tcPr>
          <w:p>
            <w:pPr>
              <w:ind w:left="200"/>
              <w:spacing w:after="0"/>
              <w:rPr>
                <w:sz w:val="20"/>
                <w:szCs w:val="20"/>
                <w:color w:val="auto"/>
              </w:rPr>
            </w:pPr>
            <w:r>
              <w:rPr>
                <w:rFonts w:ascii="Arial" w:cs="Arial" w:eastAsia="Arial" w:hAnsi="Arial"/>
                <w:sz w:val="12"/>
                <w:szCs w:val="12"/>
                <w:b w:val="1"/>
                <w:bCs w:val="1"/>
                <w:color w:val="FFFFFF"/>
              </w:rPr>
              <w:t>Fiscal Year 2025($)</w:t>
            </w:r>
          </w:p>
        </w:tc>
        <w:tc>
          <w:tcPr>
            <w:tcW w:w="1600" w:type="dxa"/>
            <w:vAlign w:val="bottom"/>
            <w:tcBorders>
              <w:bottom w:val="single" w:sz="8" w:color="auto"/>
              <w:right w:val="single" w:sz="8" w:color="auto"/>
            </w:tcBorders>
            <w:shd w:val="clear" w:color="auto" w:fill="00A5B5"/>
          </w:tcPr>
          <w:p>
            <w:pPr>
              <w:ind w:left="240"/>
              <w:spacing w:after="0"/>
              <w:rPr>
                <w:sz w:val="20"/>
                <w:szCs w:val="20"/>
                <w:color w:val="auto"/>
              </w:rPr>
            </w:pPr>
            <w:r>
              <w:rPr>
                <w:rFonts w:ascii="Arial" w:cs="Arial" w:eastAsia="Arial" w:hAnsi="Arial"/>
                <w:sz w:val="12"/>
                <w:szCs w:val="12"/>
                <w:b w:val="1"/>
                <w:bCs w:val="1"/>
                <w:color w:val="FFFFFF"/>
              </w:rPr>
              <w:t>Fiscal Year 2026($)</w:t>
            </w:r>
          </w:p>
        </w:tc>
        <w:tc>
          <w:tcPr>
            <w:tcW w:w="1580" w:type="dxa"/>
            <w:vAlign w:val="bottom"/>
            <w:tcBorders>
              <w:bottom w:val="single" w:sz="8" w:color="auto"/>
            </w:tcBorders>
            <w:shd w:val="clear" w:color="auto" w:fill="00A5B5"/>
          </w:tcPr>
          <w:p>
            <w:pPr>
              <w:ind w:left="220"/>
              <w:spacing w:after="0"/>
              <w:rPr>
                <w:sz w:val="20"/>
                <w:szCs w:val="20"/>
                <w:color w:val="auto"/>
              </w:rPr>
            </w:pPr>
            <w:r>
              <w:rPr>
                <w:rFonts w:ascii="Arial" w:cs="Arial" w:eastAsia="Arial" w:hAnsi="Arial"/>
                <w:sz w:val="12"/>
                <w:szCs w:val="12"/>
                <w:b w:val="1"/>
                <w:bCs w:val="1"/>
                <w:color w:val="FFFFFF"/>
              </w:rPr>
              <w:t>Fiscal Year 2025($)</w:t>
            </w:r>
          </w:p>
        </w:tc>
        <w:tc>
          <w:tcPr>
            <w:tcW w:w="1600" w:type="dxa"/>
            <w:vAlign w:val="bottom"/>
            <w:tcBorders>
              <w:bottom w:val="single" w:sz="8" w:color="auto"/>
              <w:right w:val="single" w:sz="8" w:color="auto"/>
            </w:tcBorders>
            <w:shd w:val="clear" w:color="auto" w:fill="00A5B5"/>
          </w:tcPr>
          <w:p>
            <w:pPr>
              <w:ind w:left="240"/>
              <w:spacing w:after="0"/>
              <w:rPr>
                <w:sz w:val="20"/>
                <w:szCs w:val="20"/>
                <w:color w:val="auto"/>
              </w:rPr>
            </w:pPr>
            <w:r>
              <w:rPr>
                <w:rFonts w:ascii="Arial" w:cs="Arial" w:eastAsia="Arial" w:hAnsi="Arial"/>
                <w:sz w:val="12"/>
                <w:szCs w:val="12"/>
                <w:b w:val="1"/>
                <w:bCs w:val="1"/>
                <w:color w:val="FFFFFF"/>
              </w:rPr>
              <w:t>Fiscal Year 2026($)</w:t>
            </w:r>
          </w:p>
        </w:tc>
      </w:tr>
      <w:tr>
        <w:trPr>
          <w:trHeight w:val="162"/>
        </w:trPr>
        <w:tc>
          <w:tcPr>
            <w:tcW w:w="42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SCT Total Compensation</w:t>
            </w:r>
          </w:p>
        </w:tc>
        <w:tc>
          <w:tcPr>
            <w:tcW w:w="1560" w:type="dxa"/>
            <w:vAlign w:val="bottom"/>
          </w:tcPr>
          <w:p>
            <w:pPr>
              <w:jc w:val="center"/>
              <w:spacing w:after="0"/>
              <w:rPr>
                <w:sz w:val="20"/>
                <w:szCs w:val="20"/>
                <w:color w:val="auto"/>
              </w:rPr>
            </w:pPr>
            <w:r>
              <w:rPr>
                <w:rFonts w:ascii="Arial" w:cs="Arial" w:eastAsia="Arial" w:hAnsi="Arial"/>
                <w:sz w:val="12"/>
                <w:szCs w:val="12"/>
                <w:color w:val="auto"/>
                <w:w w:val="99"/>
              </w:rPr>
              <w:t>13,999,139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13,800,777</w:t>
            </w:r>
          </w:p>
        </w:tc>
        <w:tc>
          <w:tcPr>
            <w:tcW w:w="1580" w:type="dxa"/>
            <w:vAlign w:val="bottom"/>
          </w:tcPr>
          <w:p>
            <w:pPr>
              <w:jc w:val="center"/>
              <w:spacing w:after="0"/>
              <w:rPr>
                <w:sz w:val="20"/>
                <w:szCs w:val="20"/>
                <w:color w:val="auto"/>
              </w:rPr>
            </w:pPr>
            <w:r>
              <w:rPr>
                <w:rFonts w:ascii="Arial" w:cs="Arial" w:eastAsia="Arial" w:hAnsi="Arial"/>
                <w:sz w:val="12"/>
                <w:szCs w:val="12"/>
                <w:color w:val="auto"/>
              </w:rPr>
              <w:t>5,889,962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3,078,808</w:t>
            </w:r>
          </w:p>
        </w:tc>
      </w:tr>
      <w:tr>
        <w:trPr>
          <w:trHeight w:val="123"/>
        </w:trPr>
        <w:tc>
          <w:tcPr>
            <w:tcW w:w="4260" w:type="dxa"/>
            <w:vAlign w:val="bottom"/>
            <w:tcBorders>
              <w:left w:val="single" w:sz="8" w:color="auto"/>
              <w:right w:val="single" w:sz="8" w:color="CCEEF0"/>
            </w:tcBorders>
            <w:shd w:val="clear" w:color="auto" w:fill="CCEEF0"/>
          </w:tcPr>
          <w:p>
            <w:pPr>
              <w:ind w:left="20"/>
              <w:spacing w:after="0" w:line="124" w:lineRule="exact"/>
              <w:rPr>
                <w:sz w:val="20"/>
                <w:szCs w:val="20"/>
                <w:color w:val="auto"/>
              </w:rPr>
            </w:pPr>
            <w:r>
              <w:rPr>
                <w:rFonts w:ascii="Arial" w:cs="Arial" w:eastAsia="Arial" w:hAnsi="Arial"/>
                <w:sz w:val="12"/>
                <w:szCs w:val="12"/>
                <w:color w:val="auto"/>
              </w:rPr>
              <w:t>Less aggregate change in actuarial present value of accumulated pension</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85"/>
        </w:trPr>
        <w:tc>
          <w:tcPr>
            <w:tcW w:w="4260" w:type="dxa"/>
            <w:vAlign w:val="bottom"/>
            <w:tcBorders>
              <w:left w:val="single" w:sz="8" w:color="auto"/>
              <w:right w:val="single" w:sz="8" w:color="CCEEF0"/>
            </w:tcBorders>
            <w:shd w:val="clear" w:color="auto" w:fill="CCEEF0"/>
          </w:tcPr>
          <w:p>
            <w:pPr>
              <w:ind w:left="20"/>
              <w:spacing w:after="0"/>
              <w:rPr>
                <w:sz w:val="20"/>
                <w:szCs w:val="20"/>
                <w:color w:val="auto"/>
              </w:rPr>
            </w:pPr>
            <w:r>
              <w:rPr>
                <w:rFonts w:ascii="Arial" w:cs="Arial" w:eastAsia="Arial" w:hAnsi="Arial"/>
                <w:sz w:val="12"/>
                <w:szCs w:val="12"/>
                <w:color w:val="auto"/>
              </w:rPr>
              <w:t>benefits</w:t>
            </w:r>
          </w:p>
        </w:tc>
        <w:tc>
          <w:tcPr>
            <w:tcW w:w="15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(20,000)</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(20,000)</w:t>
            </w:r>
          </w:p>
        </w:tc>
        <w:tc>
          <w:tcPr>
            <w:tcW w:w="15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(20,000)</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(19,360)</w:t>
            </w:r>
          </w:p>
        </w:tc>
      </w:tr>
      <w:tr>
        <w:trPr>
          <w:trHeight w:val="168"/>
        </w:trPr>
        <w:tc>
          <w:tcPr>
            <w:tcW w:w="42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Less aggregate grant date fair value of stock and option awards in SCT</w:t>
            </w:r>
          </w:p>
        </w:tc>
        <w:tc>
          <w:tcPr>
            <w:tcW w:w="1560" w:type="dxa"/>
            <w:vAlign w:val="bottom"/>
          </w:tcPr>
          <w:p>
            <w:pPr>
              <w:jc w:val="center"/>
              <w:spacing w:after="0"/>
              <w:rPr>
                <w:sz w:val="20"/>
                <w:szCs w:val="20"/>
                <w:color w:val="auto"/>
              </w:rPr>
            </w:pPr>
            <w:r>
              <w:rPr>
                <w:rFonts w:ascii="Arial" w:cs="Arial" w:eastAsia="Arial" w:hAnsi="Arial"/>
                <w:sz w:val="12"/>
                <w:szCs w:val="12"/>
                <w:color w:val="auto"/>
              </w:rPr>
              <w:t>(10,531,335)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(10,248,071)</w:t>
            </w:r>
          </w:p>
        </w:tc>
        <w:tc>
          <w:tcPr>
            <w:tcW w:w="1580" w:type="dxa"/>
            <w:vAlign w:val="bottom"/>
          </w:tcPr>
          <w:p>
            <w:pPr>
              <w:jc w:val="center"/>
              <w:spacing w:after="0"/>
              <w:rPr>
                <w:sz w:val="20"/>
                <w:szCs w:val="20"/>
                <w:color w:val="auto"/>
              </w:rPr>
            </w:pPr>
            <w:r>
              <w:rPr>
                <w:rFonts w:ascii="Arial" w:cs="Arial" w:eastAsia="Arial" w:hAnsi="Arial"/>
                <w:sz w:val="12"/>
                <w:szCs w:val="12"/>
                <w:color w:val="auto"/>
              </w:rPr>
              <w:t>(4,333,893)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(1,586,603)</w:t>
            </w:r>
          </w:p>
        </w:tc>
      </w:tr>
      <w:tr>
        <w:trPr>
          <w:trHeight w:val="123"/>
        </w:trPr>
        <w:tc>
          <w:tcPr>
            <w:tcW w:w="4260" w:type="dxa"/>
            <w:vAlign w:val="bottom"/>
            <w:tcBorders>
              <w:left w:val="single" w:sz="8" w:color="auto"/>
              <w:right w:val="single" w:sz="8" w:color="CCEEF0"/>
            </w:tcBorders>
            <w:shd w:val="clear" w:color="auto" w:fill="CCEEF0"/>
          </w:tcPr>
          <w:p>
            <w:pPr>
              <w:ind w:left="20"/>
              <w:spacing w:after="0" w:line="124" w:lineRule="exact"/>
              <w:rPr>
                <w:sz w:val="20"/>
                <w:szCs w:val="20"/>
                <w:color w:val="auto"/>
              </w:rPr>
            </w:pPr>
            <w:r>
              <w:rPr>
                <w:rFonts w:ascii="Arial" w:cs="Arial" w:eastAsia="Arial" w:hAnsi="Arial"/>
                <w:sz w:val="12"/>
                <w:szCs w:val="12"/>
                <w:color w:val="auto"/>
              </w:rPr>
              <w:t>Less fair value at the end of the prior fiscal year for any awards granted in</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19"/>
        </w:trPr>
        <w:tc>
          <w:tcPr>
            <w:tcW w:w="4260" w:type="dxa"/>
            <w:vAlign w:val="bottom"/>
            <w:tcBorders>
              <w:left w:val="single" w:sz="8" w:color="auto"/>
              <w:right w:val="single" w:sz="8" w:color="CCEEF0"/>
            </w:tcBorders>
            <w:shd w:val="clear" w:color="auto" w:fill="CCEEF0"/>
          </w:tcPr>
          <w:p>
            <w:pPr>
              <w:ind w:left="20"/>
              <w:spacing w:after="0" w:line="120" w:lineRule="exact"/>
              <w:rPr>
                <w:sz w:val="20"/>
                <w:szCs w:val="20"/>
                <w:color w:val="auto"/>
              </w:rPr>
            </w:pPr>
            <w:r>
              <w:rPr>
                <w:rFonts w:ascii="Arial" w:cs="Arial" w:eastAsia="Arial" w:hAnsi="Arial"/>
                <w:sz w:val="12"/>
                <w:szCs w:val="12"/>
                <w:color w:val="auto"/>
              </w:rPr>
              <w:t>any prior fiscal year that fail to meet the applicable vesting conditions during</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85"/>
        </w:trPr>
        <w:tc>
          <w:tcPr>
            <w:tcW w:w="4260" w:type="dxa"/>
            <w:vAlign w:val="bottom"/>
            <w:tcBorders>
              <w:left w:val="single" w:sz="8" w:color="auto"/>
              <w:right w:val="single" w:sz="8" w:color="CCEEF0"/>
            </w:tcBorders>
            <w:shd w:val="clear" w:color="auto" w:fill="CCEEF0"/>
          </w:tcPr>
          <w:p>
            <w:pPr>
              <w:ind w:left="20"/>
              <w:spacing w:after="0"/>
              <w:rPr>
                <w:sz w:val="20"/>
                <w:szCs w:val="20"/>
                <w:color w:val="auto"/>
              </w:rPr>
            </w:pPr>
            <w:r>
              <w:rPr>
                <w:rFonts w:ascii="Arial" w:cs="Arial" w:eastAsia="Arial" w:hAnsi="Arial"/>
                <w:sz w:val="12"/>
                <w:szCs w:val="12"/>
                <w:color w:val="auto"/>
              </w:rPr>
              <w:t>the covered fiscal year</w:t>
            </w:r>
          </w:p>
        </w:tc>
        <w:tc>
          <w:tcPr>
            <w:tcW w:w="156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580" w:type="dxa"/>
            <w:vAlign w:val="bottom"/>
            <w:shd w:val="clear" w:color="auto" w:fill="CCEEF0"/>
          </w:tcPr>
          <w:p>
            <w:pPr>
              <w:jc w:val="center"/>
              <w:spacing w:after="0"/>
              <w:rPr>
                <w:sz w:val="20"/>
                <w:szCs w:val="20"/>
                <w:color w:val="auto"/>
              </w:rPr>
            </w:pPr>
            <w:r>
              <w:rPr>
                <w:rFonts w:ascii="Arial" w:cs="Arial" w:eastAsia="Arial" w:hAnsi="Arial"/>
                <w:sz w:val="12"/>
                <w:szCs w:val="12"/>
                <w:color w:val="auto"/>
                <w:w w:val="99"/>
              </w:rPr>
              <w:t>—</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(909,782)</w:t>
            </w:r>
          </w:p>
        </w:tc>
      </w:tr>
      <w:tr>
        <w:trPr>
          <w:trHeight w:val="119"/>
        </w:trPr>
        <w:tc>
          <w:tcPr>
            <w:tcW w:w="426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color w:val="auto"/>
              </w:rPr>
              <w:t>Plus fair value as of fiscal year-end of awards granted during the fiscal year</w:t>
            </w:r>
          </w:p>
        </w:tc>
        <w:tc>
          <w:tcPr>
            <w:tcW w:w="15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r>
      <w:tr>
        <w:trPr>
          <w:trHeight w:val="179"/>
        </w:trPr>
        <w:tc>
          <w:tcPr>
            <w:tcW w:w="42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that are outstanding and unvested as of the end of the fiscal year</w:t>
            </w:r>
          </w:p>
        </w:tc>
        <w:tc>
          <w:tcPr>
            <w:tcW w:w="1560" w:type="dxa"/>
            <w:vAlign w:val="bottom"/>
          </w:tcPr>
          <w:p>
            <w:pPr>
              <w:jc w:val="center"/>
              <w:spacing w:after="0"/>
              <w:rPr>
                <w:sz w:val="20"/>
                <w:szCs w:val="20"/>
                <w:color w:val="auto"/>
              </w:rPr>
            </w:pPr>
            <w:r>
              <w:rPr>
                <w:rFonts w:ascii="Arial" w:cs="Arial" w:eastAsia="Arial" w:hAnsi="Arial"/>
                <w:sz w:val="12"/>
                <w:szCs w:val="12"/>
                <w:color w:val="auto"/>
              </w:rPr>
              <w:t>6,278,570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6,500,823</w:t>
            </w:r>
          </w:p>
        </w:tc>
        <w:tc>
          <w:tcPr>
            <w:tcW w:w="1580" w:type="dxa"/>
            <w:vAlign w:val="bottom"/>
          </w:tcPr>
          <w:p>
            <w:pPr>
              <w:jc w:val="center"/>
              <w:spacing w:after="0"/>
              <w:rPr>
                <w:sz w:val="20"/>
                <w:szCs w:val="20"/>
                <w:color w:val="auto"/>
              </w:rPr>
            </w:pPr>
            <w:r>
              <w:rPr>
                <w:rFonts w:ascii="Arial" w:cs="Arial" w:eastAsia="Arial" w:hAnsi="Arial"/>
                <w:sz w:val="12"/>
                <w:szCs w:val="12"/>
                <w:color w:val="auto"/>
              </w:rPr>
              <w:t>2,487,616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769,085</w:t>
            </w:r>
          </w:p>
        </w:tc>
      </w:tr>
      <w:tr>
        <w:trPr>
          <w:trHeight w:val="126"/>
        </w:trPr>
        <w:tc>
          <w:tcPr>
            <w:tcW w:w="4260" w:type="dxa"/>
            <w:vAlign w:val="bottom"/>
            <w:tcBorders>
              <w:left w:val="single" w:sz="8" w:color="auto"/>
              <w:right w:val="single" w:sz="8" w:color="CCEEF0"/>
            </w:tcBorders>
            <w:shd w:val="clear" w:color="auto" w:fill="CCEEF0"/>
          </w:tcPr>
          <w:p>
            <w:pPr>
              <w:ind w:left="20"/>
              <w:spacing w:after="0" w:line="126" w:lineRule="exact"/>
              <w:rPr>
                <w:sz w:val="20"/>
                <w:szCs w:val="20"/>
                <w:color w:val="auto"/>
              </w:rPr>
            </w:pPr>
            <w:r>
              <w:rPr>
                <w:rFonts w:ascii="Arial" w:cs="Arial" w:eastAsia="Arial" w:hAnsi="Arial"/>
                <w:sz w:val="12"/>
                <w:szCs w:val="12"/>
                <w:color w:val="auto"/>
              </w:rPr>
              <w:t>Plus fair value as of vesting date of awards that are granted and vest in the</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85"/>
        </w:trPr>
        <w:tc>
          <w:tcPr>
            <w:tcW w:w="4260" w:type="dxa"/>
            <w:vAlign w:val="bottom"/>
            <w:tcBorders>
              <w:left w:val="single" w:sz="8" w:color="auto"/>
              <w:right w:val="single" w:sz="8" w:color="CCEEF0"/>
            </w:tcBorders>
            <w:shd w:val="clear" w:color="auto" w:fill="CCEEF0"/>
          </w:tcPr>
          <w:p>
            <w:pPr>
              <w:ind w:left="20"/>
              <w:spacing w:after="0"/>
              <w:rPr>
                <w:sz w:val="20"/>
                <w:szCs w:val="20"/>
                <w:color w:val="auto"/>
              </w:rPr>
            </w:pPr>
            <w:r>
              <w:rPr>
                <w:rFonts w:ascii="Arial" w:cs="Arial" w:eastAsia="Arial" w:hAnsi="Arial"/>
                <w:sz w:val="12"/>
                <w:szCs w:val="12"/>
                <w:color w:val="auto"/>
              </w:rPr>
              <w:t>same year</w:t>
            </w:r>
          </w:p>
        </w:tc>
        <w:tc>
          <w:tcPr>
            <w:tcW w:w="15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887,780</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919,037</w:t>
            </w:r>
          </w:p>
        </w:tc>
        <w:tc>
          <w:tcPr>
            <w:tcW w:w="15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465,616</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114,608</w:t>
            </w:r>
          </w:p>
        </w:tc>
      </w:tr>
      <w:tr>
        <w:trPr>
          <w:trHeight w:val="119"/>
        </w:trPr>
        <w:tc>
          <w:tcPr>
            <w:tcW w:w="426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color w:val="auto"/>
              </w:rPr>
              <w:t>Plus change in fair value (whether positive or negative) as of fiscal year-end</w:t>
            </w:r>
          </w:p>
        </w:tc>
        <w:tc>
          <w:tcPr>
            <w:tcW w:w="15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r>
      <w:tr>
        <w:trPr>
          <w:trHeight w:val="119"/>
        </w:trPr>
        <w:tc>
          <w:tcPr>
            <w:tcW w:w="426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color w:val="auto"/>
              </w:rPr>
              <w:t>for awards granted in prior fiscal years that are unvested and outstanding as</w:t>
            </w:r>
          </w:p>
        </w:tc>
        <w:tc>
          <w:tcPr>
            <w:tcW w:w="15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r>
      <w:tr>
        <w:trPr>
          <w:trHeight w:val="179"/>
        </w:trPr>
        <w:tc>
          <w:tcPr>
            <w:tcW w:w="42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of the end of the fiscal year</w:t>
            </w:r>
          </w:p>
        </w:tc>
        <w:tc>
          <w:tcPr>
            <w:tcW w:w="1560" w:type="dxa"/>
            <w:vAlign w:val="bottom"/>
          </w:tcPr>
          <w:p>
            <w:pPr>
              <w:jc w:val="center"/>
              <w:spacing w:after="0"/>
              <w:rPr>
                <w:sz w:val="20"/>
                <w:szCs w:val="20"/>
                <w:color w:val="auto"/>
              </w:rPr>
            </w:pPr>
            <w:r>
              <w:rPr>
                <w:rFonts w:ascii="Arial" w:cs="Arial" w:eastAsia="Arial" w:hAnsi="Arial"/>
                <w:sz w:val="12"/>
                <w:szCs w:val="12"/>
                <w:color w:val="auto"/>
              </w:rPr>
              <w:t>(8,612,420)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(3,571,353)</w:t>
            </w:r>
          </w:p>
        </w:tc>
        <w:tc>
          <w:tcPr>
            <w:tcW w:w="1580" w:type="dxa"/>
            <w:vAlign w:val="bottom"/>
          </w:tcPr>
          <w:p>
            <w:pPr>
              <w:jc w:val="center"/>
              <w:spacing w:after="0"/>
              <w:rPr>
                <w:sz w:val="20"/>
                <w:szCs w:val="20"/>
                <w:color w:val="auto"/>
              </w:rPr>
            </w:pPr>
            <w:r>
              <w:rPr>
                <w:rFonts w:ascii="Arial" w:cs="Arial" w:eastAsia="Arial" w:hAnsi="Arial"/>
                <w:sz w:val="12"/>
                <w:szCs w:val="12"/>
                <w:color w:val="auto"/>
              </w:rPr>
              <w:t>(1,481,346)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(760,973)</w:t>
            </w:r>
          </w:p>
        </w:tc>
      </w:tr>
      <w:tr>
        <w:trPr>
          <w:trHeight w:val="126"/>
        </w:trPr>
        <w:tc>
          <w:tcPr>
            <w:tcW w:w="4260" w:type="dxa"/>
            <w:vAlign w:val="bottom"/>
            <w:tcBorders>
              <w:left w:val="single" w:sz="8" w:color="auto"/>
              <w:right w:val="single" w:sz="8" w:color="CCEEF0"/>
            </w:tcBorders>
            <w:shd w:val="clear" w:color="auto" w:fill="CCEEF0"/>
          </w:tcPr>
          <w:p>
            <w:pPr>
              <w:ind w:left="20"/>
              <w:spacing w:after="0" w:line="126" w:lineRule="exact"/>
              <w:rPr>
                <w:sz w:val="20"/>
                <w:szCs w:val="20"/>
                <w:color w:val="auto"/>
              </w:rPr>
            </w:pPr>
            <w:r>
              <w:rPr>
                <w:rFonts w:ascii="Arial" w:cs="Arial" w:eastAsia="Arial" w:hAnsi="Arial"/>
                <w:sz w:val="12"/>
                <w:szCs w:val="12"/>
                <w:color w:val="auto"/>
              </w:rPr>
              <w:t>Plus change in fair value (whether positive or negative) as of vesting date</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19"/>
        </w:trPr>
        <w:tc>
          <w:tcPr>
            <w:tcW w:w="4260" w:type="dxa"/>
            <w:vAlign w:val="bottom"/>
            <w:tcBorders>
              <w:left w:val="single" w:sz="8" w:color="auto"/>
              <w:right w:val="single" w:sz="8" w:color="CCEEF0"/>
            </w:tcBorders>
            <w:shd w:val="clear" w:color="auto" w:fill="CCEEF0"/>
          </w:tcPr>
          <w:p>
            <w:pPr>
              <w:ind w:left="20"/>
              <w:spacing w:after="0" w:line="120" w:lineRule="exact"/>
              <w:rPr>
                <w:sz w:val="20"/>
                <w:szCs w:val="20"/>
                <w:color w:val="auto"/>
              </w:rPr>
            </w:pPr>
            <w:r>
              <w:rPr>
                <w:rFonts w:ascii="Arial" w:cs="Arial" w:eastAsia="Arial" w:hAnsi="Arial"/>
                <w:sz w:val="12"/>
                <w:szCs w:val="12"/>
                <w:color w:val="auto"/>
              </w:rPr>
              <w:t>(from the end of the prior fiscal year) of awards granted in prior fiscal years</w:t>
            </w:r>
          </w:p>
        </w:tc>
        <w:tc>
          <w:tcPr>
            <w:tcW w:w="156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c>
          <w:tcPr>
            <w:tcW w:w="1580" w:type="dxa"/>
            <w:vAlign w:val="bottom"/>
            <w:shd w:val="clear" w:color="auto" w:fill="CCEEF0"/>
          </w:tcPr>
          <w:p>
            <w:pPr>
              <w:spacing w:after="0"/>
              <w:rPr>
                <w:sz w:val="10"/>
                <w:szCs w:val="10"/>
                <w:color w:val="auto"/>
              </w:rPr>
            </w:pPr>
          </w:p>
        </w:tc>
        <w:tc>
          <w:tcPr>
            <w:tcW w:w="1600" w:type="dxa"/>
            <w:vAlign w:val="bottom"/>
            <w:tcBorders>
              <w:right w:val="single" w:sz="8" w:color="auto"/>
            </w:tcBorders>
            <w:shd w:val="clear" w:color="auto" w:fill="CCEEF0"/>
          </w:tcPr>
          <w:p>
            <w:pPr>
              <w:spacing w:after="0"/>
              <w:rPr>
                <w:sz w:val="10"/>
                <w:szCs w:val="10"/>
                <w:color w:val="auto"/>
              </w:rPr>
            </w:pPr>
          </w:p>
        </w:tc>
      </w:tr>
      <w:tr>
        <w:trPr>
          <w:trHeight w:val="128"/>
        </w:trPr>
        <w:tc>
          <w:tcPr>
            <w:tcW w:w="4260" w:type="dxa"/>
            <w:vAlign w:val="bottom"/>
            <w:tcBorders>
              <w:left w:val="single" w:sz="8" w:color="auto"/>
              <w:right w:val="single" w:sz="8" w:color="CCEEF0"/>
            </w:tcBorders>
            <w:shd w:val="clear" w:color="auto" w:fill="CCEEF0"/>
          </w:tcPr>
          <w:p>
            <w:pPr>
              <w:ind w:left="20"/>
              <w:spacing w:after="0" w:line="128" w:lineRule="exact"/>
              <w:rPr>
                <w:sz w:val="20"/>
                <w:szCs w:val="20"/>
                <w:color w:val="auto"/>
              </w:rPr>
            </w:pPr>
            <w:r>
              <w:rPr>
                <w:rFonts w:ascii="Arial" w:cs="Arial" w:eastAsia="Arial" w:hAnsi="Arial"/>
                <w:sz w:val="12"/>
                <w:szCs w:val="12"/>
                <w:color w:val="auto"/>
              </w:rPr>
              <w:t>for which all applicable vesting conditions were satisfied at fiscal year-end or</w:t>
            </w:r>
          </w:p>
        </w:tc>
        <w:tc>
          <w:tcPr>
            <w:tcW w:w="1560" w:type="dxa"/>
            <w:vAlign w:val="bottom"/>
            <w:shd w:val="clear" w:color="auto" w:fill="CCEEF0"/>
          </w:tcPr>
          <w:p>
            <w:pPr>
              <w:spacing w:after="0"/>
              <w:rPr>
                <w:sz w:val="11"/>
                <w:szCs w:val="11"/>
                <w:color w:val="auto"/>
              </w:rPr>
            </w:pPr>
          </w:p>
        </w:tc>
        <w:tc>
          <w:tcPr>
            <w:tcW w:w="1600" w:type="dxa"/>
            <w:vAlign w:val="bottom"/>
            <w:tcBorders>
              <w:right w:val="single" w:sz="8" w:color="auto"/>
            </w:tcBorders>
            <w:shd w:val="clear" w:color="auto" w:fill="CCEEF0"/>
          </w:tcPr>
          <w:p>
            <w:pPr>
              <w:spacing w:after="0"/>
              <w:rPr>
                <w:sz w:val="11"/>
                <w:szCs w:val="11"/>
                <w:color w:val="auto"/>
              </w:rPr>
            </w:pPr>
          </w:p>
        </w:tc>
        <w:tc>
          <w:tcPr>
            <w:tcW w:w="1580" w:type="dxa"/>
            <w:vAlign w:val="bottom"/>
            <w:shd w:val="clear" w:color="auto" w:fill="CCEEF0"/>
          </w:tcPr>
          <w:p>
            <w:pPr>
              <w:spacing w:after="0"/>
              <w:rPr>
                <w:sz w:val="11"/>
                <w:szCs w:val="11"/>
                <w:color w:val="auto"/>
              </w:rPr>
            </w:pPr>
          </w:p>
        </w:tc>
        <w:tc>
          <w:tcPr>
            <w:tcW w:w="1600" w:type="dxa"/>
            <w:vAlign w:val="bottom"/>
            <w:tcBorders>
              <w:right w:val="single" w:sz="8" w:color="auto"/>
            </w:tcBorders>
            <w:shd w:val="clear" w:color="auto" w:fill="CCEEF0"/>
          </w:tcPr>
          <w:p>
            <w:pPr>
              <w:spacing w:after="0"/>
              <w:rPr>
                <w:sz w:val="11"/>
                <w:szCs w:val="11"/>
                <w:color w:val="auto"/>
              </w:rPr>
            </w:pPr>
          </w:p>
        </w:tc>
      </w:tr>
      <w:tr>
        <w:trPr>
          <w:trHeight w:val="177"/>
        </w:trPr>
        <w:tc>
          <w:tcPr>
            <w:tcW w:w="4260" w:type="dxa"/>
            <w:vAlign w:val="bottom"/>
            <w:tcBorders>
              <w:left w:val="single" w:sz="8" w:color="auto"/>
              <w:right w:val="single" w:sz="8" w:color="CCEEF0"/>
            </w:tcBorders>
            <w:shd w:val="clear" w:color="auto" w:fill="CCEEF0"/>
          </w:tcPr>
          <w:p>
            <w:pPr>
              <w:ind w:left="20"/>
              <w:spacing w:after="0"/>
              <w:rPr>
                <w:sz w:val="20"/>
                <w:szCs w:val="20"/>
                <w:color w:val="auto"/>
              </w:rPr>
            </w:pPr>
            <w:r>
              <w:rPr>
                <w:rFonts w:ascii="Arial" w:cs="Arial" w:eastAsia="Arial" w:hAnsi="Arial"/>
                <w:sz w:val="12"/>
                <w:szCs w:val="12"/>
                <w:color w:val="auto"/>
              </w:rPr>
              <w:t>during the fiscal year</w:t>
            </w:r>
          </w:p>
        </w:tc>
        <w:tc>
          <w:tcPr>
            <w:tcW w:w="156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(5,217,476)</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(4,427,507)</w:t>
            </w:r>
          </w:p>
        </w:tc>
        <w:tc>
          <w:tcPr>
            <w:tcW w:w="1580" w:type="dxa"/>
            <w:vAlign w:val="bottom"/>
            <w:shd w:val="clear" w:color="auto" w:fill="CCEEF0"/>
          </w:tcPr>
          <w:p>
            <w:pPr>
              <w:jc w:val="center"/>
              <w:spacing w:after="0"/>
              <w:rPr>
                <w:sz w:val="20"/>
                <w:szCs w:val="20"/>
                <w:color w:val="auto"/>
              </w:rPr>
            </w:pPr>
            <w:r>
              <w:rPr>
                <w:rFonts w:ascii="Arial" w:cs="Arial" w:eastAsia="Arial" w:hAnsi="Arial"/>
                <w:sz w:val="12"/>
                <w:szCs w:val="12"/>
                <w:color w:val="auto"/>
              </w:rPr>
              <w:t>(520,044)</w:t>
            </w:r>
          </w:p>
        </w:tc>
        <w:tc>
          <w:tcPr>
            <w:tcW w:w="1600" w:type="dxa"/>
            <w:vAlign w:val="bottom"/>
            <w:tcBorders>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(406,492)</w:t>
            </w:r>
          </w:p>
        </w:tc>
      </w:tr>
      <w:tr>
        <w:trPr>
          <w:trHeight w:val="119"/>
        </w:trPr>
        <w:tc>
          <w:tcPr>
            <w:tcW w:w="426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color w:val="auto"/>
              </w:rPr>
              <w:t>Plus dollar value of any dividends or other earnings paid on awards during</w:t>
            </w:r>
          </w:p>
        </w:tc>
        <w:tc>
          <w:tcPr>
            <w:tcW w:w="15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r>
      <w:tr>
        <w:trPr>
          <w:trHeight w:val="119"/>
        </w:trPr>
        <w:tc>
          <w:tcPr>
            <w:tcW w:w="426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2"/>
                <w:szCs w:val="12"/>
                <w:color w:val="auto"/>
              </w:rPr>
              <w:t>the fiscal year prior to the vesting date that are not otherwise included in</w:t>
            </w:r>
          </w:p>
        </w:tc>
        <w:tc>
          <w:tcPr>
            <w:tcW w:w="156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r>
      <w:tr>
        <w:trPr>
          <w:trHeight w:val="179"/>
        </w:trPr>
        <w:tc>
          <w:tcPr>
            <w:tcW w:w="42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total compensation for the covered fiscal year</w:t>
            </w:r>
          </w:p>
        </w:tc>
        <w:tc>
          <w:tcPr>
            <w:tcW w:w="1560" w:type="dxa"/>
            <w:vAlign w:val="bottom"/>
          </w:tcPr>
          <w:p>
            <w:pPr>
              <w:jc w:val="center"/>
              <w:spacing w:after="0"/>
              <w:rPr>
                <w:sz w:val="20"/>
                <w:szCs w:val="20"/>
                <w:color w:val="auto"/>
              </w:rPr>
            </w:pPr>
            <w:r>
              <w:rPr>
                <w:rFonts w:ascii="Arial" w:cs="Arial" w:eastAsia="Arial" w:hAnsi="Arial"/>
                <w:sz w:val="12"/>
                <w:szCs w:val="12"/>
                <w:color w:val="auto"/>
              </w:rPr>
              <w:t>498,012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315,560</w:t>
            </w:r>
          </w:p>
        </w:tc>
        <w:tc>
          <w:tcPr>
            <w:tcW w:w="1580" w:type="dxa"/>
            <w:vAlign w:val="bottom"/>
          </w:tcPr>
          <w:p>
            <w:pPr>
              <w:jc w:val="center"/>
              <w:spacing w:after="0"/>
              <w:rPr>
                <w:sz w:val="20"/>
                <w:szCs w:val="20"/>
                <w:color w:val="auto"/>
              </w:rPr>
            </w:pPr>
            <w:r>
              <w:rPr>
                <w:rFonts w:ascii="Arial" w:cs="Arial" w:eastAsia="Arial" w:hAnsi="Arial"/>
                <w:sz w:val="12"/>
                <w:szCs w:val="12"/>
                <w:color w:val="auto"/>
              </w:rPr>
              <w:t>74,649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5,880</w:t>
            </w:r>
          </w:p>
        </w:tc>
      </w:tr>
      <w:tr>
        <w:trPr>
          <w:trHeight w:val="174"/>
        </w:trPr>
        <w:tc>
          <w:tcPr>
            <w:tcW w:w="4260" w:type="dxa"/>
            <w:vAlign w:val="bottom"/>
            <w:tcBorders>
              <w:left w:val="single" w:sz="8" w:color="auto"/>
              <w:bottom w:val="single" w:sz="8" w:color="auto"/>
              <w:right w:val="single" w:sz="8" w:color="CCEEF0"/>
            </w:tcBorders>
            <w:shd w:val="clear" w:color="auto" w:fill="CCEEF0"/>
          </w:tcPr>
          <w:p>
            <w:pPr>
              <w:ind w:left="20"/>
              <w:spacing w:after="0"/>
              <w:rPr>
                <w:sz w:val="20"/>
                <w:szCs w:val="20"/>
                <w:color w:val="auto"/>
              </w:rPr>
            </w:pPr>
            <w:r>
              <w:rPr>
                <w:rFonts w:ascii="Arial" w:cs="Arial" w:eastAsia="Arial" w:hAnsi="Arial"/>
                <w:sz w:val="12"/>
                <w:szCs w:val="12"/>
                <w:color w:val="auto"/>
              </w:rPr>
              <w:t>Compensation Actually Paid</w:t>
            </w:r>
          </w:p>
        </w:tc>
        <w:tc>
          <w:tcPr>
            <w:tcW w:w="156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(2,717,730)</w:t>
            </w:r>
          </w:p>
        </w:tc>
        <w:tc>
          <w:tcPr>
            <w:tcW w:w="1600" w:type="dxa"/>
            <w:vAlign w:val="bottom"/>
            <w:tcBorders>
              <w:bottom w:val="single" w:sz="8" w:color="auto"/>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3,269,266</w:t>
            </w:r>
          </w:p>
        </w:tc>
        <w:tc>
          <w:tcPr>
            <w:tcW w:w="1580" w:type="dxa"/>
            <w:vAlign w:val="bottom"/>
            <w:tcBorders>
              <w:bottom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2,562,560</w:t>
            </w:r>
          </w:p>
        </w:tc>
        <w:tc>
          <w:tcPr>
            <w:tcW w:w="1600" w:type="dxa"/>
            <w:vAlign w:val="bottom"/>
            <w:tcBorders>
              <w:bottom w:val="single" w:sz="8" w:color="auto"/>
              <w:right w:val="single" w:sz="8" w:color="auto"/>
            </w:tcBorders>
            <w:shd w:val="clear" w:color="auto" w:fill="CCEEF0"/>
          </w:tcPr>
          <w:p>
            <w:pPr>
              <w:jc w:val="center"/>
              <w:spacing w:after="0"/>
              <w:rPr>
                <w:sz w:val="20"/>
                <w:szCs w:val="20"/>
                <w:color w:val="auto"/>
              </w:rPr>
            </w:pPr>
            <w:r>
              <w:rPr>
                <w:rFonts w:ascii="Arial" w:cs="Arial" w:eastAsia="Arial" w:hAnsi="Arial"/>
                <w:sz w:val="12"/>
                <w:szCs w:val="12"/>
                <w:color w:val="auto"/>
              </w:rPr>
              <w:t>285,169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5" w:name="page76"/>
    <w:bookmarkEnd w:id="75"/>
    <w:p>
      <w:pPr>
        <w:ind w:left="400"/>
        <w:spacing w:after="0"/>
        <w:rPr>
          <w:sz w:val="20"/>
          <w:szCs w:val="20"/>
          <w:color w:val="auto"/>
        </w:rPr>
      </w:pPr>
      <w:r>
        <w:rPr>
          <w:rFonts w:ascii="Arial" w:cs="Arial" w:eastAsia="Arial" w:hAnsi="Arial"/>
          <w:sz w:val="19"/>
          <w:szCs w:val="19"/>
          <w:b w:val="1"/>
          <w:bCs w:val="1"/>
          <w:color w:val="00A5B5"/>
        </w:rPr>
        <w:t>Relationship Between Pay Versus Performance Measures and Compensation Actually Paid Descriptions</w:t>
      </w:r>
    </w:p>
    <w:p>
      <w:pPr>
        <w:spacing w:after="0" w:line="185"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The charts below display the relationship between CAP to our PEO and the average of CAP to our other NEOs in each of fiscal years 2022 through 2026, and (i) the Company’s cumulative TSR and S&amp;P Software &amp; Services Select Industry Index cumulative TSR, (ii) the Company's GAAP Net Income, and (iii) Adjusted EBITDA over the four-year period from fiscal years 2022 through 2026. For a discussion of how the Compensation, Culture and People Committee assessed the Company's performance and our NEOs' pay each year, see "Compensation Discussion and Analysis" in this Proxy Statement and in the proxy statements for fiscal years 2026, 2025,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452755</wp:posOffset>
            </wp:positionV>
            <wp:extent cx="5798820" cy="3714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98820" cy="371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879475</wp:posOffset>
            </wp:positionH>
            <wp:positionV relativeFrom="page">
              <wp:posOffset>567690</wp:posOffset>
            </wp:positionV>
            <wp:extent cx="5798820" cy="764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98820" cy="764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666666"/>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75565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28"/>
          <w:szCs w:val="28"/>
          <w:b w:val="1"/>
          <w:bCs w:val="1"/>
          <w:color w:val="auto"/>
        </w:rPr>
        <w:t>COMPENSATION COMMITTEE REPORT</w:t>
      </w:r>
    </w:p>
    <w:p>
      <w:pPr>
        <w:spacing w:after="0" w:line="19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Compensation, Culture and People Committee has reviewed and discussed the CD&amp;A included in this proxy statement with members of management, and based on such review and discussions, the Compensation, Culture and People Committee recommended to the Board that the CD&amp;A be included in this proxy statement.</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 COMPENSATION, CULTURE AND PEOPLE</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COMMITTEE</w:t>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Gretchen W. McClain (Chair)</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Michèle A. Flournoy</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C. O'Brien</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Rory P. Read</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M. Thornberry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8"/>
          <w:szCs w:val="28"/>
          <w:b w:val="1"/>
          <w:bCs w:val="1"/>
          <w:color w:val="auto"/>
        </w:rPr>
        <w:t>AUDIT COMMITTEE REPORT</w:t>
      </w:r>
    </w:p>
    <w:p>
      <w:pPr>
        <w:spacing w:after="0" w:line="19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The Audit Committee is composed of six directors identified below, each of whom is an independent director as defined by the applicable SEC rules and the NYSE listing standards. Five committee members, Joan Amble, Debra L. Dial, Ellen Jewett, Ryan P. Nolan, and Charles O. Rossotti, have been designated by the Board as “audit committee financial experts” under applicable SEC rules. For further description of each committee member’s background and expertise, please refer to the director qualification section of our proxy statement beginning on page 7.</w:t>
      </w:r>
    </w:p>
    <w:p>
      <w:pPr>
        <w:spacing w:after="0" w:line="11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Audit Committee is responsible for assisting the Board in fulfilling its oversight responsibilities relating to, among other things, the Company’s accounting, auditing, and financial reporting processes, internal controls, compliance with legal and regulatory requirements and its code of ethics, and risk management, as discussed more fully in the Audit Committee charter, a copy of which is available on our website, www.boozallen.com. In accordance with its charter, the Audit Committee appoints the Company’s independent registered public accounting firm, E&amp;Y, subject to stockholder ratification, and conducts an annual review of its performance. In addition, the Audit Committee pre-approves all audit and permissible non-audit services provided by E&amp;Y, and the fees for those services. The Audit Committee also oversees the Company’s internal audit function, including its annual audit plan, budget, and staffing. As part of its oversight role, the Audit Committee meets throughout the year, separately and together, with each of management, the Company's internal auditors, and E&amp;Y.</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has the primary responsibility for the Company's financial statements and accounting and reporting processes, including the systems of internal accounting control. E&amp;Y is responsible for performing an independent audit of the consolidated financial statements in accordance with the standards of the Public Company Accounting Oversight Board (“PCAOB”), and rendering opinions on whether the financial statements are in conformity with accounting principles generally accepted in the United States and the effectiveness of the Company’s internal control over financial reporting.</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Audit Committee has reviewed and discussed with management of the Company and E&amp;Y, the audited consolidated financial statements of the Company for the fiscal year ended March 31, 2026 (the “Audited Financial Statements”), and their assessment of the effectiveness of internal control over financial reporting. The Audit Committee also reviewed any significant audit findings identified by E&amp;Y, and those identified by the Company's internal auditors as well as management's responses thereto. In addition, the Audit Committee discussed with E&amp;Y the matters required to be discussed by the applicable requirements of the PCAOB and the SEC.</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Audit Committee has also: (i) considered whether non-audit services provided by E&amp;Y are compatible with its independence;</w:t>
      </w:r>
    </w:p>
    <w:p>
      <w:pPr>
        <w:spacing w:after="0" w:line="21" w:lineRule="exact"/>
        <w:rPr>
          <w:sz w:val="20"/>
          <w:szCs w:val="20"/>
          <w:color w:val="auto"/>
        </w:rPr>
      </w:pPr>
    </w:p>
    <w:p>
      <w:pPr>
        <w:ind w:firstLine="6"/>
        <w:spacing w:after="0" w:line="255" w:lineRule="auto"/>
        <w:tabs>
          <w:tab w:leader="none" w:pos="2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required by the applicable requirements of the PCAOB regarding E&amp;Y’s communications with the Audit Committee concerning independence; and (iii) discussed with E&amp;Y its independence.</w:t>
      </w:r>
    </w:p>
    <w:p>
      <w:pPr>
        <w:spacing w:after="0" w:line="12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Based on the reviews and discussions described above, the Audit Committee recommended to the Board that the Audited Financial Statements be included in our Annual Report on Form 10-K for the fiscal year ended March 31, 2026 for filing with the SEC.</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AUDIT COMMITTEE</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Ellen Jewett (Chair)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Joan Lordi C. Amble</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Debra L. Dial</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Arthur E. Johnson</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Ryan P. Nolan*</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Charles O. Rossotti</w:t>
      </w:r>
    </w:p>
    <w:p>
      <w:pPr>
        <w:spacing w:after="0" w:line="2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Nolan was appointed to the Audit Committee effective June 1, 2026 and did not participate in the review of the Company's audited consolidated financial statements for the fiscal year ended March 31, 2026 or the recommendation to include such financial statements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79" w:name="page80"/>
    <w:bookmarkEnd w:id="79"/>
    <w:p>
      <w:pPr>
        <w:jc w:val="center"/>
        <w:ind w:right="80"/>
        <w:spacing w:after="0"/>
        <w:rPr>
          <w:sz w:val="20"/>
          <w:szCs w:val="20"/>
          <w:color w:val="auto"/>
        </w:rPr>
      </w:pPr>
      <w:r>
        <w:rPr>
          <w:rFonts w:ascii="Arial" w:cs="Arial" w:eastAsia="Arial" w:hAnsi="Arial"/>
          <w:sz w:val="28"/>
          <w:szCs w:val="28"/>
          <w:b w:val="1"/>
          <w:bCs w:val="1"/>
          <w:color w:val="auto"/>
        </w:rPr>
        <w:t>PRE-APPROVAL OF SERVICES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INDEPENDENT REGISTERED PUBLIC ACCOUNTING FIRM</w:t>
      </w:r>
    </w:p>
    <w:p>
      <w:pPr>
        <w:spacing w:after="0" w:line="15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Audit Committee pre-approves all audit, audit-related, tax, and other services performed by our independent auditors. The Audit Committee pre-approves specific categories of services up to pre-established fee thresholds. Unless the type of service had previously been pre-approved, the Audit Committee must approve that specific service before the independent auditors may perform it. In addition, separate approval is required if the amount of fees for any pre-approved category of service exceeds the fee thresholds established by the Audit Committee. The Audit Committee has delegated to the chair of the committee pre-approval authority with respect to permitted services, provided that the chair must report any pre-approval decisions to the Audit Committee at its next scheduled meeting. All fees described below were pre-approved by the Audit Committee.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8"/>
          <w:szCs w:val="28"/>
          <w:b w:val="1"/>
          <w:bCs w:val="1"/>
          <w:color w:val="auto"/>
        </w:rPr>
        <w:t>INDEPENDENT REGISTERED PUBLIC ACCOUNTING FIRM FEES</w:t>
      </w:r>
    </w:p>
    <w:p>
      <w:pPr>
        <w:spacing w:after="0" w:line="19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following table presents the Company’s fees for services performed by its principal accounting firm, E&amp;Y, during fiscal years 2026 and 2025.</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99"/>
        </w:trPr>
        <w:tc>
          <w:tcPr>
            <w:tcW w:w="6880" w:type="dxa"/>
            <w:vAlign w:val="bottom"/>
            <w:tcBorders>
              <w:bottom w:val="single" w:sz="8" w:color="CCEEF0"/>
            </w:tcBorders>
            <w:shd w:val="clear" w:color="auto" w:fill="00A5B5"/>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80" w:type="dxa"/>
            <w:vAlign w:val="bottom"/>
            <w:tcBorders>
              <w:bottom w:val="single" w:sz="8" w:color="666666"/>
            </w:tcBorders>
            <w:shd w:val="clear" w:color="auto" w:fill="00A5B5"/>
          </w:tcPr>
          <w:p>
            <w:pPr>
              <w:spacing w:after="0"/>
              <w:rPr>
                <w:sz w:val="17"/>
                <w:szCs w:val="17"/>
                <w:color w:val="auto"/>
              </w:rPr>
            </w:pPr>
          </w:p>
        </w:tc>
        <w:tc>
          <w:tcPr>
            <w:tcW w:w="1560" w:type="dxa"/>
            <w:vAlign w:val="bottom"/>
            <w:tcBorders>
              <w:bottom w:val="single" w:sz="8" w:color="666666"/>
            </w:tcBorders>
            <w:shd w:val="clear" w:color="auto" w:fill="00A5B5"/>
          </w:tcPr>
          <w:p>
            <w:pPr>
              <w:jc w:val="right"/>
              <w:ind w:right="78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0"/>
            </w:tcBorders>
            <w:shd w:val="clear" w:color="auto" w:fill="00A5B5"/>
          </w:tcPr>
          <w:p>
            <w:pPr>
              <w:spacing w:after="0"/>
              <w:rPr>
                <w:sz w:val="17"/>
                <w:szCs w:val="17"/>
                <w:color w:val="auto"/>
              </w:rPr>
            </w:pPr>
          </w:p>
        </w:tc>
        <w:tc>
          <w:tcPr>
            <w:tcW w:w="440" w:type="dxa"/>
            <w:vAlign w:val="bottom"/>
            <w:tcBorders>
              <w:bottom w:val="single" w:sz="8" w:color="666666"/>
            </w:tcBorders>
            <w:shd w:val="clear" w:color="auto" w:fill="00A5B5"/>
          </w:tcPr>
          <w:p>
            <w:pPr>
              <w:spacing w:after="0"/>
              <w:rPr>
                <w:sz w:val="17"/>
                <w:szCs w:val="17"/>
                <w:color w:val="auto"/>
              </w:rPr>
            </w:pPr>
          </w:p>
        </w:tc>
        <w:tc>
          <w:tcPr>
            <w:tcW w:w="1440" w:type="dxa"/>
            <w:vAlign w:val="bottom"/>
            <w:tcBorders>
              <w:bottom w:val="single" w:sz="8" w:color="666666"/>
            </w:tcBorders>
            <w:shd w:val="clear" w:color="auto" w:fill="00A5B5"/>
          </w:tcPr>
          <w:p>
            <w:pPr>
              <w:jc w:val="right"/>
              <w:ind w:right="709"/>
              <w:spacing w:after="0"/>
              <w:rPr>
                <w:sz w:val="20"/>
                <w:szCs w:val="20"/>
                <w:color w:val="auto"/>
              </w:rPr>
            </w:pPr>
            <w:r>
              <w:rPr>
                <w:rFonts w:ascii="Arial" w:cs="Arial" w:eastAsia="Arial" w:hAnsi="Arial"/>
                <w:sz w:val="14"/>
                <w:szCs w:val="14"/>
                <w:b w:val="1"/>
                <w:bCs w:val="1"/>
                <w:color w:val="auto"/>
              </w:rPr>
              <w:t>2025</w:t>
            </w:r>
          </w:p>
        </w:tc>
      </w:tr>
      <w:tr>
        <w:trPr>
          <w:trHeight w:val="192"/>
        </w:trPr>
        <w:tc>
          <w:tcPr>
            <w:tcW w:w="6880" w:type="dxa"/>
            <w:vAlign w:val="bottom"/>
            <w:shd w:val="clear" w:color="auto" w:fill="CCEEF0"/>
          </w:tcPr>
          <w:p>
            <w:pPr>
              <w:ind w:left="20"/>
              <w:spacing w:after="0" w:line="192"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480" w:type="dxa"/>
            <w:vAlign w:val="bottom"/>
            <w:shd w:val="clear" w:color="auto" w:fill="CCEEF0"/>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0"/>
          </w:tcPr>
          <w:p>
            <w:pPr>
              <w:jc w:val="right"/>
              <w:ind w:right="9"/>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0"/>
          </w:tcPr>
          <w:p>
            <w:pPr>
              <w:spacing w:after="0"/>
              <w:rPr>
                <w:sz w:val="16"/>
                <w:szCs w:val="16"/>
                <w:color w:val="auto"/>
              </w:rPr>
            </w:pPr>
          </w:p>
        </w:tc>
        <w:tc>
          <w:tcPr>
            <w:tcW w:w="440" w:type="dxa"/>
            <w:vAlign w:val="bottom"/>
            <w:shd w:val="clear" w:color="auto" w:fill="CCEEF0"/>
          </w:tcPr>
          <w:p>
            <w:pPr>
              <w:jc w:val="right"/>
              <w:ind w:right="2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0"/>
          </w:tcPr>
          <w:p>
            <w:pPr>
              <w:jc w:val="right"/>
              <w:spacing w:after="0"/>
              <w:rPr>
                <w:sz w:val="20"/>
                <w:szCs w:val="20"/>
                <w:color w:val="auto"/>
              </w:rPr>
            </w:pPr>
            <w:r>
              <w:rPr>
                <w:rFonts w:ascii="Arial" w:cs="Arial" w:eastAsia="Arial" w:hAnsi="Arial"/>
                <w:sz w:val="14"/>
                <w:szCs w:val="14"/>
                <w:color w:val="auto"/>
              </w:rPr>
              <w:t>4,762</w:t>
            </w:r>
          </w:p>
        </w:tc>
      </w:tr>
      <w:tr>
        <w:trPr>
          <w:trHeight w:val="194"/>
        </w:trPr>
        <w:tc>
          <w:tcPr>
            <w:tcW w:w="688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480" w:type="dxa"/>
            <w:vAlign w:val="bottom"/>
          </w:tcPr>
          <w:p>
            <w:pPr>
              <w:spacing w:after="0"/>
              <w:rPr>
                <w:sz w:val="16"/>
                <w:szCs w:val="16"/>
                <w:color w:val="auto"/>
              </w:rPr>
            </w:pP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6880" w:type="dxa"/>
            <w:vAlign w:val="bottom"/>
            <w:shd w:val="clear" w:color="auto" w:fill="CCEEF0"/>
          </w:tcPr>
          <w:p>
            <w:pPr>
              <w:ind w:left="20"/>
              <w:spacing w:after="0" w:line="203"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480" w:type="dxa"/>
            <w:vAlign w:val="bottom"/>
            <w:shd w:val="clear" w:color="auto" w:fill="CCEEF0"/>
          </w:tcPr>
          <w:p>
            <w:pPr>
              <w:spacing w:after="0"/>
              <w:rPr>
                <w:sz w:val="17"/>
                <w:szCs w:val="17"/>
                <w:color w:val="auto"/>
              </w:rPr>
            </w:pPr>
          </w:p>
        </w:tc>
        <w:tc>
          <w:tcPr>
            <w:tcW w:w="1660" w:type="dxa"/>
            <w:vAlign w:val="bottom"/>
            <w:gridSpan w:val="2"/>
            <w:shd w:val="clear" w:color="auto" w:fill="CCEEF0"/>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0"/>
          </w:tcPr>
          <w:p>
            <w:pPr>
              <w:spacing w:after="0"/>
              <w:rPr>
                <w:sz w:val="17"/>
                <w:szCs w:val="17"/>
                <w:color w:val="auto"/>
              </w:rPr>
            </w:pPr>
          </w:p>
        </w:tc>
        <w:tc>
          <w:tcPr>
            <w:tcW w:w="1440" w:type="dxa"/>
            <w:vAlign w:val="bottom"/>
            <w:shd w:val="clear" w:color="auto" w:fill="CCEEF0"/>
          </w:tcPr>
          <w:p>
            <w:pPr>
              <w:jc w:val="right"/>
              <w:spacing w:after="0"/>
              <w:rPr>
                <w:sz w:val="20"/>
                <w:szCs w:val="20"/>
                <w:color w:val="auto"/>
              </w:rPr>
            </w:pPr>
            <w:r>
              <w:rPr>
                <w:rFonts w:ascii="Arial" w:cs="Arial" w:eastAsia="Arial" w:hAnsi="Arial"/>
                <w:sz w:val="14"/>
                <w:szCs w:val="14"/>
                <w:color w:val="auto"/>
              </w:rPr>
              <w:t>36</w:t>
            </w:r>
          </w:p>
        </w:tc>
      </w:tr>
      <w:tr>
        <w:trPr>
          <w:trHeight w:val="199"/>
        </w:trPr>
        <w:tc>
          <w:tcPr>
            <w:tcW w:w="6880" w:type="dxa"/>
            <w:vAlign w:val="bottom"/>
            <w:tcBorders>
              <w:bottom w:val="single" w:sz="8" w:color="CCEEF0"/>
            </w:tcBorders>
          </w:tcPr>
          <w:p>
            <w:pPr>
              <w:ind w:left="20"/>
              <w:spacing w:after="0" w:line="199"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480" w:type="dxa"/>
            <w:vAlign w:val="bottom"/>
            <w:tcBorders>
              <w:bottom w:val="single" w:sz="8" w:color="666666"/>
            </w:tcBorders>
          </w:tcPr>
          <w:p>
            <w:pPr>
              <w:spacing w:after="0"/>
              <w:rPr>
                <w:sz w:val="17"/>
                <w:szCs w:val="17"/>
                <w:color w:val="auto"/>
              </w:rPr>
            </w:pPr>
          </w:p>
        </w:tc>
        <w:tc>
          <w:tcPr>
            <w:tcW w:w="1560" w:type="dxa"/>
            <w:vAlign w:val="bottom"/>
            <w:tcBorders>
              <w:bottom w:val="single" w:sz="8" w:color="666666"/>
            </w:tcBorders>
          </w:tcPr>
          <w:p>
            <w:pPr>
              <w:jc w:val="right"/>
              <w:ind w:right="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0"/>
            </w:tcBorders>
          </w:tcPr>
          <w:p>
            <w:pPr>
              <w:spacing w:after="0"/>
              <w:rPr>
                <w:sz w:val="17"/>
                <w:szCs w:val="17"/>
                <w:color w:val="auto"/>
              </w:rPr>
            </w:pPr>
          </w:p>
        </w:tc>
        <w:tc>
          <w:tcPr>
            <w:tcW w:w="440" w:type="dxa"/>
            <w:vAlign w:val="bottom"/>
            <w:tcBorders>
              <w:bottom w:val="single" w:sz="8" w:color="666666"/>
            </w:tcBorders>
          </w:tcPr>
          <w:p>
            <w:pPr>
              <w:spacing w:after="0"/>
              <w:rPr>
                <w:sz w:val="17"/>
                <w:szCs w:val="17"/>
                <w:color w:val="auto"/>
              </w:rPr>
            </w:pPr>
          </w:p>
        </w:tc>
        <w:tc>
          <w:tcPr>
            <w:tcW w:w="14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10</w:t>
            </w:r>
          </w:p>
        </w:tc>
      </w:tr>
      <w:tr>
        <w:trPr>
          <w:trHeight w:val="212"/>
        </w:trPr>
        <w:tc>
          <w:tcPr>
            <w:tcW w:w="6880" w:type="dxa"/>
            <w:vAlign w:val="bottom"/>
            <w:tcBorders>
              <w:bottom w:val="single" w:sz="8" w:color="CCEEF0"/>
            </w:tcBorders>
            <w:shd w:val="clear" w:color="auto" w:fill="CCEEF0"/>
          </w:tcPr>
          <w:p>
            <w:pPr>
              <w:ind w:left="20"/>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666666"/>
            </w:tcBorders>
            <w:shd w:val="clear" w:color="auto" w:fill="CCEEF0"/>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shd w:val="clear" w:color="auto" w:fill="CCEEF0"/>
          </w:tcPr>
          <w:p>
            <w:pPr>
              <w:jc w:val="right"/>
              <w:ind w:right="9"/>
              <w:spacing w:after="0"/>
              <w:rPr>
                <w:sz w:val="20"/>
                <w:szCs w:val="20"/>
                <w:color w:val="auto"/>
              </w:rPr>
            </w:pPr>
            <w:r>
              <w:rPr>
                <w:rFonts w:ascii="Arial" w:cs="Arial" w:eastAsia="Arial" w:hAnsi="Arial"/>
                <w:sz w:val="14"/>
                <w:szCs w:val="14"/>
                <w:color w:val="auto"/>
              </w:rPr>
              <w:t>4,661</w:t>
            </w:r>
          </w:p>
        </w:tc>
        <w:tc>
          <w:tcPr>
            <w:tcW w:w="100" w:type="dxa"/>
            <w:vAlign w:val="bottom"/>
            <w:tcBorders>
              <w:bottom w:val="single" w:sz="8" w:color="CCEEF0"/>
            </w:tcBorders>
            <w:shd w:val="clear" w:color="auto" w:fill="CCEEF0"/>
          </w:tcPr>
          <w:p>
            <w:pPr>
              <w:spacing w:after="0"/>
              <w:rPr>
                <w:sz w:val="18"/>
                <w:szCs w:val="18"/>
                <w:color w:val="auto"/>
              </w:rPr>
            </w:pPr>
          </w:p>
        </w:tc>
        <w:tc>
          <w:tcPr>
            <w:tcW w:w="440" w:type="dxa"/>
            <w:vAlign w:val="bottom"/>
            <w:tcBorders>
              <w:bottom w:val="single" w:sz="8" w:color="666666"/>
            </w:tcBorders>
            <w:shd w:val="clear" w:color="auto" w:fill="CCEEF0"/>
          </w:tcPr>
          <w:p>
            <w:pPr>
              <w:jc w:val="right"/>
              <w:ind w:right="2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66666"/>
            </w:tcBorders>
            <w:shd w:val="clear" w:color="auto" w:fill="CCEEF0"/>
          </w:tcPr>
          <w:p>
            <w:pPr>
              <w:jc w:val="right"/>
              <w:spacing w:after="0"/>
              <w:rPr>
                <w:sz w:val="20"/>
                <w:szCs w:val="20"/>
                <w:color w:val="auto"/>
              </w:rPr>
            </w:pPr>
            <w:r>
              <w:rPr>
                <w:rFonts w:ascii="Arial" w:cs="Arial" w:eastAsia="Arial" w:hAnsi="Arial"/>
                <w:sz w:val="14"/>
                <w:szCs w:val="14"/>
                <w:color w:val="auto"/>
              </w:rPr>
              <w:t>4,841</w:t>
            </w:r>
          </w:p>
        </w:tc>
      </w:tr>
      <w:tr>
        <w:trPr>
          <w:trHeight w:val="20"/>
        </w:trPr>
        <w:tc>
          <w:tcPr>
            <w:tcW w:w="6880" w:type="dxa"/>
            <w:vAlign w:val="bottom"/>
            <w:tcBorders>
              <w:top w:val="single" w:sz="8" w:color="CCEEF0"/>
            </w:tcBorders>
          </w:tcPr>
          <w:p>
            <w:pPr>
              <w:spacing w:after="0" w:line="20" w:lineRule="exact"/>
              <w:rPr>
                <w:sz w:val="1"/>
                <w:szCs w:val="1"/>
                <w:color w:val="auto"/>
              </w:rPr>
            </w:pPr>
          </w:p>
        </w:tc>
        <w:tc>
          <w:tcPr>
            <w:tcW w:w="480" w:type="dxa"/>
            <w:vAlign w:val="bottom"/>
            <w:tcBorders>
              <w:top w:val="single" w:sz="8" w:color="CCEEF0"/>
              <w:bottom w:val="single" w:sz="8" w:color="666666"/>
            </w:tcBorders>
          </w:tcPr>
          <w:p>
            <w:pPr>
              <w:spacing w:after="0" w:line="20" w:lineRule="exact"/>
              <w:rPr>
                <w:sz w:val="1"/>
                <w:szCs w:val="1"/>
                <w:color w:val="auto"/>
              </w:rPr>
            </w:pPr>
          </w:p>
        </w:tc>
        <w:tc>
          <w:tcPr>
            <w:tcW w:w="1560" w:type="dxa"/>
            <w:vAlign w:val="bottom"/>
            <w:tcBorders>
              <w:top w:val="single" w:sz="8" w:color="CCEEF0"/>
              <w:bottom w:val="single" w:sz="8" w:color="666666"/>
            </w:tcBorders>
          </w:tcPr>
          <w:p>
            <w:pPr>
              <w:spacing w:after="0" w:line="20" w:lineRule="exact"/>
              <w:rPr>
                <w:sz w:val="1"/>
                <w:szCs w:val="1"/>
                <w:color w:val="auto"/>
              </w:rPr>
            </w:pPr>
          </w:p>
        </w:tc>
        <w:tc>
          <w:tcPr>
            <w:tcW w:w="100" w:type="dxa"/>
            <w:vAlign w:val="bottom"/>
            <w:tcBorders>
              <w:top w:val="single" w:sz="8" w:color="CCEEF0"/>
            </w:tcBorders>
          </w:tcPr>
          <w:p>
            <w:pPr>
              <w:spacing w:after="0" w:line="20" w:lineRule="exact"/>
              <w:rPr>
                <w:sz w:val="1"/>
                <w:szCs w:val="1"/>
                <w:color w:val="auto"/>
              </w:rPr>
            </w:pPr>
          </w:p>
        </w:tc>
        <w:tc>
          <w:tcPr>
            <w:tcW w:w="440" w:type="dxa"/>
            <w:vAlign w:val="bottom"/>
            <w:tcBorders>
              <w:top w:val="single" w:sz="8" w:color="CCEEF0"/>
              <w:bottom w:val="single" w:sz="8" w:color="666666"/>
            </w:tcBorders>
          </w:tcPr>
          <w:p>
            <w:pPr>
              <w:spacing w:after="0" w:line="20" w:lineRule="exact"/>
              <w:rPr>
                <w:sz w:val="1"/>
                <w:szCs w:val="1"/>
                <w:color w:val="auto"/>
              </w:rPr>
            </w:pPr>
          </w:p>
        </w:tc>
        <w:tc>
          <w:tcPr>
            <w:tcW w:w="1440" w:type="dxa"/>
            <w:vAlign w:val="bottom"/>
            <w:tcBorders>
              <w:top w:val="single" w:sz="8" w:color="CCEEF0"/>
              <w:bottom w:val="single" w:sz="8" w:color="666666"/>
            </w:tcBorders>
          </w:tcPr>
          <w:p>
            <w:pPr>
              <w:spacing w:after="0" w:line="20" w:lineRule="exact"/>
              <w:rPr>
                <w:sz w:val="1"/>
                <w:szCs w:val="1"/>
                <w:color w:val="auto"/>
              </w:rPr>
            </w:pPr>
          </w:p>
        </w:tc>
      </w:tr>
    </w:tbl>
    <w:p>
      <w:pPr>
        <w:spacing w:after="0" w:line="176" w:lineRule="exact"/>
        <w:rPr>
          <w:sz w:val="20"/>
          <w:szCs w:val="20"/>
          <w:color w:val="auto"/>
        </w:rPr>
      </w:pPr>
    </w:p>
    <w:p>
      <w:pPr>
        <w:ind w:left="560" w:hanging="316"/>
        <w:spacing w:after="0" w:line="293" w:lineRule="auto"/>
        <w:tabs>
          <w:tab w:leader="none" w:pos="573"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 fees principally include those for services related to the audit and quarterly reviews of the Company’s consolidated financial statements and consultation on accounting matters.</w:t>
      </w:r>
    </w:p>
    <w:p>
      <w:pPr>
        <w:spacing w:after="0" w:line="56" w:lineRule="exact"/>
        <w:rPr>
          <w:rFonts w:ascii="Arial" w:cs="Arial" w:eastAsia="Arial" w:hAnsi="Arial"/>
          <w:sz w:val="14"/>
          <w:szCs w:val="14"/>
          <w:color w:val="auto"/>
        </w:rPr>
      </w:pPr>
    </w:p>
    <w:p>
      <w:pPr>
        <w:ind w:left="580" w:hanging="336"/>
        <w:spacing w:after="0"/>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Tax fees principally include domestic and foreign tax compliance and advisory services.</w:t>
      </w:r>
    </w:p>
    <w:p>
      <w:pPr>
        <w:spacing w:after="0" w:line="116" w:lineRule="exact"/>
        <w:rPr>
          <w:rFonts w:ascii="Arial" w:cs="Arial" w:eastAsia="Arial" w:hAnsi="Arial"/>
          <w:sz w:val="14"/>
          <w:szCs w:val="14"/>
          <w:color w:val="auto"/>
        </w:rPr>
      </w:pPr>
    </w:p>
    <w:p>
      <w:pPr>
        <w:ind w:left="580" w:hanging="336"/>
        <w:spacing w:after="0"/>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All other fees consists of fees not reported under the categories above and primarily includes fees for accounting research software.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8"/>
          <w:szCs w:val="28"/>
          <w:b w:val="1"/>
          <w:bCs w:val="1"/>
          <w:color w:val="auto"/>
        </w:rPr>
        <w:t>PROPOSAL 2: RATIFICATION OF APPOINTMENT OF ACCOUNTANTS</w:t>
      </w:r>
    </w:p>
    <w:p>
      <w:pPr>
        <w:spacing w:after="0" w:line="19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Audit Committee has appointed E&amp;Y as the independent auditors to perform an integrated audit of the Company for the fiscal year ending March 31, 2027. E&amp;Y served as our independent auditors for the fiscal year ended March 31, 2026. Stockholder approval of the appointment is not required.</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believes that obtaining stockholder ratification of the appointment is a sound corporate governance practice. If the stockholders do not vote on an advisory basis in favor of E&amp;Y, the Audit Committee will reconsider whether to hire the firm and may retain E&amp;Y or hire another firm without resubmitting the matter for stockholders to approve. The Audit Committee retains the discretion at any time to appoint a different independent auditor.</w:t>
      </w:r>
    </w:p>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Representatives of E&amp;Y are expected to be present at the Annual Meeting, available to respond to appropriate questions, and will have the opportunity to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399415</wp:posOffset>
            </wp:positionV>
            <wp:extent cx="5874385" cy="7061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4385" cy="70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40" w:right="1020"/>
        <w:spacing w:after="0" w:line="236" w:lineRule="auto"/>
        <w:rPr>
          <w:sz w:val="20"/>
          <w:szCs w:val="20"/>
          <w:color w:val="auto"/>
        </w:rPr>
      </w:pPr>
      <w:r>
        <w:rPr>
          <w:rFonts w:ascii="Arial" w:cs="Arial" w:eastAsia="Arial" w:hAnsi="Arial"/>
          <w:sz w:val="21"/>
          <w:szCs w:val="21"/>
          <w:b w:val="1"/>
          <w:bCs w:val="1"/>
          <w:color w:val="00A5B5"/>
        </w:rPr>
        <w:t>The Board of Directors recommends a vote FOR ratification of the appointment of Ernst &amp; Young LLP as the independent registered public accounting firm for the Company for fiscal year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2" w:name="page83"/>
    <w:bookmarkEnd w:id="82"/>
    <w:p>
      <w:pPr>
        <w:ind w:left="320"/>
        <w:spacing w:after="0"/>
        <w:rPr>
          <w:sz w:val="20"/>
          <w:szCs w:val="20"/>
          <w:color w:val="auto"/>
        </w:rPr>
      </w:pPr>
      <w:r>
        <w:rPr>
          <w:rFonts w:ascii="Arial" w:cs="Arial" w:eastAsia="Arial" w:hAnsi="Arial"/>
          <w:sz w:val="28"/>
          <w:szCs w:val="28"/>
          <w:b w:val="1"/>
          <w:bCs w:val="1"/>
          <w:color w:val="auto"/>
        </w:rPr>
        <w:t>PROPOSAL 3: ADVISORY VOTE ON COMPANY'S EXECUTIVE COMPENSATION</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required by Section 14A of the Exchange Act, the Company is providing stockholders with a non-binding advisory vote on the compensation of our named executive officers, as disclosed in the CD&amp;A, the accompanying compensation tables, and the related narrative disclosure in this proxy statement. Although this vote is advisory, the Board and the Compensation, Culture and People Committee value the opinions of our stockholders and will review and consider the voting results when making future compensation decisions for our named executive officers.</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described in detail in the CD&amp;A, our compensation programs are designed to attract, motivate, and retain executives of outstanding ability to meet and exceed the demands of our customers, focus management on optimizing stockholder value and fostering an ownership culture, create appropriate rewards for outstanding performance and penalties for underperformance, and provide competitive rewards that foster collaboration by rewarding executives for their contribution to our overall performance and financial success while determining and allocating incentives based on our performance as a whole in recognition of the spirit and culture of collaboration that has defined us throughout our history. Accordingly, the Board submits the following resolution for a stockholder vote at the 2026 Annual Meeting of Stockholders:</w:t>
      </w:r>
    </w:p>
    <w:p>
      <w:pPr>
        <w:spacing w:after="0" w:line="12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RESOLVED, that the stockholders approve, on an advisory basis, the compensation of the Company’s named executive officers as disclosed in the CD&amp;A, the accompanying compensation tables, and the related narrative disclosure in the Company’s proxy statement for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080"/>
        <w:spacing w:after="0" w:line="236" w:lineRule="auto"/>
        <w:rPr>
          <w:sz w:val="20"/>
          <w:szCs w:val="20"/>
          <w:color w:val="auto"/>
        </w:rPr>
      </w:pPr>
      <w:r>
        <w:rPr>
          <w:rFonts w:ascii="Arial" w:cs="Arial" w:eastAsia="Arial" w:hAnsi="Arial"/>
          <w:sz w:val="21"/>
          <w:szCs w:val="21"/>
          <w:b w:val="1"/>
          <w:bCs w:val="1"/>
          <w:color w:val="00A5B5"/>
        </w:rPr>
        <w:t>The Board of Directors recommends a vote FOR the approval, on an advisory basis, of the compensation of our named executive officers as disclosed in the Compensation Discussion and Analysis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-450215</wp:posOffset>
            </wp:positionV>
            <wp:extent cx="5832475" cy="454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324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8"/>
          <w:szCs w:val="28"/>
          <w:b w:val="1"/>
          <w:bCs w:val="1"/>
          <w:color w:val="auto"/>
        </w:rPr>
        <w:t>PROPOSAL 4: STOCKHOLDER PROPOSAL</w:t>
      </w:r>
    </w:p>
    <w:p>
      <w:pPr>
        <w:spacing w:after="0" w:line="19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has been informed that John Chevedden, 2215 Nelson Avenue, No. 205, Redondo Beach, CA, 90278, a beneficial owner of shares of our Class A common stock having a minimum value as set forth in Rule 14a-8 of the Exchange Act allowing submission of proposals by stockholders meeting certain requirements, intends to present the proposal set forth below at our Annual Meeting (the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Proposal</w:t>
      </w:r>
      <w:r>
        <w:rPr>
          <w:rFonts w:ascii="Arial" w:cs="Arial" w:eastAsia="Arial" w:hAnsi="Arial"/>
          <w:sz w:val="18"/>
          <w:szCs w:val="18"/>
          <w:color w:val="auto"/>
        </w:rPr>
        <w:t>”). Mr. Chevedden has owned 50 shares of our Class A common stock since November 20, 2021. The Stockholder Proposal will be voted on at the Annual Meeting only if properly presented by or on behalf of Mr. Chevedden. In accordance with federal securities laws, the proposed stockholder proposal is presented verbatim from his submission. The Company disclaims all responsibility for the content of the resolution and the supporting statement, including other sources referenced in the supporting statement.</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the reasons stated in the Board of Directors’ Statement in Opposition, which follows the Stockholder Proposal, the Board recommends that you vote “AGAINST” the Stockholder Proposal.</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Stockholder Proposal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99060</wp:posOffset>
            </wp:positionV>
            <wp:extent cx="193294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329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Shareholders request that the board of directors take the necessary steps to permit written consent by the shareholders entitled to cast the minimum number of votes that would be necessary to authorize an action at a meeting at which all shareholders entitled to vote thereon were present and voting (without any unnecessary restriction based on length of stock ownership or the method by which shareholders hold their shares).</w:t>
      </w:r>
    </w:p>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This includes that there be no additional requirements, including procedural requirements, in regard to shareholders acting by written consent other than those specified in § 228 DGCL.</w:t>
      </w:r>
    </w:p>
    <w:p>
      <w:pPr>
        <w:spacing w:after="0" w:line="1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Shareholders acting by written consent is a means that shareholders of a company can use to put forth a proposal on a timely basis without waiting for the next annual shareholder meeting.</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Many companies fail to understand that written consent is structured only for issues that have overwhelming shareholder support.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Written consent is a shareholder right that requires the formal backing of a majority of all shares outstanding. This majority support requirement in reality is much more than majority support because it is not economically possible to contact a significant percent of BAH shares to get their formal backing. Thus for an issue to still get majority support from all shares outstanding under written consent it could need 70% to 80% support from the BAH shares that it is economically possible to reach.</w:t>
      </w:r>
    </w:p>
    <w:p>
      <w:pPr>
        <w:spacing w:after="0" w:line="12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Yet many companies incorrectly give the impression that written consent gives too much influence to a minority. The only role for a minority with written consent is to initiate a proposal that has a chance of obtaining 70% to 80% BAH shareholder support. Unless there is 70% to 80% BAH shareholder support an issue fails.</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Please vote yes:</w:t>
      </w:r>
    </w:p>
    <w:p>
      <w:pPr>
        <w:spacing w:after="0" w:line="5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Shareholder Right to Act by Written Consent -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84" w:name="page85"/>
    <w:bookmarkEnd w:id="84"/>
    <w:p>
      <w:pPr>
        <w:spacing w:after="0"/>
        <w:rPr>
          <w:sz w:val="20"/>
          <w:szCs w:val="20"/>
          <w:color w:val="auto"/>
        </w:rPr>
      </w:pPr>
      <w:r>
        <w:rPr>
          <w:rFonts w:ascii="Arial" w:cs="Arial" w:eastAsia="Arial" w:hAnsi="Arial"/>
          <w:sz w:val="21"/>
          <w:szCs w:val="21"/>
          <w:b w:val="1"/>
          <w:bCs w:val="1"/>
          <w:u w:val="single" w:color="auto"/>
          <w:color w:val="00A5B5"/>
        </w:rPr>
        <w:t>Board of Directors’ Statement in Opposition</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has carefully considered the Stockholder Proposal and believes that it is not in the best interests of the Company’s stockholders. The Board believes that the Company’s existing governance framework already provides stockholders with effective and appropriate rights to act on important matters while ensuring fairness, transparency and equal participation. For the reasons set forth below, our Board unanimously recommends a vote AGAINST this proposal.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5B5"/>
        </w:rPr>
        <w:t>Stockholder Meetings Ensure Fairness and Transparency</w:t>
      </w:r>
    </w:p>
    <w:p>
      <w:pPr>
        <w:spacing w:after="0" w:line="1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strongly believes stockholder meetings—whether annual or special—promote fairness, transparency and informed decision-making in ways that written consents do not. Meetings provide advance notice to all stockholders, ensure dissemination of disclosure materials and offer opportunities for questions and discussion before any vote is taken. By contrast, written consent could enable a subset of stockholders to take action without prior notice to others and possibly without any notice, before other stockholders have the opportunity to consider the matter, evaluate competing viewpoints or engage with the Company and the Board.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5B5"/>
        </w:rPr>
        <w:t>Booz Allen Stockholders Have the Right to Call a Special Meeting</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stockholders already have meaningful rights to raise issues outside of the annual meeting cycle through our special meeting framework, which provides a clear, orderly and inclusive process for considering significant matters between annual meetings. Under our bylaws, stockholders who hold at least 25% of the outstanding shares of our Class A common stock may request that the Company call a special meeting, subject to certain procedural requirements. Special meetings ensure that all stockholders receive disclosures filed with the SEC and can vote at the same time, minimizing the potential for confusion or coercion. In contrast, a written consent process could result in the non-consenting, minority stockholders not receiving any information until after the action has been taken.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5B5"/>
        </w:rPr>
        <w:t>Booz Allen has a Corporate Governance Structure that Supports Stockholder Rights and Board Accountability</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maintains robust corporate governance practices, including independent leadership, with a Lead Independent Director when the Chair is not independent, and a Board that is majority independent (all directors, other than Mr. Rozanski, are independent). All directors are elected annually. Our bylaws provide for a majority voting standard in uncontested director elections coupled with a director resignation policy, which enhances accountability. We also maintain robust stockholder engagement practices and, consistent with past disclosures, do not have a stockholder rights plan (poison pill) in place. In light of these practices, the Board does not believe that adopting written consent would meaningfully enhance stockholder rights or long-term value.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5B5"/>
        </w:rPr>
        <w:t>The Proposal Lacks Procedural Safeguards that Would Allow Stockholders to Make Informed Decisions</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believes that adopting written consent could expose the Company and its stockholders to unnecessary risks. Actions by written consent may be undertaken on compressed timelines and without the customary sequencing of SEC filings, broad stockholder outreach or presentation of multiple perspectives that accompany a meeting. This may result in fragmented decision-making that does not reflect the considered judgment of the Company’s stockholders.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5B5"/>
        </w:rPr>
        <w:t>Conclusion</w:t>
      </w:r>
    </w:p>
    <w:p>
      <w:pPr>
        <w:spacing w:after="0" w:line="16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these reasons, the Board believes that the Stockholder Proposal is unnecessary and not in the best interests of the Company’s stockholders. Accordingly, the Board recommends that stockholders vote AGAINST this proposal.</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A5B5"/>
        </w:rPr>
        <w:t>Required Vote and Recommendation</w:t>
      </w:r>
    </w:p>
    <w:p>
      <w:pPr>
        <w:spacing w:after="0" w:line="16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Approval of this proposal requires the affirmative vote of a majority of the shares entitled to vote at the Annual Meeting represented either in person or by proxy at the Annual Meeting.</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0A5B5"/>
        </w:rPr>
        <w:t>The Board of Directors recommends a vote AGAINST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-151765</wp:posOffset>
            </wp:positionV>
            <wp:extent cx="5832475" cy="1847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2475" cy="18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8"/>
          <w:szCs w:val="28"/>
          <w:b w:val="1"/>
          <w:bCs w:val="1"/>
          <w:color w:val="auto"/>
        </w:rPr>
        <w:t>OTHER BUSINESS</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200" w:lineRule="exact"/>
        <w:rPr>
          <w:sz w:val="20"/>
          <w:szCs w:val="20"/>
          <w:color w:val="auto"/>
        </w:rPr>
      </w:pPr>
    </w:p>
    <w:p>
      <w:pPr>
        <w:spacing w:after="0" w:line="3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order of the Board of Directors,</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Jacob D. Bernstein</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Secretary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6" w:name="page87"/>
    <w:bookmarkEnd w:id="86"/>
    <w:p>
      <w:pPr>
        <w:jc w:val="center"/>
        <w:ind w:left="340" w:right="1020"/>
        <w:spacing w:after="0" w:line="305" w:lineRule="auto"/>
        <w:rPr>
          <w:sz w:val="20"/>
          <w:szCs w:val="20"/>
          <w:color w:val="auto"/>
        </w:rPr>
      </w:pPr>
      <w:r>
        <w:rPr>
          <w:rFonts w:ascii="Arial" w:cs="Arial" w:eastAsia="Arial" w:hAnsi="Arial"/>
          <w:sz w:val="28"/>
          <w:szCs w:val="28"/>
          <w:b w:val="1"/>
          <w:bCs w:val="1"/>
          <w:color w:val="auto"/>
        </w:rPr>
        <w:t>IMPORTANT INFORMATION ABOUT ANNUAL MEETING AND PROXY PROCEDURES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is soliciting proxies to be used at the Annual Meeting of Stockholders to be held virtually on July 22, 2026, beginning at 8:00 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(EDT) at www.virtualshareholdermeeting.com/BAH2026.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A5B5"/>
        </w:rPr>
        <w:t>Why am I receiving these proxy materials?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You have received these proxy materials because our Board is soliciting your proxy to vote your shares at the Annual Meeting. As a stockholder, you are invited to attend the Annual Meeting and are requested to vote on the items of business described in this proxy statement. This proxy statement includes information that we are required to provide to you under SEC rules, and describes issues on which we would like you to vote at our Annual Meeting. It also gives you information on these issues so that you can make an informed decision. The proxy materials include our proxy statement for the Annual Meeting, our annual report to stockholders, which includes our Annual Report on Form 10-K for the year ended March 31, 2026 and the proxy card, or a voting instruction card, for the Annual Meeting.</w:t>
      </w:r>
    </w:p>
    <w:p>
      <w:pPr>
        <w:spacing w:after="0" w:line="13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Board has made this proxy statement and proxy card available to you on the Internet because you own shares of Class A common stock of the Company.</w:t>
      </w:r>
    </w:p>
    <w:p>
      <w:pPr>
        <w:spacing w:after="0" w:line="11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you submit a proxy by using the Internet, by calling, or by signing and returning the proxy card, you will appoint Horacio D. Rozanski, Chairman and Chief Executive Officer, and Jacob Bernstein, Deputy General Counsel and Secretary, (with full power of substitution) as your representatives at the Annual Meeting. They will vote your shares at the Annual Meeting as you have instructed them or, if an issue that is not on the proxy card comes up for vote, in accordance with their best judgment. By submitting a proxy, you can ensure your shares will be voted whether or not you attend the Annual Meeting. Even if you plan to attend the Annual Meeting, we encourage you to submit a proxy in advance by using the Internet, by calling, or by signing and returning your proxy card. If you vote by Internet or by calling, you do not need to return your proxy card.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0A5B5"/>
        </w:rPr>
        <w:t>Why did I receive a one-page notice in the mail regarding the Internet availability of proxy materials instead of a full set of proxy materials?</w:t>
      </w:r>
    </w:p>
    <w:p>
      <w:pPr>
        <w:spacing w:after="0" w:line="1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Pursuant to the "Notice and Access" rules adopted by the SEC, we have elected to provide access to our proxy materials over the Internet at www.proxyvote.com.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proxy materials in printed form by mail or electronically by email on an ongoing basis by submitting a request in writing to our Secretary at Booz Allen Hamilton, 8283 Greensboro Drive, McLean, Virginia 22102. We encourage stockholders to take advantage of the availability of proxy materials on the Internet to help reduce the environmental impact and cost of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A5B5"/>
        </w:rPr>
        <w:t>How can I sign up for the electronic proxy delivery service?</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You can elect to receive an email that provides a link to our future proxy materials on the Internet. The proxy card or the instructions that accompanied your proxy materials will contain instructions on how to request electronic delivery of future proxy materials. Choosing to receive your future proxy materials by email will eliminate the cost of printing and mailing documents and will reduce the associated environmental impact.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00A5B5"/>
        </w:rPr>
        <w:t>How do I attend and participate in the virtual Annual Meeting?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will be able to virtually attend the Annual Meeting by visiting www.virtualshareholdermeeting.com/BAH2026. Although it will be a virtual-only meeting, the Company wants to assure its stockholders of its commitment to ensuring that the Annual Meeting provides its stockholders with the same rights and opportunities to participate as in an in-person meeting, including the ability to ask questions of the Board and management.</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participate in the Annual Meeting, you will need the control number located on your proxy card or the instructions that accompanied your proxy materials. The Annual Meeting will begin promptly at 8:00 a.m. Eastern Time on July 22, 2026. We encourage you to access the virtual meeting website prior to the start time. Online check-in will begin at 7:45 a.m. Eastern Time, and you should allow ample time to ensure your ability to access the meeting.</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You may submit a question during the meeting by visiting www.virtualshareholdermeeting.com/BAH2026 and following the instructions on the website. The Company will post responses to questions relevant to meeting matters that are not answered during the Annual Meeting due to time constraints on the Company's Investor Relations portion of our website at investors.boozallen.com, as soon as practicable after the Annual Meeting. The Chair of the meeting has broad authority to conduct the Annual Meeting in an orderly manner, including establishing rules of conduct. A copy of the rules of conduct will be available online at the Annual Meeting.</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the Company will have technicians ready beginning fifteen minutes prior to the meeting to assist participating stockholders with any technical difficulties they may have accessing the virtual meeting. If participating stockholders encounter any difficulties accessing the virtual meeting during check-in or the meeting, they may call the technical support number that will be posted on the virtual meeting platform log-in page.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A5B5"/>
        </w:rPr>
        <w:t>Who is entitled to vote at the Annual Meeting?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the Company’s Class A common stock are entitled to vote at the Annual Meeting. The Board has established the record date for the Annual Meeting as June 1, 2026. Only holders of record of the Company’s Class A common stock on the record date are entitled to receive notice of the meeting and to vote at the meeting. Dissenters’ rights are not applicable to any of the matters being voted upon at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A5B5"/>
        </w:rPr>
        <w:t>How many shares must be present to hold the Annual Meeting?</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order for us to lawfully conduct business at the Annual Meeting, the holders of stock representing a majority of the voting power of all shares issued and outstanding and entitled to vote at the meeting must be present in person at the Annual Meeting or represented by proxy. This is referred to as a quorum. Stockholders who attend the Annual Meeting online at www.virtualshareholdermeeting.com/BAH2026 will be deemed to be in person attendees for purposes of determining if a quorum has been met. If a quorum is present, we can hold the Annual Meeting and conduct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A5B5"/>
        </w:rPr>
        <w:t>How many shares may I vote?</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On June 1, 2026, 119,934,041 shares of our Class A common stock were outstanding. Each share of Class A common stock is entitled to one vote, and stockholders do not have the right to cumulate their votes for the election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0A5B5"/>
        </w:rPr>
        <w:t>What am I voting on and what are the Board’s recommendations?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shd w:val="clear" w:color="auto" w:fill="00A5B5"/>
          </w:tcPr>
          <w:p>
            <w:pPr>
              <w:jc w:val="center"/>
              <w:ind w:left="69"/>
              <w:spacing w:after="0"/>
              <w:rPr>
                <w:sz w:val="20"/>
                <w:szCs w:val="20"/>
                <w:color w:val="auto"/>
              </w:rPr>
            </w:pPr>
            <w:r>
              <w:rPr>
                <w:rFonts w:ascii="Arial" w:cs="Arial" w:eastAsia="Arial" w:hAnsi="Arial"/>
                <w:sz w:val="14"/>
                <w:szCs w:val="14"/>
                <w:b w:val="1"/>
                <w:bCs w:val="1"/>
                <w:color w:val="auto"/>
              </w:rPr>
              <w:t>Proposal</w:t>
            </w:r>
          </w:p>
        </w:tc>
        <w:tc>
          <w:tcPr>
            <w:tcW w:w="6520" w:type="dxa"/>
            <w:vAlign w:val="bottom"/>
            <w:vMerge w:val="restart"/>
            <w:shd w:val="clear" w:color="auto" w:fill="00A5B5"/>
          </w:tcPr>
          <w:p>
            <w:pPr>
              <w:ind w:left="288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shd w:val="clear" w:color="auto" w:fill="00A5B5"/>
          </w:tcPr>
          <w:p>
            <w:pPr>
              <w:jc w:val="center"/>
              <w:ind w:right="69"/>
              <w:spacing w:after="0"/>
              <w:rPr>
                <w:sz w:val="20"/>
                <w:szCs w:val="20"/>
                <w:color w:val="auto"/>
              </w:rPr>
            </w:pPr>
            <w:r>
              <w:rPr>
                <w:rFonts w:ascii="Arial" w:cs="Arial" w:eastAsia="Arial" w:hAnsi="Arial"/>
                <w:sz w:val="14"/>
                <w:szCs w:val="14"/>
                <w:b w:val="1"/>
                <w:bCs w:val="1"/>
                <w:color w:val="auto"/>
                <w:w w:val="98"/>
              </w:rPr>
              <w:t>Board's Voting</w:t>
            </w:r>
          </w:p>
        </w:tc>
        <w:tc>
          <w:tcPr>
            <w:tcW w:w="1860" w:type="dxa"/>
            <w:vAlign w:val="bottom"/>
            <w:vMerge w:val="restart"/>
            <w:shd w:val="clear" w:color="auto" w:fill="00A5B5"/>
          </w:tcPr>
          <w:p>
            <w:pPr>
              <w:ind w:left="380"/>
              <w:spacing w:after="0"/>
              <w:rPr>
                <w:sz w:val="20"/>
                <w:szCs w:val="20"/>
                <w:color w:val="auto"/>
              </w:rPr>
            </w:pPr>
            <w:r>
              <w:rPr>
                <w:rFonts w:ascii="Arial" w:cs="Arial" w:eastAsia="Arial" w:hAnsi="Arial"/>
                <w:sz w:val="14"/>
                <w:szCs w:val="14"/>
                <w:b w:val="1"/>
                <w:bCs w:val="1"/>
                <w:color w:val="auto"/>
              </w:rPr>
              <w:t>Page Reference</w:t>
            </w:r>
          </w:p>
        </w:tc>
        <w:tc>
          <w:tcPr>
            <w:tcW w:w="0" w:type="dxa"/>
            <w:vAlign w:val="bottom"/>
          </w:tcPr>
          <w:p>
            <w:pPr>
              <w:spacing w:after="0"/>
              <w:rPr>
                <w:sz w:val="1"/>
                <w:szCs w:val="1"/>
                <w:color w:val="auto"/>
              </w:rPr>
            </w:pPr>
          </w:p>
        </w:tc>
      </w:tr>
      <w:tr>
        <w:trPr>
          <w:trHeight w:val="181"/>
        </w:trPr>
        <w:tc>
          <w:tcPr>
            <w:tcW w:w="980" w:type="dxa"/>
            <w:vAlign w:val="bottom"/>
            <w:tcBorders>
              <w:bottom w:val="single" w:sz="8" w:color="auto"/>
            </w:tcBorders>
            <w:vMerge w:val="continue"/>
            <w:shd w:val="clear" w:color="auto" w:fill="00A5B5"/>
          </w:tcPr>
          <w:p>
            <w:pPr>
              <w:spacing w:after="0"/>
              <w:rPr>
                <w:sz w:val="15"/>
                <w:szCs w:val="15"/>
                <w:color w:val="auto"/>
              </w:rPr>
            </w:pPr>
          </w:p>
        </w:tc>
        <w:tc>
          <w:tcPr>
            <w:tcW w:w="6520" w:type="dxa"/>
            <w:vAlign w:val="bottom"/>
            <w:tcBorders>
              <w:bottom w:val="single" w:sz="8" w:color="auto"/>
            </w:tcBorders>
            <w:vMerge w:val="continue"/>
            <w:shd w:val="clear" w:color="auto" w:fill="00A5B5"/>
          </w:tcPr>
          <w:p>
            <w:pPr>
              <w:spacing w:after="0"/>
              <w:rPr>
                <w:sz w:val="15"/>
                <w:szCs w:val="15"/>
                <w:color w:val="auto"/>
              </w:rPr>
            </w:pPr>
          </w:p>
        </w:tc>
        <w:tc>
          <w:tcPr>
            <w:tcW w:w="1880" w:type="dxa"/>
            <w:vAlign w:val="bottom"/>
            <w:tcBorders>
              <w:bottom w:val="single" w:sz="8" w:color="auto"/>
            </w:tcBorders>
            <w:shd w:val="clear" w:color="auto" w:fill="00A5B5"/>
          </w:tcPr>
          <w:p>
            <w:pPr>
              <w:jc w:val="center"/>
              <w:ind w:right="69"/>
              <w:spacing w:after="0"/>
              <w:rPr>
                <w:sz w:val="20"/>
                <w:szCs w:val="20"/>
                <w:color w:val="auto"/>
              </w:rPr>
            </w:pPr>
            <w:r>
              <w:rPr>
                <w:rFonts w:ascii="Arial" w:cs="Arial" w:eastAsia="Arial" w:hAnsi="Arial"/>
                <w:sz w:val="14"/>
                <w:szCs w:val="14"/>
                <w:b w:val="1"/>
                <w:bCs w:val="1"/>
                <w:color w:val="auto"/>
              </w:rPr>
              <w:t>Recommendation</w:t>
            </w:r>
          </w:p>
        </w:tc>
        <w:tc>
          <w:tcPr>
            <w:tcW w:w="1860" w:type="dxa"/>
            <w:vAlign w:val="bottom"/>
            <w:tcBorders>
              <w:bottom w:val="single" w:sz="8" w:color="auto"/>
            </w:tcBorders>
            <w:vMerge w:val="continue"/>
            <w:shd w:val="clear" w:color="auto" w:fill="00A5B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80" w:type="dxa"/>
            <w:vAlign w:val="bottom"/>
            <w:tcBorders>
              <w:bottom w:val="single" w:sz="8" w:color="auto"/>
            </w:tcBorders>
            <w:shd w:val="clear" w:color="auto" w:fill="BAD63A"/>
          </w:tcPr>
          <w:p>
            <w:pPr>
              <w:jc w:val="center"/>
              <w:ind w:left="49"/>
              <w:spacing w:after="0"/>
              <w:rPr>
                <w:sz w:val="20"/>
                <w:szCs w:val="20"/>
                <w:color w:val="auto"/>
              </w:rPr>
            </w:pPr>
            <w:r>
              <w:rPr>
                <w:rFonts w:ascii="Arial" w:cs="Arial" w:eastAsia="Arial" w:hAnsi="Arial"/>
                <w:sz w:val="14"/>
                <w:szCs w:val="14"/>
                <w:color w:val="auto"/>
              </w:rPr>
              <w:t>No. 1</w:t>
            </w:r>
          </w:p>
        </w:tc>
        <w:tc>
          <w:tcPr>
            <w:tcW w:w="6520" w:type="dxa"/>
            <w:vAlign w:val="bottom"/>
            <w:tcBorders>
              <w:bottom w:val="single" w:sz="8" w:color="auto"/>
            </w:tcBorders>
            <w:shd w:val="clear" w:color="auto" w:fill="BAD63A"/>
          </w:tcPr>
          <w:p>
            <w:pPr>
              <w:ind w:left="140"/>
              <w:spacing w:after="0"/>
              <w:rPr>
                <w:sz w:val="20"/>
                <w:szCs w:val="20"/>
                <w:color w:val="auto"/>
              </w:rPr>
            </w:pPr>
            <w:r>
              <w:rPr>
                <w:rFonts w:ascii="Arial" w:cs="Arial" w:eastAsia="Arial" w:hAnsi="Arial"/>
                <w:sz w:val="14"/>
                <w:szCs w:val="14"/>
                <w:color w:val="auto"/>
              </w:rPr>
              <w:t>Election of ten director nominees</w:t>
            </w:r>
          </w:p>
        </w:tc>
        <w:tc>
          <w:tcPr>
            <w:tcW w:w="1880" w:type="dxa"/>
            <w:vAlign w:val="bottom"/>
            <w:tcBorders>
              <w:bottom w:val="single" w:sz="8" w:color="auto"/>
            </w:tcBorders>
            <w:shd w:val="clear" w:color="auto" w:fill="BAD63A"/>
          </w:tcPr>
          <w:p>
            <w:pPr>
              <w:jc w:val="center"/>
              <w:ind w:right="89"/>
              <w:spacing w:after="0"/>
              <w:rPr>
                <w:sz w:val="20"/>
                <w:szCs w:val="20"/>
                <w:color w:val="auto"/>
              </w:rPr>
            </w:pPr>
            <w:r>
              <w:rPr>
                <w:rFonts w:ascii="Arial" w:cs="Arial" w:eastAsia="Arial" w:hAnsi="Arial"/>
                <w:sz w:val="14"/>
                <w:szCs w:val="14"/>
                <w:b w:val="1"/>
                <w:bCs w:val="1"/>
                <w:color w:val="auto"/>
              </w:rPr>
              <w:t>FOR each nominee</w:t>
            </w:r>
          </w:p>
        </w:tc>
        <w:tc>
          <w:tcPr>
            <w:tcW w:w="1860" w:type="dxa"/>
            <w:vAlign w:val="bottom"/>
            <w:tcBorders>
              <w:bottom w:val="single" w:sz="8" w:color="auto"/>
            </w:tcBorders>
            <w:shd w:val="clear" w:color="auto" w:fill="BAD63A"/>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980" w:type="dxa"/>
            <w:vAlign w:val="bottom"/>
            <w:vMerge w:val="restart"/>
          </w:tcPr>
          <w:p>
            <w:pPr>
              <w:jc w:val="center"/>
              <w:ind w:left="49"/>
              <w:spacing w:after="0"/>
              <w:rPr>
                <w:sz w:val="20"/>
                <w:szCs w:val="20"/>
                <w:color w:val="auto"/>
              </w:rPr>
            </w:pPr>
            <w:r>
              <w:rPr>
                <w:rFonts w:ascii="Arial" w:cs="Arial" w:eastAsia="Arial" w:hAnsi="Arial"/>
                <w:sz w:val="14"/>
                <w:szCs w:val="14"/>
                <w:color w:val="auto"/>
              </w:rPr>
              <w:t>No. 2</w:t>
            </w:r>
          </w:p>
        </w:tc>
        <w:tc>
          <w:tcPr>
            <w:tcW w:w="6520" w:type="dxa"/>
            <w:vAlign w:val="bottom"/>
          </w:tcPr>
          <w:p>
            <w:pPr>
              <w:ind w:left="140"/>
              <w:spacing w:after="0" w:line="143" w:lineRule="exact"/>
              <w:rPr>
                <w:sz w:val="20"/>
                <w:szCs w:val="20"/>
                <w:color w:val="auto"/>
              </w:rPr>
            </w:pPr>
            <w:r>
              <w:rPr>
                <w:rFonts w:ascii="Arial" w:cs="Arial" w:eastAsia="Arial" w:hAnsi="Arial"/>
                <w:sz w:val="14"/>
                <w:szCs w:val="14"/>
                <w:color w:val="auto"/>
              </w:rPr>
              <w:t>Ratification of appointment of E&amp;Y as the Company's independent registered accounting firm for</w:t>
            </w:r>
          </w:p>
        </w:tc>
        <w:tc>
          <w:tcPr>
            <w:tcW w:w="188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rPr>
              <w:t>FOR</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14"/>
        </w:trPr>
        <w:tc>
          <w:tcPr>
            <w:tcW w:w="980" w:type="dxa"/>
            <w:vAlign w:val="bottom"/>
            <w:vMerge w:val="continue"/>
          </w:tcPr>
          <w:p>
            <w:pPr>
              <w:spacing w:after="0"/>
              <w:rPr>
                <w:sz w:val="9"/>
                <w:szCs w:val="9"/>
                <w:color w:val="auto"/>
              </w:rPr>
            </w:pPr>
          </w:p>
        </w:tc>
        <w:tc>
          <w:tcPr>
            <w:tcW w:w="6520" w:type="dxa"/>
            <w:vAlign w:val="bottom"/>
            <w:vMerge w:val="restart"/>
          </w:tcPr>
          <w:p>
            <w:pPr>
              <w:ind w:left="140"/>
              <w:spacing w:after="0"/>
              <w:rPr>
                <w:sz w:val="20"/>
                <w:szCs w:val="20"/>
                <w:color w:val="auto"/>
              </w:rPr>
            </w:pPr>
            <w:r>
              <w:rPr>
                <w:rFonts w:ascii="Arial" w:cs="Arial" w:eastAsia="Arial" w:hAnsi="Arial"/>
                <w:sz w:val="14"/>
                <w:szCs w:val="14"/>
                <w:color w:val="auto"/>
              </w:rPr>
              <w:t>fiscal year 2027</w:t>
            </w:r>
          </w:p>
        </w:tc>
        <w:tc>
          <w:tcPr>
            <w:tcW w:w="18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98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vMerge w:val="continue"/>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restart"/>
            <w:shd w:val="clear" w:color="auto" w:fill="BAD63A"/>
          </w:tcPr>
          <w:p>
            <w:pPr>
              <w:jc w:val="center"/>
              <w:ind w:left="49"/>
              <w:spacing w:after="0"/>
              <w:rPr>
                <w:sz w:val="20"/>
                <w:szCs w:val="20"/>
                <w:color w:val="auto"/>
              </w:rPr>
            </w:pPr>
            <w:r>
              <w:rPr>
                <w:rFonts w:ascii="Arial" w:cs="Arial" w:eastAsia="Arial" w:hAnsi="Arial"/>
                <w:sz w:val="14"/>
                <w:szCs w:val="14"/>
                <w:color w:val="auto"/>
              </w:rPr>
              <w:t>No. 3</w:t>
            </w:r>
          </w:p>
        </w:tc>
        <w:tc>
          <w:tcPr>
            <w:tcW w:w="6520" w:type="dxa"/>
            <w:vAlign w:val="bottom"/>
            <w:shd w:val="clear" w:color="auto" w:fill="BAD63A"/>
          </w:tcPr>
          <w:p>
            <w:pPr>
              <w:ind w:left="140"/>
              <w:spacing w:after="0" w:line="143" w:lineRule="exact"/>
              <w:rPr>
                <w:sz w:val="20"/>
                <w:szCs w:val="20"/>
                <w:color w:val="auto"/>
              </w:rPr>
            </w:pPr>
            <w:r>
              <w:rPr>
                <w:rFonts w:ascii="Arial" w:cs="Arial" w:eastAsia="Arial" w:hAnsi="Arial"/>
                <w:sz w:val="14"/>
                <w:szCs w:val="14"/>
                <w:color w:val="auto"/>
              </w:rPr>
              <w:t>A non-binding advisory vote on the compensation program for the Company’s named executive</w:t>
            </w:r>
          </w:p>
        </w:tc>
        <w:tc>
          <w:tcPr>
            <w:tcW w:w="1880" w:type="dxa"/>
            <w:vAlign w:val="bottom"/>
            <w:vMerge w:val="restart"/>
            <w:shd w:val="clear" w:color="auto" w:fill="BAD63A"/>
          </w:tcPr>
          <w:p>
            <w:pPr>
              <w:jc w:val="center"/>
              <w:ind w:right="69"/>
              <w:spacing w:after="0"/>
              <w:rPr>
                <w:sz w:val="20"/>
                <w:szCs w:val="20"/>
                <w:color w:val="auto"/>
              </w:rPr>
            </w:pPr>
            <w:r>
              <w:rPr>
                <w:rFonts w:ascii="Arial" w:cs="Arial" w:eastAsia="Arial" w:hAnsi="Arial"/>
                <w:sz w:val="14"/>
                <w:szCs w:val="14"/>
                <w:b w:val="1"/>
                <w:bCs w:val="1"/>
                <w:color w:val="auto"/>
              </w:rPr>
              <w:t>FOR</w:t>
            </w:r>
          </w:p>
        </w:tc>
        <w:tc>
          <w:tcPr>
            <w:tcW w:w="1860" w:type="dxa"/>
            <w:vAlign w:val="bottom"/>
            <w:vMerge w:val="restart"/>
            <w:shd w:val="clear" w:color="auto" w:fill="BAD63A"/>
          </w:tcPr>
          <w:p>
            <w:pPr>
              <w:jc w:val="center"/>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14"/>
        </w:trPr>
        <w:tc>
          <w:tcPr>
            <w:tcW w:w="980" w:type="dxa"/>
            <w:vAlign w:val="bottom"/>
            <w:vMerge w:val="continue"/>
            <w:shd w:val="clear" w:color="auto" w:fill="BAD63A"/>
          </w:tcPr>
          <w:p>
            <w:pPr>
              <w:spacing w:after="0"/>
              <w:rPr>
                <w:sz w:val="9"/>
                <w:szCs w:val="9"/>
                <w:color w:val="auto"/>
              </w:rPr>
            </w:pPr>
          </w:p>
        </w:tc>
        <w:tc>
          <w:tcPr>
            <w:tcW w:w="6520" w:type="dxa"/>
            <w:vAlign w:val="bottom"/>
            <w:vMerge w:val="restart"/>
            <w:shd w:val="clear" w:color="auto" w:fill="BAD63A"/>
          </w:tcPr>
          <w:p>
            <w:pPr>
              <w:ind w:left="140"/>
              <w:spacing w:after="0"/>
              <w:rPr>
                <w:sz w:val="20"/>
                <w:szCs w:val="20"/>
                <w:color w:val="auto"/>
              </w:rPr>
            </w:pPr>
            <w:r>
              <w:rPr>
                <w:rFonts w:ascii="Arial" w:cs="Arial" w:eastAsia="Arial" w:hAnsi="Arial"/>
                <w:sz w:val="14"/>
                <w:szCs w:val="14"/>
                <w:color w:val="auto"/>
              </w:rPr>
              <w:t>officers, as disclosed in the CD&amp;A of the proxy statement</w:t>
            </w:r>
          </w:p>
        </w:tc>
        <w:tc>
          <w:tcPr>
            <w:tcW w:w="1880" w:type="dxa"/>
            <w:vAlign w:val="bottom"/>
            <w:vMerge w:val="continue"/>
            <w:shd w:val="clear" w:color="auto" w:fill="BAD63A"/>
          </w:tcPr>
          <w:p>
            <w:pPr>
              <w:spacing w:after="0"/>
              <w:rPr>
                <w:sz w:val="9"/>
                <w:szCs w:val="9"/>
                <w:color w:val="auto"/>
              </w:rPr>
            </w:pPr>
          </w:p>
        </w:tc>
        <w:tc>
          <w:tcPr>
            <w:tcW w:w="1860" w:type="dxa"/>
            <w:vAlign w:val="bottom"/>
            <w:vMerge w:val="continue"/>
            <w:shd w:val="clear" w:color="auto" w:fill="BAD63A"/>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980" w:type="dxa"/>
            <w:vAlign w:val="bottom"/>
            <w:tcBorders>
              <w:bottom w:val="single" w:sz="8" w:color="auto"/>
            </w:tcBorders>
            <w:shd w:val="clear" w:color="auto" w:fill="BAD63A"/>
          </w:tcPr>
          <w:p>
            <w:pPr>
              <w:spacing w:after="0"/>
              <w:rPr>
                <w:sz w:val="5"/>
                <w:szCs w:val="5"/>
                <w:color w:val="auto"/>
              </w:rPr>
            </w:pPr>
          </w:p>
        </w:tc>
        <w:tc>
          <w:tcPr>
            <w:tcW w:w="6520" w:type="dxa"/>
            <w:vAlign w:val="bottom"/>
            <w:tcBorders>
              <w:bottom w:val="single" w:sz="8" w:color="auto"/>
            </w:tcBorders>
            <w:vMerge w:val="continue"/>
            <w:shd w:val="clear" w:color="auto" w:fill="BAD63A"/>
          </w:tcPr>
          <w:p>
            <w:pPr>
              <w:spacing w:after="0"/>
              <w:rPr>
                <w:sz w:val="5"/>
                <w:szCs w:val="5"/>
                <w:color w:val="auto"/>
              </w:rPr>
            </w:pPr>
          </w:p>
        </w:tc>
        <w:tc>
          <w:tcPr>
            <w:tcW w:w="1880" w:type="dxa"/>
            <w:vAlign w:val="bottom"/>
            <w:tcBorders>
              <w:bottom w:val="single" w:sz="8" w:color="auto"/>
            </w:tcBorders>
            <w:shd w:val="clear" w:color="auto" w:fill="BAD63A"/>
          </w:tcPr>
          <w:p>
            <w:pPr>
              <w:spacing w:after="0"/>
              <w:rPr>
                <w:sz w:val="5"/>
                <w:szCs w:val="5"/>
                <w:color w:val="auto"/>
              </w:rPr>
            </w:pPr>
          </w:p>
        </w:tc>
        <w:tc>
          <w:tcPr>
            <w:tcW w:w="1860" w:type="dxa"/>
            <w:vAlign w:val="bottom"/>
            <w:tcBorders>
              <w:bottom w:val="single" w:sz="8" w:color="auto"/>
            </w:tcBorders>
            <w:shd w:val="clear" w:color="auto" w:fill="BAD63A"/>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98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rPr>
              <w:t>No. 4</w:t>
            </w:r>
          </w:p>
        </w:tc>
        <w:tc>
          <w:tcPr>
            <w:tcW w:w="6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If properly presented at the Annual Meeting, a non-binding advisory vote on a stockholder proposal</w:t>
            </w:r>
          </w:p>
        </w:tc>
        <w:tc>
          <w:tcPr>
            <w:tcW w:w="18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AGAINST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00A5B5"/>
        </w:rPr>
        <w:t>What is the difference between holding shares as a stockholder of record and as a beneficial owner?</w:t>
      </w:r>
    </w:p>
    <w:p>
      <w:pPr>
        <w:spacing w:after="0" w:line="16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If your shares are registered directly in your name with the Company’s registrar and transfer agent, Computershare, you are considered a “stockholder of record” with respect to those shares. In this case, we are sending the Notice of Internet Availability of Proxy Materials to you directly.</w:t>
      </w:r>
    </w:p>
    <w:p>
      <w:pPr>
        <w:spacing w:after="0" w:line="12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If your shares are held in a brokerage account or bank, you are considered the “beneficial owner” of those shares, which are held in “street name.” In this case, the Notice of Internet Availability of Proxy Materials will be forwarded to you by your broker or bank. As the beneficial owner, you have the right to direct your broker or bank how to vote your shares by following the voting instructions noted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0A5B5"/>
        </w:rPr>
        <w:t>What is the procedure for voting?</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you are a stockholder of record of Class A common stock, you can vote your shares at the Annual Meeting by attending the virtual meeting using the control number located on your proxy card, or the instructions that accompanied your proxy materials and submitting an electronic ballot, or you can give a proxy to be voted at the Annual Meeting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3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If you are a beneficial owner of Class A common stock, you must obtain a proxy, executed in your favor, from the stockholder of record to be able to vote virtually at the Annual Meeting. You can vote your shares at the Annual Meeting by attending the virtual meeting using the control number located on your proxy card, or the instructions that accompanied your proxy materials and submitting an electronic ballot, or you can give a proxy to be voted at the Annual Meeting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A5B5"/>
        </w:rPr>
        <w:t>Can I change my proxy?</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You may revoke your proxy before it is voted at the Annual Meeting by delivering a signed revocation letter to the Secretary of the Company at 8283 Greensboro Drive, McLean, Virginia 22102, or by submitting a new proxy, dated later than your first proxy, in one of the ways described in the answer to the previous question. If you are virtually attending the Annual Meeting, you may revoke your proxy by virtually attending the Annual Meeting and voting during the Annual Meeting. Virtual attendance at the Annual Meeting will not by itself revoke a proxy.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00A5B5"/>
        </w:rPr>
        <w:t>Can other matters be decided at the Annual Meeting?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A5B5"/>
        </w:rPr>
        <w:t>What is the vote required for each proposal?</w:t>
      </w:r>
    </w:p>
    <w:p>
      <w:pPr>
        <w:spacing w:after="0" w:line="16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For proposal 1, each of the directors shall be elected by a majority of the votes validly cast at the Annual Meeting. For proposals 2, 3 and 4, approval of the proposal requires the affirmative vote of a majority of the shares entitled to vote at the Annual Meeting on the subject matter in question represented either in person or by proxy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0A5B5"/>
        </w:rPr>
        <w:t>What if I am a stockholder of record and do not provide voting instructions when returning a proxy?</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Stockholders should specify their choice for each matter on the proxy card. Proxies that are signed and returned but do not contain voting instructions will be voted:</w:t>
      </w:r>
    </w:p>
    <w:p>
      <w:pPr>
        <w:spacing w:after="0" w:line="110" w:lineRule="exact"/>
        <w:rPr>
          <w:sz w:val="20"/>
          <w:szCs w:val="20"/>
          <w:color w:val="auto"/>
        </w:rPr>
      </w:pPr>
    </w:p>
    <w:p>
      <w:pPr>
        <w:ind w:left="620" w:hanging="29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election of all director nominees as set forth in this proxy statement;</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ratification of the appointment of E&amp;Y as the Company's independent registered accounting firm for fiscal year 2027;</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of our named executive officers; and</w:t>
      </w:r>
    </w:p>
    <w:p>
      <w:pPr>
        <w:spacing w:after="0" w:line="163" w:lineRule="exact"/>
        <w:rPr>
          <w:rFonts w:ascii="Arial" w:cs="Arial" w:eastAsia="Arial" w:hAnsi="Arial"/>
          <w:sz w:val="18"/>
          <w:szCs w:val="18"/>
          <w:color w:val="auto"/>
        </w:rPr>
      </w:pPr>
    </w:p>
    <w:p>
      <w:pPr>
        <w:ind w:left="620" w:hanging="29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AGAINST the approval, on a non-binding, advisory basis, of the stockholder proposal.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00A5B5"/>
        </w:rPr>
        <w:t>What if I am a beneficial owner and do not give voting instructions to my broker?</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If your shares are held by a broker in “street name,” your brokerage firm may vote your shares on certain “routine” matters if you do not provide voting instructions. The ratification of an independent registered public accounting firm is an example of a routine matter. If you do not provide voting instructions, your brokerage firm may either vote your shares on routine matters or leave your shares unvoted. When a brokerage firm votes its customers' shares on a routine matter without receiving voting instructions, these shares are counted both for establishing a quorum to conduct business at the meeting and in determining the number of shares voted for or against the routine matter. A brokerage firm cannot vote your shares on non-routine matters, such as the election of directors and the advisory vote on executive compensation. If your brokerage firm has not received voting instructions on a non-routine matter, these shares will be considered “broker non-votes” to the extent that the brokerage firm submits a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00A5B5"/>
        </w:rPr>
        <w:t>How are abstentions and broker non-votes counted?</w:t>
      </w:r>
    </w:p>
    <w:p>
      <w:pPr>
        <w:spacing w:after="0" w:line="16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Abstentions will be treated as present for purposes of determining a quorum. Abstentions will have the effect of a vote “against” the proposals for the ratification of an independent registered accounting firm, the advisory vote on the compensation program for the Company's named executive officers, and the stockholder proposal. However, abstentions will have no effect on the outcome of the election of directors.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Broker non-votes are counted for purposes of establishing a quorum. Broker non-votes will have no effect on the outcome of the proposals for the election of directors, the advisory vote on the compensation program for the Company's named executive officers, and the stockholder proposal. Discretionary voting by a broker will be permitted for the proposal for the ratification of an independent registered public accounting firm, which is the only routine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A5B5"/>
        </w:rPr>
        <w:t>Who will count the votes?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representative from Broadridge Financial Services will tabulate the votes and the results will be certified by the inspector of election.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0A5B5"/>
        </w:rPr>
        <w:t>Who will bear the costs of soliciting votes for the Annual Meeting?</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will bear all costs of soliciting proxies. Pursuant to rules adopted by the SEC, we have elected to deliver a Notice of Internet Availability of Proxy Materials to you and make the proxy materials available via the Internet at www.proxyvote.com, which may be accessed using the control number located on each proxy card. We have retained the services of Sodali &amp; Co to assist in the solicitation of proxies for the Annual Meeting. The estimated cost of such services is $15,000, plus reasonable out-of-pocket expenses incurred in the process of soliciting proxies.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A5B5"/>
        </w:rPr>
        <w:t>When will the Company announce the voting results?</w:t>
      </w:r>
    </w:p>
    <w:p>
      <w:pPr>
        <w:spacing w:after="0" w:line="16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preliminary voting results will be announced at the Annual Meeting. The Company will report the final results in a Current Report on Form 8-K filed with the SEC.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0A5B5"/>
        </w:rPr>
        <w:t>Can I receive a copy of the Annual Report?</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The annual report of the Company on Form 10-K for the fiscal year ended March 31, 2026 is being furnished concurrently with this proxy statement to persons who were stockholders of record as of June 1, 2026, the record date for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0A5B5"/>
        </w:rPr>
        <w:t>What is “householding” and how does it affect me?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are receiving only one copy of our annual report on Form 10-K and this proxy statement. This reduces the volume of duplicate information received at your household and helps to reduce the environmental impact and cost of our Annual Meeting. If you would like to have additional copies of these documents mailed to you, please write or call our Secretary at 8283 Greensboro Drive, McLean, Virginia 22102, telephone: (703) 902-5000. If you want to receive separate copies of the proxy statement, annual report on Form 10-K, or Notice of Internet Availability of Proxy Materials, as applicable, in the future, or if you are receiving multiple copies and would like to receive only one copy per household, you should contact your bank, broker, or other nominee record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00A5B5"/>
        </w:rPr>
        <w:t>How do I submit a proposal for action at the annual meeting of stockholders in 2027?</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stockholder proposal intended for inclusion in the Company's proxy statement and form of proxy for the 2027 Annual Meeting of Stockholders pursuant to Rule 14a-8 under the Exchange Act must be received by February 11, 2027, and otherwise comply with all applicable rules and regulations under the Exchange Act. Proposals should be sent to the Secretary of the Company at 8283 Greensboro Drive, McLean, Virginia 22102.</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Pursuant to our Amended and Restated Bylaws, stockholder proposals not included in next year’s proxy statement may be brought before the 2027 Annual Meeting of Stockholders by a stockholder of the Company who is entitled to vote at the meeting, who has given a written notice to the Secretary of the Company at 8283 Greensboro Drive, McLean, Virginia 22102 containing certain information specified in the bylaws and who was a stockholder of record at the time such notice was given and at the date of the 2027 Annual Meeting of Stockholders. Such notice must be delivered to or mailed and received at the address in the preceding paragraph no earlier than March 24, 2027 and no later than April 23, 2027, except that if the date of the 2027 Annual Meeting of Stockholders is changed, and the meeting is held before June 22, 2027 or after September 30, 2027, such notice must be delivered at the address in the preceding paragraph no earlier than 120 days prior to the new date of such annual meeting and not later than the close of business on the later of (i) the ninetieth day prior to the new date of such annual meeting and (ii) the tenth day following the day on which a public announcement of the new date of such annual meeting is first made. Any stockholder submitting such notice must also comply with the other requirements set forth in our bylaws.</w:t>
      </w:r>
    </w:p>
    <w:p>
      <w:pPr>
        <w:spacing w:after="0" w:line="13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stockholders who intend to solicit proxies in support of director nominees other than the Company's nominees for the 2027 Annual Meeting of Stockholders must also comply with all applicable requirements of Rule 14a-19 under the Exchange Act.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1" w:name="page92"/>
    <w:bookmarkEnd w:id="91"/>
    <w:p>
      <w:pPr>
        <w:jc w:val="center"/>
        <w:ind w:right="-319"/>
        <w:spacing w:after="0"/>
        <w:rPr>
          <w:sz w:val="20"/>
          <w:szCs w:val="20"/>
          <w:color w:val="auto"/>
        </w:rPr>
      </w:pPr>
      <w:r>
        <w:rPr>
          <w:rFonts w:ascii="Arial" w:cs="Arial" w:eastAsia="Arial" w:hAnsi="Arial"/>
          <w:sz w:val="28"/>
          <w:szCs w:val="28"/>
          <w:b w:val="1"/>
          <w:bCs w:val="1"/>
          <w:color w:val="auto"/>
        </w:rPr>
        <w:t>WEBSITE REFERENCES</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Information contained on or connected to any website referenced in this Proxy Statement is not incorporated by reference in this Proxy Statement or in any other report or document we file with the SEC. We routinely use our Investor Relations website to provide presentations, press releases, and other information that may be deemed material to investors. Accordingly, we encourage investors and others interested in the Company to review the information that we share at http://investors.boozallen.com. In addition, our Investor Relations website allows interested persons to sign up to automatically receive e-mail alerts when we post financial information.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8"/>
          <w:szCs w:val="28"/>
          <w:b w:val="1"/>
          <w:bCs w:val="1"/>
          <w:color w:val="auto"/>
        </w:rPr>
        <w:t>APPENDIX A</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00A5B5"/>
        </w:rPr>
        <w:t>Non-GAAP Measures</w:t>
      </w:r>
    </w:p>
    <w:p>
      <w:pPr>
        <w:spacing w:after="0" w:line="16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publicly disclose certain non-GAAP financial measurements, including EBITDA and Adjusted EBITDA, because management uses these measures for business planning purposes, including to manage our business against internal projected results of operations and measure our performance. We view Adjusted EBITDA 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items. These supplemental performance measurements may vary from and may not be comparable to similarly titled measures by other companies in our industry. EBITDA and Adjusted EBITDA are not recognized measurements under accounting principles generally accepted in the United States, or GAAP, and when analyzing our performance or liquidity, as applicable, investors should (i) evaluate each adjustment in our reconciliation of net income to EBITDA and Adjusted EBITDA, and the explanatory footnotes regarding those adjustments, each as defined under GAAP, and (ii) use Adjusted EBITDA in addition to, and not as an alternative to net income, as measures of operating results, as defined under GAAP. We have defined EBITDA and Adjusted EBITDA as follows:</w:t>
      </w:r>
    </w:p>
    <w:p>
      <w:pPr>
        <w:spacing w:after="0" w:line="135" w:lineRule="exact"/>
        <w:rPr>
          <w:sz w:val="20"/>
          <w:szCs w:val="20"/>
          <w:color w:val="auto"/>
        </w:rPr>
      </w:pPr>
    </w:p>
    <w:p>
      <w:pPr>
        <w:ind w:left="640" w:hanging="316"/>
        <w:spacing w:after="0" w:line="274" w:lineRule="auto"/>
        <w:tabs>
          <w:tab w:leader="none" w:pos="6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"EBITDA" represents net income before income taxes, interest expense, net and other income (expense), and depreciation and amortization.</w:t>
      </w:r>
    </w:p>
    <w:p>
      <w:pPr>
        <w:spacing w:after="0" w:line="109" w:lineRule="exact"/>
        <w:rPr>
          <w:rFonts w:ascii="Arial" w:cs="Arial" w:eastAsia="Arial" w:hAnsi="Arial"/>
          <w:sz w:val="18"/>
          <w:szCs w:val="18"/>
          <w:color w:val="auto"/>
        </w:rPr>
      </w:pPr>
    </w:p>
    <w:p>
      <w:pPr>
        <w:jc w:val="both"/>
        <w:ind w:left="640" w:hanging="316"/>
        <w:spacing w:after="0" w:line="249" w:lineRule="auto"/>
        <w:tabs>
          <w:tab w:leader="none" w:pos="60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represents net income before income tax expense, interest expense, net and other income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depreciation and amortization and before certain other items, including the change in provision for claimed costs for historical rate years, financing transaction costs, DC tax assessment adjustment, the reserve associated with the U.S. Department of Justice (the “DOJ”) investigation disclosed in Note 20, “Commitments and Contingencies,” to the consolidated financial statements contained within our Annual Report on Form 10-K for the fiscal year ended March 31, 2024, the insurance recoveries related to the settlement of that matter, and other corporate expenses. The Company prepares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to eliminate the impact of items it does not consider indicative of ongoing operating performance due to their inherent unusual, extraordinary or non-recurring nature or because they result from an event of a similar nature.</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use the following non-GAAP financial measures as performance metrics for our performance-based restricted stock units granted in fiscal year 2026, as described in our proxy statement under the heading, “Compensation Discussion and Analysis—Compensation Elements—Long-Term Equity Incentives—Fiscal Year 2026 Annual Grants”: Adjusted EBITDA and Revenue. Adjusted EBITDA is as defined above, and we define Revenue for purposes of our performance-based restricted stock units as follows:</w:t>
      </w:r>
    </w:p>
    <w:p>
      <w:pPr>
        <w:spacing w:after="0" w:line="206" w:lineRule="exact"/>
        <w:rPr>
          <w:sz w:val="20"/>
          <w:szCs w:val="20"/>
          <w:color w:val="auto"/>
        </w:rPr>
      </w:pPr>
    </w:p>
    <w:p>
      <w:pPr>
        <w:jc w:val="both"/>
        <w:ind w:left="640" w:hanging="316"/>
        <w:spacing w:after="0" w:line="251" w:lineRule="auto"/>
        <w:tabs>
          <w:tab w:leader="none" w:pos="6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“Revenue” represents all consolidated GAAP revenue, adjusted to (i) account for material acquisitions or divestitures during the three-year performance period, but may be adjusted (ii) account for the cumulative impact of GAAP and/or cost accounting standards and financial reporting changes; (iii) account for the impact of government shutdowns during the performance period; and (iv) to exclude the impact of any unusual, infrequently occurring, or restructuring events as described in the Company’s audited financial statements, notes to financial statements or in management’s discussion and analysis in the Company’s annual report for the applicable year that may have a material impact on Revenue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3" w:name="page94"/>
    <w:bookmarkEnd w:id="93"/>
    <w:p>
      <w:pPr>
        <w:ind w:firstLine="318"/>
        <w:spacing w:after="0" w:line="274" w:lineRule="auto"/>
        <w:rPr>
          <w:sz w:val="20"/>
          <w:szCs w:val="20"/>
          <w:color w:val="auto"/>
        </w:rPr>
      </w:pPr>
      <w:r>
        <w:rPr>
          <w:rFonts w:ascii="Arial" w:cs="Arial" w:eastAsia="Arial" w:hAnsi="Arial"/>
          <w:sz w:val="18"/>
          <w:szCs w:val="18"/>
          <w:color w:val="auto"/>
        </w:rPr>
        <w:t>Below is a reconciliation of EBITDA and Adjusted EBITDA to the most directly comparable financial measure calculated and presented in accordance with GAAP.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(Amounts in millions)</w:t>
            </w: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center"/>
              <w:ind w:left="872"/>
              <w:spacing w:after="0"/>
              <w:rPr>
                <w:sz w:val="20"/>
                <w:szCs w:val="20"/>
                <w:color w:val="auto"/>
              </w:rPr>
            </w:pPr>
            <w:r>
              <w:rPr>
                <w:rFonts w:ascii="Arial" w:cs="Arial" w:eastAsia="Arial" w:hAnsi="Arial"/>
                <w:sz w:val="18"/>
                <w:szCs w:val="18"/>
                <w:b w:val="1"/>
                <w:bCs w:val="1"/>
                <w:color w:val="auto"/>
                <w:w w:val="97"/>
              </w:rPr>
              <w:t>Fiscal Year Ended March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2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4"/>
              </w:rPr>
              <w:t>2025</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80"/>
              <w:spacing w:after="0" w:line="192" w:lineRule="exact"/>
              <w:rPr>
                <w:sz w:val="20"/>
                <w:szCs w:val="20"/>
                <w:color w:val="auto"/>
              </w:rPr>
            </w:pPr>
            <w:r>
              <w:rPr>
                <w:rFonts w:ascii="Arial" w:cs="Arial" w:eastAsia="Arial" w:hAnsi="Arial"/>
                <w:sz w:val="18"/>
                <w:szCs w:val="18"/>
                <w:b w:val="1"/>
                <w:bCs w:val="1"/>
                <w:color w:val="auto"/>
                <w:w w:val="97"/>
              </w:rPr>
              <w:t>(Unaudited)</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23D2D7"/>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23D2D7"/>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23D2D7"/>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shd w:val="clear" w:color="auto" w:fill="23D2D7"/>
          </w:tcPr>
          <w:p>
            <w:pPr>
              <w:ind w:left="20"/>
              <w:spacing w:after="0" w:line="191" w:lineRule="exact"/>
              <w:rPr>
                <w:sz w:val="20"/>
                <w:szCs w:val="20"/>
                <w:color w:val="auto"/>
              </w:rPr>
            </w:pPr>
            <w:r>
              <w:rPr>
                <w:rFonts w:ascii="Arial" w:cs="Arial" w:eastAsia="Arial" w:hAnsi="Arial"/>
                <w:sz w:val="18"/>
                <w:szCs w:val="18"/>
                <w:b w:val="1"/>
                <w:bCs w:val="1"/>
                <w:i w:val="1"/>
                <w:iCs w:val="1"/>
                <w:color w:val="auto"/>
              </w:rPr>
              <w:t>EBITDA, Adjusted EBITDA</w:t>
            </w:r>
          </w:p>
        </w:tc>
        <w:tc>
          <w:tcPr>
            <w:tcW w:w="420" w:type="dxa"/>
            <w:vAlign w:val="bottom"/>
            <w:shd w:val="clear" w:color="auto" w:fill="23D2D7"/>
          </w:tcPr>
          <w:p>
            <w:pPr>
              <w:spacing w:after="0"/>
              <w:rPr>
                <w:sz w:val="16"/>
                <w:szCs w:val="16"/>
                <w:color w:val="auto"/>
              </w:rPr>
            </w:pPr>
          </w:p>
        </w:tc>
        <w:tc>
          <w:tcPr>
            <w:tcW w:w="1420" w:type="dxa"/>
            <w:vAlign w:val="bottom"/>
            <w:shd w:val="clear" w:color="auto" w:fill="23D2D7"/>
          </w:tcPr>
          <w:p>
            <w:pPr>
              <w:spacing w:after="0"/>
              <w:rPr>
                <w:sz w:val="16"/>
                <w:szCs w:val="16"/>
                <w:color w:val="auto"/>
              </w:rPr>
            </w:pPr>
          </w:p>
        </w:tc>
        <w:tc>
          <w:tcPr>
            <w:tcW w:w="100" w:type="dxa"/>
            <w:vAlign w:val="bottom"/>
            <w:shd w:val="clear" w:color="auto" w:fill="23D2D7"/>
          </w:tcPr>
          <w:p>
            <w:pPr>
              <w:spacing w:after="0"/>
              <w:rPr>
                <w:sz w:val="16"/>
                <w:szCs w:val="16"/>
                <w:color w:val="auto"/>
              </w:rPr>
            </w:pPr>
          </w:p>
        </w:tc>
        <w:tc>
          <w:tcPr>
            <w:tcW w:w="260" w:type="dxa"/>
            <w:vAlign w:val="bottom"/>
            <w:shd w:val="clear" w:color="auto" w:fill="23D2D7"/>
          </w:tcPr>
          <w:p>
            <w:pPr>
              <w:spacing w:after="0"/>
              <w:rPr>
                <w:sz w:val="16"/>
                <w:szCs w:val="16"/>
                <w:color w:val="auto"/>
              </w:rPr>
            </w:pPr>
          </w:p>
        </w:tc>
        <w:tc>
          <w:tcPr>
            <w:tcW w:w="1560" w:type="dxa"/>
            <w:vAlign w:val="bottom"/>
            <w:shd w:val="clear" w:color="auto" w:fill="23D2D7"/>
          </w:tcPr>
          <w:p>
            <w:pPr>
              <w:spacing w:after="0"/>
              <w:rPr>
                <w:sz w:val="16"/>
                <w:szCs w:val="16"/>
                <w:color w:val="auto"/>
              </w:rPr>
            </w:pPr>
          </w:p>
        </w:tc>
        <w:tc>
          <w:tcPr>
            <w:tcW w:w="120" w:type="dxa"/>
            <w:vAlign w:val="bottom"/>
            <w:shd w:val="clear" w:color="auto" w:fill="23D2D7"/>
          </w:tcPr>
          <w:p>
            <w:pPr>
              <w:spacing w:after="0"/>
              <w:rPr>
                <w:sz w:val="16"/>
                <w:szCs w:val="16"/>
                <w:color w:val="auto"/>
              </w:rPr>
            </w:pPr>
          </w:p>
        </w:tc>
        <w:tc>
          <w:tcPr>
            <w:tcW w:w="440" w:type="dxa"/>
            <w:vAlign w:val="bottom"/>
            <w:shd w:val="clear" w:color="auto" w:fill="23D2D7"/>
          </w:tcPr>
          <w:p>
            <w:pPr>
              <w:spacing w:after="0"/>
              <w:rPr>
                <w:sz w:val="16"/>
                <w:szCs w:val="16"/>
                <w:color w:val="auto"/>
              </w:rPr>
            </w:pPr>
          </w:p>
        </w:tc>
        <w:tc>
          <w:tcPr>
            <w:tcW w:w="1380" w:type="dxa"/>
            <w:vAlign w:val="bottom"/>
            <w:shd w:val="clear" w:color="auto" w:fill="23D2D7"/>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0"/>
          </w:tcPr>
          <w:p>
            <w:pPr>
              <w:ind w:left="3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0"/>
          </w:tcPr>
          <w:p>
            <w:pPr>
              <w:jc w:val="right"/>
              <w:ind w:right="21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0"/>
          </w:tcPr>
          <w:p>
            <w:pPr>
              <w:jc w:val="right"/>
              <w:spacing w:after="0"/>
              <w:rPr>
                <w:sz w:val="20"/>
                <w:szCs w:val="20"/>
                <w:color w:val="auto"/>
              </w:rPr>
            </w:pPr>
            <w:r>
              <w:rPr>
                <w:rFonts w:ascii="Arial" w:cs="Arial" w:eastAsia="Arial" w:hAnsi="Arial"/>
                <w:sz w:val="18"/>
                <w:szCs w:val="18"/>
                <w:color w:val="auto"/>
              </w:rPr>
              <w:t>851</w:t>
            </w:r>
          </w:p>
        </w:tc>
        <w:tc>
          <w:tcPr>
            <w:tcW w:w="360" w:type="dxa"/>
            <w:vAlign w:val="bottom"/>
            <w:gridSpan w:val="2"/>
            <w:shd w:val="clear" w:color="auto" w:fill="CCEEF0"/>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0"/>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0"/>
          </w:tcPr>
          <w:p>
            <w:pPr>
              <w:spacing w:after="0"/>
              <w:rPr>
                <w:sz w:val="19"/>
                <w:szCs w:val="19"/>
                <w:color w:val="auto"/>
              </w:rPr>
            </w:pPr>
          </w:p>
        </w:tc>
        <w:tc>
          <w:tcPr>
            <w:tcW w:w="440" w:type="dxa"/>
            <w:vAlign w:val="bottom"/>
            <w:shd w:val="clear" w:color="auto" w:fill="CCEEF0"/>
          </w:tcPr>
          <w:p>
            <w:pPr>
              <w:jc w:val="right"/>
              <w:ind w:right="25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0"/>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5"/>
        </w:trPr>
        <w:tc>
          <w:tcPr>
            <w:tcW w:w="5320" w:type="dxa"/>
            <w:vAlign w:val="bottom"/>
            <w:shd w:val="clear" w:color="auto" w:fill="CCEEF0"/>
          </w:tcPr>
          <w:p>
            <w:pPr>
              <w:ind w:left="340"/>
              <w:spacing w:after="0"/>
              <w:rPr>
                <w:sz w:val="20"/>
                <w:szCs w:val="20"/>
                <w:color w:val="auto"/>
              </w:rPr>
            </w:pPr>
            <w:r>
              <w:rPr>
                <w:rFonts w:ascii="Arial" w:cs="Arial" w:eastAsia="Arial" w:hAnsi="Arial"/>
                <w:sz w:val="18"/>
                <w:szCs w:val="18"/>
                <w:color w:val="auto"/>
              </w:rPr>
              <w:t>Interest expense, net and other income (expense)</w:t>
            </w:r>
          </w:p>
        </w:tc>
        <w:tc>
          <w:tcPr>
            <w:tcW w:w="420" w:type="dxa"/>
            <w:vAlign w:val="bottom"/>
            <w:shd w:val="clear" w:color="auto" w:fill="CCEEF0"/>
          </w:tcPr>
          <w:p>
            <w:pPr>
              <w:spacing w:after="0"/>
              <w:rPr>
                <w:sz w:val="19"/>
                <w:szCs w:val="19"/>
                <w:color w:val="auto"/>
              </w:rPr>
            </w:pPr>
          </w:p>
        </w:tc>
        <w:tc>
          <w:tcPr>
            <w:tcW w:w="142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0"/>
          </w:tcPr>
          <w:p>
            <w:pPr>
              <w:spacing w:after="0"/>
              <w:rPr>
                <w:sz w:val="19"/>
                <w:szCs w:val="19"/>
                <w:color w:val="auto"/>
              </w:rPr>
            </w:pPr>
          </w:p>
        </w:tc>
        <w:tc>
          <w:tcPr>
            <w:tcW w:w="260" w:type="dxa"/>
            <w:vAlign w:val="bottom"/>
            <w:shd w:val="clear" w:color="auto" w:fill="CCEEF0"/>
          </w:tcPr>
          <w:p>
            <w:pPr>
              <w:spacing w:after="0"/>
              <w:rPr>
                <w:sz w:val="19"/>
                <w:szCs w:val="19"/>
                <w:color w:val="auto"/>
              </w:rPr>
            </w:pPr>
          </w:p>
        </w:tc>
        <w:tc>
          <w:tcPr>
            <w:tcW w:w="156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0"/>
          </w:tcPr>
          <w:p>
            <w:pPr>
              <w:spacing w:after="0"/>
              <w:rPr>
                <w:sz w:val="19"/>
                <w:szCs w:val="19"/>
                <w:color w:val="auto"/>
              </w:rPr>
            </w:pPr>
          </w:p>
        </w:tc>
        <w:tc>
          <w:tcPr>
            <w:tcW w:w="440" w:type="dxa"/>
            <w:vAlign w:val="bottom"/>
            <w:shd w:val="clear" w:color="auto" w:fill="CCEEF0"/>
          </w:tcPr>
          <w:p>
            <w:pPr>
              <w:spacing w:after="0"/>
              <w:rPr>
                <w:sz w:val="19"/>
                <w:szCs w:val="19"/>
                <w:color w:val="auto"/>
              </w:rPr>
            </w:pPr>
          </w:p>
        </w:tc>
        <w:tc>
          <w:tcPr>
            <w:tcW w:w="138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0"/>
            </w:tcBorders>
          </w:tcPr>
          <w:p>
            <w:pPr>
              <w:ind w:left="3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666666"/>
            </w:tcBorders>
          </w:tcPr>
          <w:p>
            <w:pPr>
              <w:spacing w:after="0"/>
              <w:rPr>
                <w:sz w:val="19"/>
                <w:szCs w:val="19"/>
                <w:color w:val="auto"/>
              </w:rPr>
            </w:pPr>
          </w:p>
        </w:tc>
        <w:tc>
          <w:tcPr>
            <w:tcW w:w="142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0"/>
            </w:tcBorders>
          </w:tcPr>
          <w:p>
            <w:pPr>
              <w:spacing w:after="0"/>
              <w:rPr>
                <w:sz w:val="19"/>
                <w:szCs w:val="19"/>
                <w:color w:val="auto"/>
              </w:rPr>
            </w:pPr>
          </w:p>
        </w:tc>
        <w:tc>
          <w:tcPr>
            <w:tcW w:w="260" w:type="dxa"/>
            <w:vAlign w:val="bottom"/>
            <w:tcBorders>
              <w:bottom w:val="single" w:sz="8" w:color="666666"/>
            </w:tcBorders>
          </w:tcPr>
          <w:p>
            <w:pPr>
              <w:spacing w:after="0"/>
              <w:rPr>
                <w:sz w:val="19"/>
                <w:szCs w:val="19"/>
                <w:color w:val="auto"/>
              </w:rPr>
            </w:pPr>
          </w:p>
        </w:tc>
        <w:tc>
          <w:tcPr>
            <w:tcW w:w="156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666666"/>
            </w:tcBorders>
          </w:tcPr>
          <w:p>
            <w:pPr>
              <w:spacing w:after="0"/>
              <w:rPr>
                <w:sz w:val="19"/>
                <w:szCs w:val="19"/>
                <w:color w:val="auto"/>
              </w:rPr>
            </w:pPr>
          </w:p>
        </w:tc>
        <w:tc>
          <w:tcPr>
            <w:tcW w:w="440" w:type="dxa"/>
            <w:vAlign w:val="bottom"/>
            <w:tcBorders>
              <w:bottom w:val="single" w:sz="8" w:color="666666"/>
            </w:tcBorders>
          </w:tcPr>
          <w:p>
            <w:pPr>
              <w:spacing w:after="0"/>
              <w:rPr>
                <w:sz w:val="19"/>
                <w:szCs w:val="19"/>
                <w:color w:val="auto"/>
              </w:rPr>
            </w:pPr>
          </w:p>
        </w:tc>
        <w:tc>
          <w:tcPr>
            <w:tcW w:w="138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8"/>
        </w:trPr>
        <w:tc>
          <w:tcPr>
            <w:tcW w:w="5320" w:type="dxa"/>
            <w:vAlign w:val="bottom"/>
            <w:shd w:val="clear" w:color="auto" w:fill="CCEEF0"/>
          </w:tcPr>
          <w:p>
            <w:pPr>
              <w:ind w:left="660"/>
              <w:spacing w:after="0"/>
              <w:rPr>
                <w:sz w:val="20"/>
                <w:szCs w:val="20"/>
                <w:color w:val="auto"/>
              </w:rPr>
            </w:pPr>
            <w:r>
              <w:rPr>
                <w:rFonts w:ascii="Arial" w:cs="Arial" w:eastAsia="Arial" w:hAnsi="Arial"/>
                <w:sz w:val="18"/>
                <w:szCs w:val="18"/>
                <w:color w:val="auto"/>
              </w:rPr>
              <w:t>EBITDA</w:t>
            </w:r>
          </w:p>
        </w:tc>
        <w:tc>
          <w:tcPr>
            <w:tcW w:w="420" w:type="dxa"/>
            <w:vAlign w:val="bottom"/>
            <w:shd w:val="clear" w:color="auto" w:fill="CCEEF0"/>
          </w:tcPr>
          <w:p>
            <w:pPr>
              <w:spacing w:after="0"/>
              <w:rPr>
                <w:sz w:val="18"/>
                <w:szCs w:val="18"/>
                <w:color w:val="auto"/>
              </w:rPr>
            </w:pPr>
          </w:p>
        </w:tc>
        <w:tc>
          <w:tcPr>
            <w:tcW w:w="142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0"/>
          </w:tcPr>
          <w:p>
            <w:pPr>
              <w:spacing w:after="0"/>
              <w:rPr>
                <w:sz w:val="18"/>
                <w:szCs w:val="18"/>
                <w:color w:val="auto"/>
              </w:rPr>
            </w:pPr>
          </w:p>
        </w:tc>
        <w:tc>
          <w:tcPr>
            <w:tcW w:w="260" w:type="dxa"/>
            <w:vAlign w:val="bottom"/>
            <w:shd w:val="clear" w:color="auto" w:fill="CCEEF0"/>
          </w:tcPr>
          <w:p>
            <w:pPr>
              <w:spacing w:after="0"/>
              <w:rPr>
                <w:sz w:val="18"/>
                <w:szCs w:val="18"/>
                <w:color w:val="auto"/>
              </w:rPr>
            </w:pPr>
          </w:p>
        </w:tc>
        <w:tc>
          <w:tcPr>
            <w:tcW w:w="156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0"/>
          </w:tcPr>
          <w:p>
            <w:pPr>
              <w:spacing w:after="0"/>
              <w:rPr>
                <w:sz w:val="18"/>
                <w:szCs w:val="18"/>
                <w:color w:val="auto"/>
              </w:rPr>
            </w:pPr>
          </w:p>
        </w:tc>
        <w:tc>
          <w:tcPr>
            <w:tcW w:w="440" w:type="dxa"/>
            <w:vAlign w:val="bottom"/>
            <w:shd w:val="clear" w:color="auto" w:fill="CCEEF0"/>
          </w:tcPr>
          <w:p>
            <w:pPr>
              <w:spacing w:after="0"/>
              <w:rPr>
                <w:sz w:val="18"/>
                <w:szCs w:val="18"/>
                <w:color w:val="auto"/>
              </w:rPr>
            </w:pPr>
          </w:p>
        </w:tc>
        <w:tc>
          <w:tcPr>
            <w:tcW w:w="1380" w:type="dxa"/>
            <w:vAlign w:val="bottom"/>
            <w:shd w:val="clear" w:color="auto" w:fill="CCEEF0"/>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auto"/>
              </w:rPr>
              <w:t>Change in provision for claimed costs (a)</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5320" w:type="dxa"/>
            <w:vAlign w:val="bottom"/>
            <w:shd w:val="clear" w:color="auto" w:fill="CCEEF0"/>
          </w:tcPr>
          <w:p>
            <w:pPr>
              <w:ind w:left="340"/>
              <w:spacing w:after="0"/>
              <w:rPr>
                <w:sz w:val="20"/>
                <w:szCs w:val="20"/>
                <w:color w:val="auto"/>
              </w:rPr>
            </w:pPr>
            <w:r>
              <w:rPr>
                <w:rFonts w:ascii="Arial" w:cs="Arial" w:eastAsia="Arial" w:hAnsi="Arial"/>
                <w:sz w:val="18"/>
                <w:szCs w:val="18"/>
                <w:color w:val="auto"/>
              </w:rPr>
              <w:t>Other corporate expenses (b)</w:t>
            </w:r>
          </w:p>
        </w:tc>
        <w:tc>
          <w:tcPr>
            <w:tcW w:w="420" w:type="dxa"/>
            <w:vAlign w:val="bottom"/>
            <w:shd w:val="clear" w:color="auto" w:fill="CCEEF0"/>
          </w:tcPr>
          <w:p>
            <w:pPr>
              <w:spacing w:after="0"/>
              <w:rPr>
                <w:sz w:val="19"/>
                <w:szCs w:val="19"/>
                <w:color w:val="auto"/>
              </w:rPr>
            </w:pPr>
          </w:p>
        </w:tc>
        <w:tc>
          <w:tcPr>
            <w:tcW w:w="1420" w:type="dxa"/>
            <w:vAlign w:val="bottom"/>
            <w:shd w:val="clear" w:color="auto" w:fill="CCEEF0"/>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shd w:val="clear" w:color="auto" w:fill="CCEEF0"/>
          </w:tcPr>
          <w:p>
            <w:pPr>
              <w:spacing w:after="0"/>
              <w:rPr>
                <w:sz w:val="19"/>
                <w:szCs w:val="19"/>
                <w:color w:val="auto"/>
              </w:rPr>
            </w:pPr>
          </w:p>
        </w:tc>
        <w:tc>
          <w:tcPr>
            <w:tcW w:w="1560" w:type="dxa"/>
            <w:vAlign w:val="bottom"/>
            <w:shd w:val="clear" w:color="auto" w:fill="CCEEF0"/>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0"/>
          </w:tcPr>
          <w:p>
            <w:pPr>
              <w:spacing w:after="0"/>
              <w:rPr>
                <w:sz w:val="19"/>
                <w:szCs w:val="19"/>
                <w:color w:val="auto"/>
              </w:rPr>
            </w:pPr>
          </w:p>
        </w:tc>
        <w:tc>
          <w:tcPr>
            <w:tcW w:w="440" w:type="dxa"/>
            <w:vAlign w:val="bottom"/>
            <w:shd w:val="clear" w:color="auto" w:fill="CCEEF0"/>
          </w:tcPr>
          <w:p>
            <w:pPr>
              <w:spacing w:after="0"/>
              <w:rPr>
                <w:sz w:val="19"/>
                <w:szCs w:val="19"/>
                <w:color w:val="auto"/>
              </w:rPr>
            </w:pPr>
          </w:p>
        </w:tc>
        <w:tc>
          <w:tcPr>
            <w:tcW w:w="1380" w:type="dxa"/>
            <w:vAlign w:val="bottom"/>
            <w:shd w:val="clear" w:color="auto" w:fill="CCEEF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auto"/>
              </w:rPr>
              <w:t>Financing transaction costs (c)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320" w:type="dxa"/>
            <w:vAlign w:val="bottom"/>
            <w:shd w:val="clear" w:color="auto" w:fill="CCEEF0"/>
          </w:tcPr>
          <w:p>
            <w:pPr>
              <w:ind w:left="340"/>
              <w:spacing w:after="0"/>
              <w:rPr>
                <w:sz w:val="20"/>
                <w:szCs w:val="20"/>
                <w:color w:val="auto"/>
              </w:rPr>
            </w:pPr>
            <w:r>
              <w:rPr>
                <w:rFonts w:ascii="Arial" w:cs="Arial" w:eastAsia="Arial" w:hAnsi="Arial"/>
                <w:sz w:val="18"/>
                <w:szCs w:val="18"/>
                <w:color w:val="auto"/>
              </w:rPr>
              <w:t>DC tax assessment adjustment (d)</w:t>
            </w:r>
          </w:p>
        </w:tc>
        <w:tc>
          <w:tcPr>
            <w:tcW w:w="420" w:type="dxa"/>
            <w:vAlign w:val="bottom"/>
            <w:shd w:val="clear" w:color="auto" w:fill="CCEEF0"/>
          </w:tcPr>
          <w:p>
            <w:pPr>
              <w:spacing w:after="0"/>
              <w:rPr>
                <w:sz w:val="19"/>
                <w:szCs w:val="19"/>
                <w:color w:val="auto"/>
              </w:rPr>
            </w:pPr>
          </w:p>
        </w:tc>
        <w:tc>
          <w:tcPr>
            <w:tcW w:w="1420" w:type="dxa"/>
            <w:vAlign w:val="bottom"/>
            <w:shd w:val="clear" w:color="auto" w:fill="CCEEF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0"/>
          </w:tcPr>
          <w:p>
            <w:pPr>
              <w:spacing w:after="0"/>
              <w:rPr>
                <w:sz w:val="19"/>
                <w:szCs w:val="19"/>
                <w:color w:val="auto"/>
              </w:rPr>
            </w:pPr>
          </w:p>
        </w:tc>
        <w:tc>
          <w:tcPr>
            <w:tcW w:w="260" w:type="dxa"/>
            <w:vAlign w:val="bottom"/>
            <w:shd w:val="clear" w:color="auto" w:fill="CCEEF0"/>
          </w:tcPr>
          <w:p>
            <w:pPr>
              <w:spacing w:after="0"/>
              <w:rPr>
                <w:sz w:val="19"/>
                <w:szCs w:val="19"/>
                <w:color w:val="auto"/>
              </w:rPr>
            </w:pPr>
          </w:p>
        </w:tc>
        <w:tc>
          <w:tcPr>
            <w:tcW w:w="1680" w:type="dxa"/>
            <w:vAlign w:val="bottom"/>
            <w:gridSpan w:val="2"/>
            <w:shd w:val="clear" w:color="auto" w:fill="CCEEF0"/>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0"/>
          </w:tcPr>
          <w:p>
            <w:pPr>
              <w:spacing w:after="0"/>
              <w:rPr>
                <w:sz w:val="19"/>
                <w:szCs w:val="19"/>
                <w:color w:val="auto"/>
              </w:rPr>
            </w:pPr>
          </w:p>
        </w:tc>
        <w:tc>
          <w:tcPr>
            <w:tcW w:w="1380" w:type="dxa"/>
            <w:vAlign w:val="bottom"/>
            <w:shd w:val="clear" w:color="auto" w:fill="CCEEF0"/>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auto"/>
              </w:rPr>
              <w:t>Legal matter reserve (e)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5320" w:type="dxa"/>
            <w:vAlign w:val="bottom"/>
            <w:shd w:val="clear" w:color="auto" w:fill="CCEEF0"/>
          </w:tcPr>
          <w:p>
            <w:pPr>
              <w:ind w:left="340"/>
              <w:spacing w:after="0"/>
              <w:rPr>
                <w:sz w:val="20"/>
                <w:szCs w:val="20"/>
                <w:color w:val="auto"/>
              </w:rPr>
            </w:pPr>
            <w:r>
              <w:rPr>
                <w:rFonts w:ascii="Arial" w:cs="Arial" w:eastAsia="Arial" w:hAnsi="Arial"/>
                <w:sz w:val="18"/>
                <w:szCs w:val="18"/>
                <w:color w:val="auto"/>
              </w:rPr>
              <w:t>Insurance recoveries (f)</w:t>
            </w:r>
          </w:p>
        </w:tc>
        <w:tc>
          <w:tcPr>
            <w:tcW w:w="420" w:type="dxa"/>
            <w:vAlign w:val="bottom"/>
            <w:tcBorders>
              <w:bottom w:val="single" w:sz="8" w:color="auto"/>
            </w:tcBorders>
            <w:shd w:val="clear" w:color="auto" w:fill="CCEEF0"/>
          </w:tcPr>
          <w:p>
            <w:pPr>
              <w:spacing w:after="0"/>
              <w:rPr>
                <w:sz w:val="19"/>
                <w:szCs w:val="19"/>
                <w:color w:val="auto"/>
              </w:rPr>
            </w:pPr>
          </w:p>
        </w:tc>
        <w:tc>
          <w:tcPr>
            <w:tcW w:w="1420" w:type="dxa"/>
            <w:vAlign w:val="bottom"/>
            <w:tcBorders>
              <w:bottom w:val="single" w:sz="8" w:color="auto"/>
            </w:tcBorders>
            <w:shd w:val="clear" w:color="auto" w:fill="CCEEF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0"/>
          </w:tcPr>
          <w:p>
            <w:pPr>
              <w:spacing w:after="0"/>
              <w:rPr>
                <w:sz w:val="19"/>
                <w:szCs w:val="19"/>
                <w:color w:val="auto"/>
              </w:rPr>
            </w:pPr>
          </w:p>
        </w:tc>
        <w:tc>
          <w:tcPr>
            <w:tcW w:w="260" w:type="dxa"/>
            <w:vAlign w:val="bottom"/>
            <w:tcBorders>
              <w:bottom w:val="single" w:sz="8" w:color="auto"/>
            </w:tcBorders>
            <w:shd w:val="clear" w:color="auto" w:fill="CCEEF0"/>
          </w:tcPr>
          <w:p>
            <w:pPr>
              <w:spacing w:after="0"/>
              <w:rPr>
                <w:sz w:val="19"/>
                <w:szCs w:val="19"/>
                <w:color w:val="auto"/>
              </w:rPr>
            </w:pPr>
          </w:p>
        </w:tc>
        <w:tc>
          <w:tcPr>
            <w:tcW w:w="1560" w:type="dxa"/>
            <w:vAlign w:val="bottom"/>
            <w:tcBorders>
              <w:bottom w:val="single" w:sz="8" w:color="auto"/>
            </w:tcBorders>
            <w:shd w:val="clear" w:color="auto" w:fill="CCEEF0"/>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0"/>
          </w:tcPr>
          <w:p>
            <w:pPr>
              <w:spacing w:after="0"/>
              <w:rPr>
                <w:sz w:val="19"/>
                <w:szCs w:val="19"/>
                <w:color w:val="auto"/>
              </w:rPr>
            </w:pPr>
          </w:p>
        </w:tc>
        <w:tc>
          <w:tcPr>
            <w:tcW w:w="440" w:type="dxa"/>
            <w:vAlign w:val="bottom"/>
            <w:tcBorders>
              <w:bottom w:val="single" w:sz="8" w:color="auto"/>
            </w:tcBorders>
            <w:shd w:val="clear" w:color="auto" w:fill="CCEEF0"/>
          </w:tcPr>
          <w:p>
            <w:pPr>
              <w:spacing w:after="0"/>
              <w:rPr>
                <w:sz w:val="19"/>
                <w:szCs w:val="19"/>
                <w:color w:val="auto"/>
              </w:rPr>
            </w:pPr>
          </w:p>
        </w:tc>
        <w:tc>
          <w:tcPr>
            <w:tcW w:w="1380" w:type="dxa"/>
            <w:vAlign w:val="bottom"/>
            <w:tcBorders>
              <w:bottom w:val="single" w:sz="8" w:color="auto"/>
            </w:tcBorders>
            <w:shd w:val="clear" w:color="auto" w:fill="CCEEF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0" w:right="240" w:hanging="316"/>
        <w:spacing w:after="0" w:line="255" w:lineRule="auto"/>
        <w:tabs>
          <w:tab w:leader="none" w:pos="5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reduction to our provision for claimed costs for years prior to fiscal 2025 recorded during the second quarters of fiscal 2025 and 2024, which resulted in a corresponding increase to revenue, as a result of the Defense Contract Audit Agency's findings related to its audits of our claimed costs for multiple fiscal years. See Note 19, “Commitments and Contingencies,” to the consolidated financial statements in the Company's Form 10-K for the fiscal year ended March 31, 2025 for further information.</w:t>
      </w:r>
    </w:p>
    <w:p>
      <w:pPr>
        <w:spacing w:after="0" w:line="126" w:lineRule="exact"/>
        <w:rPr>
          <w:rFonts w:ascii="Arial" w:cs="Arial" w:eastAsia="Arial" w:hAnsi="Arial"/>
          <w:sz w:val="18"/>
          <w:szCs w:val="18"/>
          <w:color w:val="auto"/>
        </w:rPr>
      </w:pPr>
    </w:p>
    <w:p>
      <w:pPr>
        <w:ind w:left="560" w:right="220" w:hanging="316"/>
        <w:spacing w:after="0" w:line="251" w:lineRule="auto"/>
        <w:tabs>
          <w:tab w:leader="none" w:pos="5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to the consolidated financial statements for further information. In fiscal 2025 and fiscal 2024, other corporate expenses consist primarily of acquisition related costs from the acquisitions of PAR Government Systems Corporation (“PGSC”) and EverWatch Corp. ("EverWatch").</w:t>
      </w:r>
    </w:p>
    <w:p>
      <w:pPr>
        <w:spacing w:after="0" w:line="130" w:lineRule="exact"/>
        <w:rPr>
          <w:rFonts w:ascii="Arial" w:cs="Arial" w:eastAsia="Arial" w:hAnsi="Arial"/>
          <w:sz w:val="18"/>
          <w:szCs w:val="18"/>
          <w:color w:val="auto"/>
        </w:rPr>
      </w:pPr>
    </w:p>
    <w:p>
      <w:pPr>
        <w:ind w:left="580" w:hanging="336"/>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expenses associated with debt financing activities incurred during the second quarter of fiscal 2024.</w:t>
      </w:r>
    </w:p>
    <w:p>
      <w:pPr>
        <w:spacing w:after="0" w:line="163" w:lineRule="exact"/>
        <w:rPr>
          <w:rFonts w:ascii="Arial" w:cs="Arial" w:eastAsia="Arial" w:hAnsi="Arial"/>
          <w:sz w:val="18"/>
          <w:szCs w:val="18"/>
          <w:color w:val="auto"/>
        </w:rPr>
      </w:pPr>
    </w:p>
    <w:p>
      <w:pPr>
        <w:ind w:left="560" w:right="180" w:hanging="316"/>
        <w:spacing w:after="0" w:line="255" w:lineRule="auto"/>
        <w:tabs>
          <w:tab w:leader="none" w:pos="5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impact (specifically the revenue from recoverable expenses) of the Company's unfavorable ruling from the District of Columbia Court of Appeals related to contested tax assessments from the District of Columbia Office of Tax and Revenue (“DC OTR”). See Note 13, “Income Taxes,” to the consolidated financial statements contained within the Annual Report on Form 10-K for the fiscal year ended March 31, 2024 for further information.</w:t>
      </w:r>
    </w:p>
    <w:p>
      <w:pPr>
        <w:spacing w:after="0" w:line="126" w:lineRule="exact"/>
        <w:rPr>
          <w:rFonts w:ascii="Arial" w:cs="Arial" w:eastAsia="Arial" w:hAnsi="Arial"/>
          <w:sz w:val="18"/>
          <w:szCs w:val="18"/>
          <w:color w:val="auto"/>
        </w:rPr>
      </w:pPr>
    </w:p>
    <w:p>
      <w:pPr>
        <w:ind w:left="560" w:right="460" w:hanging="316"/>
        <w:spacing w:after="0" w:line="259" w:lineRule="auto"/>
        <w:tabs>
          <w:tab w:leader="none" w:pos="5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 associated with the U.S. Department of Justice's investigation of the Company. See Note 20, “Commitments and Contingencies,” to the consolidated financial statements contained within the Annual Report on Form 10-K for the fiscal year ended March 31, 2024 for further information.</w:t>
      </w:r>
    </w:p>
    <w:p>
      <w:pPr>
        <w:spacing w:after="0" w:line="71" w:lineRule="exact"/>
        <w:rPr>
          <w:rFonts w:ascii="Arial" w:cs="Arial" w:eastAsia="Arial" w:hAnsi="Arial"/>
          <w:sz w:val="18"/>
          <w:szCs w:val="18"/>
          <w:color w:val="auto"/>
        </w:rPr>
      </w:pPr>
    </w:p>
    <w:p>
      <w:pPr>
        <w:ind w:left="560" w:right="140" w:hanging="316"/>
        <w:spacing w:after="0" w:line="259" w:lineRule="auto"/>
        <w:tabs>
          <w:tab w:leader="none" w:pos="5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666666"/>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706120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567690</wp:posOffset>
            </wp:positionV>
            <wp:extent cx="7160260" cy="8038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803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904240</wp:posOffset>
            </wp:positionH>
            <wp:positionV relativeFrom="page">
              <wp:posOffset>567690</wp:posOffset>
            </wp:positionV>
            <wp:extent cx="5748655" cy="7437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748655" cy="7437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lowerRoman"/>
      <w:start w:val="5"/>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2"/>
    </w:lvl>
  </w:abstractNum>
  <w:abstractNum w:abstractNumId="27">
    <w:nsid w:val="579478FE"/>
    <w:multiLevelType w:val="hybridMultilevel"/>
    <w:lvl w:ilvl="0">
      <w:lvlJc w:val="left"/>
      <w:lvlText w:val="%1"/>
      <w:numFmt w:val="decimal"/>
      <w:start w:val="1"/>
    </w:lvl>
    <w:lvl w:ilvl="1">
      <w:lvlJc w:val="left"/>
      <w:lvlText w:val="(%2)"/>
      <w:numFmt w:val="lowerLetter"/>
      <w:start w:val="1"/>
    </w:lvl>
  </w:abstractNum>
  <w:abstractNum w:abstractNumId="28">
    <w:nsid w:val="749ABB43"/>
    <w:multiLevelType w:val="hybridMultilevel"/>
    <w:lvl w:ilvl="0">
      <w:lvlJc w:val="left"/>
      <w:lvlText w:val="(%1)"/>
      <w:numFmt w:val="decimal"/>
      <w:start w:val="14"/>
    </w:lvl>
    <w:lvl w:ilvl="1">
      <w:lvlJc w:val="left"/>
      <w:lvlText w:val="%2"/>
      <w:numFmt w:val="lowerLetter"/>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lowerLetter"/>
      <w:start w:val="2"/>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2"/>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2"/>
    </w:lvl>
  </w:abstractNum>
  <w:abstractNum w:abstractNumId="53">
    <w:nsid w:val="7E0C57B1"/>
    <w:multiLevelType w:val="hybridMultilevel"/>
    <w:lvl w:ilvl="0">
      <w:lvlJc w:val="left"/>
      <w:lvlText w:val="(%1)"/>
      <w:numFmt w:val="decimal"/>
      <w:start w:val="3"/>
    </w:lvl>
  </w:abstractNum>
  <w:abstractNum w:abstractNumId="54">
    <w:nsid w:val="77AE35EB"/>
    <w:multiLevelType w:val="hybridMultilevel"/>
    <w:lvl w:ilvl="0">
      <w:lvlJc w:val="left"/>
      <w:lvlText w:val="(%1)"/>
      <w:numFmt w:val="decimal"/>
      <w:start w:val="5"/>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5"/>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2"/>
    </w:lvl>
  </w:abstractNum>
  <w:abstractNum w:abstractNumId="64">
    <w:nsid w:val="5DB70AE5"/>
    <w:multiLevelType w:val="hybridMultilevel"/>
    <w:lvl w:ilvl="0">
      <w:lvlJc w:val="left"/>
      <w:lvlText w:val="(%1)"/>
      <w:numFmt w:val="decimal"/>
      <w:start w:val="3"/>
    </w:lvl>
  </w:abstractNum>
  <w:abstractNum w:abstractNumId="65">
    <w:nsid w:val="100F8FCA"/>
    <w:multiLevelType w:val="hybridMultilevel"/>
    <w:lvl w:ilvl="0">
      <w:lvlJc w:val="left"/>
      <w:lvlText w:val="(%1)"/>
      <w:numFmt w:val="lowerRoman"/>
      <w:start w:val="2"/>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2026-06-11T15:25:50Z</dcterms:created>
  <dcterms:modified xsi:type="dcterms:W3CDTF">2026-06-11T15:25:50Z</dcterms:modified>
</cp:coreProperties>
</file>