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UNITED STATES</w:t>
      </w:r>
    </w:p>
    <w:p>
      <w:pPr>
        <w:spacing w:after="0" w:line="26"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SECURITIES AND EXCHANGE COMMISSION</w:t>
      </w:r>
    </w:p>
    <w:p>
      <w:pPr>
        <w:spacing w:after="0" w:line="12"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Washington, D.C. 20549</w:t>
      </w:r>
    </w:p>
    <w:p>
      <w:pPr>
        <w:spacing w:after="0" w:line="138"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SCHEDULE 14-A</w:t>
      </w:r>
    </w:p>
    <w:p>
      <w:pPr>
        <w:spacing w:after="0" w:line="189"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(RULE 14a-101)</w:t>
      </w:r>
    </w:p>
    <w:p>
      <w:pPr>
        <w:spacing w:after="0" w:line="158"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INFORMATION REQUIRED IN PROXY STATEMENT</w:t>
      </w:r>
    </w:p>
    <w:p>
      <w:pPr>
        <w:spacing w:after="0" w:line="171" w:lineRule="exact"/>
        <w:rPr>
          <w:sz w:val="24"/>
          <w:szCs w:val="24"/>
          <w:color w:val="auto"/>
        </w:rPr>
      </w:pPr>
    </w:p>
    <w:p>
      <w:pPr>
        <w:ind w:left="4580"/>
        <w:spacing w:after="0"/>
        <w:rPr>
          <w:sz w:val="20"/>
          <w:szCs w:val="20"/>
          <w:color w:val="auto"/>
        </w:rPr>
      </w:pPr>
      <w:r>
        <w:rPr>
          <w:rFonts w:ascii="Arial" w:cs="Arial" w:eastAsia="Arial" w:hAnsi="Arial"/>
          <w:sz w:val="14"/>
          <w:szCs w:val="14"/>
          <w:b w:val="1"/>
          <w:bCs w:val="1"/>
          <w:color w:val="auto"/>
        </w:rPr>
        <w:t>SCHEDULE 14A INFORMATION</w:t>
      </w:r>
    </w:p>
    <w:p>
      <w:pPr>
        <w:sectPr>
          <w:pgSz w:w="11900" w:h="16838" w:orient="portrait"/>
          <w:cols w:equalWidth="0" w:num="1">
            <w:col w:w="10139"/>
          </w:cols>
          <w:pgMar w:left="320" w:top="223" w:right="1440" w:bottom="1440" w:gutter="0" w:footer="0" w:header="0"/>
        </w:sectPr>
      </w:pPr>
    </w:p>
    <w:p>
      <w:pPr>
        <w:spacing w:after="0" w:line="171" w:lineRule="exact"/>
        <w:rPr>
          <w:sz w:val="24"/>
          <w:szCs w:val="24"/>
          <w:color w:val="auto"/>
        </w:rPr>
      </w:pPr>
    </w:p>
    <w:p>
      <w:pPr>
        <w:ind w:left="4200"/>
        <w:spacing w:after="0"/>
        <w:rPr>
          <w:sz w:val="20"/>
          <w:szCs w:val="20"/>
          <w:color w:val="auto"/>
        </w:rPr>
      </w:pPr>
      <w:r>
        <w:rPr>
          <w:rFonts w:ascii="Arial" w:cs="Arial" w:eastAsia="Arial" w:hAnsi="Arial"/>
          <w:sz w:val="14"/>
          <w:szCs w:val="14"/>
          <w:color w:val="auto"/>
        </w:rPr>
        <w:t>Proxy Statement Pursuant to Section 14(a) of</w:t>
      </w:r>
    </w:p>
    <w:p>
      <w:pPr>
        <w:spacing w:after="0" w:line="25" w:lineRule="exact"/>
        <w:rPr>
          <w:sz w:val="24"/>
          <w:szCs w:val="24"/>
          <w:color w:val="auto"/>
        </w:rPr>
      </w:pPr>
    </w:p>
    <w:p>
      <w:pPr>
        <w:ind w:left="3740"/>
        <w:spacing w:after="0"/>
        <w:rPr>
          <w:sz w:val="20"/>
          <w:szCs w:val="20"/>
          <w:color w:val="auto"/>
        </w:rPr>
      </w:pPr>
      <w:r>
        <w:rPr>
          <w:rFonts w:ascii="Arial" w:cs="Arial" w:eastAsia="Arial" w:hAnsi="Arial"/>
          <w:sz w:val="14"/>
          <w:szCs w:val="14"/>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spacing w:after="0"/>
        <w:rPr>
          <w:sz w:val="20"/>
          <w:szCs w:val="20"/>
          <w:color w:val="auto"/>
        </w:rPr>
      </w:pPr>
      <w:r>
        <w:rPr>
          <w:rFonts w:ascii="Arial" w:cs="Arial" w:eastAsia="Arial" w:hAnsi="Arial"/>
          <w:sz w:val="12"/>
          <w:szCs w:val="12"/>
          <w:color w:val="auto"/>
        </w:rPr>
        <w:t>)</w:t>
      </w:r>
    </w:p>
    <w:p>
      <w:pPr>
        <w:spacing w:after="0" w:line="236" w:lineRule="exact"/>
        <w:rPr>
          <w:sz w:val="24"/>
          <w:szCs w:val="24"/>
          <w:color w:val="auto"/>
        </w:rPr>
      </w:pPr>
    </w:p>
    <w:p>
      <w:pPr>
        <w:sectPr>
          <w:pgSz w:w="11900" w:h="16838" w:orient="portrait"/>
          <w:cols w:equalWidth="0" w:num="2">
            <w:col w:w="7140" w:space="320"/>
            <w:col w:w="2679"/>
          </w:cols>
          <w:pgMar w:left="320" w:top="223" w:right="1440" w:bottom="1440" w:gutter="0" w:footer="0" w:header="0"/>
          <w:type w:val="continuous"/>
        </w:sectPr>
      </w:pPr>
    </w:p>
    <w:p>
      <w:pPr>
        <w:spacing w:after="0" w:line="18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p>
    <w:p>
      <w:pPr>
        <w:spacing w:after="0" w:line="9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26"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91" w:lineRule="exact"/>
        <w:rPr>
          <w:sz w:val="24"/>
          <w:szCs w:val="24"/>
          <w:color w:val="auto"/>
        </w:rPr>
      </w:pPr>
    </w:p>
    <w:p>
      <w:pPr>
        <w:ind w:left="180" w:hanging="174"/>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05" w:lineRule="exact"/>
        <w:rPr>
          <w:sz w:val="24"/>
          <w:szCs w:val="24"/>
          <w:color w:val="auto"/>
        </w:rPr>
      </w:pPr>
    </w:p>
    <w:p>
      <w:pPr>
        <w:ind w:left="180" w:hanging="174"/>
        <w:spacing w:after="0"/>
        <w:tabs>
          <w:tab w:leader="none" w:pos="1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91" w:lineRule="exact"/>
        <w:rPr>
          <w:rFonts w:ascii="MS PGothic" w:cs="MS PGothic" w:eastAsia="MS PGothic" w:hAnsi="MS PGothic"/>
          <w:sz w:val="14"/>
          <w:szCs w:val="14"/>
          <w:color w:val="auto"/>
        </w:rPr>
      </w:pPr>
    </w:p>
    <w:p>
      <w:pPr>
        <w:ind w:left="180" w:hanging="174"/>
        <w:spacing w:after="0"/>
        <w:tabs>
          <w:tab w:leader="none" w:pos="1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04" w:lineRule="exact"/>
        <w:rPr>
          <w:rFonts w:ascii="MS PGothic" w:cs="MS PGothic" w:eastAsia="MS PGothic" w:hAnsi="MS PGothic"/>
          <w:sz w:val="14"/>
          <w:szCs w:val="14"/>
          <w:color w:val="auto"/>
        </w:rPr>
      </w:pPr>
    </w:p>
    <w:p>
      <w:pPr>
        <w:ind w:left="180" w:hanging="174"/>
        <w:spacing w:after="0"/>
        <w:tabs>
          <w:tab w:leader="none" w:pos="1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82" w:lineRule="exact"/>
        <w:rPr>
          <w:rFonts w:ascii="MS PGothic" w:cs="MS PGothic" w:eastAsia="MS PGothic" w:hAnsi="MS PGothic"/>
          <w:sz w:val="14"/>
          <w:szCs w:val="14"/>
          <w:color w:val="auto"/>
        </w:rPr>
      </w:pPr>
    </w:p>
    <w:p>
      <w:pPr>
        <w:ind w:left="180" w:hanging="174"/>
        <w:spacing w:after="0"/>
        <w:tabs>
          <w:tab w:leader="none" w:pos="1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 xml:space="preserve">Soliciting Materials Pursuant to </w:t>
      </w:r>
      <w:r>
        <w:rPr>
          <w:rFonts w:ascii="Times New Roman" w:cs="Times New Roman" w:eastAsia="Times New Roman" w:hAnsi="Times New Roman"/>
          <w:sz w:val="17"/>
          <w:szCs w:val="17"/>
          <w:color w:val="auto"/>
        </w:rPr>
        <w:t>§</w:t>
      </w:r>
      <w:r>
        <w:rPr>
          <w:rFonts w:ascii="Arial" w:cs="Arial" w:eastAsia="Arial" w:hAnsi="Arial"/>
          <w:sz w:val="14"/>
          <w:szCs w:val="14"/>
          <w:color w:val="auto"/>
        </w:rPr>
        <w:t>240.14a-12</w:t>
      </w:r>
    </w:p>
    <w:p>
      <w:pPr>
        <w:spacing w:after="0" w:line="200" w:lineRule="exact"/>
        <w:rPr>
          <w:sz w:val="24"/>
          <w:szCs w:val="24"/>
          <w:color w:val="auto"/>
        </w:rPr>
      </w:pPr>
    </w:p>
    <w:p>
      <w:pPr>
        <w:spacing w:after="0" w:line="224"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171" w:lineRule="exact"/>
        <w:rPr>
          <w:sz w:val="24"/>
          <w:szCs w:val="24"/>
          <w:color w:val="auto"/>
        </w:rPr>
      </w:pPr>
    </w:p>
    <w:p>
      <w:pPr>
        <w:jc w:val="center"/>
        <w:ind w:right="-1100"/>
        <w:spacing w:after="0"/>
        <w:rPr>
          <w:sz w:val="20"/>
          <w:szCs w:val="20"/>
          <w:color w:val="auto"/>
        </w:rPr>
      </w:pPr>
      <w:r>
        <w:rPr>
          <w:rFonts w:ascii="Arial" w:cs="Arial" w:eastAsia="Arial" w:hAnsi="Arial"/>
          <w:sz w:val="14"/>
          <w:szCs w:val="14"/>
          <w:color w:val="auto"/>
        </w:rPr>
        <w:t>(Name of Registrant as Specified In Its Charter)</w:t>
      </w:r>
    </w:p>
    <w:p>
      <w:pPr>
        <w:spacing w:after="0" w:line="171" w:lineRule="exact"/>
        <w:rPr>
          <w:sz w:val="24"/>
          <w:szCs w:val="24"/>
          <w:color w:val="auto"/>
        </w:rPr>
      </w:pPr>
    </w:p>
    <w:p>
      <w:pPr>
        <w:jc w:val="right"/>
        <w:ind w:right="227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91" w:lineRule="exact"/>
        <w:rPr>
          <w:sz w:val="24"/>
          <w:szCs w:val="24"/>
          <w:color w:val="auto"/>
        </w:rPr>
      </w:pPr>
    </w:p>
    <w:p>
      <w:pPr>
        <w:ind w:left="180" w:hanging="174"/>
        <w:spacing w:after="0"/>
        <w:tabs>
          <w:tab w:leader="none" w:pos="1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05" w:lineRule="exact"/>
        <w:rPr>
          <w:sz w:val="24"/>
          <w:szCs w:val="24"/>
          <w:color w:val="auto"/>
        </w:rPr>
      </w:pPr>
    </w:p>
    <w:p>
      <w:pPr>
        <w:ind w:left="180" w:hanging="174"/>
        <w:spacing w:after="0"/>
        <w:tabs>
          <w:tab w:leader="none" w:pos="1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91" w:lineRule="exact"/>
        <w:rPr>
          <w:rFonts w:ascii="MS PGothic" w:cs="MS PGothic" w:eastAsia="MS PGothic" w:hAnsi="MS PGothic"/>
          <w:sz w:val="14"/>
          <w:szCs w:val="14"/>
          <w:color w:val="auto"/>
        </w:rPr>
      </w:pPr>
    </w:p>
    <w:p>
      <w:pPr>
        <w:ind w:left="180" w:hanging="174"/>
        <w:spacing w:after="0"/>
        <w:tabs>
          <w:tab w:leader="none" w:pos="1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Fee computed on table in exhibit required by Item 25(b) per Exchange Act Rules 14a-6(i)(1) and 0-11.</w:t>
      </w:r>
    </w:p>
    <w:p>
      <w:pPr>
        <w:sectPr>
          <w:pgSz w:w="11900" w:h="16838" w:orient="portrait"/>
          <w:cols w:equalWidth="0" w:num="1">
            <w:col w:w="10139"/>
          </w:cols>
          <w:pgMar w:left="320" w:top="223"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1775460</wp:posOffset>
            </wp:positionV>
            <wp:extent cx="5431155" cy="607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31155" cy="60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100"/>
        <w:spacing w:after="0"/>
        <w:rPr>
          <w:sz w:val="20"/>
          <w:szCs w:val="20"/>
          <w:color w:val="auto"/>
        </w:rPr>
      </w:pPr>
      <w:r>
        <w:rPr>
          <w:rFonts w:ascii="Calibri" w:cs="Calibri" w:eastAsia="Calibri" w:hAnsi="Calibri"/>
          <w:sz w:val="42"/>
          <w:szCs w:val="42"/>
          <w:b w:val="1"/>
          <w:bCs w:val="1"/>
          <w:color w:val="547BCC"/>
        </w:rPr>
        <w:t>Notce of 2022</w:t>
      </w:r>
    </w:p>
    <w:p>
      <w:pPr>
        <w:jc w:val="center"/>
        <w:ind w:right="-1100"/>
        <w:spacing w:after="0" w:line="236" w:lineRule="auto"/>
        <w:rPr>
          <w:sz w:val="20"/>
          <w:szCs w:val="20"/>
          <w:color w:val="auto"/>
        </w:rPr>
      </w:pPr>
      <w:r>
        <w:rPr>
          <w:rFonts w:ascii="Calibri" w:cs="Calibri" w:eastAsia="Calibri" w:hAnsi="Calibri"/>
          <w:sz w:val="42"/>
          <w:szCs w:val="42"/>
          <w:b w:val="1"/>
          <w:bCs w:val="1"/>
          <w:color w:val="547BCC"/>
        </w:rPr>
        <w:t>Annual Meetng</w:t>
      </w:r>
    </w:p>
    <w:p>
      <w:pPr>
        <w:spacing w:after="0" w:line="6" w:lineRule="exact"/>
        <w:rPr>
          <w:sz w:val="20"/>
          <w:szCs w:val="20"/>
          <w:color w:val="auto"/>
        </w:rPr>
      </w:pPr>
    </w:p>
    <w:p>
      <w:pPr>
        <w:jc w:val="center"/>
        <w:ind w:right="-1100"/>
        <w:spacing w:after="0"/>
        <w:rPr>
          <w:sz w:val="20"/>
          <w:szCs w:val="20"/>
          <w:color w:val="auto"/>
        </w:rPr>
      </w:pPr>
      <w:r>
        <w:rPr>
          <w:rFonts w:ascii="Calibri" w:cs="Calibri" w:eastAsia="Calibri" w:hAnsi="Calibri"/>
          <w:sz w:val="42"/>
          <w:szCs w:val="42"/>
          <w:b w:val="1"/>
          <w:bCs w:val="1"/>
          <w:color w:val="547BCC"/>
        </w:rPr>
        <w:t>of Stockholders</w:t>
      </w:r>
    </w:p>
    <w:p>
      <w:pPr>
        <w:jc w:val="center"/>
        <w:ind w:right="-1100"/>
        <w:spacing w:after="0" w:line="236" w:lineRule="auto"/>
        <w:rPr>
          <w:sz w:val="20"/>
          <w:szCs w:val="20"/>
          <w:color w:val="auto"/>
        </w:rPr>
      </w:pPr>
      <w:r>
        <w:rPr>
          <w:rFonts w:ascii="Calibri" w:cs="Calibri" w:eastAsia="Calibri" w:hAnsi="Calibri"/>
          <w:sz w:val="42"/>
          <w:szCs w:val="42"/>
          <w:b w:val="1"/>
          <w:bCs w:val="1"/>
          <w:color w:val="547BCC"/>
        </w:rPr>
        <w:t>and Proxy Statement</w:t>
      </w:r>
    </w:p>
    <w:p>
      <w:pPr>
        <w:spacing w:after="0" w:line="166" w:lineRule="exact"/>
        <w:rPr>
          <w:sz w:val="20"/>
          <w:szCs w:val="20"/>
          <w:color w:val="auto"/>
        </w:rPr>
      </w:pPr>
    </w:p>
    <w:p>
      <w:pPr>
        <w:ind w:left="4780"/>
        <w:spacing w:after="0"/>
        <w:rPr>
          <w:sz w:val="20"/>
          <w:szCs w:val="20"/>
          <w:color w:val="auto"/>
        </w:rPr>
      </w:pPr>
      <w:r>
        <w:rPr>
          <w:rFonts w:ascii="Calibri" w:cs="Calibri" w:eastAsia="Calibri" w:hAnsi="Calibri"/>
          <w:sz w:val="32"/>
          <w:szCs w:val="32"/>
          <w:b w:val="1"/>
          <w:bCs w:val="1"/>
          <w:color w:val="547BCC"/>
        </w:rPr>
        <w:t>July 27, 2022</w:t>
      </w:r>
    </w:p>
    <w:p>
      <w:pPr>
        <w:sectPr>
          <w:pgSz w:w="11900" w:h="16838" w:orient="portrait"/>
          <w:cols w:equalWidth="0" w:num="1">
            <w:col w:w="10139"/>
          </w:cols>
          <w:pgMar w:left="320" w:top="11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ectPr>
          <w:pgSz w:w="11900" w:h="16838" w:orient="portrait"/>
          <w:cols w:equalWidth="0" w:num="1">
            <w:col w:w="10139"/>
          </w:cols>
          <w:pgMar w:left="320" w:top="11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493395</wp:posOffset>
            </wp:positionV>
            <wp:extent cx="2159000" cy="2362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59000" cy="23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Calibri" w:cs="Calibri" w:eastAsia="Calibri" w:hAnsi="Calibri"/>
          <w:sz w:val="16"/>
          <w:szCs w:val="16"/>
          <w:color w:val="547BCC"/>
        </w:rPr>
        <w:t>Booz Allen Hamilton Holding Corporaton</w:t>
      </w:r>
    </w:p>
    <w:p>
      <w:pPr>
        <w:jc w:val="center"/>
        <w:spacing w:after="0" w:line="228" w:lineRule="auto"/>
        <w:rPr>
          <w:sz w:val="20"/>
          <w:szCs w:val="20"/>
          <w:color w:val="auto"/>
        </w:rPr>
      </w:pPr>
      <w:r>
        <w:rPr>
          <w:rFonts w:ascii="Calibri" w:cs="Calibri" w:eastAsia="Calibri" w:hAnsi="Calibri"/>
          <w:sz w:val="16"/>
          <w:szCs w:val="16"/>
          <w:color w:val="547BCC"/>
        </w:rPr>
        <w:t>8283 Greensboro Drive</w:t>
      </w:r>
    </w:p>
    <w:p>
      <w:pPr>
        <w:jc w:val="center"/>
        <w:spacing w:after="0" w:line="228" w:lineRule="auto"/>
        <w:rPr>
          <w:sz w:val="20"/>
          <w:szCs w:val="20"/>
          <w:color w:val="auto"/>
        </w:rPr>
      </w:pPr>
      <w:r>
        <w:rPr>
          <w:rFonts w:ascii="Calibri" w:cs="Calibri" w:eastAsia="Calibri" w:hAnsi="Calibri"/>
          <w:sz w:val="16"/>
          <w:szCs w:val="16"/>
          <w:color w:val="547BCC"/>
        </w:rPr>
        <w:t>McLean, Virginia 22102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153670</wp:posOffset>
            </wp:positionV>
            <wp:extent cx="69322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32295" cy="17145"/>
                    </a:xfrm>
                    <a:prstGeom prst="rect">
                      <a:avLst/>
                    </a:prstGeom>
                    <a:noFill/>
                  </pic:spPr>
                </pic:pic>
              </a:graphicData>
            </a:graphic>
          </wp:anchor>
        </w:drawing>
      </w:r>
    </w:p>
    <w:p>
      <w:pPr>
        <w:spacing w:after="0" w:line="378" w:lineRule="exact"/>
        <w:rPr>
          <w:sz w:val="20"/>
          <w:szCs w:val="20"/>
          <w:color w:val="auto"/>
        </w:rPr>
      </w:pPr>
    </w:p>
    <w:p>
      <w:pPr>
        <w:jc w:val="right"/>
        <w:spacing w:after="0"/>
        <w:rPr>
          <w:sz w:val="20"/>
          <w:szCs w:val="20"/>
          <w:color w:val="auto"/>
        </w:rPr>
      </w:pPr>
      <w:r>
        <w:rPr>
          <w:rFonts w:ascii="Calibri" w:cs="Calibri" w:eastAsia="Calibri" w:hAnsi="Calibri"/>
          <w:sz w:val="18"/>
          <w:szCs w:val="18"/>
          <w:color w:val="5E5E61"/>
        </w:rPr>
        <w:t>June __,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5941060</wp:posOffset>
            </wp:positionH>
            <wp:positionV relativeFrom="paragraph">
              <wp:posOffset>48260</wp:posOffset>
            </wp:positionV>
            <wp:extent cx="1054100" cy="1054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4100"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Calibri" w:cs="Calibri" w:eastAsia="Calibri" w:hAnsi="Calibri"/>
          <w:sz w:val="18"/>
          <w:szCs w:val="18"/>
          <w:color w:val="666666"/>
        </w:rPr>
        <w:t>Dear Fellow Stockholder:</w:t>
      </w:r>
    </w:p>
    <w:p>
      <w:pPr>
        <w:spacing w:after="0" w:line="214" w:lineRule="exact"/>
        <w:rPr>
          <w:sz w:val="20"/>
          <w:szCs w:val="20"/>
          <w:color w:val="auto"/>
        </w:rPr>
      </w:pPr>
    </w:p>
    <w:p>
      <w:pPr>
        <w:jc w:val="both"/>
        <w:ind w:left="20" w:right="2140" w:firstLine="319"/>
        <w:spacing w:after="0" w:line="202" w:lineRule="auto"/>
        <w:rPr>
          <w:sz w:val="20"/>
          <w:szCs w:val="20"/>
          <w:color w:val="auto"/>
        </w:rPr>
      </w:pPr>
      <w:r>
        <w:rPr>
          <w:rFonts w:ascii="Calibri" w:cs="Calibri" w:eastAsia="Calibri" w:hAnsi="Calibri"/>
          <w:sz w:val="18"/>
          <w:szCs w:val="18"/>
          <w:color w:val="666666"/>
        </w:rPr>
        <w:t>I am pleased to invite you to join our Board of Directors, senior leadership, and fellow stockholders at our Annual Meetng of Stockholders to be held at 8:00 a.m. (EDT) on July 27, 2022. Enclosed with this proxy statement are your proxy card and our 2022 annual report to stockholders.</w:t>
      </w:r>
    </w:p>
    <w:p>
      <w:pPr>
        <w:spacing w:after="0" w:line="246" w:lineRule="exact"/>
        <w:rPr>
          <w:sz w:val="20"/>
          <w:szCs w:val="20"/>
          <w:color w:val="auto"/>
        </w:rPr>
      </w:pPr>
    </w:p>
    <w:p>
      <w:pPr>
        <w:ind w:left="320"/>
        <w:spacing w:after="0"/>
        <w:rPr>
          <w:sz w:val="20"/>
          <w:szCs w:val="20"/>
          <w:color w:val="auto"/>
        </w:rPr>
      </w:pPr>
      <w:r>
        <w:rPr>
          <w:rFonts w:ascii="Calibri" w:cs="Calibri" w:eastAsia="Calibri" w:hAnsi="Calibri"/>
          <w:sz w:val="18"/>
          <w:szCs w:val="18"/>
          <w:color w:val="666666"/>
        </w:rPr>
        <w:t>Items of business to be transacted at our Annual Meetng are:</w:t>
      </w:r>
    </w:p>
    <w:p>
      <w:pPr>
        <w:spacing w:after="0" w:line="152" w:lineRule="exact"/>
        <w:rPr>
          <w:sz w:val="20"/>
          <w:szCs w:val="20"/>
          <w:color w:val="auto"/>
        </w:rPr>
      </w:pPr>
    </w:p>
    <w:p>
      <w:pPr>
        <w:ind w:left="1260" w:hanging="218"/>
        <w:spacing w:after="0"/>
        <w:tabs>
          <w:tab w:leader="none" w:pos="1260" w:val="left"/>
        </w:tabs>
        <w:numPr>
          <w:ilvl w:val="0"/>
          <w:numId w:val="5"/>
        </w:numPr>
        <w:rPr>
          <w:rFonts w:ascii="Calibri" w:cs="Calibri" w:eastAsia="Calibri" w:hAnsi="Calibri"/>
          <w:sz w:val="18"/>
          <w:szCs w:val="18"/>
          <w:color w:val="666666"/>
        </w:rPr>
      </w:pPr>
      <w:r>
        <w:rPr>
          <w:rFonts w:ascii="Calibri" w:cs="Calibri" w:eastAsia="Calibri" w:hAnsi="Calibri"/>
          <w:sz w:val="18"/>
          <w:szCs w:val="18"/>
          <w:color w:val="666666"/>
        </w:rPr>
        <w:t>Electon of seven directors;</w:t>
      </w:r>
    </w:p>
    <w:p>
      <w:pPr>
        <w:spacing w:after="0" w:line="152" w:lineRule="exact"/>
        <w:rPr>
          <w:rFonts w:ascii="Calibri" w:cs="Calibri" w:eastAsia="Calibri" w:hAnsi="Calibri"/>
          <w:sz w:val="18"/>
          <w:szCs w:val="18"/>
          <w:color w:val="666666"/>
        </w:rPr>
      </w:pPr>
    </w:p>
    <w:p>
      <w:pPr>
        <w:ind w:left="1260" w:hanging="218"/>
        <w:spacing w:after="0"/>
        <w:tabs>
          <w:tab w:leader="none" w:pos="1260" w:val="left"/>
        </w:tabs>
        <w:numPr>
          <w:ilvl w:val="0"/>
          <w:numId w:val="5"/>
        </w:numPr>
        <w:rPr>
          <w:rFonts w:ascii="Calibri" w:cs="Calibri" w:eastAsia="Calibri" w:hAnsi="Calibri"/>
          <w:sz w:val="18"/>
          <w:szCs w:val="18"/>
          <w:color w:val="666666"/>
        </w:rPr>
      </w:pPr>
      <w:r>
        <w:rPr>
          <w:rFonts w:ascii="Calibri" w:cs="Calibri" w:eastAsia="Calibri" w:hAnsi="Calibri"/>
          <w:sz w:val="18"/>
          <w:szCs w:val="18"/>
          <w:color w:val="666666"/>
        </w:rPr>
        <w:t>Ratfcaton of the appointment of Ernst &amp; Young LLP as our independent registered public accountng frm for fscal year 2023;</w:t>
      </w:r>
    </w:p>
    <w:p>
      <w:pPr>
        <w:spacing w:after="0" w:line="161" w:lineRule="exact"/>
        <w:rPr>
          <w:rFonts w:ascii="Calibri" w:cs="Calibri" w:eastAsia="Calibri" w:hAnsi="Calibri"/>
          <w:sz w:val="18"/>
          <w:szCs w:val="18"/>
          <w:color w:val="666666"/>
        </w:rPr>
      </w:pPr>
    </w:p>
    <w:p>
      <w:pPr>
        <w:ind w:left="1280" w:hanging="238"/>
        <w:spacing w:after="0" w:line="231" w:lineRule="auto"/>
        <w:tabs>
          <w:tab w:leader="none" w:pos="1265" w:val="left"/>
        </w:tabs>
        <w:numPr>
          <w:ilvl w:val="0"/>
          <w:numId w:val="5"/>
        </w:numPr>
        <w:rPr>
          <w:rFonts w:ascii="Calibri" w:cs="Calibri" w:eastAsia="Calibri" w:hAnsi="Calibri"/>
          <w:sz w:val="18"/>
          <w:szCs w:val="18"/>
          <w:color w:val="666666"/>
        </w:rPr>
      </w:pPr>
      <w:r>
        <w:rPr>
          <w:rFonts w:ascii="Calibri" w:cs="Calibri" w:eastAsia="Calibri" w:hAnsi="Calibri"/>
          <w:sz w:val="18"/>
          <w:szCs w:val="18"/>
          <w:color w:val="666666"/>
        </w:rPr>
        <w:t>A non-binding advisory vote on the compensaton program for the Company’s named executve ofcers, as disclosed in the Compensaton Discussion and Analysis secton of the proxy statement;</w:t>
      </w:r>
    </w:p>
    <w:p>
      <w:pPr>
        <w:spacing w:after="0" w:line="161" w:lineRule="exact"/>
        <w:rPr>
          <w:rFonts w:ascii="Calibri" w:cs="Calibri" w:eastAsia="Calibri" w:hAnsi="Calibri"/>
          <w:sz w:val="18"/>
          <w:szCs w:val="18"/>
          <w:color w:val="666666"/>
        </w:rPr>
      </w:pPr>
    </w:p>
    <w:p>
      <w:pPr>
        <w:ind w:left="1280" w:hanging="238"/>
        <w:spacing w:after="0" w:line="231" w:lineRule="auto"/>
        <w:tabs>
          <w:tab w:leader="none" w:pos="1265" w:val="left"/>
        </w:tabs>
        <w:numPr>
          <w:ilvl w:val="0"/>
          <w:numId w:val="5"/>
        </w:numPr>
        <w:rPr>
          <w:rFonts w:ascii="Calibri" w:cs="Calibri" w:eastAsia="Calibri" w:hAnsi="Calibri"/>
          <w:sz w:val="18"/>
          <w:szCs w:val="18"/>
          <w:color w:val="666666"/>
        </w:rPr>
      </w:pPr>
      <w:r>
        <w:rPr>
          <w:rFonts w:ascii="Calibri" w:cs="Calibri" w:eastAsia="Calibri" w:hAnsi="Calibri"/>
          <w:sz w:val="18"/>
          <w:szCs w:val="18"/>
          <w:color w:val="666666"/>
        </w:rPr>
        <w:t>Approval of the adopton of the Sixth Amended and Restated Certfcate of Incorporaton to permit stockholders who hold not less than 25% of the outstanding shares of common stock of the Company to call special meetngs;</w:t>
      </w:r>
    </w:p>
    <w:p>
      <w:pPr>
        <w:spacing w:after="0" w:line="152" w:lineRule="exact"/>
        <w:rPr>
          <w:rFonts w:ascii="Calibri" w:cs="Calibri" w:eastAsia="Calibri" w:hAnsi="Calibri"/>
          <w:sz w:val="18"/>
          <w:szCs w:val="18"/>
          <w:color w:val="666666"/>
        </w:rPr>
      </w:pPr>
    </w:p>
    <w:p>
      <w:pPr>
        <w:ind w:left="1260" w:hanging="218"/>
        <w:spacing w:after="0"/>
        <w:tabs>
          <w:tab w:leader="none" w:pos="1260" w:val="left"/>
        </w:tabs>
        <w:numPr>
          <w:ilvl w:val="0"/>
          <w:numId w:val="5"/>
        </w:numPr>
        <w:rPr>
          <w:rFonts w:ascii="Calibri" w:cs="Calibri" w:eastAsia="Calibri" w:hAnsi="Calibri"/>
          <w:sz w:val="18"/>
          <w:szCs w:val="18"/>
          <w:color w:val="666666"/>
        </w:rPr>
      </w:pPr>
      <w:r>
        <w:rPr>
          <w:rFonts w:ascii="Calibri" w:cs="Calibri" w:eastAsia="Calibri" w:hAnsi="Calibri"/>
          <w:sz w:val="18"/>
          <w:szCs w:val="18"/>
          <w:color w:val="666666"/>
        </w:rPr>
        <w:t>If properly presented at the Annual Meetng, a non-binding advisory vote on a stockholder proposal; and</w:t>
      </w:r>
    </w:p>
    <w:p>
      <w:pPr>
        <w:spacing w:after="0" w:line="152" w:lineRule="exact"/>
        <w:rPr>
          <w:rFonts w:ascii="Calibri" w:cs="Calibri" w:eastAsia="Calibri" w:hAnsi="Calibri"/>
          <w:sz w:val="18"/>
          <w:szCs w:val="18"/>
          <w:color w:val="666666"/>
        </w:rPr>
      </w:pPr>
    </w:p>
    <w:p>
      <w:pPr>
        <w:ind w:left="1260" w:hanging="218"/>
        <w:spacing w:after="0"/>
        <w:tabs>
          <w:tab w:leader="none" w:pos="1260" w:val="left"/>
        </w:tabs>
        <w:numPr>
          <w:ilvl w:val="0"/>
          <w:numId w:val="5"/>
        </w:numPr>
        <w:rPr>
          <w:rFonts w:ascii="Calibri" w:cs="Calibri" w:eastAsia="Calibri" w:hAnsi="Calibri"/>
          <w:sz w:val="18"/>
          <w:szCs w:val="18"/>
          <w:color w:val="666666"/>
        </w:rPr>
      </w:pPr>
      <w:r>
        <w:rPr>
          <w:rFonts w:ascii="Calibri" w:cs="Calibri" w:eastAsia="Calibri" w:hAnsi="Calibri"/>
          <w:sz w:val="18"/>
          <w:szCs w:val="18"/>
          <w:color w:val="666666"/>
        </w:rPr>
        <w:t>Consideraton of any other business that may properly be brought before the Annual Meetng.</w:t>
      </w:r>
    </w:p>
    <w:p>
      <w:pPr>
        <w:spacing w:after="0" w:line="152" w:lineRule="exact"/>
        <w:rPr>
          <w:sz w:val="20"/>
          <w:szCs w:val="20"/>
          <w:color w:val="auto"/>
        </w:rPr>
      </w:pPr>
    </w:p>
    <w:p>
      <w:pPr>
        <w:ind w:left="320"/>
        <w:spacing w:after="0"/>
        <w:rPr>
          <w:sz w:val="20"/>
          <w:szCs w:val="20"/>
          <w:color w:val="auto"/>
        </w:rPr>
      </w:pPr>
      <w:r>
        <w:rPr>
          <w:rFonts w:ascii="Calibri" w:cs="Calibri" w:eastAsia="Calibri" w:hAnsi="Calibri"/>
          <w:sz w:val="18"/>
          <w:szCs w:val="18"/>
          <w:b w:val="1"/>
          <w:bCs w:val="1"/>
          <w:color w:val="666666"/>
        </w:rPr>
        <w:t>The Board of Directors recommends that you vote FOR Proposals 1, 2, 3, and 4 and AGAINST Proposal 5.</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Our 2022 Annual Meetng of Stockholders will be a virtual meetng conducted solely online and can be atended by visitng www.virtualshareholdermeetng.com/BAH2022. To partcipate in the Annual Meetng, you will need the control number located on your proxy card or the instructons that accompanied your proxy materials.</w:t>
      </w:r>
    </w:p>
    <w:p>
      <w:pPr>
        <w:spacing w:after="0" w:line="162" w:lineRule="exact"/>
        <w:rPr>
          <w:sz w:val="20"/>
          <w:szCs w:val="20"/>
          <w:color w:val="auto"/>
        </w:rPr>
      </w:pPr>
    </w:p>
    <w:p>
      <w:pPr>
        <w:jc w:val="both"/>
        <w:ind w:firstLine="319"/>
        <w:spacing w:after="0" w:line="249" w:lineRule="auto"/>
        <w:rPr>
          <w:sz w:val="20"/>
          <w:szCs w:val="20"/>
          <w:color w:val="auto"/>
        </w:rPr>
      </w:pPr>
      <w:r>
        <w:rPr>
          <w:rFonts w:ascii="Calibri" w:cs="Calibri" w:eastAsia="Calibri" w:hAnsi="Calibri"/>
          <w:sz w:val="17"/>
          <w:szCs w:val="17"/>
          <w:color w:val="666666"/>
        </w:rPr>
        <w:t>Your vote is important. Whether or not you plan to virtually atend the Annual Meetng, you may access electronic votng via the Internet or the automated telephone votng feature, both of which are described on your enclosed proxy card. You may also sign, date, and return the proxy card in the envelope provided.</w:t>
      </w:r>
    </w:p>
    <w:p>
      <w:pPr>
        <w:spacing w:after="0" w:line="145" w:lineRule="exact"/>
        <w:rPr>
          <w:sz w:val="20"/>
          <w:szCs w:val="20"/>
          <w:color w:val="auto"/>
        </w:rPr>
      </w:pPr>
    </w:p>
    <w:p>
      <w:pPr>
        <w:ind w:left="320"/>
        <w:spacing w:after="0"/>
        <w:rPr>
          <w:sz w:val="20"/>
          <w:szCs w:val="20"/>
          <w:color w:val="auto"/>
        </w:rPr>
      </w:pPr>
      <w:r>
        <w:rPr>
          <w:rFonts w:ascii="Calibri" w:cs="Calibri" w:eastAsia="Calibri" w:hAnsi="Calibri"/>
          <w:sz w:val="18"/>
          <w:szCs w:val="18"/>
          <w:color w:val="666666"/>
        </w:rPr>
        <w:t>On behalf of Booz Allen, thank you for your contnued support and investment.</w:t>
      </w:r>
    </w:p>
    <w:p>
      <w:pPr>
        <w:spacing w:after="0" w:line="152" w:lineRule="exact"/>
        <w:rPr>
          <w:sz w:val="20"/>
          <w:szCs w:val="20"/>
          <w:color w:val="auto"/>
        </w:rPr>
      </w:pPr>
    </w:p>
    <w:p>
      <w:pPr>
        <w:ind w:left="4460"/>
        <w:spacing w:after="0"/>
        <w:rPr>
          <w:sz w:val="20"/>
          <w:szCs w:val="20"/>
          <w:color w:val="auto"/>
        </w:rPr>
      </w:pPr>
      <w:r>
        <w:rPr>
          <w:rFonts w:ascii="Calibri" w:cs="Calibri" w:eastAsia="Calibri" w:hAnsi="Calibri"/>
          <w:sz w:val="18"/>
          <w:szCs w:val="18"/>
          <w:color w:val="666666"/>
        </w:rPr>
        <w:t>Sincerely,</w:t>
      </w:r>
    </w:p>
    <w:p>
      <w:pPr>
        <w:spacing w:after="0" w:line="200" w:lineRule="exact"/>
        <w:rPr>
          <w:sz w:val="20"/>
          <w:szCs w:val="20"/>
          <w:color w:val="auto"/>
        </w:rPr>
      </w:pPr>
    </w:p>
    <w:p>
      <w:pPr>
        <w:spacing w:after="0" w:line="351" w:lineRule="exact"/>
        <w:rPr>
          <w:sz w:val="20"/>
          <w:szCs w:val="20"/>
          <w:color w:val="auto"/>
        </w:rPr>
      </w:pPr>
    </w:p>
    <w:p>
      <w:pPr>
        <w:ind w:left="4460"/>
        <w:spacing w:after="0"/>
        <w:rPr>
          <w:sz w:val="20"/>
          <w:szCs w:val="20"/>
          <w:color w:val="auto"/>
        </w:rPr>
      </w:pPr>
      <w:r>
        <w:rPr>
          <w:rFonts w:ascii="Calibri" w:cs="Calibri" w:eastAsia="Calibri" w:hAnsi="Calibri"/>
          <w:sz w:val="18"/>
          <w:szCs w:val="18"/>
          <w:color w:val="666666"/>
        </w:rPr>
        <w:t>Horacio D. Rozanski</w:t>
      </w:r>
    </w:p>
    <w:p>
      <w:pPr>
        <w:ind w:left="4460"/>
        <w:spacing w:after="0" w:line="232" w:lineRule="auto"/>
        <w:rPr>
          <w:sz w:val="20"/>
          <w:szCs w:val="20"/>
          <w:color w:val="auto"/>
        </w:rPr>
      </w:pPr>
      <w:r>
        <w:rPr>
          <w:rFonts w:ascii="Calibri" w:cs="Calibri" w:eastAsia="Calibri" w:hAnsi="Calibri"/>
          <w:sz w:val="18"/>
          <w:szCs w:val="18"/>
          <w:color w:val="666666"/>
        </w:rPr>
        <w:t>President and Chief Executve Ofcer</w:t>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ectPr>
          <w:pgSz w:w="11900" w:h="16838" w:orient="portrait"/>
          <w:cols w:equalWidth="0" w:num="1">
            <w:col w:w="10139"/>
          </w:cols>
          <w:pgMar w:left="320" w:top="11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392430</wp:posOffset>
            </wp:positionV>
            <wp:extent cx="2875915" cy="311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75915" cy="311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line="235" w:lineRule="auto"/>
        <w:rPr>
          <w:sz w:val="20"/>
          <w:szCs w:val="20"/>
          <w:color w:val="auto"/>
        </w:rPr>
      </w:pPr>
      <w:r>
        <w:rPr>
          <w:rFonts w:ascii="Calibri" w:cs="Calibri" w:eastAsia="Calibri" w:hAnsi="Calibri"/>
          <w:sz w:val="28"/>
          <w:szCs w:val="28"/>
          <w:b w:val="1"/>
          <w:bCs w:val="1"/>
          <w:color w:val="547BCC"/>
        </w:rPr>
        <w:t>NOTICE OF BOOZ ALLEN HAMILTON HOLDING CORPORATION'S 2022 ANNUAL MEETING OF STOCKHOLDERS</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1900" w:type="dxa"/>
            <w:vAlign w:val="bottom"/>
          </w:tcPr>
          <w:p>
            <w:pPr>
              <w:spacing w:after="0"/>
              <w:rPr>
                <w:sz w:val="20"/>
                <w:szCs w:val="20"/>
                <w:color w:val="auto"/>
              </w:rPr>
            </w:pPr>
            <w:r>
              <w:rPr>
                <w:rFonts w:ascii="Calibri" w:cs="Calibri" w:eastAsia="Calibri" w:hAnsi="Calibri"/>
                <w:sz w:val="18"/>
                <w:szCs w:val="18"/>
                <w:b w:val="1"/>
                <w:bCs w:val="1"/>
                <w:color w:val="666666"/>
              </w:rPr>
              <w:t>Time and Date:</w:t>
            </w:r>
          </w:p>
        </w:tc>
        <w:tc>
          <w:tcPr>
            <w:tcW w:w="9260" w:type="dxa"/>
            <w:vAlign w:val="bottom"/>
          </w:tcPr>
          <w:p>
            <w:pPr>
              <w:ind w:left="440"/>
              <w:spacing w:after="0"/>
              <w:rPr>
                <w:sz w:val="20"/>
                <w:szCs w:val="20"/>
                <w:color w:val="auto"/>
              </w:rPr>
            </w:pPr>
            <w:r>
              <w:rPr>
                <w:rFonts w:ascii="Calibri" w:cs="Calibri" w:eastAsia="Calibri" w:hAnsi="Calibri"/>
                <w:sz w:val="18"/>
                <w:szCs w:val="18"/>
                <w:color w:val="666666"/>
              </w:rPr>
              <w:t>8:00 a.m. (EDT), July 27, 2022</w:t>
            </w:r>
          </w:p>
        </w:tc>
        <w:tc>
          <w:tcPr>
            <w:tcW w:w="0" w:type="dxa"/>
            <w:vAlign w:val="bottom"/>
          </w:tcPr>
          <w:p>
            <w:pPr>
              <w:spacing w:after="0"/>
              <w:rPr>
                <w:sz w:val="1"/>
                <w:szCs w:val="1"/>
                <w:color w:val="auto"/>
              </w:rPr>
            </w:pPr>
          </w:p>
        </w:tc>
      </w:tr>
      <w:tr>
        <w:trPr>
          <w:trHeight w:val="319"/>
        </w:trPr>
        <w:tc>
          <w:tcPr>
            <w:tcW w:w="1900" w:type="dxa"/>
            <w:vAlign w:val="bottom"/>
          </w:tcPr>
          <w:p>
            <w:pPr>
              <w:spacing w:after="0"/>
              <w:rPr>
                <w:sz w:val="20"/>
                <w:szCs w:val="20"/>
                <w:color w:val="auto"/>
              </w:rPr>
            </w:pPr>
            <w:r>
              <w:rPr>
                <w:rFonts w:ascii="Calibri" w:cs="Calibri" w:eastAsia="Calibri" w:hAnsi="Calibri"/>
                <w:sz w:val="18"/>
                <w:szCs w:val="18"/>
                <w:b w:val="1"/>
                <w:bCs w:val="1"/>
                <w:color w:val="666666"/>
              </w:rPr>
              <w:t>Place:*</w:t>
            </w:r>
          </w:p>
        </w:tc>
        <w:tc>
          <w:tcPr>
            <w:tcW w:w="9260" w:type="dxa"/>
            <w:vAlign w:val="bottom"/>
          </w:tcPr>
          <w:p>
            <w:pPr>
              <w:ind w:left="440"/>
              <w:spacing w:after="0"/>
              <w:rPr>
                <w:sz w:val="20"/>
                <w:szCs w:val="20"/>
                <w:color w:val="auto"/>
              </w:rPr>
            </w:pPr>
            <w:r>
              <w:rPr>
                <w:rFonts w:ascii="Calibri" w:cs="Calibri" w:eastAsia="Calibri" w:hAnsi="Calibri"/>
                <w:sz w:val="18"/>
                <w:szCs w:val="18"/>
                <w:color w:val="666666"/>
              </w:rPr>
              <w:t>Virtual meetng at www.virtualshareholdermeetng.com/BAH2022</w:t>
            </w:r>
          </w:p>
        </w:tc>
        <w:tc>
          <w:tcPr>
            <w:tcW w:w="0" w:type="dxa"/>
            <w:vAlign w:val="bottom"/>
          </w:tcPr>
          <w:p>
            <w:pPr>
              <w:spacing w:after="0"/>
              <w:rPr>
                <w:sz w:val="1"/>
                <w:szCs w:val="1"/>
                <w:color w:val="auto"/>
              </w:rPr>
            </w:pPr>
          </w:p>
        </w:tc>
      </w:tr>
      <w:tr>
        <w:trPr>
          <w:trHeight w:val="319"/>
        </w:trPr>
        <w:tc>
          <w:tcPr>
            <w:tcW w:w="1900" w:type="dxa"/>
            <w:vAlign w:val="bottom"/>
          </w:tcPr>
          <w:p>
            <w:pPr>
              <w:spacing w:after="0"/>
              <w:rPr>
                <w:sz w:val="20"/>
                <w:szCs w:val="20"/>
                <w:color w:val="auto"/>
              </w:rPr>
            </w:pPr>
            <w:r>
              <w:rPr>
                <w:rFonts w:ascii="Calibri" w:cs="Calibri" w:eastAsia="Calibri" w:hAnsi="Calibri"/>
                <w:sz w:val="18"/>
                <w:szCs w:val="18"/>
                <w:b w:val="1"/>
                <w:bCs w:val="1"/>
                <w:color w:val="666666"/>
              </w:rPr>
              <w:t>Agenda:</w:t>
            </w:r>
          </w:p>
        </w:tc>
        <w:tc>
          <w:tcPr>
            <w:tcW w:w="9260" w:type="dxa"/>
            <w:vAlign w:val="bottom"/>
          </w:tcPr>
          <w:p>
            <w:pPr>
              <w:ind w:left="440"/>
              <w:spacing w:after="0"/>
              <w:rPr>
                <w:sz w:val="20"/>
                <w:szCs w:val="20"/>
                <w:color w:val="auto"/>
              </w:rPr>
            </w:pPr>
            <w:r>
              <w:rPr>
                <w:rFonts w:ascii="Calibri" w:cs="Calibri" w:eastAsia="Calibri" w:hAnsi="Calibri"/>
                <w:sz w:val="18"/>
                <w:szCs w:val="18"/>
                <w:color w:val="666666"/>
              </w:rPr>
              <w:t>1. The electon of seven director nominees named in the proxy statement;</w:t>
            </w:r>
          </w:p>
        </w:tc>
        <w:tc>
          <w:tcPr>
            <w:tcW w:w="0" w:type="dxa"/>
            <w:vAlign w:val="bottom"/>
          </w:tcPr>
          <w:p>
            <w:pPr>
              <w:spacing w:after="0"/>
              <w:rPr>
                <w:sz w:val="1"/>
                <w:szCs w:val="1"/>
                <w:color w:val="auto"/>
              </w:rPr>
            </w:pPr>
          </w:p>
        </w:tc>
      </w:tr>
      <w:tr>
        <w:trPr>
          <w:trHeight w:val="281"/>
        </w:trPr>
        <w:tc>
          <w:tcPr>
            <w:tcW w:w="1900" w:type="dxa"/>
            <w:vAlign w:val="bottom"/>
          </w:tcPr>
          <w:p>
            <w:pPr>
              <w:spacing w:after="0"/>
              <w:rPr>
                <w:sz w:val="24"/>
                <w:szCs w:val="24"/>
                <w:color w:val="auto"/>
              </w:rPr>
            </w:pPr>
          </w:p>
        </w:tc>
        <w:tc>
          <w:tcPr>
            <w:tcW w:w="9260" w:type="dxa"/>
            <w:vAlign w:val="bottom"/>
          </w:tcPr>
          <w:p>
            <w:pPr>
              <w:ind w:left="440"/>
              <w:spacing w:after="0"/>
              <w:rPr>
                <w:sz w:val="20"/>
                <w:szCs w:val="20"/>
                <w:color w:val="auto"/>
              </w:rPr>
            </w:pPr>
            <w:r>
              <w:rPr>
                <w:rFonts w:ascii="Calibri" w:cs="Calibri" w:eastAsia="Calibri" w:hAnsi="Calibri"/>
                <w:sz w:val="18"/>
                <w:szCs w:val="18"/>
                <w:color w:val="666666"/>
              </w:rPr>
              <w:t>2. The ratfcaton of the selecton of Ernst &amp; Young LLP as the Company’s independent registered public accountng frm for</w:t>
            </w:r>
          </w:p>
        </w:tc>
        <w:tc>
          <w:tcPr>
            <w:tcW w:w="0" w:type="dxa"/>
            <w:vAlign w:val="bottom"/>
          </w:tcPr>
          <w:p>
            <w:pPr>
              <w:spacing w:after="0"/>
              <w:rPr>
                <w:sz w:val="1"/>
                <w:szCs w:val="1"/>
                <w:color w:val="auto"/>
              </w:rPr>
            </w:pPr>
          </w:p>
        </w:tc>
      </w:tr>
      <w:tr>
        <w:trPr>
          <w:trHeight w:val="211"/>
        </w:trPr>
        <w:tc>
          <w:tcPr>
            <w:tcW w:w="1900" w:type="dxa"/>
            <w:vAlign w:val="bottom"/>
          </w:tcPr>
          <w:p>
            <w:pPr>
              <w:spacing w:after="0"/>
              <w:rPr>
                <w:sz w:val="18"/>
                <w:szCs w:val="18"/>
                <w:color w:val="auto"/>
              </w:rPr>
            </w:pPr>
          </w:p>
        </w:tc>
        <w:tc>
          <w:tcPr>
            <w:tcW w:w="9260" w:type="dxa"/>
            <w:vAlign w:val="bottom"/>
          </w:tcPr>
          <w:p>
            <w:pPr>
              <w:ind w:left="840"/>
              <w:spacing w:after="0" w:line="211" w:lineRule="exact"/>
              <w:rPr>
                <w:sz w:val="20"/>
                <w:szCs w:val="20"/>
                <w:color w:val="auto"/>
              </w:rPr>
            </w:pPr>
            <w:r>
              <w:rPr>
                <w:rFonts w:ascii="Calibri" w:cs="Calibri" w:eastAsia="Calibri" w:hAnsi="Calibri"/>
                <w:sz w:val="18"/>
                <w:szCs w:val="18"/>
                <w:color w:val="666666"/>
              </w:rPr>
              <w:t>the Company’s fscal year 2023;</w:t>
            </w:r>
          </w:p>
        </w:tc>
        <w:tc>
          <w:tcPr>
            <w:tcW w:w="0" w:type="dxa"/>
            <w:vAlign w:val="bottom"/>
          </w:tcPr>
          <w:p>
            <w:pPr>
              <w:spacing w:after="0"/>
              <w:rPr>
                <w:sz w:val="1"/>
                <w:szCs w:val="1"/>
                <w:color w:val="auto"/>
              </w:rPr>
            </w:pPr>
          </w:p>
        </w:tc>
      </w:tr>
      <w:tr>
        <w:trPr>
          <w:trHeight w:val="294"/>
        </w:trPr>
        <w:tc>
          <w:tcPr>
            <w:tcW w:w="1900" w:type="dxa"/>
            <w:vAlign w:val="bottom"/>
          </w:tcPr>
          <w:p>
            <w:pPr>
              <w:spacing w:after="0"/>
              <w:rPr>
                <w:sz w:val="24"/>
                <w:szCs w:val="24"/>
                <w:color w:val="auto"/>
              </w:rPr>
            </w:pPr>
          </w:p>
        </w:tc>
        <w:tc>
          <w:tcPr>
            <w:tcW w:w="9260" w:type="dxa"/>
            <w:vAlign w:val="bottom"/>
          </w:tcPr>
          <w:p>
            <w:pPr>
              <w:ind w:left="440"/>
              <w:spacing w:after="0"/>
              <w:rPr>
                <w:sz w:val="20"/>
                <w:szCs w:val="20"/>
                <w:color w:val="auto"/>
              </w:rPr>
            </w:pPr>
            <w:r>
              <w:rPr>
                <w:rFonts w:ascii="Calibri" w:cs="Calibri" w:eastAsia="Calibri" w:hAnsi="Calibri"/>
                <w:sz w:val="18"/>
                <w:szCs w:val="18"/>
                <w:color w:val="666666"/>
                <w:w w:val="97"/>
              </w:rPr>
              <w:t>3. A non-binding advisory vote on the compensaton program for the Company’s named executve ofcers, as disclosed in the</w:t>
            </w:r>
          </w:p>
        </w:tc>
        <w:tc>
          <w:tcPr>
            <w:tcW w:w="0" w:type="dxa"/>
            <w:vAlign w:val="bottom"/>
          </w:tcPr>
          <w:p>
            <w:pPr>
              <w:spacing w:after="0"/>
              <w:rPr>
                <w:sz w:val="1"/>
                <w:szCs w:val="1"/>
                <w:color w:val="auto"/>
              </w:rPr>
            </w:pPr>
          </w:p>
        </w:tc>
      </w:tr>
      <w:tr>
        <w:trPr>
          <w:trHeight w:val="211"/>
        </w:trPr>
        <w:tc>
          <w:tcPr>
            <w:tcW w:w="1900" w:type="dxa"/>
            <w:vAlign w:val="bottom"/>
          </w:tcPr>
          <w:p>
            <w:pPr>
              <w:spacing w:after="0"/>
              <w:rPr>
                <w:sz w:val="18"/>
                <w:szCs w:val="18"/>
                <w:color w:val="auto"/>
              </w:rPr>
            </w:pPr>
          </w:p>
        </w:tc>
        <w:tc>
          <w:tcPr>
            <w:tcW w:w="9260" w:type="dxa"/>
            <w:vAlign w:val="bottom"/>
          </w:tcPr>
          <w:p>
            <w:pPr>
              <w:ind w:left="840"/>
              <w:spacing w:after="0" w:line="211" w:lineRule="exact"/>
              <w:rPr>
                <w:sz w:val="20"/>
                <w:szCs w:val="20"/>
                <w:color w:val="auto"/>
              </w:rPr>
            </w:pPr>
            <w:r>
              <w:rPr>
                <w:rFonts w:ascii="Calibri" w:cs="Calibri" w:eastAsia="Calibri" w:hAnsi="Calibri"/>
                <w:sz w:val="18"/>
                <w:szCs w:val="18"/>
                <w:color w:val="666666"/>
              </w:rPr>
              <w:t>Compensaton Discussion and Analysis secton of the proxy statement;</w:t>
            </w:r>
          </w:p>
        </w:tc>
        <w:tc>
          <w:tcPr>
            <w:tcW w:w="0" w:type="dxa"/>
            <w:vAlign w:val="bottom"/>
          </w:tcPr>
          <w:p>
            <w:pPr>
              <w:spacing w:after="0"/>
              <w:rPr>
                <w:sz w:val="1"/>
                <w:szCs w:val="1"/>
                <w:color w:val="auto"/>
              </w:rPr>
            </w:pPr>
          </w:p>
        </w:tc>
      </w:tr>
      <w:tr>
        <w:trPr>
          <w:trHeight w:val="307"/>
        </w:trPr>
        <w:tc>
          <w:tcPr>
            <w:tcW w:w="1900" w:type="dxa"/>
            <w:vAlign w:val="bottom"/>
          </w:tcPr>
          <w:p>
            <w:pPr>
              <w:spacing w:after="0"/>
              <w:rPr>
                <w:sz w:val="24"/>
                <w:szCs w:val="24"/>
                <w:color w:val="auto"/>
              </w:rPr>
            </w:pPr>
          </w:p>
        </w:tc>
        <w:tc>
          <w:tcPr>
            <w:tcW w:w="9260" w:type="dxa"/>
            <w:vAlign w:val="bottom"/>
          </w:tcPr>
          <w:p>
            <w:pPr>
              <w:ind w:left="440"/>
              <w:spacing w:after="0"/>
              <w:rPr>
                <w:sz w:val="20"/>
                <w:szCs w:val="20"/>
                <w:color w:val="auto"/>
              </w:rPr>
            </w:pPr>
            <w:r>
              <w:rPr>
                <w:rFonts w:ascii="Calibri" w:cs="Calibri" w:eastAsia="Calibri" w:hAnsi="Calibri"/>
                <w:sz w:val="18"/>
                <w:szCs w:val="18"/>
                <w:color w:val="666666"/>
                <w:w w:val="98"/>
              </w:rPr>
              <w:t>4. Approval of the adopton of the Sixth Amended and Restated Certfcate of Incorporaton to permit stockholders who hold</w:t>
            </w:r>
          </w:p>
        </w:tc>
        <w:tc>
          <w:tcPr>
            <w:tcW w:w="0" w:type="dxa"/>
            <w:vAlign w:val="bottom"/>
          </w:tcPr>
          <w:p>
            <w:pPr>
              <w:spacing w:after="0"/>
              <w:rPr>
                <w:sz w:val="1"/>
                <w:szCs w:val="1"/>
                <w:color w:val="auto"/>
              </w:rPr>
            </w:pPr>
          </w:p>
        </w:tc>
      </w:tr>
      <w:tr>
        <w:trPr>
          <w:trHeight w:val="211"/>
        </w:trPr>
        <w:tc>
          <w:tcPr>
            <w:tcW w:w="1900" w:type="dxa"/>
            <w:vAlign w:val="bottom"/>
          </w:tcPr>
          <w:p>
            <w:pPr>
              <w:spacing w:after="0"/>
              <w:rPr>
                <w:sz w:val="18"/>
                <w:szCs w:val="18"/>
                <w:color w:val="auto"/>
              </w:rPr>
            </w:pPr>
          </w:p>
        </w:tc>
        <w:tc>
          <w:tcPr>
            <w:tcW w:w="9260" w:type="dxa"/>
            <w:vAlign w:val="bottom"/>
          </w:tcPr>
          <w:p>
            <w:pPr>
              <w:ind w:left="840"/>
              <w:spacing w:after="0" w:line="211" w:lineRule="exact"/>
              <w:rPr>
                <w:sz w:val="20"/>
                <w:szCs w:val="20"/>
                <w:color w:val="auto"/>
              </w:rPr>
            </w:pPr>
            <w:r>
              <w:rPr>
                <w:rFonts w:ascii="Calibri" w:cs="Calibri" w:eastAsia="Calibri" w:hAnsi="Calibri"/>
                <w:sz w:val="18"/>
                <w:szCs w:val="18"/>
                <w:color w:val="666666"/>
              </w:rPr>
              <w:t>not less than 25% of the outstanding shares of common stock of the Company to call special meetngs;</w:t>
            </w:r>
          </w:p>
        </w:tc>
        <w:tc>
          <w:tcPr>
            <w:tcW w:w="0" w:type="dxa"/>
            <w:vAlign w:val="bottom"/>
          </w:tcPr>
          <w:p>
            <w:pPr>
              <w:spacing w:after="0"/>
              <w:rPr>
                <w:sz w:val="1"/>
                <w:szCs w:val="1"/>
                <w:color w:val="auto"/>
              </w:rPr>
            </w:pPr>
          </w:p>
        </w:tc>
      </w:tr>
      <w:tr>
        <w:trPr>
          <w:trHeight w:val="345"/>
        </w:trPr>
        <w:tc>
          <w:tcPr>
            <w:tcW w:w="1900" w:type="dxa"/>
            <w:vAlign w:val="bottom"/>
          </w:tcPr>
          <w:p>
            <w:pPr>
              <w:spacing w:after="0"/>
              <w:rPr>
                <w:sz w:val="24"/>
                <w:szCs w:val="24"/>
                <w:color w:val="auto"/>
              </w:rPr>
            </w:pPr>
          </w:p>
        </w:tc>
        <w:tc>
          <w:tcPr>
            <w:tcW w:w="9260" w:type="dxa"/>
            <w:vAlign w:val="bottom"/>
          </w:tcPr>
          <w:p>
            <w:pPr>
              <w:ind w:left="440"/>
              <w:spacing w:after="0"/>
              <w:rPr>
                <w:sz w:val="20"/>
                <w:szCs w:val="20"/>
                <w:color w:val="auto"/>
              </w:rPr>
            </w:pPr>
            <w:r>
              <w:rPr>
                <w:rFonts w:ascii="Calibri" w:cs="Calibri" w:eastAsia="Calibri" w:hAnsi="Calibri"/>
                <w:sz w:val="18"/>
                <w:szCs w:val="18"/>
                <w:color w:val="666666"/>
              </w:rPr>
              <w:t>5. If properly presented at the Annual Meetng, a non-binding advisory vote on a stockholder proposal; and</w:t>
            </w:r>
          </w:p>
        </w:tc>
        <w:tc>
          <w:tcPr>
            <w:tcW w:w="0" w:type="dxa"/>
            <w:vAlign w:val="bottom"/>
          </w:tcPr>
          <w:p>
            <w:pPr>
              <w:spacing w:after="0"/>
              <w:rPr>
                <w:sz w:val="1"/>
                <w:szCs w:val="1"/>
                <w:color w:val="auto"/>
              </w:rPr>
            </w:pPr>
          </w:p>
        </w:tc>
      </w:tr>
      <w:tr>
        <w:trPr>
          <w:trHeight w:val="332"/>
        </w:trPr>
        <w:tc>
          <w:tcPr>
            <w:tcW w:w="1900" w:type="dxa"/>
            <w:vAlign w:val="bottom"/>
          </w:tcPr>
          <w:p>
            <w:pPr>
              <w:spacing w:after="0"/>
              <w:rPr>
                <w:sz w:val="24"/>
                <w:szCs w:val="24"/>
                <w:color w:val="auto"/>
              </w:rPr>
            </w:pPr>
          </w:p>
        </w:tc>
        <w:tc>
          <w:tcPr>
            <w:tcW w:w="9260" w:type="dxa"/>
            <w:vAlign w:val="bottom"/>
          </w:tcPr>
          <w:p>
            <w:pPr>
              <w:ind w:left="440"/>
              <w:spacing w:after="0"/>
              <w:rPr>
                <w:sz w:val="20"/>
                <w:szCs w:val="20"/>
                <w:color w:val="auto"/>
              </w:rPr>
            </w:pPr>
            <w:r>
              <w:rPr>
                <w:rFonts w:ascii="Calibri" w:cs="Calibri" w:eastAsia="Calibri" w:hAnsi="Calibri"/>
                <w:sz w:val="18"/>
                <w:szCs w:val="18"/>
                <w:color w:val="666666"/>
              </w:rPr>
              <w:t>6. The transacton of any other business that may properly be brought before the Annual Meetng.</w:t>
            </w:r>
          </w:p>
        </w:tc>
        <w:tc>
          <w:tcPr>
            <w:tcW w:w="0" w:type="dxa"/>
            <w:vAlign w:val="bottom"/>
          </w:tcPr>
          <w:p>
            <w:pPr>
              <w:spacing w:after="0"/>
              <w:rPr>
                <w:sz w:val="1"/>
                <w:szCs w:val="1"/>
                <w:color w:val="auto"/>
              </w:rPr>
            </w:pPr>
          </w:p>
        </w:tc>
      </w:tr>
      <w:tr>
        <w:trPr>
          <w:trHeight w:val="478"/>
        </w:trPr>
        <w:tc>
          <w:tcPr>
            <w:tcW w:w="1900" w:type="dxa"/>
            <w:vAlign w:val="bottom"/>
          </w:tcPr>
          <w:p>
            <w:pPr>
              <w:spacing w:after="0"/>
              <w:rPr>
                <w:sz w:val="24"/>
                <w:szCs w:val="24"/>
                <w:color w:val="auto"/>
              </w:rPr>
            </w:pPr>
          </w:p>
        </w:tc>
        <w:tc>
          <w:tcPr>
            <w:tcW w:w="9260" w:type="dxa"/>
            <w:vAlign w:val="bottom"/>
          </w:tcPr>
          <w:p>
            <w:pPr>
              <w:ind w:left="440"/>
              <w:spacing w:after="0"/>
              <w:rPr>
                <w:sz w:val="20"/>
                <w:szCs w:val="20"/>
                <w:color w:val="auto"/>
              </w:rPr>
            </w:pPr>
            <w:r>
              <w:rPr>
                <w:rFonts w:ascii="Calibri" w:cs="Calibri" w:eastAsia="Calibri" w:hAnsi="Calibri"/>
                <w:sz w:val="18"/>
                <w:szCs w:val="18"/>
                <w:b w:val="1"/>
                <w:bCs w:val="1"/>
                <w:color w:val="666666"/>
              </w:rPr>
              <w:t>The Board of Directors recommends that you vote FOR Proposals 1, 2, 3 and 4 and AGAINST Proposal 5.</w:t>
            </w:r>
          </w:p>
        </w:tc>
        <w:tc>
          <w:tcPr>
            <w:tcW w:w="0" w:type="dxa"/>
            <w:vAlign w:val="bottom"/>
          </w:tcPr>
          <w:p>
            <w:pPr>
              <w:spacing w:after="0"/>
              <w:rPr>
                <w:sz w:val="1"/>
                <w:szCs w:val="1"/>
                <w:color w:val="auto"/>
              </w:rPr>
            </w:pPr>
          </w:p>
        </w:tc>
      </w:tr>
      <w:tr>
        <w:trPr>
          <w:trHeight w:val="319"/>
        </w:trPr>
        <w:tc>
          <w:tcPr>
            <w:tcW w:w="1900" w:type="dxa"/>
            <w:vAlign w:val="bottom"/>
          </w:tcPr>
          <w:p>
            <w:pPr>
              <w:spacing w:after="0"/>
              <w:rPr>
                <w:sz w:val="20"/>
                <w:szCs w:val="20"/>
                <w:color w:val="auto"/>
              </w:rPr>
            </w:pPr>
            <w:r>
              <w:rPr>
                <w:rFonts w:ascii="Calibri" w:cs="Calibri" w:eastAsia="Calibri" w:hAnsi="Calibri"/>
                <w:sz w:val="18"/>
                <w:szCs w:val="18"/>
                <w:b w:val="1"/>
                <w:bCs w:val="1"/>
                <w:color w:val="666666"/>
              </w:rPr>
              <w:t>Record Date:</w:t>
            </w:r>
          </w:p>
        </w:tc>
        <w:tc>
          <w:tcPr>
            <w:tcW w:w="9260" w:type="dxa"/>
            <w:vAlign w:val="bottom"/>
          </w:tcPr>
          <w:p>
            <w:pPr>
              <w:ind w:left="440"/>
              <w:spacing w:after="0"/>
              <w:rPr>
                <w:sz w:val="20"/>
                <w:szCs w:val="20"/>
                <w:color w:val="auto"/>
              </w:rPr>
            </w:pPr>
            <w:r>
              <w:rPr>
                <w:rFonts w:ascii="Calibri" w:cs="Calibri" w:eastAsia="Calibri" w:hAnsi="Calibri"/>
                <w:sz w:val="18"/>
                <w:szCs w:val="18"/>
                <w:color w:val="666666"/>
                <w:w w:val="96"/>
              </w:rPr>
              <w:t>Only holders of record of the Company’s Class A common stock on June 6, 2022 will be enttled to vote at the Annual Meetng.</w:t>
            </w:r>
          </w:p>
        </w:tc>
        <w:tc>
          <w:tcPr>
            <w:tcW w:w="0" w:type="dxa"/>
            <w:vAlign w:val="bottom"/>
          </w:tcPr>
          <w:p>
            <w:pPr>
              <w:spacing w:after="0"/>
              <w:rPr>
                <w:sz w:val="1"/>
                <w:szCs w:val="1"/>
                <w:color w:val="auto"/>
              </w:rPr>
            </w:pPr>
          </w:p>
        </w:tc>
      </w:tr>
      <w:tr>
        <w:trPr>
          <w:trHeight w:val="319"/>
        </w:trPr>
        <w:tc>
          <w:tcPr>
            <w:tcW w:w="1900" w:type="dxa"/>
            <w:vAlign w:val="bottom"/>
          </w:tcPr>
          <w:p>
            <w:pPr>
              <w:spacing w:after="0"/>
              <w:rPr>
                <w:sz w:val="20"/>
                <w:szCs w:val="20"/>
                <w:color w:val="auto"/>
              </w:rPr>
            </w:pPr>
            <w:r>
              <w:rPr>
                <w:rFonts w:ascii="Calibri" w:cs="Calibri" w:eastAsia="Calibri" w:hAnsi="Calibri"/>
                <w:sz w:val="18"/>
                <w:szCs w:val="18"/>
                <w:b w:val="1"/>
                <w:bCs w:val="1"/>
                <w:color w:val="666666"/>
              </w:rPr>
              <w:t>Date of Distributon:</w:t>
            </w:r>
          </w:p>
        </w:tc>
        <w:tc>
          <w:tcPr>
            <w:tcW w:w="9260" w:type="dxa"/>
            <w:vAlign w:val="bottom"/>
          </w:tcPr>
          <w:p>
            <w:pPr>
              <w:ind w:left="440"/>
              <w:spacing w:after="0"/>
              <w:rPr>
                <w:sz w:val="20"/>
                <w:szCs w:val="20"/>
                <w:color w:val="auto"/>
              </w:rPr>
            </w:pPr>
            <w:r>
              <w:rPr>
                <w:rFonts w:ascii="Calibri" w:cs="Calibri" w:eastAsia="Calibri" w:hAnsi="Calibri"/>
                <w:sz w:val="18"/>
                <w:szCs w:val="18"/>
                <w:color w:val="666666"/>
              </w:rPr>
              <w:t>The proxy materials or a Notce of Internet Availability were sent to stockholders on or about June __, 2022.</w:t>
            </w:r>
          </w:p>
        </w:tc>
        <w:tc>
          <w:tcPr>
            <w:tcW w:w="0" w:type="dxa"/>
            <w:vAlign w:val="bottom"/>
          </w:tcPr>
          <w:p>
            <w:pPr>
              <w:spacing w:after="0"/>
              <w:rPr>
                <w:sz w:val="1"/>
                <w:szCs w:val="1"/>
                <w:color w:val="auto"/>
              </w:rPr>
            </w:pPr>
          </w:p>
        </w:tc>
      </w:tr>
      <w:tr>
        <w:trPr>
          <w:trHeight w:val="319"/>
        </w:trPr>
        <w:tc>
          <w:tcPr>
            <w:tcW w:w="1900" w:type="dxa"/>
            <w:vAlign w:val="bottom"/>
          </w:tcPr>
          <w:p>
            <w:pPr>
              <w:spacing w:after="0"/>
              <w:rPr>
                <w:sz w:val="20"/>
                <w:szCs w:val="20"/>
                <w:color w:val="auto"/>
              </w:rPr>
            </w:pPr>
            <w:r>
              <w:rPr>
                <w:rFonts w:ascii="Calibri" w:cs="Calibri" w:eastAsia="Calibri" w:hAnsi="Calibri"/>
                <w:sz w:val="18"/>
                <w:szCs w:val="18"/>
                <w:b w:val="1"/>
                <w:bCs w:val="1"/>
                <w:color w:val="666666"/>
              </w:rPr>
              <w:t>Proxy Votng:</w:t>
            </w:r>
          </w:p>
        </w:tc>
        <w:tc>
          <w:tcPr>
            <w:tcW w:w="9260" w:type="dxa"/>
            <w:vAlign w:val="bottom"/>
            <w:vMerge w:val="restart"/>
          </w:tcPr>
          <w:p>
            <w:pPr>
              <w:ind w:left="440"/>
              <w:spacing w:after="0"/>
              <w:rPr>
                <w:sz w:val="20"/>
                <w:szCs w:val="20"/>
                <w:color w:val="auto"/>
              </w:rPr>
            </w:pPr>
            <w:r>
              <w:rPr>
                <w:rFonts w:ascii="Calibri" w:cs="Calibri" w:eastAsia="Calibri" w:hAnsi="Calibri"/>
                <w:sz w:val="18"/>
                <w:szCs w:val="18"/>
                <w:b w:val="1"/>
                <w:bCs w:val="1"/>
                <w:color w:val="666666"/>
                <w:w w:val="97"/>
              </w:rPr>
              <w:t xml:space="preserve">Your vote is important. </w:t>
            </w:r>
            <w:r>
              <w:rPr>
                <w:rFonts w:ascii="Calibri" w:cs="Calibri" w:eastAsia="Calibri" w:hAnsi="Calibri"/>
                <w:sz w:val="18"/>
                <w:szCs w:val="18"/>
                <w:color w:val="666666"/>
                <w:w w:val="97"/>
              </w:rPr>
              <w:t>Whether or not you plan to virtually atend the Annual Meetng, you may access electronic votng via</w:t>
            </w:r>
          </w:p>
        </w:tc>
        <w:tc>
          <w:tcPr>
            <w:tcW w:w="0" w:type="dxa"/>
            <w:vAlign w:val="bottom"/>
          </w:tcPr>
          <w:p>
            <w:pPr>
              <w:spacing w:after="0"/>
              <w:rPr>
                <w:sz w:val="1"/>
                <w:szCs w:val="1"/>
                <w:color w:val="auto"/>
              </w:rPr>
            </w:pPr>
          </w:p>
        </w:tc>
      </w:tr>
      <w:tr>
        <w:trPr>
          <w:trHeight w:val="121"/>
        </w:trPr>
        <w:tc>
          <w:tcPr>
            <w:tcW w:w="1900" w:type="dxa"/>
            <w:vAlign w:val="bottom"/>
          </w:tcPr>
          <w:p>
            <w:pPr>
              <w:spacing w:after="0"/>
              <w:rPr>
                <w:sz w:val="10"/>
                <w:szCs w:val="10"/>
                <w:color w:val="auto"/>
              </w:rPr>
            </w:pPr>
          </w:p>
        </w:tc>
        <w:tc>
          <w:tcPr>
            <w:tcW w:w="9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900" w:type="dxa"/>
            <w:vAlign w:val="bottom"/>
          </w:tcPr>
          <w:p>
            <w:pPr>
              <w:spacing w:after="0"/>
              <w:rPr>
                <w:sz w:val="15"/>
                <w:szCs w:val="15"/>
                <w:color w:val="auto"/>
              </w:rPr>
            </w:pPr>
          </w:p>
        </w:tc>
        <w:tc>
          <w:tcPr>
            <w:tcW w:w="9260" w:type="dxa"/>
            <w:vAlign w:val="bottom"/>
          </w:tcPr>
          <w:p>
            <w:pPr>
              <w:ind w:left="440"/>
              <w:spacing w:after="0" w:line="173" w:lineRule="exact"/>
              <w:rPr>
                <w:sz w:val="20"/>
                <w:szCs w:val="20"/>
                <w:color w:val="auto"/>
              </w:rPr>
            </w:pPr>
            <w:r>
              <w:rPr>
                <w:rFonts w:ascii="Calibri" w:cs="Calibri" w:eastAsia="Calibri" w:hAnsi="Calibri"/>
                <w:sz w:val="18"/>
                <w:szCs w:val="18"/>
                <w:color w:val="666666"/>
                <w:w w:val="95"/>
              </w:rPr>
              <w:t>the Internet or the automated telephone votng feature, both of which are described on your enclosed proxy card, or you may</w:t>
            </w:r>
          </w:p>
        </w:tc>
        <w:tc>
          <w:tcPr>
            <w:tcW w:w="0" w:type="dxa"/>
            <w:vAlign w:val="bottom"/>
          </w:tcPr>
          <w:p>
            <w:pPr>
              <w:spacing w:after="0"/>
              <w:rPr>
                <w:sz w:val="1"/>
                <w:szCs w:val="1"/>
                <w:color w:val="auto"/>
              </w:rPr>
            </w:pPr>
          </w:p>
        </w:tc>
      </w:tr>
      <w:tr>
        <w:trPr>
          <w:trHeight w:val="211"/>
        </w:trPr>
        <w:tc>
          <w:tcPr>
            <w:tcW w:w="1900" w:type="dxa"/>
            <w:vAlign w:val="bottom"/>
          </w:tcPr>
          <w:p>
            <w:pPr>
              <w:spacing w:after="0"/>
              <w:rPr>
                <w:sz w:val="18"/>
                <w:szCs w:val="18"/>
                <w:color w:val="auto"/>
              </w:rPr>
            </w:pPr>
          </w:p>
        </w:tc>
        <w:tc>
          <w:tcPr>
            <w:tcW w:w="9260" w:type="dxa"/>
            <w:vAlign w:val="bottom"/>
          </w:tcPr>
          <w:p>
            <w:pPr>
              <w:ind w:left="440"/>
              <w:spacing w:after="0" w:line="211" w:lineRule="exact"/>
              <w:rPr>
                <w:sz w:val="20"/>
                <w:szCs w:val="20"/>
                <w:color w:val="auto"/>
              </w:rPr>
            </w:pPr>
            <w:r>
              <w:rPr>
                <w:rFonts w:ascii="Calibri" w:cs="Calibri" w:eastAsia="Calibri" w:hAnsi="Calibri"/>
                <w:sz w:val="18"/>
                <w:szCs w:val="18"/>
                <w:color w:val="666666"/>
              </w:rPr>
              <w:t>sign, date, and return the proxy card in the envelope provided.</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6"/>
        <w:spacing w:after="0" w:line="202" w:lineRule="auto"/>
        <w:tabs>
          <w:tab w:leader="none" w:pos="252" w:val="left"/>
        </w:tabs>
        <w:numPr>
          <w:ilvl w:val="0"/>
          <w:numId w:val="6"/>
        </w:numPr>
        <w:rPr>
          <w:rFonts w:ascii="Calibri" w:cs="Calibri" w:eastAsia="Calibri" w:hAnsi="Calibri"/>
          <w:sz w:val="18"/>
          <w:szCs w:val="18"/>
          <w:color w:val="666666"/>
        </w:rPr>
      </w:pPr>
      <w:r>
        <w:rPr>
          <w:rFonts w:ascii="Calibri" w:cs="Calibri" w:eastAsia="Calibri" w:hAnsi="Calibri"/>
          <w:sz w:val="18"/>
          <w:szCs w:val="18"/>
          <w:color w:val="666666"/>
        </w:rPr>
        <w:t>Our 2022 Annual Meetng of Stockholders will be a virtual meetng conducted solely online and can be atended by visitng www.virtualshareholdermeetng.com/BAH2022. To partcipate in the Annual Meetng, you will need the control number located on your proxy card or the instructons that accompanied your proxy materials. If you plan to partcipate in the virtual meetng, please see “Important Informaton About Annual Meetng and Proxy Procedures.”</w:t>
      </w:r>
    </w:p>
    <w:p>
      <w:pPr>
        <w:spacing w:after="0" w:line="128" w:lineRule="exact"/>
        <w:rPr>
          <w:sz w:val="20"/>
          <w:szCs w:val="20"/>
          <w:color w:val="auto"/>
        </w:rPr>
      </w:pPr>
    </w:p>
    <w:p>
      <w:pPr>
        <w:ind w:left="160"/>
        <w:spacing w:after="0"/>
        <w:rPr>
          <w:sz w:val="20"/>
          <w:szCs w:val="20"/>
          <w:color w:val="auto"/>
        </w:rPr>
      </w:pPr>
      <w:r>
        <w:rPr>
          <w:rFonts w:ascii="Calibri" w:cs="Calibri" w:eastAsia="Calibri" w:hAnsi="Calibri"/>
          <w:sz w:val="18"/>
          <w:szCs w:val="18"/>
          <w:color w:val="666666"/>
        </w:rPr>
        <w:t>On Behalf of the Board of Directors,</w:t>
      </w:r>
    </w:p>
    <w:p>
      <w:pPr>
        <w:spacing w:after="0" w:line="365" w:lineRule="exact"/>
        <w:rPr>
          <w:sz w:val="20"/>
          <w:szCs w:val="20"/>
          <w:color w:val="auto"/>
        </w:rPr>
      </w:pPr>
    </w:p>
    <w:p>
      <w:pPr>
        <w:ind w:left="640"/>
        <w:spacing w:after="0"/>
        <w:rPr>
          <w:sz w:val="20"/>
          <w:szCs w:val="20"/>
          <w:color w:val="auto"/>
        </w:rPr>
      </w:pPr>
      <w:r>
        <w:rPr>
          <w:rFonts w:ascii="Calibri" w:cs="Calibri" w:eastAsia="Calibri" w:hAnsi="Calibri"/>
          <w:sz w:val="18"/>
          <w:szCs w:val="18"/>
          <w:color w:val="666666"/>
        </w:rPr>
        <w:t>Jacob D. Bernstein</w:t>
      </w:r>
    </w:p>
    <w:p>
      <w:pPr>
        <w:ind w:left="640"/>
        <w:spacing w:after="0" w:line="232" w:lineRule="auto"/>
        <w:rPr>
          <w:sz w:val="20"/>
          <w:szCs w:val="20"/>
          <w:color w:val="auto"/>
        </w:rPr>
      </w:pPr>
      <w:r>
        <w:rPr>
          <w:rFonts w:ascii="Calibri" w:cs="Calibri" w:eastAsia="Calibri" w:hAnsi="Calibri"/>
          <w:sz w:val="18"/>
          <w:szCs w:val="18"/>
          <w:color w:val="666666"/>
        </w:rPr>
        <w:t>Secretary</w:t>
      </w:r>
    </w:p>
    <w:p>
      <w:pPr>
        <w:spacing w:after="0" w:line="152" w:lineRule="exact"/>
        <w:rPr>
          <w:sz w:val="20"/>
          <w:szCs w:val="20"/>
          <w:color w:val="auto"/>
        </w:rPr>
      </w:pPr>
    </w:p>
    <w:p>
      <w:pPr>
        <w:ind w:left="640"/>
        <w:spacing w:after="0"/>
        <w:rPr>
          <w:sz w:val="20"/>
          <w:szCs w:val="20"/>
          <w:color w:val="auto"/>
        </w:rPr>
      </w:pPr>
      <w:r>
        <w:rPr>
          <w:rFonts w:ascii="Calibri" w:cs="Calibri" w:eastAsia="Calibri" w:hAnsi="Calibri"/>
          <w:sz w:val="18"/>
          <w:szCs w:val="18"/>
          <w:color w:val="666666"/>
        </w:rPr>
        <w:t>June __, 2022</w:t>
      </w:r>
    </w:p>
    <w:p>
      <w:pPr>
        <w:spacing w:after="0" w:line="161" w:lineRule="exact"/>
        <w:rPr>
          <w:sz w:val="20"/>
          <w:szCs w:val="20"/>
          <w:color w:val="auto"/>
        </w:rPr>
      </w:pPr>
    </w:p>
    <w:p>
      <w:pPr>
        <w:spacing w:after="0" w:line="231" w:lineRule="auto"/>
        <w:rPr>
          <w:sz w:val="20"/>
          <w:szCs w:val="20"/>
          <w:color w:val="auto"/>
        </w:rPr>
      </w:pPr>
      <w:r>
        <w:rPr>
          <w:rFonts w:ascii="Calibri" w:cs="Calibri" w:eastAsia="Calibri" w:hAnsi="Calibri"/>
          <w:sz w:val="18"/>
          <w:szCs w:val="18"/>
          <w:b w:val="1"/>
          <w:bCs w:val="1"/>
          <w:color w:val="5E5E61"/>
        </w:rPr>
        <w:t>Important Notce Regarding the Availability of Proxy Materials for the Annual Meetng of Stockholders to be held on July 27, 2022: This Notce of Annual Meetng, accompanying Proxy Statement, and our 2022 Annual Report are available at www.proxyvote.com.</w:t>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ectPr>
          <w:pgSz w:w="11900" w:h="16838" w:orient="portrait"/>
          <w:cols w:equalWidth="0" w:num="1">
            <w:col w:w="10139"/>
          </w:cols>
          <w:pgMar w:left="320" w:top="118"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342"/>
        </w:trPr>
        <w:tc>
          <w:tcPr>
            <w:tcW w:w="10640" w:type="dxa"/>
            <w:vAlign w:val="bottom"/>
          </w:tcPr>
          <w:p>
            <w:pPr>
              <w:ind w:left="3040"/>
              <w:spacing w:after="0"/>
              <w:rPr>
                <w:sz w:val="20"/>
                <w:szCs w:val="20"/>
                <w:color w:val="auto"/>
              </w:rPr>
            </w:pPr>
            <w:r>
              <w:rPr>
                <w:rFonts w:ascii="Calibri" w:cs="Calibri" w:eastAsia="Calibri" w:hAnsi="Calibri"/>
                <w:sz w:val="28"/>
                <w:szCs w:val="28"/>
                <w:b w:val="1"/>
                <w:bCs w:val="1"/>
                <w:color w:val="547BCC"/>
              </w:rPr>
              <w:t>TABLE OF CONTENTS TO PROXY STATEMENT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2"/>
        </w:trPr>
        <w:tc>
          <w:tcPr>
            <w:tcW w:w="10640" w:type="dxa"/>
            <w:vAlign w:val="bottom"/>
          </w:tcPr>
          <w:p>
            <w:pPr>
              <w:spacing w:after="0"/>
              <w:rPr>
                <w:sz w:val="20"/>
                <w:szCs w:val="20"/>
                <w:color w:val="auto"/>
              </w:rPr>
            </w:pPr>
            <w:r>
              <w:rPr>
                <w:rFonts w:ascii="Calibri" w:cs="Calibri" w:eastAsia="Calibri" w:hAnsi="Calibri"/>
                <w:sz w:val="16"/>
                <w:szCs w:val="16"/>
                <w:color w:val="666666"/>
              </w:rPr>
              <w:t>PROXY STATEMENT SUMMARY</w:t>
            </w:r>
          </w:p>
        </w:tc>
        <w:tc>
          <w:tcPr>
            <w:tcW w:w="160" w:type="dxa"/>
            <w:vAlign w:val="bottom"/>
            <w:gridSpan w:val="2"/>
          </w:tcPr>
          <w:p>
            <w:pPr>
              <w:jc w:val="right"/>
              <w:spacing w:after="0"/>
              <w:rPr>
                <w:sz w:val="20"/>
                <w:szCs w:val="20"/>
                <w:color w:val="auto"/>
              </w:rPr>
            </w:pPr>
            <w:r>
              <w:rPr>
                <w:rFonts w:ascii="Calibri" w:cs="Calibri" w:eastAsia="Calibri" w:hAnsi="Calibri"/>
                <w:sz w:val="16"/>
                <w:szCs w:val="16"/>
                <w:color w:val="666666"/>
              </w:rPr>
              <w:t>1</w:t>
            </w:r>
          </w:p>
        </w:tc>
      </w:tr>
      <w:tr>
        <w:trPr>
          <w:trHeight w:val="20"/>
        </w:trPr>
        <w:tc>
          <w:tcPr>
            <w:tcW w:w="10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666666"/>
          </w:tcPr>
          <w:p>
            <w:pPr>
              <w:spacing w:after="0" w:line="20" w:lineRule="exact"/>
              <w:rPr>
                <w:sz w:val="1"/>
                <w:szCs w:val="1"/>
                <w:color w:val="auto"/>
              </w:rPr>
            </w:pPr>
          </w:p>
        </w:tc>
      </w:tr>
      <w:tr>
        <w:trPr>
          <w:trHeight w:val="285"/>
        </w:trPr>
        <w:tc>
          <w:tcPr>
            <w:tcW w:w="10640" w:type="dxa"/>
            <w:vAlign w:val="bottom"/>
          </w:tcPr>
          <w:p>
            <w:pPr>
              <w:spacing w:after="0"/>
              <w:rPr>
                <w:sz w:val="20"/>
                <w:szCs w:val="20"/>
                <w:color w:val="auto"/>
              </w:rPr>
            </w:pPr>
            <w:r>
              <w:rPr>
                <w:rFonts w:ascii="Calibri" w:cs="Calibri" w:eastAsia="Calibri" w:hAnsi="Calibri"/>
                <w:sz w:val="16"/>
                <w:szCs w:val="16"/>
                <w:color w:val="666666"/>
              </w:rPr>
              <w:t>PROPOSAL 1: ELECTION OF DIRECTORS</w:t>
            </w:r>
          </w:p>
        </w:tc>
        <w:tc>
          <w:tcPr>
            <w:tcW w:w="160" w:type="dxa"/>
            <w:vAlign w:val="bottom"/>
            <w:gridSpan w:val="2"/>
          </w:tcPr>
          <w:p>
            <w:pPr>
              <w:jc w:val="right"/>
              <w:spacing w:after="0"/>
              <w:rPr>
                <w:sz w:val="20"/>
                <w:szCs w:val="20"/>
                <w:color w:val="auto"/>
              </w:rPr>
            </w:pPr>
            <w:r>
              <w:rPr>
                <w:rFonts w:ascii="Calibri" w:cs="Calibri" w:eastAsia="Calibri" w:hAnsi="Calibri"/>
                <w:sz w:val="16"/>
                <w:szCs w:val="16"/>
                <w:color w:val="666666"/>
              </w:rPr>
              <w:t>8</w:t>
            </w:r>
          </w:p>
        </w:tc>
      </w:tr>
      <w:tr>
        <w:trPr>
          <w:trHeight w:val="20"/>
        </w:trPr>
        <w:tc>
          <w:tcPr>
            <w:tcW w:w="10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666666"/>
          </w:tcPr>
          <w:p>
            <w:pPr>
              <w:spacing w:after="0" w:line="20" w:lineRule="exact"/>
              <w:rPr>
                <w:sz w:val="1"/>
                <w:szCs w:val="1"/>
                <w:color w:val="auto"/>
              </w:rPr>
            </w:pPr>
          </w:p>
        </w:tc>
      </w:tr>
      <w:tr>
        <w:trPr>
          <w:trHeight w:val="285"/>
        </w:trPr>
        <w:tc>
          <w:tcPr>
            <w:tcW w:w="10640" w:type="dxa"/>
            <w:vAlign w:val="bottom"/>
          </w:tcPr>
          <w:p>
            <w:pPr>
              <w:ind w:left="120"/>
              <w:spacing w:after="0"/>
              <w:rPr>
                <w:sz w:val="20"/>
                <w:szCs w:val="20"/>
                <w:color w:val="auto"/>
              </w:rPr>
            </w:pPr>
            <w:r>
              <w:rPr>
                <w:rFonts w:ascii="Calibri" w:cs="Calibri" w:eastAsia="Calibri" w:hAnsi="Calibri"/>
                <w:sz w:val="16"/>
                <w:szCs w:val="16"/>
                <w:color w:val="666666"/>
              </w:rPr>
              <w:t>Board Structure</w:t>
            </w:r>
          </w:p>
        </w:tc>
        <w:tc>
          <w:tcPr>
            <w:tcW w:w="160" w:type="dxa"/>
            <w:vAlign w:val="bottom"/>
            <w:gridSpan w:val="2"/>
          </w:tcPr>
          <w:p>
            <w:pPr>
              <w:jc w:val="right"/>
              <w:spacing w:after="0"/>
              <w:rPr>
                <w:sz w:val="20"/>
                <w:szCs w:val="20"/>
                <w:color w:val="auto"/>
              </w:rPr>
            </w:pPr>
            <w:r>
              <w:rPr>
                <w:rFonts w:ascii="Calibri" w:cs="Calibri" w:eastAsia="Calibri" w:hAnsi="Calibri"/>
                <w:sz w:val="16"/>
                <w:szCs w:val="16"/>
                <w:color w:val="666666"/>
              </w:rPr>
              <w:t>8</w:t>
            </w:r>
          </w:p>
        </w:tc>
      </w:tr>
      <w:tr>
        <w:trPr>
          <w:trHeight w:val="20"/>
        </w:trPr>
        <w:tc>
          <w:tcPr>
            <w:tcW w:w="10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666666"/>
          </w:tcPr>
          <w:p>
            <w:pPr>
              <w:spacing w:after="0" w:line="20" w:lineRule="exact"/>
              <w:rPr>
                <w:sz w:val="1"/>
                <w:szCs w:val="1"/>
                <w:color w:val="auto"/>
              </w:rPr>
            </w:pPr>
          </w:p>
        </w:tc>
      </w:tr>
      <w:tr>
        <w:trPr>
          <w:trHeight w:val="285"/>
        </w:trPr>
        <w:tc>
          <w:tcPr>
            <w:tcW w:w="10640" w:type="dxa"/>
            <w:vAlign w:val="bottom"/>
          </w:tcPr>
          <w:p>
            <w:pPr>
              <w:ind w:left="120"/>
              <w:spacing w:after="0"/>
              <w:rPr>
                <w:sz w:val="20"/>
                <w:szCs w:val="20"/>
                <w:color w:val="auto"/>
              </w:rPr>
            </w:pPr>
            <w:r>
              <w:rPr>
                <w:rFonts w:ascii="Calibri" w:cs="Calibri" w:eastAsia="Calibri" w:hAnsi="Calibri"/>
                <w:sz w:val="16"/>
                <w:szCs w:val="16"/>
                <w:color w:val="666666"/>
              </w:rPr>
              <w:t>Class II and III Electon</w:t>
            </w:r>
          </w:p>
        </w:tc>
        <w:tc>
          <w:tcPr>
            <w:tcW w:w="160" w:type="dxa"/>
            <w:vAlign w:val="bottom"/>
            <w:gridSpan w:val="2"/>
          </w:tcPr>
          <w:p>
            <w:pPr>
              <w:jc w:val="right"/>
              <w:spacing w:after="0"/>
              <w:rPr>
                <w:sz w:val="20"/>
                <w:szCs w:val="20"/>
                <w:color w:val="auto"/>
              </w:rPr>
            </w:pPr>
            <w:r>
              <w:rPr>
                <w:rFonts w:ascii="Calibri" w:cs="Calibri" w:eastAsia="Calibri" w:hAnsi="Calibri"/>
                <w:sz w:val="16"/>
                <w:szCs w:val="16"/>
                <w:color w:val="666666"/>
              </w:rPr>
              <w:t>8</w:t>
            </w:r>
          </w:p>
        </w:tc>
      </w:tr>
      <w:tr>
        <w:trPr>
          <w:trHeight w:val="20"/>
        </w:trPr>
        <w:tc>
          <w:tcPr>
            <w:tcW w:w="10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666666"/>
          </w:tcPr>
          <w:p>
            <w:pPr>
              <w:spacing w:after="0" w:line="20" w:lineRule="exact"/>
              <w:rPr>
                <w:sz w:val="1"/>
                <w:szCs w:val="1"/>
                <w:color w:val="auto"/>
              </w:rPr>
            </w:pPr>
          </w:p>
        </w:tc>
      </w:tr>
      <w:tr>
        <w:trPr>
          <w:trHeight w:val="285"/>
        </w:trPr>
        <w:tc>
          <w:tcPr>
            <w:tcW w:w="10640" w:type="dxa"/>
            <w:vAlign w:val="bottom"/>
          </w:tcPr>
          <w:p>
            <w:pPr>
              <w:ind w:left="120"/>
              <w:spacing w:after="0"/>
              <w:rPr>
                <w:sz w:val="20"/>
                <w:szCs w:val="20"/>
                <w:color w:val="auto"/>
              </w:rPr>
            </w:pPr>
            <w:r>
              <w:rPr>
                <w:rFonts w:ascii="Calibri" w:cs="Calibri" w:eastAsia="Calibri" w:hAnsi="Calibri"/>
                <w:sz w:val="16"/>
                <w:szCs w:val="16"/>
                <w:color w:val="666666"/>
              </w:rPr>
              <w:t>Class II and III Nominees</w:t>
            </w:r>
          </w:p>
        </w:tc>
        <w:tc>
          <w:tcPr>
            <w:tcW w:w="160" w:type="dxa"/>
            <w:vAlign w:val="bottom"/>
            <w:gridSpan w:val="2"/>
          </w:tcPr>
          <w:p>
            <w:pPr>
              <w:jc w:val="right"/>
              <w:spacing w:after="0"/>
              <w:rPr>
                <w:sz w:val="20"/>
                <w:szCs w:val="20"/>
                <w:color w:val="auto"/>
              </w:rPr>
            </w:pPr>
            <w:r>
              <w:rPr>
                <w:rFonts w:ascii="Calibri" w:cs="Calibri" w:eastAsia="Calibri" w:hAnsi="Calibri"/>
                <w:sz w:val="16"/>
                <w:szCs w:val="16"/>
                <w:color w:val="666666"/>
              </w:rPr>
              <w:t>9</w:t>
            </w:r>
          </w:p>
        </w:tc>
      </w:tr>
      <w:tr>
        <w:trPr>
          <w:trHeight w:val="20"/>
        </w:trPr>
        <w:tc>
          <w:tcPr>
            <w:tcW w:w="10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666666"/>
          </w:tcPr>
          <w:p>
            <w:pPr>
              <w:spacing w:after="0" w:line="20" w:lineRule="exact"/>
              <w:rPr>
                <w:sz w:val="1"/>
                <w:szCs w:val="1"/>
                <w:color w:val="auto"/>
              </w:rPr>
            </w:pPr>
          </w:p>
        </w:tc>
      </w:tr>
      <w:tr>
        <w:trPr>
          <w:trHeight w:val="285"/>
        </w:trPr>
        <w:tc>
          <w:tcPr>
            <w:tcW w:w="10640" w:type="dxa"/>
            <w:vAlign w:val="bottom"/>
          </w:tcPr>
          <w:p>
            <w:pPr>
              <w:spacing w:after="0"/>
              <w:rPr>
                <w:sz w:val="20"/>
                <w:szCs w:val="20"/>
                <w:color w:val="auto"/>
              </w:rPr>
            </w:pPr>
            <w:r>
              <w:rPr>
                <w:rFonts w:ascii="Calibri" w:cs="Calibri" w:eastAsia="Calibri" w:hAnsi="Calibri"/>
                <w:sz w:val="16"/>
                <w:szCs w:val="16"/>
                <w:color w:val="666666"/>
              </w:rPr>
              <w:t>NON-CONTINUING DIRECTORS</w:t>
            </w:r>
          </w:p>
        </w:tc>
        <w:tc>
          <w:tcPr>
            <w:tcW w:w="160" w:type="dxa"/>
            <w:vAlign w:val="bottom"/>
            <w:tcBorders>
              <w:bottom w:val="single" w:sz="8" w:color="666666"/>
            </w:tcBorders>
            <w:gridSpan w:val="2"/>
          </w:tcPr>
          <w:p>
            <w:pPr>
              <w:jc w:val="right"/>
              <w:spacing w:after="0"/>
              <w:rPr>
                <w:sz w:val="20"/>
                <w:szCs w:val="20"/>
                <w:color w:val="auto"/>
              </w:rPr>
            </w:pPr>
            <w:r>
              <w:rPr>
                <w:rFonts w:ascii="Calibri" w:cs="Calibri" w:eastAsia="Calibri" w:hAnsi="Calibri"/>
                <w:sz w:val="16"/>
                <w:szCs w:val="16"/>
                <w:color w:val="666666"/>
                <w:w w:val="85"/>
              </w:rPr>
              <w:t>13</w:t>
            </w:r>
          </w:p>
        </w:tc>
      </w:tr>
      <w:tr>
        <w:trPr>
          <w:trHeight w:val="285"/>
        </w:trPr>
        <w:tc>
          <w:tcPr>
            <w:tcW w:w="10640" w:type="dxa"/>
            <w:vAlign w:val="bottom"/>
          </w:tcPr>
          <w:p>
            <w:pPr>
              <w:spacing w:after="0"/>
              <w:rPr>
                <w:sz w:val="20"/>
                <w:szCs w:val="20"/>
                <w:color w:val="auto"/>
              </w:rPr>
            </w:pPr>
            <w:r>
              <w:rPr>
                <w:rFonts w:ascii="Calibri" w:cs="Calibri" w:eastAsia="Calibri" w:hAnsi="Calibri"/>
                <w:sz w:val="16"/>
                <w:szCs w:val="16"/>
                <w:color w:val="666666"/>
              </w:rPr>
              <w:t>CONTINUING DIRECTORS</w:t>
            </w:r>
          </w:p>
        </w:tc>
        <w:tc>
          <w:tcPr>
            <w:tcW w:w="160" w:type="dxa"/>
            <w:vAlign w:val="bottom"/>
            <w:tcBorders>
              <w:bottom w:val="single" w:sz="8" w:color="666666"/>
            </w:tcBorders>
            <w:gridSpan w:val="2"/>
          </w:tcPr>
          <w:p>
            <w:pPr>
              <w:jc w:val="right"/>
              <w:spacing w:after="0"/>
              <w:rPr>
                <w:sz w:val="20"/>
                <w:szCs w:val="20"/>
                <w:color w:val="auto"/>
              </w:rPr>
            </w:pPr>
            <w:r>
              <w:rPr>
                <w:rFonts w:ascii="Calibri" w:cs="Calibri" w:eastAsia="Calibri" w:hAnsi="Calibri"/>
                <w:sz w:val="16"/>
                <w:szCs w:val="16"/>
                <w:color w:val="666666"/>
                <w:w w:val="85"/>
              </w:rPr>
              <w:t>14</w:t>
            </w:r>
          </w:p>
        </w:tc>
      </w:tr>
      <w:tr>
        <w:trPr>
          <w:trHeight w:val="285"/>
        </w:trPr>
        <w:tc>
          <w:tcPr>
            <w:tcW w:w="10640" w:type="dxa"/>
            <w:vAlign w:val="bottom"/>
          </w:tcPr>
          <w:p>
            <w:pPr>
              <w:spacing w:after="0"/>
              <w:rPr>
                <w:sz w:val="20"/>
                <w:szCs w:val="20"/>
                <w:color w:val="auto"/>
              </w:rPr>
            </w:pPr>
            <w:r>
              <w:rPr>
                <w:rFonts w:ascii="Calibri" w:cs="Calibri" w:eastAsia="Calibri" w:hAnsi="Calibri"/>
                <w:sz w:val="16"/>
                <w:szCs w:val="16"/>
                <w:color w:val="666666"/>
              </w:rPr>
              <w:t>CORPORATE GOVERNANCE AND GENERAL INFORMATION CONCERNING THE BOARD OF DIRECTORS AND ITS COMMITTEES</w:t>
            </w:r>
          </w:p>
        </w:tc>
        <w:tc>
          <w:tcPr>
            <w:tcW w:w="160" w:type="dxa"/>
            <w:vAlign w:val="bottom"/>
            <w:tcBorders>
              <w:bottom w:val="single" w:sz="8" w:color="666666"/>
            </w:tcBorders>
            <w:gridSpan w:val="2"/>
          </w:tcPr>
          <w:p>
            <w:pPr>
              <w:jc w:val="right"/>
              <w:spacing w:after="0"/>
              <w:rPr>
                <w:sz w:val="20"/>
                <w:szCs w:val="20"/>
                <w:color w:val="auto"/>
              </w:rPr>
            </w:pPr>
            <w:r>
              <w:rPr>
                <w:rFonts w:ascii="Calibri" w:cs="Calibri" w:eastAsia="Calibri" w:hAnsi="Calibri"/>
                <w:sz w:val="16"/>
                <w:szCs w:val="16"/>
                <w:color w:val="666666"/>
                <w:w w:val="85"/>
              </w:rPr>
              <w:t>16</w:t>
            </w:r>
          </w:p>
        </w:tc>
      </w:tr>
      <w:tr>
        <w:trPr>
          <w:trHeight w:val="285"/>
        </w:trPr>
        <w:tc>
          <w:tcPr>
            <w:tcW w:w="10640" w:type="dxa"/>
            <w:vAlign w:val="bottom"/>
          </w:tcPr>
          <w:p>
            <w:pPr>
              <w:ind w:left="120"/>
              <w:spacing w:after="0"/>
              <w:rPr>
                <w:sz w:val="20"/>
                <w:szCs w:val="20"/>
                <w:color w:val="auto"/>
              </w:rPr>
            </w:pPr>
            <w:r>
              <w:rPr>
                <w:rFonts w:ascii="Calibri" w:cs="Calibri" w:eastAsia="Calibri" w:hAnsi="Calibri"/>
                <w:sz w:val="16"/>
                <w:szCs w:val="16"/>
                <w:color w:val="666666"/>
              </w:rPr>
              <w:t>Our Board of Directors</w:t>
            </w:r>
          </w:p>
        </w:tc>
        <w:tc>
          <w:tcPr>
            <w:tcW w:w="160" w:type="dxa"/>
            <w:vAlign w:val="bottom"/>
            <w:tcBorders>
              <w:bottom w:val="single" w:sz="8" w:color="666666"/>
            </w:tcBorders>
            <w:gridSpan w:val="2"/>
          </w:tcPr>
          <w:p>
            <w:pPr>
              <w:jc w:val="right"/>
              <w:spacing w:after="0"/>
              <w:rPr>
                <w:sz w:val="20"/>
                <w:szCs w:val="20"/>
                <w:color w:val="auto"/>
              </w:rPr>
            </w:pPr>
            <w:r>
              <w:rPr>
                <w:rFonts w:ascii="Calibri" w:cs="Calibri" w:eastAsia="Calibri" w:hAnsi="Calibri"/>
                <w:sz w:val="16"/>
                <w:szCs w:val="16"/>
                <w:color w:val="666666"/>
                <w:w w:val="85"/>
              </w:rPr>
              <w:t>16</w:t>
            </w:r>
          </w:p>
        </w:tc>
      </w:tr>
      <w:tr>
        <w:trPr>
          <w:trHeight w:val="285"/>
        </w:trPr>
        <w:tc>
          <w:tcPr>
            <w:tcW w:w="10640" w:type="dxa"/>
            <w:vAlign w:val="bottom"/>
          </w:tcPr>
          <w:p>
            <w:pPr>
              <w:ind w:left="120"/>
              <w:spacing w:after="0"/>
              <w:rPr>
                <w:sz w:val="20"/>
                <w:szCs w:val="20"/>
                <w:color w:val="auto"/>
              </w:rPr>
            </w:pPr>
            <w:r>
              <w:rPr>
                <w:rFonts w:ascii="Calibri" w:cs="Calibri" w:eastAsia="Calibri" w:hAnsi="Calibri"/>
                <w:sz w:val="16"/>
                <w:szCs w:val="16"/>
                <w:color w:val="666666"/>
              </w:rPr>
              <w:t>Corporate Governance Guidelines</w:t>
            </w:r>
          </w:p>
        </w:tc>
        <w:tc>
          <w:tcPr>
            <w:tcW w:w="160" w:type="dxa"/>
            <w:vAlign w:val="bottom"/>
            <w:tcBorders>
              <w:bottom w:val="single" w:sz="8" w:color="666666"/>
            </w:tcBorders>
            <w:gridSpan w:val="2"/>
          </w:tcPr>
          <w:p>
            <w:pPr>
              <w:jc w:val="right"/>
              <w:spacing w:after="0"/>
              <w:rPr>
                <w:sz w:val="20"/>
                <w:szCs w:val="20"/>
                <w:color w:val="auto"/>
              </w:rPr>
            </w:pPr>
            <w:r>
              <w:rPr>
                <w:rFonts w:ascii="Calibri" w:cs="Calibri" w:eastAsia="Calibri" w:hAnsi="Calibri"/>
                <w:sz w:val="16"/>
                <w:szCs w:val="16"/>
                <w:color w:val="666666"/>
                <w:w w:val="85"/>
              </w:rPr>
              <w:t>16</w:t>
            </w:r>
          </w:p>
        </w:tc>
      </w:tr>
      <w:tr>
        <w:trPr>
          <w:trHeight w:val="285"/>
        </w:trPr>
        <w:tc>
          <w:tcPr>
            <w:tcW w:w="10640" w:type="dxa"/>
            <w:vAlign w:val="bottom"/>
          </w:tcPr>
          <w:p>
            <w:pPr>
              <w:ind w:left="120"/>
              <w:spacing w:after="0"/>
              <w:rPr>
                <w:sz w:val="20"/>
                <w:szCs w:val="20"/>
                <w:color w:val="auto"/>
              </w:rPr>
            </w:pPr>
            <w:r>
              <w:rPr>
                <w:rFonts w:ascii="Calibri" w:cs="Calibri" w:eastAsia="Calibri" w:hAnsi="Calibri"/>
                <w:sz w:val="16"/>
                <w:szCs w:val="16"/>
                <w:color w:val="666666"/>
              </w:rPr>
              <w:t>Codes of Conduct and Ethics</w:t>
            </w:r>
          </w:p>
        </w:tc>
        <w:tc>
          <w:tcPr>
            <w:tcW w:w="160" w:type="dxa"/>
            <w:vAlign w:val="bottom"/>
            <w:tcBorders>
              <w:bottom w:val="single" w:sz="8" w:color="666666"/>
            </w:tcBorders>
            <w:gridSpan w:val="2"/>
          </w:tcPr>
          <w:p>
            <w:pPr>
              <w:jc w:val="right"/>
              <w:spacing w:after="0"/>
              <w:rPr>
                <w:sz w:val="20"/>
                <w:szCs w:val="20"/>
                <w:color w:val="auto"/>
              </w:rPr>
            </w:pPr>
            <w:r>
              <w:rPr>
                <w:rFonts w:ascii="Calibri" w:cs="Calibri" w:eastAsia="Calibri" w:hAnsi="Calibri"/>
                <w:sz w:val="16"/>
                <w:szCs w:val="16"/>
                <w:color w:val="666666"/>
                <w:w w:val="85"/>
              </w:rPr>
              <w:t>16</w:t>
            </w:r>
          </w:p>
        </w:tc>
      </w:tr>
      <w:tr>
        <w:trPr>
          <w:trHeight w:val="285"/>
        </w:trPr>
        <w:tc>
          <w:tcPr>
            <w:tcW w:w="10640" w:type="dxa"/>
            <w:vAlign w:val="bottom"/>
          </w:tcPr>
          <w:p>
            <w:pPr>
              <w:ind w:left="120"/>
              <w:spacing w:after="0"/>
              <w:rPr>
                <w:sz w:val="20"/>
                <w:szCs w:val="20"/>
                <w:color w:val="auto"/>
              </w:rPr>
            </w:pPr>
            <w:r>
              <w:rPr>
                <w:rFonts w:ascii="Calibri" w:cs="Calibri" w:eastAsia="Calibri" w:hAnsi="Calibri"/>
                <w:sz w:val="16"/>
                <w:szCs w:val="16"/>
                <w:color w:val="666666"/>
              </w:rPr>
              <w:t>Board Meetngs and Atendance</w:t>
            </w:r>
          </w:p>
        </w:tc>
        <w:tc>
          <w:tcPr>
            <w:tcW w:w="160" w:type="dxa"/>
            <w:vAlign w:val="bottom"/>
            <w:tcBorders>
              <w:bottom w:val="single" w:sz="8" w:color="666666"/>
            </w:tcBorders>
            <w:gridSpan w:val="2"/>
          </w:tcPr>
          <w:p>
            <w:pPr>
              <w:jc w:val="right"/>
              <w:spacing w:after="0"/>
              <w:rPr>
                <w:sz w:val="20"/>
                <w:szCs w:val="20"/>
                <w:color w:val="auto"/>
              </w:rPr>
            </w:pPr>
            <w:r>
              <w:rPr>
                <w:rFonts w:ascii="Calibri" w:cs="Calibri" w:eastAsia="Calibri" w:hAnsi="Calibri"/>
                <w:sz w:val="16"/>
                <w:szCs w:val="16"/>
                <w:color w:val="666666"/>
                <w:w w:val="85"/>
              </w:rPr>
              <w:t>16</w:t>
            </w:r>
          </w:p>
        </w:tc>
      </w:tr>
      <w:tr>
        <w:trPr>
          <w:trHeight w:val="285"/>
        </w:trPr>
        <w:tc>
          <w:tcPr>
            <w:tcW w:w="10640" w:type="dxa"/>
            <w:vAlign w:val="bottom"/>
          </w:tcPr>
          <w:p>
            <w:pPr>
              <w:ind w:left="120"/>
              <w:spacing w:after="0"/>
              <w:rPr>
                <w:sz w:val="20"/>
                <w:szCs w:val="20"/>
                <w:color w:val="auto"/>
              </w:rPr>
            </w:pPr>
            <w:r>
              <w:rPr>
                <w:rFonts w:ascii="Calibri" w:cs="Calibri" w:eastAsia="Calibri" w:hAnsi="Calibri"/>
                <w:sz w:val="16"/>
                <w:szCs w:val="16"/>
                <w:color w:val="666666"/>
              </w:rPr>
              <w:t>Board Leadership Structure</w:t>
            </w:r>
          </w:p>
        </w:tc>
        <w:tc>
          <w:tcPr>
            <w:tcW w:w="160" w:type="dxa"/>
            <w:vAlign w:val="bottom"/>
            <w:tcBorders>
              <w:bottom w:val="single" w:sz="8" w:color="666666"/>
            </w:tcBorders>
            <w:gridSpan w:val="2"/>
          </w:tcPr>
          <w:p>
            <w:pPr>
              <w:jc w:val="right"/>
              <w:spacing w:after="0"/>
              <w:rPr>
                <w:sz w:val="20"/>
                <w:szCs w:val="20"/>
                <w:color w:val="auto"/>
              </w:rPr>
            </w:pPr>
            <w:r>
              <w:rPr>
                <w:rFonts w:ascii="Calibri" w:cs="Calibri" w:eastAsia="Calibri" w:hAnsi="Calibri"/>
                <w:sz w:val="16"/>
                <w:szCs w:val="16"/>
                <w:color w:val="666666"/>
                <w:w w:val="85"/>
              </w:rPr>
              <w:t>16</w:t>
            </w:r>
          </w:p>
        </w:tc>
      </w:tr>
      <w:tr>
        <w:trPr>
          <w:trHeight w:val="285"/>
        </w:trPr>
        <w:tc>
          <w:tcPr>
            <w:tcW w:w="10640" w:type="dxa"/>
            <w:vAlign w:val="bottom"/>
          </w:tcPr>
          <w:p>
            <w:pPr>
              <w:ind w:left="120"/>
              <w:spacing w:after="0"/>
              <w:rPr>
                <w:sz w:val="20"/>
                <w:szCs w:val="20"/>
                <w:color w:val="auto"/>
              </w:rPr>
            </w:pPr>
            <w:r>
              <w:rPr>
                <w:rFonts w:ascii="Calibri" w:cs="Calibri" w:eastAsia="Calibri" w:hAnsi="Calibri"/>
                <w:sz w:val="16"/>
                <w:szCs w:val="16"/>
                <w:color w:val="666666"/>
              </w:rPr>
              <w:t>Succession Planning and Talent Reviews</w:t>
            </w:r>
          </w:p>
        </w:tc>
        <w:tc>
          <w:tcPr>
            <w:tcW w:w="160" w:type="dxa"/>
            <w:vAlign w:val="bottom"/>
            <w:tcBorders>
              <w:bottom w:val="single" w:sz="8" w:color="666666"/>
            </w:tcBorders>
            <w:gridSpan w:val="2"/>
          </w:tcPr>
          <w:p>
            <w:pPr>
              <w:jc w:val="right"/>
              <w:spacing w:after="0"/>
              <w:rPr>
                <w:sz w:val="20"/>
                <w:szCs w:val="20"/>
                <w:color w:val="auto"/>
              </w:rPr>
            </w:pPr>
            <w:r>
              <w:rPr>
                <w:rFonts w:ascii="Calibri" w:cs="Calibri" w:eastAsia="Calibri" w:hAnsi="Calibri"/>
                <w:sz w:val="16"/>
                <w:szCs w:val="16"/>
                <w:color w:val="666666"/>
                <w:w w:val="85"/>
              </w:rPr>
              <w:t>17</w:t>
            </w:r>
          </w:p>
        </w:tc>
      </w:tr>
      <w:tr>
        <w:trPr>
          <w:trHeight w:val="285"/>
        </w:trPr>
        <w:tc>
          <w:tcPr>
            <w:tcW w:w="10640" w:type="dxa"/>
            <w:vAlign w:val="bottom"/>
          </w:tcPr>
          <w:p>
            <w:pPr>
              <w:ind w:left="120"/>
              <w:spacing w:after="0"/>
              <w:rPr>
                <w:sz w:val="20"/>
                <w:szCs w:val="20"/>
                <w:color w:val="auto"/>
              </w:rPr>
            </w:pPr>
            <w:r>
              <w:rPr>
                <w:rFonts w:ascii="Calibri" w:cs="Calibri" w:eastAsia="Calibri" w:hAnsi="Calibri"/>
                <w:sz w:val="16"/>
                <w:szCs w:val="16"/>
                <w:color w:val="666666"/>
              </w:rPr>
              <w:t>Risk Oversight</w:t>
            </w:r>
          </w:p>
        </w:tc>
        <w:tc>
          <w:tcPr>
            <w:tcW w:w="160" w:type="dxa"/>
            <w:vAlign w:val="bottom"/>
            <w:tcBorders>
              <w:bottom w:val="single" w:sz="8" w:color="666666"/>
            </w:tcBorders>
            <w:gridSpan w:val="2"/>
          </w:tcPr>
          <w:p>
            <w:pPr>
              <w:jc w:val="right"/>
              <w:spacing w:after="0"/>
              <w:rPr>
                <w:sz w:val="20"/>
                <w:szCs w:val="20"/>
                <w:color w:val="auto"/>
              </w:rPr>
            </w:pPr>
            <w:r>
              <w:rPr>
                <w:rFonts w:ascii="Calibri" w:cs="Calibri" w:eastAsia="Calibri" w:hAnsi="Calibri"/>
                <w:sz w:val="16"/>
                <w:szCs w:val="16"/>
                <w:color w:val="666666"/>
                <w:w w:val="85"/>
              </w:rPr>
              <w:t>17</w:t>
            </w:r>
          </w:p>
        </w:tc>
      </w:tr>
      <w:tr>
        <w:trPr>
          <w:trHeight w:val="285"/>
        </w:trPr>
        <w:tc>
          <w:tcPr>
            <w:tcW w:w="10640" w:type="dxa"/>
            <w:vAlign w:val="bottom"/>
          </w:tcPr>
          <w:p>
            <w:pPr>
              <w:ind w:left="120"/>
              <w:spacing w:after="0"/>
              <w:rPr>
                <w:sz w:val="20"/>
                <w:szCs w:val="20"/>
                <w:color w:val="auto"/>
              </w:rPr>
            </w:pPr>
            <w:r>
              <w:rPr>
                <w:rFonts w:ascii="Calibri" w:cs="Calibri" w:eastAsia="Calibri" w:hAnsi="Calibri"/>
                <w:sz w:val="16"/>
                <w:szCs w:val="16"/>
                <w:color w:val="666666"/>
              </w:rPr>
              <w:t>Annual Board Performance Assessment</w:t>
            </w:r>
          </w:p>
        </w:tc>
        <w:tc>
          <w:tcPr>
            <w:tcW w:w="160" w:type="dxa"/>
            <w:vAlign w:val="bottom"/>
            <w:tcBorders>
              <w:bottom w:val="single" w:sz="8" w:color="666666"/>
            </w:tcBorders>
            <w:gridSpan w:val="2"/>
          </w:tcPr>
          <w:p>
            <w:pPr>
              <w:jc w:val="right"/>
              <w:spacing w:after="0"/>
              <w:rPr>
                <w:sz w:val="20"/>
                <w:szCs w:val="20"/>
                <w:color w:val="auto"/>
              </w:rPr>
            </w:pPr>
            <w:r>
              <w:rPr>
                <w:rFonts w:ascii="Calibri" w:cs="Calibri" w:eastAsia="Calibri" w:hAnsi="Calibri"/>
                <w:sz w:val="16"/>
                <w:szCs w:val="16"/>
                <w:color w:val="666666"/>
                <w:w w:val="85"/>
              </w:rPr>
              <w:t>18</w:t>
            </w:r>
          </w:p>
        </w:tc>
      </w:tr>
      <w:tr>
        <w:trPr>
          <w:trHeight w:val="285"/>
        </w:trPr>
        <w:tc>
          <w:tcPr>
            <w:tcW w:w="10640" w:type="dxa"/>
            <w:vAlign w:val="bottom"/>
          </w:tcPr>
          <w:p>
            <w:pPr>
              <w:ind w:left="120"/>
              <w:spacing w:after="0"/>
              <w:rPr>
                <w:sz w:val="20"/>
                <w:szCs w:val="20"/>
                <w:color w:val="auto"/>
              </w:rPr>
            </w:pPr>
            <w:r>
              <w:rPr>
                <w:rFonts w:ascii="Calibri" w:cs="Calibri" w:eastAsia="Calibri" w:hAnsi="Calibri"/>
                <w:sz w:val="16"/>
                <w:szCs w:val="16"/>
                <w:color w:val="666666"/>
              </w:rPr>
              <w:t>Board Independence</w:t>
            </w:r>
          </w:p>
        </w:tc>
        <w:tc>
          <w:tcPr>
            <w:tcW w:w="160" w:type="dxa"/>
            <w:vAlign w:val="bottom"/>
            <w:tcBorders>
              <w:bottom w:val="single" w:sz="8" w:color="666666"/>
            </w:tcBorders>
            <w:gridSpan w:val="2"/>
          </w:tcPr>
          <w:p>
            <w:pPr>
              <w:jc w:val="right"/>
              <w:spacing w:after="0"/>
              <w:rPr>
                <w:sz w:val="20"/>
                <w:szCs w:val="20"/>
                <w:color w:val="auto"/>
              </w:rPr>
            </w:pPr>
            <w:r>
              <w:rPr>
                <w:rFonts w:ascii="Calibri" w:cs="Calibri" w:eastAsia="Calibri" w:hAnsi="Calibri"/>
                <w:sz w:val="16"/>
                <w:szCs w:val="16"/>
                <w:color w:val="666666"/>
                <w:w w:val="85"/>
              </w:rPr>
              <w:t>18</w:t>
            </w:r>
          </w:p>
        </w:tc>
      </w:tr>
      <w:tr>
        <w:trPr>
          <w:trHeight w:val="285"/>
        </w:trPr>
        <w:tc>
          <w:tcPr>
            <w:tcW w:w="10640" w:type="dxa"/>
            <w:vAlign w:val="bottom"/>
          </w:tcPr>
          <w:p>
            <w:pPr>
              <w:ind w:left="120"/>
              <w:spacing w:after="0"/>
              <w:rPr>
                <w:sz w:val="20"/>
                <w:szCs w:val="20"/>
                <w:color w:val="auto"/>
              </w:rPr>
            </w:pPr>
            <w:r>
              <w:rPr>
                <w:rFonts w:ascii="Calibri" w:cs="Calibri" w:eastAsia="Calibri" w:hAnsi="Calibri"/>
                <w:sz w:val="16"/>
                <w:szCs w:val="16"/>
                <w:color w:val="666666"/>
              </w:rPr>
              <w:t>Selecton of Nominees for Electon to the Board</w:t>
            </w:r>
          </w:p>
        </w:tc>
        <w:tc>
          <w:tcPr>
            <w:tcW w:w="160" w:type="dxa"/>
            <w:vAlign w:val="bottom"/>
            <w:tcBorders>
              <w:bottom w:val="single" w:sz="8" w:color="666666"/>
            </w:tcBorders>
            <w:gridSpan w:val="2"/>
          </w:tcPr>
          <w:p>
            <w:pPr>
              <w:jc w:val="right"/>
              <w:spacing w:after="0"/>
              <w:rPr>
                <w:sz w:val="20"/>
                <w:szCs w:val="20"/>
                <w:color w:val="auto"/>
              </w:rPr>
            </w:pPr>
            <w:r>
              <w:rPr>
                <w:rFonts w:ascii="Calibri" w:cs="Calibri" w:eastAsia="Calibri" w:hAnsi="Calibri"/>
                <w:sz w:val="16"/>
                <w:szCs w:val="16"/>
                <w:color w:val="666666"/>
                <w:w w:val="85"/>
              </w:rPr>
              <w:t>18</w:t>
            </w:r>
          </w:p>
        </w:tc>
      </w:tr>
      <w:tr>
        <w:trPr>
          <w:trHeight w:val="285"/>
        </w:trPr>
        <w:tc>
          <w:tcPr>
            <w:tcW w:w="10640" w:type="dxa"/>
            <w:vAlign w:val="bottom"/>
          </w:tcPr>
          <w:p>
            <w:pPr>
              <w:ind w:left="120"/>
              <w:spacing w:after="0"/>
              <w:rPr>
                <w:sz w:val="20"/>
                <w:szCs w:val="20"/>
                <w:color w:val="auto"/>
              </w:rPr>
            </w:pPr>
            <w:r>
              <w:rPr>
                <w:rFonts w:ascii="Calibri" w:cs="Calibri" w:eastAsia="Calibri" w:hAnsi="Calibri"/>
                <w:sz w:val="16"/>
                <w:szCs w:val="16"/>
                <w:color w:val="666666"/>
              </w:rPr>
              <w:t>Director Orientaton and Contnuing Educaton</w:t>
            </w:r>
          </w:p>
        </w:tc>
        <w:tc>
          <w:tcPr>
            <w:tcW w:w="160" w:type="dxa"/>
            <w:vAlign w:val="bottom"/>
            <w:tcBorders>
              <w:bottom w:val="single" w:sz="8" w:color="666666"/>
            </w:tcBorders>
            <w:gridSpan w:val="2"/>
          </w:tcPr>
          <w:p>
            <w:pPr>
              <w:jc w:val="right"/>
              <w:spacing w:after="0"/>
              <w:rPr>
                <w:sz w:val="20"/>
                <w:szCs w:val="20"/>
                <w:color w:val="auto"/>
              </w:rPr>
            </w:pPr>
            <w:r>
              <w:rPr>
                <w:rFonts w:ascii="Calibri" w:cs="Calibri" w:eastAsia="Calibri" w:hAnsi="Calibri"/>
                <w:sz w:val="16"/>
                <w:szCs w:val="16"/>
                <w:color w:val="666666"/>
                <w:w w:val="85"/>
              </w:rPr>
              <w:t>19</w:t>
            </w:r>
          </w:p>
        </w:tc>
      </w:tr>
      <w:tr>
        <w:trPr>
          <w:trHeight w:val="285"/>
        </w:trPr>
        <w:tc>
          <w:tcPr>
            <w:tcW w:w="10640" w:type="dxa"/>
            <w:vAlign w:val="bottom"/>
          </w:tcPr>
          <w:p>
            <w:pPr>
              <w:ind w:left="120"/>
              <w:spacing w:after="0"/>
              <w:rPr>
                <w:sz w:val="20"/>
                <w:szCs w:val="20"/>
                <w:color w:val="auto"/>
              </w:rPr>
            </w:pPr>
            <w:r>
              <w:rPr>
                <w:rFonts w:ascii="Calibri" w:cs="Calibri" w:eastAsia="Calibri" w:hAnsi="Calibri"/>
                <w:sz w:val="16"/>
                <w:szCs w:val="16"/>
                <w:color w:val="666666"/>
              </w:rPr>
              <w:t>Communicatons with the Board</w:t>
            </w:r>
          </w:p>
        </w:tc>
        <w:tc>
          <w:tcPr>
            <w:tcW w:w="160" w:type="dxa"/>
            <w:vAlign w:val="bottom"/>
            <w:tcBorders>
              <w:bottom w:val="single" w:sz="8" w:color="666666"/>
            </w:tcBorders>
            <w:gridSpan w:val="2"/>
          </w:tcPr>
          <w:p>
            <w:pPr>
              <w:jc w:val="right"/>
              <w:spacing w:after="0"/>
              <w:rPr>
                <w:sz w:val="20"/>
                <w:szCs w:val="20"/>
                <w:color w:val="auto"/>
              </w:rPr>
            </w:pPr>
            <w:r>
              <w:rPr>
                <w:rFonts w:ascii="Calibri" w:cs="Calibri" w:eastAsia="Calibri" w:hAnsi="Calibri"/>
                <w:sz w:val="16"/>
                <w:szCs w:val="16"/>
                <w:color w:val="666666"/>
                <w:w w:val="85"/>
              </w:rPr>
              <w:t>19</w:t>
            </w:r>
          </w:p>
        </w:tc>
      </w:tr>
      <w:tr>
        <w:trPr>
          <w:trHeight w:val="285"/>
        </w:trPr>
        <w:tc>
          <w:tcPr>
            <w:tcW w:w="10640" w:type="dxa"/>
            <w:vAlign w:val="bottom"/>
          </w:tcPr>
          <w:p>
            <w:pPr>
              <w:ind w:left="120"/>
              <w:spacing w:after="0"/>
              <w:rPr>
                <w:sz w:val="20"/>
                <w:szCs w:val="20"/>
                <w:color w:val="auto"/>
              </w:rPr>
            </w:pPr>
            <w:r>
              <w:rPr>
                <w:rFonts w:ascii="Calibri" w:cs="Calibri" w:eastAsia="Calibri" w:hAnsi="Calibri"/>
                <w:sz w:val="16"/>
                <w:szCs w:val="16"/>
                <w:color w:val="666666"/>
              </w:rPr>
              <w:t>Board Commitees</w:t>
            </w:r>
          </w:p>
        </w:tc>
        <w:tc>
          <w:tcPr>
            <w:tcW w:w="160" w:type="dxa"/>
            <w:vAlign w:val="bottom"/>
            <w:tcBorders>
              <w:bottom w:val="single" w:sz="8" w:color="666666"/>
            </w:tcBorders>
            <w:gridSpan w:val="2"/>
          </w:tcPr>
          <w:p>
            <w:pPr>
              <w:jc w:val="right"/>
              <w:spacing w:after="0"/>
              <w:rPr>
                <w:sz w:val="20"/>
                <w:szCs w:val="20"/>
                <w:color w:val="auto"/>
              </w:rPr>
            </w:pPr>
            <w:r>
              <w:rPr>
                <w:rFonts w:ascii="Calibri" w:cs="Calibri" w:eastAsia="Calibri" w:hAnsi="Calibri"/>
                <w:sz w:val="16"/>
                <w:szCs w:val="16"/>
                <w:color w:val="666666"/>
                <w:w w:val="85"/>
              </w:rPr>
              <w:t>20</w:t>
            </w:r>
          </w:p>
        </w:tc>
      </w:tr>
      <w:tr>
        <w:trPr>
          <w:trHeight w:val="285"/>
        </w:trPr>
        <w:tc>
          <w:tcPr>
            <w:tcW w:w="10640" w:type="dxa"/>
            <w:vAlign w:val="bottom"/>
          </w:tcPr>
          <w:p>
            <w:pPr>
              <w:ind w:left="120"/>
              <w:spacing w:after="0"/>
              <w:rPr>
                <w:sz w:val="20"/>
                <w:szCs w:val="20"/>
                <w:color w:val="auto"/>
              </w:rPr>
            </w:pPr>
            <w:r>
              <w:rPr>
                <w:rFonts w:ascii="Calibri" w:cs="Calibri" w:eastAsia="Calibri" w:hAnsi="Calibri"/>
                <w:sz w:val="16"/>
                <w:szCs w:val="16"/>
                <w:color w:val="666666"/>
              </w:rPr>
              <w:t>Director Compensaton</w:t>
            </w:r>
          </w:p>
        </w:tc>
        <w:tc>
          <w:tcPr>
            <w:tcW w:w="160" w:type="dxa"/>
            <w:vAlign w:val="bottom"/>
            <w:tcBorders>
              <w:bottom w:val="single" w:sz="8" w:color="666666"/>
            </w:tcBorders>
            <w:gridSpan w:val="2"/>
          </w:tcPr>
          <w:p>
            <w:pPr>
              <w:jc w:val="right"/>
              <w:spacing w:after="0"/>
              <w:rPr>
                <w:sz w:val="20"/>
                <w:szCs w:val="20"/>
                <w:color w:val="auto"/>
              </w:rPr>
            </w:pPr>
            <w:r>
              <w:rPr>
                <w:rFonts w:ascii="Calibri" w:cs="Calibri" w:eastAsia="Calibri" w:hAnsi="Calibri"/>
                <w:sz w:val="16"/>
                <w:szCs w:val="16"/>
                <w:color w:val="666666"/>
                <w:w w:val="85"/>
              </w:rPr>
              <w:t>22</w:t>
            </w:r>
          </w:p>
        </w:tc>
      </w:tr>
      <w:tr>
        <w:trPr>
          <w:trHeight w:val="285"/>
        </w:trPr>
        <w:tc>
          <w:tcPr>
            <w:tcW w:w="10640" w:type="dxa"/>
            <w:vAlign w:val="bottom"/>
          </w:tcPr>
          <w:p>
            <w:pPr>
              <w:ind w:left="120"/>
              <w:spacing w:after="0"/>
              <w:rPr>
                <w:sz w:val="20"/>
                <w:szCs w:val="20"/>
                <w:color w:val="auto"/>
              </w:rPr>
            </w:pPr>
            <w:r>
              <w:rPr>
                <w:rFonts w:ascii="Calibri" w:cs="Calibri" w:eastAsia="Calibri" w:hAnsi="Calibri"/>
                <w:sz w:val="16"/>
                <w:szCs w:val="16"/>
                <w:color w:val="666666"/>
              </w:rPr>
              <w:t>Director Ownership Guidelines</w:t>
            </w:r>
          </w:p>
        </w:tc>
        <w:tc>
          <w:tcPr>
            <w:tcW w:w="160" w:type="dxa"/>
            <w:vAlign w:val="bottom"/>
            <w:tcBorders>
              <w:bottom w:val="single" w:sz="8" w:color="666666"/>
            </w:tcBorders>
            <w:gridSpan w:val="2"/>
          </w:tcPr>
          <w:p>
            <w:pPr>
              <w:jc w:val="right"/>
              <w:spacing w:after="0"/>
              <w:rPr>
                <w:sz w:val="20"/>
                <w:szCs w:val="20"/>
                <w:color w:val="auto"/>
              </w:rPr>
            </w:pPr>
            <w:r>
              <w:rPr>
                <w:rFonts w:ascii="Calibri" w:cs="Calibri" w:eastAsia="Calibri" w:hAnsi="Calibri"/>
                <w:sz w:val="16"/>
                <w:szCs w:val="16"/>
                <w:color w:val="666666"/>
                <w:w w:val="85"/>
              </w:rPr>
              <w:t>24</w:t>
            </w:r>
          </w:p>
        </w:tc>
      </w:tr>
      <w:tr>
        <w:trPr>
          <w:trHeight w:val="285"/>
        </w:trPr>
        <w:tc>
          <w:tcPr>
            <w:tcW w:w="10640" w:type="dxa"/>
            <w:vAlign w:val="bottom"/>
          </w:tcPr>
          <w:p>
            <w:pPr>
              <w:ind w:left="120"/>
              <w:spacing w:after="0"/>
              <w:rPr>
                <w:sz w:val="20"/>
                <w:szCs w:val="20"/>
                <w:color w:val="auto"/>
              </w:rPr>
            </w:pPr>
            <w:r>
              <w:rPr>
                <w:rFonts w:ascii="Calibri" w:cs="Calibri" w:eastAsia="Calibri" w:hAnsi="Calibri"/>
                <w:sz w:val="16"/>
                <w:szCs w:val="16"/>
                <w:color w:val="666666"/>
              </w:rPr>
              <w:t>Policy on Hedging, Short Sales, and Speculatve Transactons</w:t>
            </w:r>
          </w:p>
        </w:tc>
        <w:tc>
          <w:tcPr>
            <w:tcW w:w="160" w:type="dxa"/>
            <w:vAlign w:val="bottom"/>
            <w:tcBorders>
              <w:bottom w:val="single" w:sz="8" w:color="666666"/>
            </w:tcBorders>
            <w:gridSpan w:val="2"/>
          </w:tcPr>
          <w:p>
            <w:pPr>
              <w:jc w:val="right"/>
              <w:spacing w:after="0"/>
              <w:rPr>
                <w:sz w:val="20"/>
                <w:szCs w:val="20"/>
                <w:color w:val="auto"/>
              </w:rPr>
            </w:pPr>
            <w:r>
              <w:rPr>
                <w:rFonts w:ascii="Calibri" w:cs="Calibri" w:eastAsia="Calibri" w:hAnsi="Calibri"/>
                <w:sz w:val="16"/>
                <w:szCs w:val="16"/>
                <w:color w:val="666666"/>
                <w:w w:val="85"/>
              </w:rPr>
              <w:t>24</w:t>
            </w:r>
          </w:p>
        </w:tc>
      </w:tr>
      <w:tr>
        <w:trPr>
          <w:trHeight w:val="285"/>
        </w:trPr>
        <w:tc>
          <w:tcPr>
            <w:tcW w:w="10640" w:type="dxa"/>
            <w:vAlign w:val="bottom"/>
          </w:tcPr>
          <w:p>
            <w:pPr>
              <w:spacing w:after="0"/>
              <w:rPr>
                <w:sz w:val="20"/>
                <w:szCs w:val="20"/>
                <w:color w:val="auto"/>
              </w:rPr>
            </w:pPr>
            <w:r>
              <w:rPr>
                <w:rFonts w:ascii="Calibri" w:cs="Calibri" w:eastAsia="Calibri" w:hAnsi="Calibri"/>
                <w:sz w:val="16"/>
                <w:szCs w:val="16"/>
                <w:color w:val="666666"/>
              </w:rPr>
              <w:t>COMPENSATION COMMITTEE INTERLOCKS AND INSIDER PARTICIPATION</w:t>
            </w:r>
          </w:p>
        </w:tc>
        <w:tc>
          <w:tcPr>
            <w:tcW w:w="160" w:type="dxa"/>
            <w:vAlign w:val="bottom"/>
            <w:tcBorders>
              <w:bottom w:val="single" w:sz="8" w:color="666666"/>
            </w:tcBorders>
            <w:gridSpan w:val="2"/>
          </w:tcPr>
          <w:p>
            <w:pPr>
              <w:jc w:val="right"/>
              <w:spacing w:after="0"/>
              <w:rPr>
                <w:sz w:val="20"/>
                <w:szCs w:val="20"/>
                <w:color w:val="auto"/>
              </w:rPr>
            </w:pPr>
            <w:r>
              <w:rPr>
                <w:rFonts w:ascii="Calibri" w:cs="Calibri" w:eastAsia="Calibri" w:hAnsi="Calibri"/>
                <w:sz w:val="16"/>
                <w:szCs w:val="16"/>
                <w:color w:val="666666"/>
                <w:w w:val="85"/>
              </w:rPr>
              <w:t>25</w:t>
            </w:r>
          </w:p>
        </w:tc>
      </w:tr>
      <w:tr>
        <w:trPr>
          <w:trHeight w:val="285"/>
        </w:trPr>
        <w:tc>
          <w:tcPr>
            <w:tcW w:w="10640" w:type="dxa"/>
            <w:vAlign w:val="bottom"/>
          </w:tcPr>
          <w:p>
            <w:pPr>
              <w:spacing w:after="0"/>
              <w:rPr>
                <w:sz w:val="20"/>
                <w:szCs w:val="20"/>
                <w:color w:val="auto"/>
              </w:rPr>
            </w:pPr>
            <w:r>
              <w:rPr>
                <w:rFonts w:ascii="Calibri" w:cs="Calibri" w:eastAsia="Calibri" w:hAnsi="Calibri"/>
                <w:sz w:val="16"/>
                <w:szCs w:val="16"/>
                <w:color w:val="666666"/>
              </w:rPr>
              <w:t>SECURITY OWNERSHIP INFORMATION</w:t>
            </w:r>
          </w:p>
        </w:tc>
        <w:tc>
          <w:tcPr>
            <w:tcW w:w="160" w:type="dxa"/>
            <w:vAlign w:val="bottom"/>
            <w:tcBorders>
              <w:bottom w:val="single" w:sz="8" w:color="666666"/>
            </w:tcBorders>
            <w:gridSpan w:val="2"/>
          </w:tcPr>
          <w:p>
            <w:pPr>
              <w:jc w:val="right"/>
              <w:spacing w:after="0"/>
              <w:rPr>
                <w:sz w:val="20"/>
                <w:szCs w:val="20"/>
                <w:color w:val="auto"/>
              </w:rPr>
            </w:pPr>
            <w:r>
              <w:rPr>
                <w:rFonts w:ascii="Calibri" w:cs="Calibri" w:eastAsia="Calibri" w:hAnsi="Calibri"/>
                <w:sz w:val="16"/>
                <w:szCs w:val="16"/>
                <w:color w:val="666666"/>
                <w:w w:val="85"/>
              </w:rPr>
              <w:t>26</w:t>
            </w:r>
          </w:p>
        </w:tc>
      </w:tr>
      <w:tr>
        <w:trPr>
          <w:trHeight w:val="285"/>
        </w:trPr>
        <w:tc>
          <w:tcPr>
            <w:tcW w:w="10640" w:type="dxa"/>
            <w:vAlign w:val="bottom"/>
          </w:tcPr>
          <w:p>
            <w:pPr>
              <w:spacing w:after="0"/>
              <w:rPr>
                <w:sz w:val="20"/>
                <w:szCs w:val="20"/>
                <w:color w:val="auto"/>
              </w:rPr>
            </w:pPr>
            <w:r>
              <w:rPr>
                <w:rFonts w:ascii="Calibri" w:cs="Calibri" w:eastAsia="Calibri" w:hAnsi="Calibri"/>
                <w:sz w:val="16"/>
                <w:szCs w:val="16"/>
                <w:color w:val="666666"/>
              </w:rPr>
              <w:t>CERTAIN RELATIONSHIPS AND RELATED PARTY TRANSACTIONS</w:t>
            </w:r>
          </w:p>
        </w:tc>
        <w:tc>
          <w:tcPr>
            <w:tcW w:w="160" w:type="dxa"/>
            <w:vAlign w:val="bottom"/>
            <w:tcBorders>
              <w:bottom w:val="single" w:sz="8" w:color="666666"/>
            </w:tcBorders>
            <w:gridSpan w:val="2"/>
          </w:tcPr>
          <w:p>
            <w:pPr>
              <w:jc w:val="right"/>
              <w:spacing w:after="0"/>
              <w:rPr>
                <w:sz w:val="20"/>
                <w:szCs w:val="20"/>
                <w:color w:val="auto"/>
              </w:rPr>
            </w:pPr>
            <w:r>
              <w:rPr>
                <w:rFonts w:ascii="Calibri" w:cs="Calibri" w:eastAsia="Calibri" w:hAnsi="Calibri"/>
                <w:sz w:val="16"/>
                <w:szCs w:val="16"/>
                <w:color w:val="666666"/>
                <w:w w:val="85"/>
              </w:rPr>
              <w:t>28</w:t>
            </w:r>
          </w:p>
        </w:tc>
      </w:tr>
      <w:tr>
        <w:trPr>
          <w:trHeight w:val="285"/>
        </w:trPr>
        <w:tc>
          <w:tcPr>
            <w:tcW w:w="10640" w:type="dxa"/>
            <w:vAlign w:val="bottom"/>
          </w:tcPr>
          <w:p>
            <w:pPr>
              <w:ind w:left="120"/>
              <w:spacing w:after="0"/>
              <w:rPr>
                <w:sz w:val="20"/>
                <w:szCs w:val="20"/>
                <w:color w:val="auto"/>
              </w:rPr>
            </w:pPr>
            <w:r>
              <w:rPr>
                <w:rFonts w:ascii="Calibri" w:cs="Calibri" w:eastAsia="Calibri" w:hAnsi="Calibri"/>
                <w:sz w:val="16"/>
                <w:szCs w:val="16"/>
                <w:color w:val="666666"/>
              </w:rPr>
              <w:t>Policies and Procedures for Related Person Transactons</w:t>
            </w:r>
          </w:p>
        </w:tc>
        <w:tc>
          <w:tcPr>
            <w:tcW w:w="160" w:type="dxa"/>
            <w:vAlign w:val="bottom"/>
            <w:tcBorders>
              <w:bottom w:val="single" w:sz="8" w:color="666666"/>
            </w:tcBorders>
            <w:gridSpan w:val="2"/>
          </w:tcPr>
          <w:p>
            <w:pPr>
              <w:jc w:val="right"/>
              <w:spacing w:after="0"/>
              <w:rPr>
                <w:sz w:val="20"/>
                <w:szCs w:val="20"/>
                <w:color w:val="auto"/>
              </w:rPr>
            </w:pPr>
            <w:r>
              <w:rPr>
                <w:rFonts w:ascii="Calibri" w:cs="Calibri" w:eastAsia="Calibri" w:hAnsi="Calibri"/>
                <w:sz w:val="16"/>
                <w:szCs w:val="16"/>
                <w:color w:val="666666"/>
                <w:w w:val="85"/>
              </w:rPr>
              <w:t>28</w:t>
            </w:r>
          </w:p>
        </w:tc>
      </w:tr>
      <w:tr>
        <w:trPr>
          <w:trHeight w:val="285"/>
        </w:trPr>
        <w:tc>
          <w:tcPr>
            <w:tcW w:w="10640" w:type="dxa"/>
            <w:vAlign w:val="bottom"/>
          </w:tcPr>
          <w:p>
            <w:pPr>
              <w:ind w:left="120"/>
              <w:spacing w:after="0"/>
              <w:rPr>
                <w:sz w:val="20"/>
                <w:szCs w:val="20"/>
                <w:color w:val="auto"/>
              </w:rPr>
            </w:pPr>
            <w:r>
              <w:rPr>
                <w:rFonts w:ascii="Calibri" w:cs="Calibri" w:eastAsia="Calibri" w:hAnsi="Calibri"/>
                <w:sz w:val="16"/>
                <w:szCs w:val="16"/>
                <w:color w:val="666666"/>
              </w:rPr>
              <w:t>Related Person Transactons</w:t>
            </w:r>
          </w:p>
        </w:tc>
        <w:tc>
          <w:tcPr>
            <w:tcW w:w="160" w:type="dxa"/>
            <w:vAlign w:val="bottom"/>
            <w:tcBorders>
              <w:bottom w:val="single" w:sz="8" w:color="666666"/>
            </w:tcBorders>
            <w:gridSpan w:val="2"/>
          </w:tcPr>
          <w:p>
            <w:pPr>
              <w:jc w:val="right"/>
              <w:spacing w:after="0"/>
              <w:rPr>
                <w:sz w:val="20"/>
                <w:szCs w:val="20"/>
                <w:color w:val="auto"/>
              </w:rPr>
            </w:pPr>
            <w:r>
              <w:rPr>
                <w:rFonts w:ascii="Calibri" w:cs="Calibri" w:eastAsia="Calibri" w:hAnsi="Calibri"/>
                <w:sz w:val="16"/>
                <w:szCs w:val="16"/>
                <w:color w:val="666666"/>
                <w:w w:val="85"/>
              </w:rPr>
              <w:t>28</w:t>
            </w:r>
          </w:p>
        </w:tc>
      </w:tr>
      <w:tr>
        <w:trPr>
          <w:trHeight w:val="285"/>
        </w:trPr>
        <w:tc>
          <w:tcPr>
            <w:tcW w:w="10640" w:type="dxa"/>
            <w:vAlign w:val="bottom"/>
          </w:tcPr>
          <w:p>
            <w:pPr>
              <w:spacing w:after="0"/>
              <w:rPr>
                <w:sz w:val="20"/>
                <w:szCs w:val="20"/>
                <w:color w:val="auto"/>
              </w:rPr>
            </w:pPr>
            <w:r>
              <w:rPr>
                <w:rFonts w:ascii="Calibri" w:cs="Calibri" w:eastAsia="Calibri" w:hAnsi="Calibri"/>
                <w:sz w:val="16"/>
                <w:szCs w:val="16"/>
                <w:color w:val="666666"/>
              </w:rPr>
              <w:t>COMPENSATION DISCUSSION AND ANALYSIS</w:t>
            </w:r>
          </w:p>
        </w:tc>
        <w:tc>
          <w:tcPr>
            <w:tcW w:w="160" w:type="dxa"/>
            <w:vAlign w:val="bottom"/>
            <w:tcBorders>
              <w:bottom w:val="single" w:sz="8" w:color="666666"/>
            </w:tcBorders>
            <w:gridSpan w:val="2"/>
          </w:tcPr>
          <w:p>
            <w:pPr>
              <w:jc w:val="right"/>
              <w:spacing w:after="0"/>
              <w:rPr>
                <w:sz w:val="20"/>
                <w:szCs w:val="20"/>
                <w:color w:val="auto"/>
              </w:rPr>
            </w:pPr>
            <w:r>
              <w:rPr>
                <w:rFonts w:ascii="Calibri" w:cs="Calibri" w:eastAsia="Calibri" w:hAnsi="Calibri"/>
                <w:sz w:val="16"/>
                <w:szCs w:val="16"/>
                <w:color w:val="666666"/>
                <w:w w:val="85"/>
              </w:rPr>
              <w:t>30</w:t>
            </w:r>
          </w:p>
        </w:tc>
      </w:tr>
      <w:tr>
        <w:trPr>
          <w:trHeight w:val="285"/>
        </w:trPr>
        <w:tc>
          <w:tcPr>
            <w:tcW w:w="10640" w:type="dxa"/>
            <w:vAlign w:val="bottom"/>
          </w:tcPr>
          <w:p>
            <w:pPr>
              <w:ind w:left="120"/>
              <w:spacing w:after="0"/>
              <w:rPr>
                <w:sz w:val="20"/>
                <w:szCs w:val="20"/>
                <w:color w:val="auto"/>
              </w:rPr>
            </w:pPr>
            <w:r>
              <w:rPr>
                <w:rFonts w:ascii="Calibri" w:cs="Calibri" w:eastAsia="Calibri" w:hAnsi="Calibri"/>
                <w:sz w:val="16"/>
                <w:szCs w:val="16"/>
                <w:color w:val="666666"/>
              </w:rPr>
              <w:t>Executve Summary</w:t>
            </w:r>
          </w:p>
        </w:tc>
        <w:tc>
          <w:tcPr>
            <w:tcW w:w="160" w:type="dxa"/>
            <w:vAlign w:val="bottom"/>
            <w:tcBorders>
              <w:bottom w:val="single" w:sz="8" w:color="666666"/>
            </w:tcBorders>
            <w:gridSpan w:val="2"/>
          </w:tcPr>
          <w:p>
            <w:pPr>
              <w:jc w:val="right"/>
              <w:spacing w:after="0"/>
              <w:rPr>
                <w:sz w:val="20"/>
                <w:szCs w:val="20"/>
                <w:color w:val="auto"/>
              </w:rPr>
            </w:pPr>
            <w:r>
              <w:rPr>
                <w:rFonts w:ascii="Calibri" w:cs="Calibri" w:eastAsia="Calibri" w:hAnsi="Calibri"/>
                <w:sz w:val="16"/>
                <w:szCs w:val="16"/>
                <w:color w:val="666666"/>
                <w:w w:val="85"/>
              </w:rPr>
              <w:t>31</w:t>
            </w:r>
          </w:p>
        </w:tc>
      </w:tr>
      <w:tr>
        <w:trPr>
          <w:trHeight w:val="285"/>
        </w:trPr>
        <w:tc>
          <w:tcPr>
            <w:tcW w:w="10640" w:type="dxa"/>
            <w:vAlign w:val="bottom"/>
          </w:tcPr>
          <w:p>
            <w:pPr>
              <w:ind w:left="120"/>
              <w:spacing w:after="0"/>
              <w:rPr>
                <w:sz w:val="20"/>
                <w:szCs w:val="20"/>
                <w:color w:val="auto"/>
              </w:rPr>
            </w:pPr>
            <w:r>
              <w:rPr>
                <w:rFonts w:ascii="Calibri" w:cs="Calibri" w:eastAsia="Calibri" w:hAnsi="Calibri"/>
                <w:sz w:val="16"/>
                <w:szCs w:val="16"/>
                <w:color w:val="666666"/>
              </w:rPr>
              <w:t>Setng Executve Compensaton and Peer Group</w:t>
            </w:r>
          </w:p>
        </w:tc>
        <w:tc>
          <w:tcPr>
            <w:tcW w:w="160" w:type="dxa"/>
            <w:vAlign w:val="bottom"/>
            <w:tcBorders>
              <w:bottom w:val="single" w:sz="8" w:color="666666"/>
            </w:tcBorders>
            <w:gridSpan w:val="2"/>
          </w:tcPr>
          <w:p>
            <w:pPr>
              <w:jc w:val="right"/>
              <w:spacing w:after="0"/>
              <w:rPr>
                <w:sz w:val="20"/>
                <w:szCs w:val="20"/>
                <w:color w:val="auto"/>
              </w:rPr>
            </w:pPr>
            <w:r>
              <w:rPr>
                <w:rFonts w:ascii="Calibri" w:cs="Calibri" w:eastAsia="Calibri" w:hAnsi="Calibri"/>
                <w:sz w:val="16"/>
                <w:szCs w:val="16"/>
                <w:color w:val="666666"/>
                <w:w w:val="85"/>
              </w:rPr>
              <w:t>34</w:t>
            </w:r>
          </w:p>
        </w:tc>
      </w:tr>
      <w:tr>
        <w:trPr>
          <w:trHeight w:val="285"/>
        </w:trPr>
        <w:tc>
          <w:tcPr>
            <w:tcW w:w="10640" w:type="dxa"/>
            <w:vAlign w:val="bottom"/>
          </w:tcPr>
          <w:p>
            <w:pPr>
              <w:ind w:left="120"/>
              <w:spacing w:after="0"/>
              <w:rPr>
                <w:sz w:val="20"/>
                <w:szCs w:val="20"/>
                <w:color w:val="auto"/>
              </w:rPr>
            </w:pPr>
            <w:r>
              <w:rPr>
                <w:rFonts w:ascii="Calibri" w:cs="Calibri" w:eastAsia="Calibri" w:hAnsi="Calibri"/>
                <w:sz w:val="16"/>
                <w:szCs w:val="16"/>
                <w:color w:val="666666"/>
              </w:rPr>
              <w:t>Compensaton Elements</w:t>
            </w:r>
          </w:p>
        </w:tc>
        <w:tc>
          <w:tcPr>
            <w:tcW w:w="160" w:type="dxa"/>
            <w:vAlign w:val="bottom"/>
            <w:tcBorders>
              <w:bottom w:val="single" w:sz="8" w:color="666666"/>
            </w:tcBorders>
            <w:gridSpan w:val="2"/>
          </w:tcPr>
          <w:p>
            <w:pPr>
              <w:jc w:val="right"/>
              <w:spacing w:after="0"/>
              <w:rPr>
                <w:sz w:val="20"/>
                <w:szCs w:val="20"/>
                <w:color w:val="auto"/>
              </w:rPr>
            </w:pPr>
            <w:r>
              <w:rPr>
                <w:rFonts w:ascii="Calibri" w:cs="Calibri" w:eastAsia="Calibri" w:hAnsi="Calibri"/>
                <w:sz w:val="16"/>
                <w:szCs w:val="16"/>
                <w:color w:val="666666"/>
                <w:w w:val="85"/>
              </w:rPr>
              <w:t>35</w:t>
            </w:r>
          </w:p>
        </w:tc>
      </w:tr>
      <w:tr>
        <w:trPr>
          <w:trHeight w:val="285"/>
        </w:trPr>
        <w:tc>
          <w:tcPr>
            <w:tcW w:w="10640" w:type="dxa"/>
            <w:vAlign w:val="bottom"/>
          </w:tcPr>
          <w:p>
            <w:pPr>
              <w:ind w:left="120"/>
              <w:spacing w:after="0"/>
              <w:rPr>
                <w:sz w:val="20"/>
                <w:szCs w:val="20"/>
                <w:color w:val="auto"/>
              </w:rPr>
            </w:pPr>
            <w:r>
              <w:rPr>
                <w:rFonts w:ascii="Calibri" w:cs="Calibri" w:eastAsia="Calibri" w:hAnsi="Calibri"/>
                <w:sz w:val="16"/>
                <w:szCs w:val="16"/>
                <w:color w:val="666666"/>
              </w:rPr>
              <w:t>Executve Ownership Requirements</w:t>
            </w:r>
          </w:p>
        </w:tc>
        <w:tc>
          <w:tcPr>
            <w:tcW w:w="160" w:type="dxa"/>
            <w:vAlign w:val="bottom"/>
            <w:tcBorders>
              <w:bottom w:val="single" w:sz="8" w:color="666666"/>
            </w:tcBorders>
            <w:gridSpan w:val="2"/>
          </w:tcPr>
          <w:p>
            <w:pPr>
              <w:jc w:val="right"/>
              <w:spacing w:after="0"/>
              <w:rPr>
                <w:sz w:val="20"/>
                <w:szCs w:val="20"/>
                <w:color w:val="auto"/>
              </w:rPr>
            </w:pPr>
            <w:r>
              <w:rPr>
                <w:rFonts w:ascii="Calibri" w:cs="Calibri" w:eastAsia="Calibri" w:hAnsi="Calibri"/>
                <w:sz w:val="16"/>
                <w:szCs w:val="16"/>
                <w:color w:val="666666"/>
                <w:w w:val="85"/>
              </w:rPr>
              <w:t>39</w:t>
            </w:r>
          </w:p>
        </w:tc>
      </w:tr>
    </w:tbl>
    <w:p>
      <w:pPr>
        <w:sectPr>
          <w:pgSz w:w="11900" w:h="16838" w:orient="portrait"/>
          <w:cols w:equalWidth="0" w:num="1">
            <w:col w:w="10820"/>
          </w:cols>
          <w:pgMar w:left="320" w:top="118" w:right="7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460" w:type="dxa"/>
            <w:vAlign w:val="bottom"/>
          </w:tcPr>
          <w:p>
            <w:pPr>
              <w:ind w:left="120"/>
              <w:spacing w:after="0"/>
              <w:rPr>
                <w:sz w:val="20"/>
                <w:szCs w:val="20"/>
                <w:color w:val="auto"/>
              </w:rPr>
            </w:pPr>
            <w:r>
              <w:rPr>
                <w:rFonts w:ascii="Calibri" w:cs="Calibri" w:eastAsia="Calibri" w:hAnsi="Calibri"/>
                <w:sz w:val="16"/>
                <w:szCs w:val="16"/>
                <w:color w:val="666666"/>
              </w:rPr>
              <w:t>Risk Assessment</w:t>
            </w:r>
          </w:p>
        </w:tc>
        <w:tc>
          <w:tcPr>
            <w:tcW w:w="2340" w:type="dxa"/>
            <w:vAlign w:val="bottom"/>
            <w:gridSpan w:val="3"/>
          </w:tcPr>
          <w:p>
            <w:pPr>
              <w:jc w:val="right"/>
              <w:spacing w:after="0"/>
              <w:rPr>
                <w:sz w:val="20"/>
                <w:szCs w:val="20"/>
                <w:color w:val="auto"/>
              </w:rPr>
            </w:pPr>
            <w:r>
              <w:rPr>
                <w:rFonts w:ascii="Calibri" w:cs="Calibri" w:eastAsia="Calibri" w:hAnsi="Calibri"/>
                <w:sz w:val="16"/>
                <w:szCs w:val="16"/>
                <w:color w:val="666666"/>
              </w:rPr>
              <w:t>39</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6666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460" w:type="dxa"/>
            <w:vAlign w:val="bottom"/>
          </w:tcPr>
          <w:p>
            <w:pPr>
              <w:ind w:left="120"/>
              <w:spacing w:after="0"/>
              <w:rPr>
                <w:sz w:val="20"/>
                <w:szCs w:val="20"/>
                <w:color w:val="auto"/>
              </w:rPr>
            </w:pPr>
            <w:r>
              <w:rPr>
                <w:rFonts w:ascii="Calibri" w:cs="Calibri" w:eastAsia="Calibri" w:hAnsi="Calibri"/>
                <w:sz w:val="16"/>
                <w:szCs w:val="16"/>
                <w:color w:val="666666"/>
              </w:rPr>
              <w:t>Advisory Vote to Approve Executve Compensaton</w:t>
            </w:r>
          </w:p>
        </w:tc>
        <w:tc>
          <w:tcPr>
            <w:tcW w:w="2340" w:type="dxa"/>
            <w:vAlign w:val="bottom"/>
            <w:gridSpan w:val="3"/>
          </w:tcPr>
          <w:p>
            <w:pPr>
              <w:jc w:val="right"/>
              <w:spacing w:after="0"/>
              <w:rPr>
                <w:sz w:val="20"/>
                <w:szCs w:val="20"/>
                <w:color w:val="auto"/>
              </w:rPr>
            </w:pPr>
            <w:r>
              <w:rPr>
                <w:rFonts w:ascii="Calibri" w:cs="Calibri" w:eastAsia="Calibri" w:hAnsi="Calibri"/>
                <w:sz w:val="16"/>
                <w:szCs w:val="16"/>
                <w:color w:val="666666"/>
              </w:rPr>
              <w:t>40</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6666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8460" w:type="dxa"/>
            <w:vAlign w:val="bottom"/>
          </w:tcPr>
          <w:p>
            <w:pPr>
              <w:ind w:left="120"/>
              <w:spacing w:after="0"/>
              <w:rPr>
                <w:sz w:val="20"/>
                <w:szCs w:val="20"/>
                <w:color w:val="auto"/>
              </w:rPr>
            </w:pPr>
            <w:r>
              <w:rPr>
                <w:rFonts w:ascii="Calibri" w:cs="Calibri" w:eastAsia="Calibri" w:hAnsi="Calibri"/>
                <w:sz w:val="16"/>
                <w:szCs w:val="16"/>
                <w:color w:val="666666"/>
              </w:rPr>
              <w:t>Government Limitatons on Reimbursement of Compensaton Costs</w:t>
            </w:r>
          </w:p>
        </w:tc>
        <w:tc>
          <w:tcPr>
            <w:tcW w:w="2340" w:type="dxa"/>
            <w:vAlign w:val="bottom"/>
            <w:gridSpan w:val="3"/>
          </w:tcPr>
          <w:p>
            <w:pPr>
              <w:jc w:val="right"/>
              <w:spacing w:after="0"/>
              <w:rPr>
                <w:sz w:val="20"/>
                <w:szCs w:val="20"/>
                <w:color w:val="auto"/>
              </w:rPr>
            </w:pPr>
            <w:r>
              <w:rPr>
                <w:rFonts w:ascii="Calibri" w:cs="Calibri" w:eastAsia="Calibri" w:hAnsi="Calibri"/>
                <w:sz w:val="16"/>
                <w:szCs w:val="16"/>
                <w:color w:val="666666"/>
              </w:rPr>
              <w:t>40</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6666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460" w:type="dxa"/>
            <w:vAlign w:val="bottom"/>
          </w:tcPr>
          <w:p>
            <w:pPr>
              <w:ind w:left="120"/>
              <w:spacing w:after="0"/>
              <w:rPr>
                <w:sz w:val="20"/>
                <w:szCs w:val="20"/>
                <w:color w:val="auto"/>
              </w:rPr>
            </w:pPr>
            <w:r>
              <w:rPr>
                <w:rFonts w:ascii="Calibri" w:cs="Calibri" w:eastAsia="Calibri" w:hAnsi="Calibri"/>
                <w:sz w:val="16"/>
                <w:szCs w:val="16"/>
                <w:color w:val="666666"/>
              </w:rPr>
              <w:t>Compensaton Recovery Provisions (Clawbacks) in Incentve Plans</w:t>
            </w:r>
          </w:p>
        </w:tc>
        <w:tc>
          <w:tcPr>
            <w:tcW w:w="2340" w:type="dxa"/>
            <w:vAlign w:val="bottom"/>
            <w:gridSpan w:val="3"/>
          </w:tcPr>
          <w:p>
            <w:pPr>
              <w:jc w:val="right"/>
              <w:spacing w:after="0"/>
              <w:rPr>
                <w:sz w:val="20"/>
                <w:szCs w:val="20"/>
                <w:color w:val="auto"/>
              </w:rPr>
            </w:pPr>
            <w:r>
              <w:rPr>
                <w:rFonts w:ascii="Calibri" w:cs="Calibri" w:eastAsia="Calibri" w:hAnsi="Calibri"/>
                <w:sz w:val="16"/>
                <w:szCs w:val="16"/>
                <w:color w:val="666666"/>
              </w:rPr>
              <w:t>40</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6666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460" w:type="dxa"/>
            <w:vAlign w:val="bottom"/>
          </w:tcPr>
          <w:p>
            <w:pPr>
              <w:ind w:left="120"/>
              <w:spacing w:after="0"/>
              <w:rPr>
                <w:sz w:val="20"/>
                <w:szCs w:val="20"/>
                <w:color w:val="auto"/>
              </w:rPr>
            </w:pPr>
            <w:r>
              <w:rPr>
                <w:rFonts w:ascii="Calibri" w:cs="Calibri" w:eastAsia="Calibri" w:hAnsi="Calibri"/>
                <w:sz w:val="16"/>
                <w:szCs w:val="16"/>
                <w:color w:val="666666"/>
              </w:rPr>
              <w:t>Certain Change in Control Provisions</w:t>
            </w:r>
          </w:p>
        </w:tc>
        <w:tc>
          <w:tcPr>
            <w:tcW w:w="2340" w:type="dxa"/>
            <w:vAlign w:val="bottom"/>
            <w:gridSpan w:val="3"/>
          </w:tcPr>
          <w:p>
            <w:pPr>
              <w:jc w:val="right"/>
              <w:spacing w:after="0"/>
              <w:rPr>
                <w:sz w:val="20"/>
                <w:szCs w:val="20"/>
                <w:color w:val="auto"/>
              </w:rPr>
            </w:pPr>
            <w:r>
              <w:rPr>
                <w:rFonts w:ascii="Calibri" w:cs="Calibri" w:eastAsia="Calibri" w:hAnsi="Calibri"/>
                <w:sz w:val="16"/>
                <w:szCs w:val="16"/>
                <w:color w:val="666666"/>
              </w:rPr>
              <w:t>40</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6666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460" w:type="dxa"/>
            <w:vAlign w:val="bottom"/>
          </w:tcPr>
          <w:p>
            <w:pPr>
              <w:ind w:left="120"/>
              <w:spacing w:after="0"/>
              <w:rPr>
                <w:sz w:val="20"/>
                <w:szCs w:val="20"/>
                <w:color w:val="auto"/>
              </w:rPr>
            </w:pPr>
            <w:r>
              <w:rPr>
                <w:rFonts w:ascii="Calibri" w:cs="Calibri" w:eastAsia="Calibri" w:hAnsi="Calibri"/>
                <w:sz w:val="16"/>
                <w:szCs w:val="16"/>
                <w:color w:val="666666"/>
              </w:rPr>
              <w:t>Policies on Timing of Equity Grants</w:t>
            </w:r>
          </w:p>
        </w:tc>
        <w:tc>
          <w:tcPr>
            <w:tcW w:w="2340" w:type="dxa"/>
            <w:vAlign w:val="bottom"/>
            <w:gridSpan w:val="3"/>
          </w:tcPr>
          <w:p>
            <w:pPr>
              <w:jc w:val="right"/>
              <w:spacing w:after="0"/>
              <w:rPr>
                <w:sz w:val="20"/>
                <w:szCs w:val="20"/>
                <w:color w:val="auto"/>
              </w:rPr>
            </w:pPr>
            <w:r>
              <w:rPr>
                <w:rFonts w:ascii="Calibri" w:cs="Calibri" w:eastAsia="Calibri" w:hAnsi="Calibri"/>
                <w:sz w:val="16"/>
                <w:szCs w:val="16"/>
                <w:color w:val="666666"/>
              </w:rPr>
              <w:t>41</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6666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460" w:type="dxa"/>
            <w:vAlign w:val="bottom"/>
          </w:tcPr>
          <w:p>
            <w:pPr>
              <w:ind w:left="120"/>
              <w:spacing w:after="0"/>
              <w:rPr>
                <w:sz w:val="20"/>
                <w:szCs w:val="20"/>
                <w:color w:val="auto"/>
              </w:rPr>
            </w:pPr>
            <w:r>
              <w:rPr>
                <w:rFonts w:ascii="Calibri" w:cs="Calibri" w:eastAsia="Calibri" w:hAnsi="Calibri"/>
                <w:sz w:val="16"/>
                <w:szCs w:val="16"/>
                <w:color w:val="666666"/>
              </w:rPr>
              <w:t>Efect on Accountng and Tax Treatment on Compensaton Decisions</w:t>
            </w:r>
          </w:p>
        </w:tc>
        <w:tc>
          <w:tcPr>
            <w:tcW w:w="2340" w:type="dxa"/>
            <w:vAlign w:val="bottom"/>
            <w:gridSpan w:val="3"/>
          </w:tcPr>
          <w:p>
            <w:pPr>
              <w:jc w:val="right"/>
              <w:spacing w:after="0"/>
              <w:rPr>
                <w:sz w:val="20"/>
                <w:szCs w:val="20"/>
                <w:color w:val="auto"/>
              </w:rPr>
            </w:pPr>
            <w:r>
              <w:rPr>
                <w:rFonts w:ascii="Calibri" w:cs="Calibri" w:eastAsia="Calibri" w:hAnsi="Calibri"/>
                <w:sz w:val="16"/>
                <w:szCs w:val="16"/>
                <w:color w:val="666666"/>
              </w:rPr>
              <w:t>41</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6666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460" w:type="dxa"/>
            <w:vAlign w:val="bottom"/>
          </w:tcPr>
          <w:p>
            <w:pPr>
              <w:ind w:left="120"/>
              <w:spacing w:after="0"/>
              <w:rPr>
                <w:sz w:val="20"/>
                <w:szCs w:val="20"/>
                <w:color w:val="auto"/>
              </w:rPr>
            </w:pPr>
            <w:r>
              <w:rPr>
                <w:rFonts w:ascii="Calibri" w:cs="Calibri" w:eastAsia="Calibri" w:hAnsi="Calibri"/>
                <w:sz w:val="16"/>
                <w:szCs w:val="16"/>
                <w:color w:val="666666"/>
              </w:rPr>
              <w:t>Compensaton Tables and Disclosures</w:t>
            </w:r>
          </w:p>
        </w:tc>
        <w:tc>
          <w:tcPr>
            <w:tcW w:w="2340" w:type="dxa"/>
            <w:vAlign w:val="bottom"/>
            <w:gridSpan w:val="3"/>
          </w:tcPr>
          <w:p>
            <w:pPr>
              <w:jc w:val="right"/>
              <w:spacing w:after="0"/>
              <w:rPr>
                <w:sz w:val="20"/>
                <w:szCs w:val="20"/>
                <w:color w:val="auto"/>
              </w:rPr>
            </w:pPr>
            <w:r>
              <w:rPr>
                <w:rFonts w:ascii="Calibri" w:cs="Calibri" w:eastAsia="Calibri" w:hAnsi="Calibri"/>
                <w:sz w:val="16"/>
                <w:szCs w:val="16"/>
                <w:color w:val="666666"/>
              </w:rPr>
              <w:t>43</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6666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460" w:type="dxa"/>
            <w:vAlign w:val="bottom"/>
          </w:tcPr>
          <w:p>
            <w:pPr>
              <w:ind w:left="120"/>
              <w:spacing w:after="0"/>
              <w:rPr>
                <w:sz w:val="20"/>
                <w:szCs w:val="20"/>
                <w:color w:val="auto"/>
              </w:rPr>
            </w:pPr>
            <w:r>
              <w:rPr>
                <w:rFonts w:ascii="Calibri" w:cs="Calibri" w:eastAsia="Calibri" w:hAnsi="Calibri"/>
                <w:sz w:val="16"/>
                <w:szCs w:val="16"/>
                <w:color w:val="666666"/>
              </w:rPr>
              <w:t>Pay Rato</w:t>
            </w:r>
          </w:p>
        </w:tc>
        <w:tc>
          <w:tcPr>
            <w:tcW w:w="2340" w:type="dxa"/>
            <w:vAlign w:val="bottom"/>
            <w:gridSpan w:val="3"/>
          </w:tcPr>
          <w:p>
            <w:pPr>
              <w:jc w:val="right"/>
              <w:spacing w:after="0"/>
              <w:rPr>
                <w:sz w:val="20"/>
                <w:szCs w:val="20"/>
                <w:color w:val="auto"/>
              </w:rPr>
            </w:pPr>
            <w:r>
              <w:rPr>
                <w:rFonts w:ascii="Calibri" w:cs="Calibri" w:eastAsia="Calibri" w:hAnsi="Calibri"/>
                <w:sz w:val="16"/>
                <w:szCs w:val="16"/>
                <w:color w:val="666666"/>
              </w:rPr>
              <w:t>50</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6666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460" w:type="dxa"/>
            <w:vAlign w:val="bottom"/>
          </w:tcPr>
          <w:p>
            <w:pPr>
              <w:spacing w:after="0"/>
              <w:rPr>
                <w:sz w:val="20"/>
                <w:szCs w:val="20"/>
                <w:color w:val="auto"/>
              </w:rPr>
            </w:pPr>
            <w:r>
              <w:rPr>
                <w:rFonts w:ascii="Calibri" w:cs="Calibri" w:eastAsia="Calibri" w:hAnsi="Calibri"/>
                <w:sz w:val="16"/>
                <w:szCs w:val="16"/>
                <w:color w:val="666666"/>
              </w:rPr>
              <w:t>COMPENSATION COMMITTEE REPORT</w:t>
            </w:r>
          </w:p>
        </w:tc>
        <w:tc>
          <w:tcPr>
            <w:tcW w:w="2340" w:type="dxa"/>
            <w:vAlign w:val="bottom"/>
            <w:gridSpan w:val="3"/>
          </w:tcPr>
          <w:p>
            <w:pPr>
              <w:jc w:val="right"/>
              <w:spacing w:after="0"/>
              <w:rPr>
                <w:sz w:val="20"/>
                <w:szCs w:val="20"/>
                <w:color w:val="auto"/>
              </w:rPr>
            </w:pPr>
            <w:r>
              <w:rPr>
                <w:rFonts w:ascii="Calibri" w:cs="Calibri" w:eastAsia="Calibri" w:hAnsi="Calibri"/>
                <w:sz w:val="16"/>
                <w:szCs w:val="16"/>
                <w:color w:val="666666"/>
              </w:rPr>
              <w:t>52</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6666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460" w:type="dxa"/>
            <w:vAlign w:val="bottom"/>
          </w:tcPr>
          <w:p>
            <w:pPr>
              <w:spacing w:after="0"/>
              <w:rPr>
                <w:sz w:val="20"/>
                <w:szCs w:val="20"/>
                <w:color w:val="auto"/>
              </w:rPr>
            </w:pPr>
            <w:r>
              <w:rPr>
                <w:rFonts w:ascii="Calibri" w:cs="Calibri" w:eastAsia="Calibri" w:hAnsi="Calibri"/>
                <w:sz w:val="16"/>
                <w:szCs w:val="16"/>
                <w:color w:val="666666"/>
              </w:rPr>
              <w:t>AUDIT COMMITTEE REPORT</w:t>
            </w:r>
          </w:p>
        </w:tc>
        <w:tc>
          <w:tcPr>
            <w:tcW w:w="2340" w:type="dxa"/>
            <w:vAlign w:val="bottom"/>
            <w:gridSpan w:val="3"/>
          </w:tcPr>
          <w:p>
            <w:pPr>
              <w:jc w:val="right"/>
              <w:spacing w:after="0"/>
              <w:rPr>
                <w:sz w:val="20"/>
                <w:szCs w:val="20"/>
                <w:color w:val="auto"/>
              </w:rPr>
            </w:pPr>
            <w:r>
              <w:rPr>
                <w:rFonts w:ascii="Calibri" w:cs="Calibri" w:eastAsia="Calibri" w:hAnsi="Calibri"/>
                <w:sz w:val="16"/>
                <w:szCs w:val="16"/>
                <w:color w:val="666666"/>
              </w:rPr>
              <w:t>53</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6666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460" w:type="dxa"/>
            <w:vAlign w:val="bottom"/>
          </w:tcPr>
          <w:p>
            <w:pPr>
              <w:spacing w:after="0"/>
              <w:rPr>
                <w:sz w:val="20"/>
                <w:szCs w:val="20"/>
                <w:color w:val="auto"/>
              </w:rPr>
            </w:pPr>
            <w:r>
              <w:rPr>
                <w:rFonts w:ascii="Calibri" w:cs="Calibri" w:eastAsia="Calibri" w:hAnsi="Calibri"/>
                <w:sz w:val="16"/>
                <w:szCs w:val="16"/>
                <w:color w:val="666666"/>
              </w:rPr>
              <w:t>PRE-APPROVAL OF SERVICES BY INDEPENDENT REGISTERED PUBLIC ACCOUNTING FIRM</w:t>
            </w:r>
          </w:p>
        </w:tc>
        <w:tc>
          <w:tcPr>
            <w:tcW w:w="2340" w:type="dxa"/>
            <w:vAlign w:val="bottom"/>
            <w:gridSpan w:val="3"/>
          </w:tcPr>
          <w:p>
            <w:pPr>
              <w:jc w:val="right"/>
              <w:spacing w:after="0"/>
              <w:rPr>
                <w:sz w:val="20"/>
                <w:szCs w:val="20"/>
                <w:color w:val="auto"/>
              </w:rPr>
            </w:pPr>
            <w:r>
              <w:rPr>
                <w:rFonts w:ascii="Calibri" w:cs="Calibri" w:eastAsia="Calibri" w:hAnsi="Calibri"/>
                <w:sz w:val="16"/>
                <w:szCs w:val="16"/>
                <w:color w:val="666666"/>
              </w:rPr>
              <w:t>54</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6666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460" w:type="dxa"/>
            <w:vAlign w:val="bottom"/>
          </w:tcPr>
          <w:p>
            <w:pPr>
              <w:spacing w:after="0"/>
              <w:rPr>
                <w:sz w:val="20"/>
                <w:szCs w:val="20"/>
                <w:color w:val="auto"/>
              </w:rPr>
            </w:pPr>
            <w:r>
              <w:rPr>
                <w:rFonts w:ascii="Calibri" w:cs="Calibri" w:eastAsia="Calibri" w:hAnsi="Calibri"/>
                <w:sz w:val="16"/>
                <w:szCs w:val="16"/>
                <w:color w:val="666666"/>
              </w:rPr>
              <w:t>INDEPENDENT REGISTERED PUBLIC ACCOUNTING FIRM FEES</w:t>
            </w:r>
          </w:p>
        </w:tc>
        <w:tc>
          <w:tcPr>
            <w:tcW w:w="2340" w:type="dxa"/>
            <w:vAlign w:val="bottom"/>
            <w:gridSpan w:val="3"/>
          </w:tcPr>
          <w:p>
            <w:pPr>
              <w:jc w:val="right"/>
              <w:spacing w:after="0"/>
              <w:rPr>
                <w:sz w:val="20"/>
                <w:szCs w:val="20"/>
                <w:color w:val="auto"/>
              </w:rPr>
            </w:pPr>
            <w:r>
              <w:rPr>
                <w:rFonts w:ascii="Calibri" w:cs="Calibri" w:eastAsia="Calibri" w:hAnsi="Calibri"/>
                <w:sz w:val="16"/>
                <w:szCs w:val="16"/>
                <w:color w:val="666666"/>
              </w:rPr>
              <w:t>55</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6666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460" w:type="dxa"/>
            <w:vAlign w:val="bottom"/>
          </w:tcPr>
          <w:p>
            <w:pPr>
              <w:spacing w:after="0"/>
              <w:rPr>
                <w:sz w:val="20"/>
                <w:szCs w:val="20"/>
                <w:color w:val="auto"/>
              </w:rPr>
            </w:pPr>
            <w:r>
              <w:rPr>
                <w:rFonts w:ascii="Calibri" w:cs="Calibri" w:eastAsia="Calibri" w:hAnsi="Calibri"/>
                <w:sz w:val="16"/>
                <w:szCs w:val="16"/>
                <w:color w:val="666666"/>
              </w:rPr>
              <w:t>PROPOSAL 2: RATIFICATION OF APPOINTMENT OF ACCOUNTANTS</w:t>
            </w:r>
          </w:p>
        </w:tc>
        <w:tc>
          <w:tcPr>
            <w:tcW w:w="2340" w:type="dxa"/>
            <w:vAlign w:val="bottom"/>
            <w:gridSpan w:val="3"/>
          </w:tcPr>
          <w:p>
            <w:pPr>
              <w:jc w:val="right"/>
              <w:spacing w:after="0"/>
              <w:rPr>
                <w:sz w:val="20"/>
                <w:szCs w:val="20"/>
                <w:color w:val="auto"/>
              </w:rPr>
            </w:pPr>
            <w:r>
              <w:rPr>
                <w:rFonts w:ascii="Calibri" w:cs="Calibri" w:eastAsia="Calibri" w:hAnsi="Calibri"/>
                <w:sz w:val="16"/>
                <w:szCs w:val="16"/>
                <w:color w:val="666666"/>
              </w:rPr>
              <w:t>56</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6666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460" w:type="dxa"/>
            <w:vAlign w:val="bottom"/>
          </w:tcPr>
          <w:p>
            <w:pPr>
              <w:spacing w:after="0"/>
              <w:rPr>
                <w:sz w:val="20"/>
                <w:szCs w:val="20"/>
                <w:color w:val="auto"/>
              </w:rPr>
            </w:pPr>
            <w:r>
              <w:rPr>
                <w:rFonts w:ascii="Calibri" w:cs="Calibri" w:eastAsia="Calibri" w:hAnsi="Calibri"/>
                <w:sz w:val="16"/>
                <w:szCs w:val="16"/>
                <w:color w:val="666666"/>
              </w:rPr>
              <w:t>PROPOSAL 3: ADVISORY VOTE ON COMPANY'S EXECUTIVE COMPENSATION</w:t>
            </w:r>
          </w:p>
        </w:tc>
        <w:tc>
          <w:tcPr>
            <w:tcW w:w="2340" w:type="dxa"/>
            <w:vAlign w:val="bottom"/>
            <w:gridSpan w:val="3"/>
          </w:tcPr>
          <w:p>
            <w:pPr>
              <w:jc w:val="right"/>
              <w:spacing w:after="0"/>
              <w:rPr>
                <w:sz w:val="20"/>
                <w:szCs w:val="20"/>
                <w:color w:val="auto"/>
              </w:rPr>
            </w:pPr>
            <w:r>
              <w:rPr>
                <w:rFonts w:ascii="Calibri" w:cs="Calibri" w:eastAsia="Calibri" w:hAnsi="Calibri"/>
                <w:sz w:val="16"/>
                <w:szCs w:val="16"/>
                <w:color w:val="666666"/>
              </w:rPr>
              <w:t>57</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Calibri" w:cs="Calibri" w:eastAsia="Calibri" w:hAnsi="Calibri"/>
                <w:sz w:val="16"/>
                <w:szCs w:val="16"/>
                <w:color w:val="666666"/>
              </w:rPr>
              <w:t>PROPOSAL 4: ADOPTION OF THE SIXTH AMENDED AND RESTATED CERTIFICATE OF INCORPORATION</w:t>
            </w: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6666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8460" w:type="dxa"/>
            <w:vAlign w:val="bottom"/>
            <w:vMerge w:val="continue"/>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Calibri" w:cs="Calibri" w:eastAsia="Calibri" w:hAnsi="Calibri"/>
                <w:sz w:val="16"/>
                <w:szCs w:val="16"/>
                <w:color w:val="666666"/>
              </w:rPr>
              <w:t>58</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6666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460" w:type="dxa"/>
            <w:vAlign w:val="bottom"/>
          </w:tcPr>
          <w:p>
            <w:pPr>
              <w:spacing w:after="0"/>
              <w:rPr>
                <w:sz w:val="20"/>
                <w:szCs w:val="20"/>
                <w:color w:val="auto"/>
              </w:rPr>
            </w:pPr>
            <w:r>
              <w:rPr>
                <w:rFonts w:ascii="Calibri" w:cs="Calibri" w:eastAsia="Calibri" w:hAnsi="Calibri"/>
                <w:sz w:val="16"/>
                <w:szCs w:val="16"/>
                <w:color w:val="666666"/>
              </w:rPr>
              <w:t>PROPOSAL 5: STOCKHOLDER PROPOSAL</w:t>
            </w:r>
          </w:p>
        </w:tc>
        <w:tc>
          <w:tcPr>
            <w:tcW w:w="2340" w:type="dxa"/>
            <w:vAlign w:val="bottom"/>
            <w:gridSpan w:val="3"/>
          </w:tcPr>
          <w:p>
            <w:pPr>
              <w:jc w:val="right"/>
              <w:spacing w:after="0"/>
              <w:rPr>
                <w:sz w:val="20"/>
                <w:szCs w:val="20"/>
                <w:color w:val="auto"/>
              </w:rPr>
            </w:pPr>
            <w:r>
              <w:rPr>
                <w:rFonts w:ascii="Calibri" w:cs="Calibri" w:eastAsia="Calibri" w:hAnsi="Calibri"/>
                <w:sz w:val="16"/>
                <w:szCs w:val="16"/>
                <w:color w:val="666666"/>
              </w:rPr>
              <w:t>61</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6666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460" w:type="dxa"/>
            <w:vAlign w:val="bottom"/>
          </w:tcPr>
          <w:p>
            <w:pPr>
              <w:spacing w:after="0"/>
              <w:rPr>
                <w:sz w:val="20"/>
                <w:szCs w:val="20"/>
                <w:color w:val="auto"/>
              </w:rPr>
            </w:pPr>
            <w:r>
              <w:rPr>
                <w:rFonts w:ascii="Calibri" w:cs="Calibri" w:eastAsia="Calibri" w:hAnsi="Calibri"/>
                <w:sz w:val="16"/>
                <w:szCs w:val="16"/>
                <w:color w:val="666666"/>
              </w:rPr>
              <w:t>OTHER BUSINESS</w:t>
            </w:r>
          </w:p>
        </w:tc>
        <w:tc>
          <w:tcPr>
            <w:tcW w:w="2340" w:type="dxa"/>
            <w:vAlign w:val="bottom"/>
            <w:gridSpan w:val="3"/>
          </w:tcPr>
          <w:p>
            <w:pPr>
              <w:jc w:val="right"/>
              <w:spacing w:after="0"/>
              <w:rPr>
                <w:sz w:val="20"/>
                <w:szCs w:val="20"/>
                <w:color w:val="auto"/>
              </w:rPr>
            </w:pPr>
            <w:r>
              <w:rPr>
                <w:rFonts w:ascii="Calibri" w:cs="Calibri" w:eastAsia="Calibri" w:hAnsi="Calibri"/>
                <w:sz w:val="16"/>
                <w:szCs w:val="16"/>
                <w:color w:val="666666"/>
              </w:rPr>
              <w:t>64</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6666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460" w:type="dxa"/>
            <w:vAlign w:val="bottom"/>
          </w:tcPr>
          <w:p>
            <w:pPr>
              <w:spacing w:after="0"/>
              <w:rPr>
                <w:sz w:val="20"/>
                <w:szCs w:val="20"/>
                <w:color w:val="auto"/>
              </w:rPr>
            </w:pPr>
            <w:r>
              <w:rPr>
                <w:rFonts w:ascii="Calibri" w:cs="Calibri" w:eastAsia="Calibri" w:hAnsi="Calibri"/>
                <w:sz w:val="16"/>
                <w:szCs w:val="16"/>
                <w:color w:val="666666"/>
              </w:rPr>
              <w:t>IMPORTANT INFORMATION ABOUT ANNUAL MEETING AND PROXY PROCEDURES</w:t>
            </w:r>
          </w:p>
        </w:tc>
        <w:tc>
          <w:tcPr>
            <w:tcW w:w="2340" w:type="dxa"/>
            <w:vAlign w:val="bottom"/>
            <w:gridSpan w:val="3"/>
          </w:tcPr>
          <w:p>
            <w:pPr>
              <w:jc w:val="right"/>
              <w:spacing w:after="0"/>
              <w:rPr>
                <w:sz w:val="20"/>
                <w:szCs w:val="20"/>
                <w:color w:val="auto"/>
              </w:rPr>
            </w:pPr>
            <w:r>
              <w:rPr>
                <w:rFonts w:ascii="Calibri" w:cs="Calibri" w:eastAsia="Calibri" w:hAnsi="Calibri"/>
                <w:sz w:val="16"/>
                <w:szCs w:val="16"/>
                <w:color w:val="666666"/>
              </w:rPr>
              <w:t>65</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6666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460" w:type="dxa"/>
            <w:vAlign w:val="bottom"/>
          </w:tcPr>
          <w:p>
            <w:pPr>
              <w:spacing w:after="0"/>
              <w:rPr>
                <w:sz w:val="20"/>
                <w:szCs w:val="20"/>
                <w:color w:val="auto"/>
              </w:rPr>
            </w:pPr>
            <w:r>
              <w:rPr>
                <w:rFonts w:ascii="Calibri" w:cs="Calibri" w:eastAsia="Calibri" w:hAnsi="Calibri"/>
                <w:sz w:val="16"/>
                <w:szCs w:val="16"/>
                <w:color w:val="666666"/>
              </w:rPr>
              <w:t>Appendix A</w:t>
            </w:r>
          </w:p>
        </w:tc>
        <w:tc>
          <w:tcPr>
            <w:tcW w:w="2340" w:type="dxa"/>
            <w:vAlign w:val="bottom"/>
            <w:gridSpan w:val="3"/>
          </w:tcPr>
          <w:p>
            <w:pPr>
              <w:jc w:val="right"/>
              <w:spacing w:after="0"/>
              <w:rPr>
                <w:sz w:val="20"/>
                <w:szCs w:val="20"/>
                <w:color w:val="auto"/>
              </w:rPr>
            </w:pPr>
            <w:r>
              <w:rPr>
                <w:rFonts w:ascii="Calibri" w:cs="Calibri" w:eastAsia="Calibri" w:hAnsi="Calibri"/>
                <w:sz w:val="16"/>
                <w:szCs w:val="16"/>
                <w:b w:val="1"/>
                <w:bCs w:val="1"/>
                <w:color w:val="666666"/>
              </w:rPr>
              <w:t>A - 1</w:t>
            </w:r>
          </w:p>
        </w:tc>
        <w:tc>
          <w:tcPr>
            <w:tcW w:w="0" w:type="dxa"/>
            <w:vAlign w:val="bottom"/>
          </w:tcPr>
          <w:p>
            <w:pPr>
              <w:spacing w:after="0"/>
              <w:rPr>
                <w:sz w:val="1"/>
                <w:szCs w:val="1"/>
                <w:color w:val="auto"/>
              </w:rPr>
            </w:pPr>
          </w:p>
        </w:tc>
      </w:tr>
      <w:tr>
        <w:trPr>
          <w:trHeight w:val="192"/>
        </w:trPr>
        <w:tc>
          <w:tcPr>
            <w:tcW w:w="8460" w:type="dxa"/>
            <w:vAlign w:val="bottom"/>
          </w:tcPr>
          <w:p>
            <w:pPr>
              <w:spacing w:after="0" w:line="193" w:lineRule="exact"/>
              <w:rPr>
                <w:sz w:val="20"/>
                <w:szCs w:val="20"/>
                <w:color w:val="auto"/>
              </w:rPr>
            </w:pPr>
            <w:r>
              <w:rPr>
                <w:rFonts w:ascii="Calibri" w:cs="Calibri" w:eastAsia="Calibri" w:hAnsi="Calibri"/>
                <w:sz w:val="16"/>
                <w:szCs w:val="16"/>
                <w:color w:val="666666"/>
              </w:rPr>
              <w:t>Appendix B</w:t>
            </w:r>
          </w:p>
        </w:tc>
        <w:tc>
          <w:tcPr>
            <w:tcW w:w="2040" w:type="dxa"/>
            <w:vAlign w:val="bottom"/>
          </w:tcPr>
          <w:p>
            <w:pPr>
              <w:spacing w:after="0"/>
              <w:rPr>
                <w:sz w:val="16"/>
                <w:szCs w:val="16"/>
                <w:color w:val="auto"/>
              </w:rPr>
            </w:pPr>
          </w:p>
        </w:tc>
        <w:tc>
          <w:tcPr>
            <w:tcW w:w="300" w:type="dxa"/>
            <w:vAlign w:val="bottom"/>
            <w:tcBorders>
              <w:top w:val="single" w:sz="8" w:color="666666"/>
              <w:bottom w:val="single" w:sz="8" w:color="666666"/>
            </w:tcBorders>
            <w:gridSpan w:val="2"/>
          </w:tcPr>
          <w:p>
            <w:pPr>
              <w:jc w:val="right"/>
              <w:spacing w:after="0" w:line="193" w:lineRule="exact"/>
              <w:rPr>
                <w:sz w:val="20"/>
                <w:szCs w:val="20"/>
                <w:color w:val="auto"/>
              </w:rPr>
            </w:pPr>
            <w:r>
              <w:rPr>
                <w:rFonts w:ascii="Calibri" w:cs="Calibri" w:eastAsia="Calibri" w:hAnsi="Calibri"/>
                <w:sz w:val="16"/>
                <w:szCs w:val="16"/>
                <w:b w:val="1"/>
                <w:bCs w:val="1"/>
                <w:color w:val="666666"/>
                <w:w w:val="95"/>
              </w:rPr>
              <w:t>B - 1</w:t>
            </w:r>
          </w:p>
        </w:tc>
        <w:tc>
          <w:tcPr>
            <w:tcW w:w="0" w:type="dxa"/>
            <w:vAlign w:val="bottom"/>
          </w:tcPr>
          <w:p>
            <w:pPr>
              <w:spacing w:after="0"/>
              <w:rPr>
                <w:sz w:val="1"/>
                <w:szCs w:val="1"/>
                <w:color w:val="auto"/>
              </w:rPr>
            </w:pPr>
          </w:p>
        </w:tc>
      </w:tr>
    </w:tbl>
    <w:p>
      <w:pPr>
        <w:sectPr>
          <w:pgSz w:w="11900" w:h="16838" w:orient="portrait"/>
          <w:cols w:equalWidth="0" w:num="1">
            <w:col w:w="10820"/>
          </w:cols>
          <w:pgMar w:left="320" w:top="118" w:right="7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Calibri" w:cs="Calibri" w:eastAsia="Calibri" w:hAnsi="Calibri"/>
          <w:sz w:val="28"/>
          <w:szCs w:val="28"/>
          <w:b w:val="1"/>
          <w:bCs w:val="1"/>
          <w:color w:val="547BCC"/>
        </w:rPr>
        <w:t>PROXY STATEMENT SUMMARY</w:t>
      </w:r>
    </w:p>
    <w:p>
      <w:pPr>
        <w:spacing w:after="0" w:line="175" w:lineRule="exact"/>
        <w:rPr>
          <w:sz w:val="20"/>
          <w:szCs w:val="20"/>
          <w:color w:val="auto"/>
        </w:rPr>
      </w:pPr>
    </w:p>
    <w:p>
      <w:pPr>
        <w:jc w:val="both"/>
        <w:spacing w:after="0" w:line="249" w:lineRule="auto"/>
        <w:rPr>
          <w:sz w:val="20"/>
          <w:szCs w:val="20"/>
          <w:color w:val="auto"/>
        </w:rPr>
      </w:pPr>
      <w:r>
        <w:rPr>
          <w:rFonts w:ascii="Calibri" w:cs="Calibri" w:eastAsia="Calibri" w:hAnsi="Calibri"/>
          <w:sz w:val="17"/>
          <w:szCs w:val="17"/>
          <w:color w:val="666666"/>
        </w:rPr>
        <w:t>This summary highlights certain informaton contained elsewhere in this proxy statement. The summary does not contain all of the informaton that you should consider, and you should review our Annual Report on Form 10-K for the year ended March 31, 2022 and the entre proxy statement carefully before votng.</w:t>
      </w:r>
    </w:p>
    <w:p>
      <w:pPr>
        <w:spacing w:after="0" w:line="154" w:lineRule="exact"/>
        <w:rPr>
          <w:sz w:val="20"/>
          <w:szCs w:val="20"/>
          <w:color w:val="auto"/>
        </w:rPr>
      </w:pPr>
    </w:p>
    <w:p>
      <w:pPr>
        <w:jc w:val="both"/>
        <w:spacing w:after="0" w:line="246" w:lineRule="auto"/>
        <w:rPr>
          <w:sz w:val="20"/>
          <w:szCs w:val="20"/>
          <w:color w:val="auto"/>
        </w:rPr>
      </w:pPr>
      <w:r>
        <w:rPr>
          <w:rFonts w:ascii="Calibri" w:cs="Calibri" w:eastAsia="Calibri" w:hAnsi="Calibri"/>
          <w:sz w:val="17"/>
          <w:szCs w:val="17"/>
          <w:i w:val="1"/>
          <w:iCs w:val="1"/>
          <w:color w:val="666666"/>
        </w:rPr>
        <w:t>Unless the context otherwise indicates or requires, as used in this proxy statement, references to: (i) the “Company,” “we,” “us,” “our,” or our “company” refer to Booz Allen Hamilton Holding Corporaton, its consolidated subsidiaries and predecessors; (ii) “Booz Allen Holding” or "Booz Allen" refers to Booz Allen Hamilton Holding Corporaton exclusive of its subsidiaries; (iii) “Booz Allen Hamilton” refers to Booz Allen Hamilton Inc., our primary operatng company and a wholly-owned subsidiary of Booz Allen Holding; (iv) “our Board” or “the Board” means the Board of Directors of the Company; (v) “stockholder” means holders of our Class A common stock; (vi) “fscal,” refers to our fscal years ended March 31; and (vii) “you,” “your,” “yours,” or other words of similar import in this proxy statement refers to stockholders enttled to vote on the maters to be presented at the 2022 Annual Meetng of Stockholders (the "Annual Meetng").</w:t>
      </w:r>
    </w:p>
    <w:p>
      <w:pPr>
        <w:spacing w:after="0" w:line="147"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2022 Annual Meetng of Stockholders</w:t>
      </w:r>
    </w:p>
    <w:p>
      <w:pPr>
        <w:spacing w:after="0" w:line="157" w:lineRule="exact"/>
        <w:rPr>
          <w:sz w:val="20"/>
          <w:szCs w:val="20"/>
          <w:color w:val="auto"/>
        </w:rPr>
      </w:pPr>
    </w:p>
    <w:p>
      <w:pPr>
        <w:spacing w:after="0"/>
        <w:tabs>
          <w:tab w:leader="none" w:pos="1300" w:val="left"/>
        </w:tabs>
        <w:rPr>
          <w:sz w:val="20"/>
          <w:szCs w:val="20"/>
          <w:color w:val="auto"/>
        </w:rPr>
      </w:pPr>
      <w:r>
        <w:rPr>
          <w:rFonts w:ascii="Calibri" w:cs="Calibri" w:eastAsia="Calibri" w:hAnsi="Calibri"/>
          <w:sz w:val="18"/>
          <w:szCs w:val="18"/>
          <w:b w:val="1"/>
          <w:bCs w:val="1"/>
          <w:color w:val="666666"/>
        </w:rPr>
        <w:t>Date and Time:</w:t>
      </w:r>
      <w:r>
        <w:rPr>
          <w:sz w:val="20"/>
          <w:szCs w:val="20"/>
          <w:color w:val="auto"/>
        </w:rPr>
        <w:tab/>
      </w:r>
      <w:r>
        <w:rPr>
          <w:rFonts w:ascii="Calibri" w:cs="Calibri" w:eastAsia="Calibri" w:hAnsi="Calibri"/>
          <w:sz w:val="17"/>
          <w:szCs w:val="17"/>
          <w:color w:val="666666"/>
        </w:rPr>
        <w:t>July 27, 2022 at 8:00 a.m. (EDT)</w:t>
      </w:r>
    </w:p>
    <w:p>
      <w:pPr>
        <w:spacing w:after="0" w:line="152"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18"/>
          <w:szCs w:val="18"/>
          <w:b w:val="1"/>
          <w:bCs w:val="1"/>
          <w:color w:val="666666"/>
        </w:rPr>
        <w:t>Place:</w:t>
      </w:r>
      <w:r>
        <w:rPr>
          <w:sz w:val="20"/>
          <w:szCs w:val="20"/>
          <w:color w:val="auto"/>
        </w:rPr>
        <w:tab/>
      </w:r>
      <w:r>
        <w:rPr>
          <w:rFonts w:ascii="Calibri" w:cs="Calibri" w:eastAsia="Calibri" w:hAnsi="Calibri"/>
          <w:sz w:val="18"/>
          <w:szCs w:val="18"/>
          <w:color w:val="666666"/>
        </w:rPr>
        <w:t>Virtual meetng at www.virtualshareholdermeetng.com/BAH2022</w:t>
      </w:r>
    </w:p>
    <w:p>
      <w:pPr>
        <w:spacing w:after="0" w:line="152" w:lineRule="exact"/>
        <w:rPr>
          <w:sz w:val="20"/>
          <w:szCs w:val="20"/>
          <w:color w:val="auto"/>
        </w:rPr>
      </w:pPr>
    </w:p>
    <w:p>
      <w:pPr>
        <w:spacing w:after="0"/>
        <w:tabs>
          <w:tab w:leader="none" w:pos="1120" w:val="left"/>
        </w:tabs>
        <w:rPr>
          <w:sz w:val="20"/>
          <w:szCs w:val="20"/>
          <w:color w:val="auto"/>
        </w:rPr>
      </w:pPr>
      <w:r>
        <w:rPr>
          <w:rFonts w:ascii="Calibri" w:cs="Calibri" w:eastAsia="Calibri" w:hAnsi="Calibri"/>
          <w:sz w:val="18"/>
          <w:szCs w:val="18"/>
          <w:b w:val="1"/>
          <w:bCs w:val="1"/>
          <w:color w:val="666666"/>
        </w:rPr>
        <w:t>Record date:</w:t>
      </w:r>
      <w:r>
        <w:rPr>
          <w:sz w:val="20"/>
          <w:szCs w:val="20"/>
          <w:color w:val="auto"/>
        </w:rPr>
        <w:tab/>
      </w:r>
      <w:r>
        <w:rPr>
          <w:rFonts w:ascii="Calibri" w:cs="Calibri" w:eastAsia="Calibri" w:hAnsi="Calibri"/>
          <w:sz w:val="17"/>
          <w:szCs w:val="17"/>
          <w:color w:val="666666"/>
        </w:rPr>
        <w:t>June 6, 2022</w:t>
      </w:r>
    </w:p>
    <w:p>
      <w:pPr>
        <w:spacing w:after="0" w:line="161" w:lineRule="exact"/>
        <w:rPr>
          <w:sz w:val="20"/>
          <w:szCs w:val="20"/>
          <w:color w:val="auto"/>
        </w:rPr>
      </w:pPr>
    </w:p>
    <w:p>
      <w:pPr>
        <w:jc w:val="both"/>
        <w:ind w:left="1240" w:hanging="1911"/>
        <w:spacing w:after="0" w:line="231" w:lineRule="auto"/>
        <w:tabs>
          <w:tab w:leader="none" w:pos="1220" w:val="left"/>
        </w:tabs>
        <w:rPr>
          <w:sz w:val="20"/>
          <w:szCs w:val="20"/>
          <w:color w:val="auto"/>
        </w:rPr>
      </w:pPr>
      <w:r>
        <w:rPr>
          <w:rFonts w:ascii="Calibri" w:cs="Calibri" w:eastAsia="Calibri" w:hAnsi="Calibri"/>
          <w:sz w:val="18"/>
          <w:szCs w:val="18"/>
          <w:b w:val="1"/>
          <w:bCs w:val="1"/>
          <w:color w:val="666666"/>
        </w:rPr>
        <w:t>Admission:</w:t>
      </w:r>
      <w:r>
        <w:rPr>
          <w:sz w:val="20"/>
          <w:szCs w:val="20"/>
          <w:color w:val="auto"/>
        </w:rPr>
        <w:tab/>
      </w:r>
      <w:r>
        <w:rPr>
          <w:rFonts w:ascii="Calibri" w:cs="Calibri" w:eastAsia="Calibri" w:hAnsi="Calibri"/>
          <w:sz w:val="18"/>
          <w:szCs w:val="18"/>
          <w:color w:val="666666"/>
        </w:rPr>
        <w:t>Our 2022 Annual Meetng of Stockholders will be a virtual meetng conducted solely online and can be atended by visitng www.virtualshareholdermeetng.com/BAH2022. To partcipate in the Annual Meetng, you will need the control number located on your proxy card or the instructons that accompanied your proxy materials. If you plan to partcipate in the virtual meetng, please see "Important Informaton about Annual Meetng and Proxy Procedures."</w:t>
      </w:r>
    </w:p>
    <w:p>
      <w:pPr>
        <w:spacing w:after="0" w:line="152"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Votng Maters and Board Recommendatons</w:t>
      </w:r>
    </w:p>
    <w:p>
      <w:pPr>
        <w:spacing w:after="0" w:line="157" w:lineRule="exact"/>
        <w:rPr>
          <w:sz w:val="20"/>
          <w:szCs w:val="20"/>
          <w:color w:val="auto"/>
        </w:rPr>
      </w:pPr>
    </w:p>
    <w:p>
      <w:pPr>
        <w:spacing w:after="0"/>
        <w:rPr>
          <w:sz w:val="20"/>
          <w:szCs w:val="20"/>
          <w:color w:val="auto"/>
        </w:rPr>
      </w:pPr>
      <w:r>
        <w:rPr>
          <w:rFonts w:ascii="Calibri" w:cs="Calibri" w:eastAsia="Calibri" w:hAnsi="Calibri"/>
          <w:sz w:val="18"/>
          <w:szCs w:val="18"/>
          <w:color w:val="666666"/>
        </w:rPr>
        <w:t>Stockholders are being asked to vote on the following maters at the 2022 Annual Meetng of Stockholders: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00" w:type="dxa"/>
            <w:vAlign w:val="bottom"/>
            <w:shd w:val="clear" w:color="auto" w:fill="CCEEFF"/>
          </w:tcPr>
          <w:p>
            <w:pPr>
              <w:spacing w:after="0"/>
              <w:rPr>
                <w:sz w:val="19"/>
                <w:szCs w:val="19"/>
                <w:color w:val="auto"/>
              </w:rPr>
            </w:pPr>
          </w:p>
        </w:tc>
        <w:tc>
          <w:tcPr>
            <w:tcW w:w="708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Calibri" w:cs="Calibri" w:eastAsia="Calibri" w:hAnsi="Calibri"/>
                <w:sz w:val="18"/>
                <w:szCs w:val="18"/>
                <w:b w:val="1"/>
                <w:bCs w:val="1"/>
                <w:color w:val="auto"/>
                <w:w w:val="99"/>
              </w:rPr>
              <w:t>Board's Votng</w:t>
            </w: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000" w:type="dxa"/>
            <w:vAlign w:val="bottom"/>
            <w:tcBorders>
              <w:bottom w:val="single" w:sz="8" w:color="CCEEFF"/>
            </w:tcBorders>
            <w:shd w:val="clear" w:color="auto" w:fill="CCEEFF"/>
          </w:tcPr>
          <w:p>
            <w:pPr>
              <w:jc w:val="center"/>
              <w:ind w:left="31"/>
              <w:spacing w:after="0"/>
              <w:rPr>
                <w:sz w:val="20"/>
                <w:szCs w:val="20"/>
                <w:color w:val="auto"/>
              </w:rPr>
            </w:pPr>
            <w:r>
              <w:rPr>
                <w:rFonts w:ascii="Calibri" w:cs="Calibri" w:eastAsia="Calibri" w:hAnsi="Calibri"/>
                <w:sz w:val="18"/>
                <w:szCs w:val="18"/>
                <w:b w:val="1"/>
                <w:bCs w:val="1"/>
                <w:color w:val="auto"/>
                <w:w w:val="97"/>
              </w:rPr>
              <w:t>Proposal</w:t>
            </w:r>
          </w:p>
        </w:tc>
        <w:tc>
          <w:tcPr>
            <w:tcW w:w="7080" w:type="dxa"/>
            <w:vAlign w:val="bottom"/>
            <w:tcBorders>
              <w:bottom w:val="single" w:sz="8" w:color="CCEEFF"/>
            </w:tcBorders>
            <w:shd w:val="clear" w:color="auto" w:fill="CCEEFF"/>
          </w:tcPr>
          <w:p>
            <w:pPr>
              <w:ind w:left="3120"/>
              <w:spacing w:after="0"/>
              <w:rPr>
                <w:sz w:val="20"/>
                <w:szCs w:val="20"/>
                <w:color w:val="auto"/>
              </w:rPr>
            </w:pPr>
            <w:r>
              <w:rPr>
                <w:rFonts w:ascii="Calibri" w:cs="Calibri" w:eastAsia="Calibri" w:hAnsi="Calibri"/>
                <w:sz w:val="18"/>
                <w:szCs w:val="18"/>
                <w:b w:val="1"/>
                <w:bCs w:val="1"/>
                <w:color w:val="auto"/>
              </w:rPr>
              <w:t>Descripton</w:t>
            </w:r>
          </w:p>
        </w:tc>
        <w:tc>
          <w:tcPr>
            <w:tcW w:w="1680" w:type="dxa"/>
            <w:vAlign w:val="bottom"/>
            <w:tcBorders>
              <w:bottom w:val="single" w:sz="8" w:color="CCEEFF"/>
            </w:tcBorders>
            <w:shd w:val="clear" w:color="auto" w:fill="CCEEFF"/>
          </w:tcPr>
          <w:p>
            <w:pPr>
              <w:jc w:val="center"/>
              <w:ind w:right="11"/>
              <w:spacing w:after="0" w:line="211" w:lineRule="exact"/>
              <w:rPr>
                <w:sz w:val="20"/>
                <w:szCs w:val="20"/>
                <w:color w:val="auto"/>
              </w:rPr>
            </w:pPr>
            <w:r>
              <w:rPr>
                <w:rFonts w:ascii="Calibri" w:cs="Calibri" w:eastAsia="Calibri" w:hAnsi="Calibri"/>
                <w:sz w:val="18"/>
                <w:szCs w:val="18"/>
                <w:b w:val="1"/>
                <w:bCs w:val="1"/>
                <w:color w:val="auto"/>
                <w:w w:val="97"/>
              </w:rPr>
              <w:t>Recommendaton</w:t>
            </w:r>
          </w:p>
        </w:tc>
        <w:tc>
          <w:tcPr>
            <w:tcW w:w="1480" w:type="dxa"/>
            <w:vAlign w:val="bottom"/>
            <w:tcBorders>
              <w:bottom w:val="single" w:sz="8" w:color="CCEEFF"/>
            </w:tcBorders>
            <w:shd w:val="clear" w:color="auto" w:fill="CCEEFF"/>
          </w:tcPr>
          <w:p>
            <w:pPr>
              <w:ind w:left="200"/>
              <w:spacing w:after="0"/>
              <w:rPr>
                <w:sz w:val="20"/>
                <w:szCs w:val="20"/>
                <w:color w:val="auto"/>
              </w:rPr>
            </w:pPr>
            <w:r>
              <w:rPr>
                <w:rFonts w:ascii="Calibri" w:cs="Calibri" w:eastAsia="Calibri" w:hAnsi="Calibri"/>
                <w:sz w:val="18"/>
                <w:szCs w:val="18"/>
                <w:b w:val="1"/>
                <w:bCs w:val="1"/>
                <w:color w:val="auto"/>
              </w:rPr>
              <w:t>Page Reference</w:t>
            </w:r>
          </w:p>
        </w:tc>
        <w:tc>
          <w:tcPr>
            <w:tcW w:w="0" w:type="dxa"/>
            <w:vAlign w:val="bottom"/>
          </w:tcPr>
          <w:p>
            <w:pPr>
              <w:spacing w:after="0"/>
              <w:rPr>
                <w:sz w:val="1"/>
                <w:szCs w:val="1"/>
                <w:color w:val="auto"/>
              </w:rPr>
            </w:pPr>
          </w:p>
        </w:tc>
      </w:tr>
      <w:tr>
        <w:trPr>
          <w:trHeight w:val="212"/>
        </w:trPr>
        <w:tc>
          <w:tcPr>
            <w:tcW w:w="1000" w:type="dxa"/>
            <w:vAlign w:val="bottom"/>
            <w:tcBorders>
              <w:top w:val="single" w:sz="8" w:color="auto"/>
              <w:bottom w:val="single" w:sz="8" w:color="auto"/>
            </w:tcBorders>
          </w:tcPr>
          <w:p>
            <w:pPr>
              <w:jc w:val="center"/>
              <w:ind w:left="31"/>
              <w:spacing w:after="0" w:line="211" w:lineRule="exact"/>
              <w:rPr>
                <w:sz w:val="20"/>
                <w:szCs w:val="20"/>
                <w:color w:val="auto"/>
              </w:rPr>
            </w:pPr>
            <w:r>
              <w:rPr>
                <w:rFonts w:ascii="Calibri" w:cs="Calibri" w:eastAsia="Calibri" w:hAnsi="Calibri"/>
                <w:sz w:val="18"/>
                <w:szCs w:val="18"/>
                <w:color w:val="auto"/>
                <w:w w:val="92"/>
              </w:rPr>
              <w:t>No. 1</w:t>
            </w:r>
          </w:p>
        </w:tc>
        <w:tc>
          <w:tcPr>
            <w:tcW w:w="7080" w:type="dxa"/>
            <w:vAlign w:val="bottom"/>
            <w:tcBorders>
              <w:top w:val="single" w:sz="8" w:color="auto"/>
              <w:bottom w:val="single" w:sz="8" w:color="auto"/>
            </w:tcBorders>
          </w:tcPr>
          <w:p>
            <w:pPr>
              <w:ind w:left="120"/>
              <w:spacing w:after="0" w:line="211" w:lineRule="exact"/>
              <w:rPr>
                <w:sz w:val="20"/>
                <w:szCs w:val="20"/>
                <w:color w:val="auto"/>
              </w:rPr>
            </w:pPr>
            <w:r>
              <w:rPr>
                <w:rFonts w:ascii="Calibri" w:cs="Calibri" w:eastAsia="Calibri" w:hAnsi="Calibri"/>
                <w:sz w:val="18"/>
                <w:szCs w:val="18"/>
                <w:color w:val="auto"/>
              </w:rPr>
              <w:t>Electon of seven director nominees</w:t>
            </w:r>
          </w:p>
        </w:tc>
        <w:tc>
          <w:tcPr>
            <w:tcW w:w="1680" w:type="dxa"/>
            <w:vAlign w:val="bottom"/>
            <w:tcBorders>
              <w:top w:val="single" w:sz="8" w:color="auto"/>
              <w:bottom w:val="single" w:sz="8" w:color="auto"/>
            </w:tcBorders>
          </w:tcPr>
          <w:p>
            <w:pPr>
              <w:jc w:val="center"/>
              <w:ind w:right="11"/>
              <w:spacing w:after="0" w:line="211" w:lineRule="exact"/>
              <w:rPr>
                <w:sz w:val="20"/>
                <w:szCs w:val="20"/>
                <w:color w:val="auto"/>
              </w:rPr>
            </w:pPr>
            <w:r>
              <w:rPr>
                <w:rFonts w:ascii="Calibri" w:cs="Calibri" w:eastAsia="Calibri" w:hAnsi="Calibri"/>
                <w:sz w:val="18"/>
                <w:szCs w:val="18"/>
                <w:b w:val="1"/>
                <w:bCs w:val="1"/>
                <w:color w:val="auto"/>
                <w:w w:val="95"/>
              </w:rPr>
              <w:t>FOR each nominee</w:t>
            </w:r>
          </w:p>
        </w:tc>
        <w:tc>
          <w:tcPr>
            <w:tcW w:w="1480" w:type="dxa"/>
            <w:vAlign w:val="bottom"/>
            <w:tcBorders>
              <w:top w:val="single" w:sz="8" w:color="auto"/>
              <w:bottom w:val="single" w:sz="8" w:color="auto"/>
            </w:tcBorders>
          </w:tcPr>
          <w:p>
            <w:pPr>
              <w:jc w:val="center"/>
              <w:spacing w:after="0" w:line="211" w:lineRule="exact"/>
              <w:rPr>
                <w:sz w:val="20"/>
                <w:szCs w:val="20"/>
                <w:color w:val="auto"/>
              </w:rPr>
            </w:pPr>
            <w:r>
              <w:rPr>
                <w:rFonts w:ascii="Calibri" w:cs="Calibri" w:eastAsia="Calibri" w:hAnsi="Calibri"/>
                <w:sz w:val="18"/>
                <w:szCs w:val="18"/>
                <w:color w:val="auto"/>
              </w:rPr>
              <w:t>8</w:t>
            </w:r>
          </w:p>
        </w:tc>
        <w:tc>
          <w:tcPr>
            <w:tcW w:w="0" w:type="dxa"/>
            <w:vAlign w:val="bottom"/>
          </w:tcPr>
          <w:p>
            <w:pPr>
              <w:spacing w:after="0"/>
              <w:rPr>
                <w:sz w:val="1"/>
                <w:szCs w:val="1"/>
                <w:color w:val="auto"/>
              </w:rPr>
            </w:pPr>
          </w:p>
        </w:tc>
      </w:tr>
      <w:tr>
        <w:trPr>
          <w:trHeight w:val="165"/>
        </w:trPr>
        <w:tc>
          <w:tcPr>
            <w:tcW w:w="1000" w:type="dxa"/>
            <w:vAlign w:val="bottom"/>
            <w:vMerge w:val="restart"/>
            <w:shd w:val="clear" w:color="auto" w:fill="CCEEFF"/>
          </w:tcPr>
          <w:p>
            <w:pPr>
              <w:jc w:val="center"/>
              <w:ind w:left="31"/>
              <w:spacing w:after="0"/>
              <w:rPr>
                <w:sz w:val="20"/>
                <w:szCs w:val="20"/>
                <w:color w:val="auto"/>
              </w:rPr>
            </w:pPr>
            <w:r>
              <w:rPr>
                <w:rFonts w:ascii="Calibri" w:cs="Calibri" w:eastAsia="Calibri" w:hAnsi="Calibri"/>
                <w:sz w:val="18"/>
                <w:szCs w:val="18"/>
                <w:color w:val="auto"/>
                <w:w w:val="92"/>
              </w:rPr>
              <w:t>No. 2</w:t>
            </w:r>
          </w:p>
        </w:tc>
        <w:tc>
          <w:tcPr>
            <w:tcW w:w="7080" w:type="dxa"/>
            <w:vAlign w:val="bottom"/>
            <w:shd w:val="clear" w:color="auto" w:fill="CCEEFF"/>
          </w:tcPr>
          <w:p>
            <w:pPr>
              <w:ind w:left="120"/>
              <w:spacing w:after="0" w:line="165" w:lineRule="exact"/>
              <w:rPr>
                <w:sz w:val="20"/>
                <w:szCs w:val="20"/>
                <w:color w:val="auto"/>
              </w:rPr>
            </w:pPr>
            <w:r>
              <w:rPr>
                <w:rFonts w:ascii="Calibri" w:cs="Calibri" w:eastAsia="Calibri" w:hAnsi="Calibri"/>
                <w:sz w:val="18"/>
                <w:szCs w:val="18"/>
                <w:color w:val="auto"/>
              </w:rPr>
              <w:t>Ratfcaton of appointment of Ernst &amp; Young LLP ("E&amp;Y") as the Company's independent</w:t>
            </w:r>
          </w:p>
        </w:tc>
        <w:tc>
          <w:tcPr>
            <w:tcW w:w="1680" w:type="dxa"/>
            <w:vAlign w:val="bottom"/>
            <w:vMerge w:val="restart"/>
            <w:shd w:val="clear" w:color="auto" w:fill="CCEEFF"/>
          </w:tcPr>
          <w:p>
            <w:pPr>
              <w:jc w:val="center"/>
              <w:ind w:right="11"/>
              <w:spacing w:after="0"/>
              <w:rPr>
                <w:sz w:val="20"/>
                <w:szCs w:val="20"/>
                <w:color w:val="auto"/>
              </w:rPr>
            </w:pPr>
            <w:r>
              <w:rPr>
                <w:rFonts w:ascii="Calibri" w:cs="Calibri" w:eastAsia="Calibri" w:hAnsi="Calibri"/>
                <w:sz w:val="18"/>
                <w:szCs w:val="18"/>
                <w:b w:val="1"/>
                <w:bCs w:val="1"/>
                <w:color w:val="auto"/>
                <w:w w:val="97"/>
              </w:rPr>
              <w:t>FOR</w:t>
            </w:r>
          </w:p>
        </w:tc>
        <w:tc>
          <w:tcPr>
            <w:tcW w:w="1480" w:type="dxa"/>
            <w:vAlign w:val="bottom"/>
            <w:vMerge w:val="restart"/>
            <w:shd w:val="clear" w:color="auto" w:fill="CCEEFF"/>
          </w:tcPr>
          <w:p>
            <w:pPr>
              <w:jc w:val="center"/>
              <w:spacing w:after="0"/>
              <w:rPr>
                <w:sz w:val="20"/>
                <w:szCs w:val="20"/>
                <w:color w:val="auto"/>
              </w:rPr>
            </w:pPr>
            <w:r>
              <w:rPr>
                <w:rFonts w:ascii="Calibri" w:cs="Calibri" w:eastAsia="Calibri" w:hAnsi="Calibri"/>
                <w:sz w:val="18"/>
                <w:szCs w:val="18"/>
                <w:color w:val="auto"/>
                <w:w w:val="98"/>
              </w:rPr>
              <w:t>56</w:t>
            </w:r>
          </w:p>
        </w:tc>
        <w:tc>
          <w:tcPr>
            <w:tcW w:w="0" w:type="dxa"/>
            <w:vAlign w:val="bottom"/>
          </w:tcPr>
          <w:p>
            <w:pPr>
              <w:spacing w:after="0"/>
              <w:rPr>
                <w:sz w:val="1"/>
                <w:szCs w:val="1"/>
                <w:color w:val="auto"/>
              </w:rPr>
            </w:pPr>
          </w:p>
        </w:tc>
      </w:tr>
      <w:tr>
        <w:trPr>
          <w:trHeight w:val="131"/>
        </w:trPr>
        <w:tc>
          <w:tcPr>
            <w:tcW w:w="1000" w:type="dxa"/>
            <w:vAlign w:val="bottom"/>
            <w:vMerge w:val="continue"/>
            <w:shd w:val="clear" w:color="auto" w:fill="CCEEFF"/>
          </w:tcPr>
          <w:p>
            <w:pPr>
              <w:spacing w:after="0"/>
              <w:rPr>
                <w:sz w:val="11"/>
                <w:szCs w:val="11"/>
                <w:color w:val="auto"/>
              </w:rPr>
            </w:pPr>
          </w:p>
        </w:tc>
        <w:tc>
          <w:tcPr>
            <w:tcW w:w="7080" w:type="dxa"/>
            <w:vAlign w:val="bottom"/>
            <w:vMerge w:val="restart"/>
            <w:shd w:val="clear" w:color="auto" w:fill="CCEEFF"/>
          </w:tcPr>
          <w:p>
            <w:pPr>
              <w:ind w:left="120"/>
              <w:spacing w:after="0" w:line="211" w:lineRule="exact"/>
              <w:rPr>
                <w:sz w:val="20"/>
                <w:szCs w:val="20"/>
                <w:color w:val="auto"/>
              </w:rPr>
            </w:pPr>
            <w:r>
              <w:rPr>
                <w:rFonts w:ascii="Calibri" w:cs="Calibri" w:eastAsia="Calibri" w:hAnsi="Calibri"/>
                <w:sz w:val="18"/>
                <w:szCs w:val="18"/>
                <w:color w:val="auto"/>
              </w:rPr>
              <w:t>registered accountng frm for fscal year 2023</w:t>
            </w:r>
          </w:p>
        </w:tc>
        <w:tc>
          <w:tcPr>
            <w:tcW w:w="1680" w:type="dxa"/>
            <w:vAlign w:val="bottom"/>
            <w:vMerge w:val="continue"/>
            <w:shd w:val="clear" w:color="auto" w:fill="CCEEFF"/>
          </w:tcPr>
          <w:p>
            <w:pPr>
              <w:spacing w:after="0"/>
              <w:rPr>
                <w:sz w:val="11"/>
                <w:szCs w:val="11"/>
                <w:color w:val="auto"/>
              </w:rPr>
            </w:pPr>
          </w:p>
        </w:tc>
        <w:tc>
          <w:tcPr>
            <w:tcW w:w="14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CCEEFF"/>
            </w:tcBorders>
            <w:shd w:val="clear" w:color="auto" w:fill="CCEEFF"/>
          </w:tcPr>
          <w:p>
            <w:pPr>
              <w:spacing w:after="0"/>
              <w:rPr>
                <w:sz w:val="10"/>
                <w:szCs w:val="10"/>
                <w:color w:val="auto"/>
              </w:rPr>
            </w:pPr>
          </w:p>
        </w:tc>
        <w:tc>
          <w:tcPr>
            <w:tcW w:w="7080" w:type="dxa"/>
            <w:vAlign w:val="bottom"/>
            <w:tcBorders>
              <w:bottom w:val="single" w:sz="8" w:color="CCEEFF"/>
            </w:tcBorders>
            <w:vMerge w:val="continue"/>
            <w:shd w:val="clear" w:color="auto" w:fill="CCEEFF"/>
          </w:tcPr>
          <w:p>
            <w:pPr>
              <w:spacing w:after="0"/>
              <w:rPr>
                <w:sz w:val="10"/>
                <w:szCs w:val="10"/>
                <w:color w:val="auto"/>
              </w:rPr>
            </w:pPr>
          </w:p>
        </w:tc>
        <w:tc>
          <w:tcPr>
            <w:tcW w:w="1680" w:type="dxa"/>
            <w:vAlign w:val="bottom"/>
            <w:tcBorders>
              <w:bottom w:val="single" w:sz="8" w:color="CCEEFF"/>
            </w:tcBorders>
            <w:shd w:val="clear" w:color="auto" w:fill="CCEEFF"/>
          </w:tcPr>
          <w:p>
            <w:pPr>
              <w:spacing w:after="0"/>
              <w:rPr>
                <w:sz w:val="10"/>
                <w:szCs w:val="10"/>
                <w:color w:val="auto"/>
              </w:rPr>
            </w:pPr>
          </w:p>
        </w:tc>
        <w:tc>
          <w:tcPr>
            <w:tcW w:w="14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00" w:type="dxa"/>
            <w:vAlign w:val="bottom"/>
            <w:tcBorders>
              <w:top w:val="single" w:sz="8" w:color="auto"/>
            </w:tcBorders>
          </w:tcPr>
          <w:p>
            <w:pPr>
              <w:spacing w:after="0"/>
              <w:rPr>
                <w:sz w:val="13"/>
                <w:szCs w:val="13"/>
                <w:color w:val="auto"/>
              </w:rPr>
            </w:pPr>
          </w:p>
        </w:tc>
        <w:tc>
          <w:tcPr>
            <w:tcW w:w="7080" w:type="dxa"/>
            <w:vAlign w:val="bottom"/>
            <w:tcBorders>
              <w:top w:val="single" w:sz="8" w:color="auto"/>
            </w:tcBorders>
          </w:tcPr>
          <w:p>
            <w:pPr>
              <w:ind w:left="120"/>
              <w:spacing w:after="0" w:line="159" w:lineRule="exact"/>
              <w:rPr>
                <w:sz w:val="20"/>
                <w:szCs w:val="20"/>
                <w:color w:val="auto"/>
              </w:rPr>
            </w:pPr>
            <w:r>
              <w:rPr>
                <w:rFonts w:ascii="Calibri" w:cs="Calibri" w:eastAsia="Calibri" w:hAnsi="Calibri"/>
                <w:sz w:val="17"/>
                <w:szCs w:val="17"/>
                <w:color w:val="auto"/>
              </w:rPr>
              <w:t>A non-binding advisory vote on the compensaton program for the Company’s named executve</w:t>
            </w:r>
          </w:p>
        </w:tc>
        <w:tc>
          <w:tcPr>
            <w:tcW w:w="168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000" w:type="dxa"/>
            <w:vAlign w:val="bottom"/>
          </w:tcPr>
          <w:p>
            <w:pPr>
              <w:jc w:val="center"/>
              <w:ind w:left="31"/>
              <w:spacing w:after="0" w:line="173" w:lineRule="exact"/>
              <w:rPr>
                <w:sz w:val="20"/>
                <w:szCs w:val="20"/>
                <w:color w:val="auto"/>
              </w:rPr>
            </w:pPr>
            <w:r>
              <w:rPr>
                <w:rFonts w:ascii="Calibri" w:cs="Calibri" w:eastAsia="Calibri" w:hAnsi="Calibri"/>
                <w:sz w:val="18"/>
                <w:szCs w:val="18"/>
                <w:color w:val="auto"/>
                <w:w w:val="92"/>
              </w:rPr>
              <w:t>No. 3</w:t>
            </w:r>
          </w:p>
        </w:tc>
        <w:tc>
          <w:tcPr>
            <w:tcW w:w="7080" w:type="dxa"/>
            <w:vAlign w:val="bottom"/>
          </w:tcPr>
          <w:p>
            <w:pPr>
              <w:ind w:left="120"/>
              <w:spacing w:after="0" w:line="173" w:lineRule="exact"/>
              <w:rPr>
                <w:sz w:val="20"/>
                <w:szCs w:val="20"/>
                <w:color w:val="auto"/>
              </w:rPr>
            </w:pPr>
            <w:r>
              <w:rPr>
                <w:rFonts w:ascii="Calibri" w:cs="Calibri" w:eastAsia="Calibri" w:hAnsi="Calibri"/>
                <w:sz w:val="18"/>
                <w:szCs w:val="18"/>
                <w:color w:val="auto"/>
              </w:rPr>
              <w:t>ofcers, as disclosed in the Compensaton Discussion and Analysis ("CD&amp;A") of the proxy</w:t>
            </w:r>
          </w:p>
        </w:tc>
        <w:tc>
          <w:tcPr>
            <w:tcW w:w="1680" w:type="dxa"/>
            <w:vAlign w:val="bottom"/>
          </w:tcPr>
          <w:p>
            <w:pPr>
              <w:jc w:val="center"/>
              <w:ind w:right="11"/>
              <w:spacing w:after="0" w:line="173" w:lineRule="exact"/>
              <w:rPr>
                <w:sz w:val="20"/>
                <w:szCs w:val="20"/>
                <w:color w:val="auto"/>
              </w:rPr>
            </w:pPr>
            <w:r>
              <w:rPr>
                <w:rFonts w:ascii="Calibri" w:cs="Calibri" w:eastAsia="Calibri" w:hAnsi="Calibri"/>
                <w:sz w:val="18"/>
                <w:szCs w:val="18"/>
                <w:b w:val="1"/>
                <w:bCs w:val="1"/>
                <w:color w:val="auto"/>
                <w:w w:val="97"/>
              </w:rPr>
              <w:t>FOR</w:t>
            </w:r>
          </w:p>
        </w:tc>
        <w:tc>
          <w:tcPr>
            <w:tcW w:w="1480" w:type="dxa"/>
            <w:vAlign w:val="bottom"/>
          </w:tcPr>
          <w:p>
            <w:pPr>
              <w:jc w:val="center"/>
              <w:spacing w:after="0" w:line="173" w:lineRule="exact"/>
              <w:rPr>
                <w:sz w:val="20"/>
                <w:szCs w:val="20"/>
                <w:color w:val="auto"/>
              </w:rPr>
            </w:pPr>
            <w:r>
              <w:rPr>
                <w:rFonts w:ascii="Calibri" w:cs="Calibri" w:eastAsia="Calibri" w:hAnsi="Calibri"/>
                <w:sz w:val="18"/>
                <w:szCs w:val="18"/>
                <w:color w:val="auto"/>
                <w:w w:val="98"/>
              </w:rPr>
              <w:t>57</w:t>
            </w:r>
          </w:p>
        </w:tc>
        <w:tc>
          <w:tcPr>
            <w:tcW w:w="0" w:type="dxa"/>
            <w:vAlign w:val="bottom"/>
          </w:tcPr>
          <w:p>
            <w:pPr>
              <w:spacing w:after="0"/>
              <w:rPr>
                <w:sz w:val="1"/>
                <w:szCs w:val="1"/>
                <w:color w:val="auto"/>
              </w:rPr>
            </w:pPr>
          </w:p>
        </w:tc>
      </w:tr>
      <w:tr>
        <w:trPr>
          <w:trHeight w:val="211"/>
        </w:trPr>
        <w:tc>
          <w:tcPr>
            <w:tcW w:w="1000" w:type="dxa"/>
            <w:vAlign w:val="bottom"/>
          </w:tcPr>
          <w:p>
            <w:pPr>
              <w:spacing w:after="0"/>
              <w:rPr>
                <w:sz w:val="18"/>
                <w:szCs w:val="18"/>
                <w:color w:val="auto"/>
              </w:rPr>
            </w:pPr>
          </w:p>
        </w:tc>
        <w:tc>
          <w:tcPr>
            <w:tcW w:w="7080" w:type="dxa"/>
            <w:vAlign w:val="bottom"/>
          </w:tcPr>
          <w:p>
            <w:pPr>
              <w:ind w:left="120"/>
              <w:spacing w:after="0" w:line="211" w:lineRule="exact"/>
              <w:rPr>
                <w:sz w:val="20"/>
                <w:szCs w:val="20"/>
                <w:color w:val="auto"/>
              </w:rPr>
            </w:pPr>
            <w:r>
              <w:rPr>
                <w:rFonts w:ascii="Calibri" w:cs="Calibri" w:eastAsia="Calibri" w:hAnsi="Calibri"/>
                <w:sz w:val="18"/>
                <w:szCs w:val="18"/>
                <w:color w:val="auto"/>
              </w:rPr>
              <w:t>statement</w:t>
            </w:r>
          </w:p>
        </w:tc>
        <w:tc>
          <w:tcPr>
            <w:tcW w:w="1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1000" w:type="dxa"/>
            <w:vAlign w:val="bottom"/>
            <w:tcBorders>
              <w:bottom w:val="single" w:sz="8" w:color="auto"/>
            </w:tcBorders>
          </w:tcPr>
          <w:p>
            <w:pPr>
              <w:spacing w:after="0"/>
              <w:rPr>
                <w:sz w:val="3"/>
                <w:szCs w:val="3"/>
                <w:color w:val="auto"/>
              </w:rPr>
            </w:pPr>
          </w:p>
        </w:tc>
        <w:tc>
          <w:tcPr>
            <w:tcW w:w="70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000" w:type="dxa"/>
            <w:vAlign w:val="bottom"/>
            <w:shd w:val="clear" w:color="auto" w:fill="CCEEFF"/>
          </w:tcPr>
          <w:p>
            <w:pPr>
              <w:spacing w:after="0"/>
              <w:rPr>
                <w:sz w:val="17"/>
                <w:szCs w:val="17"/>
                <w:color w:val="auto"/>
              </w:rPr>
            </w:pPr>
          </w:p>
        </w:tc>
        <w:tc>
          <w:tcPr>
            <w:tcW w:w="7080" w:type="dxa"/>
            <w:vAlign w:val="bottom"/>
            <w:shd w:val="clear" w:color="auto" w:fill="CCEEFF"/>
          </w:tcPr>
          <w:p>
            <w:pPr>
              <w:ind w:left="120"/>
              <w:spacing w:after="0" w:line="198" w:lineRule="exact"/>
              <w:rPr>
                <w:sz w:val="20"/>
                <w:szCs w:val="20"/>
                <w:color w:val="auto"/>
              </w:rPr>
            </w:pPr>
            <w:r>
              <w:rPr>
                <w:rFonts w:ascii="Calibri" w:cs="Calibri" w:eastAsia="Calibri" w:hAnsi="Calibri"/>
                <w:sz w:val="18"/>
                <w:szCs w:val="18"/>
                <w:color w:val="auto"/>
              </w:rPr>
              <w:t>Approval of the adopton of the Sixth Amended and Restated Certfcate of Incorporaton to</w:t>
            </w:r>
          </w:p>
        </w:tc>
        <w:tc>
          <w:tcPr>
            <w:tcW w:w="16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00" w:type="dxa"/>
            <w:vAlign w:val="bottom"/>
            <w:shd w:val="clear" w:color="auto" w:fill="CCEEFF"/>
          </w:tcPr>
          <w:p>
            <w:pPr>
              <w:jc w:val="center"/>
              <w:ind w:left="31"/>
              <w:spacing w:after="0" w:line="199" w:lineRule="exact"/>
              <w:rPr>
                <w:sz w:val="20"/>
                <w:szCs w:val="20"/>
                <w:color w:val="auto"/>
              </w:rPr>
            </w:pPr>
            <w:r>
              <w:rPr>
                <w:rFonts w:ascii="Calibri" w:cs="Calibri" w:eastAsia="Calibri" w:hAnsi="Calibri"/>
                <w:sz w:val="18"/>
                <w:szCs w:val="18"/>
                <w:color w:val="auto"/>
                <w:w w:val="92"/>
              </w:rPr>
              <w:t>No. 4</w:t>
            </w:r>
          </w:p>
        </w:tc>
        <w:tc>
          <w:tcPr>
            <w:tcW w:w="7080" w:type="dxa"/>
            <w:vAlign w:val="bottom"/>
            <w:shd w:val="clear" w:color="auto" w:fill="CCEEFF"/>
          </w:tcPr>
          <w:p>
            <w:pPr>
              <w:ind w:left="120"/>
              <w:spacing w:after="0" w:line="199" w:lineRule="exact"/>
              <w:rPr>
                <w:sz w:val="20"/>
                <w:szCs w:val="20"/>
                <w:color w:val="auto"/>
              </w:rPr>
            </w:pPr>
            <w:r>
              <w:rPr>
                <w:rFonts w:ascii="Calibri" w:cs="Calibri" w:eastAsia="Calibri" w:hAnsi="Calibri"/>
                <w:sz w:val="18"/>
                <w:szCs w:val="18"/>
                <w:color w:val="auto"/>
              </w:rPr>
              <w:t>permit stockholders who hold not less than 25% of the outstanding shares of common stock to</w:t>
            </w:r>
          </w:p>
        </w:tc>
        <w:tc>
          <w:tcPr>
            <w:tcW w:w="1680" w:type="dxa"/>
            <w:vAlign w:val="bottom"/>
            <w:shd w:val="clear" w:color="auto" w:fill="CCEEFF"/>
          </w:tcPr>
          <w:p>
            <w:pPr>
              <w:jc w:val="center"/>
              <w:ind w:right="11"/>
              <w:spacing w:after="0" w:line="199" w:lineRule="exact"/>
              <w:rPr>
                <w:sz w:val="20"/>
                <w:szCs w:val="20"/>
                <w:color w:val="auto"/>
              </w:rPr>
            </w:pPr>
            <w:r>
              <w:rPr>
                <w:rFonts w:ascii="Calibri" w:cs="Calibri" w:eastAsia="Calibri" w:hAnsi="Calibri"/>
                <w:sz w:val="18"/>
                <w:szCs w:val="18"/>
                <w:b w:val="1"/>
                <w:bCs w:val="1"/>
                <w:color w:val="auto"/>
                <w:w w:val="97"/>
              </w:rPr>
              <w:t>FOR</w:t>
            </w:r>
          </w:p>
        </w:tc>
        <w:tc>
          <w:tcPr>
            <w:tcW w:w="1480" w:type="dxa"/>
            <w:vAlign w:val="bottom"/>
            <w:shd w:val="clear" w:color="auto" w:fill="CCEEFF"/>
          </w:tcPr>
          <w:p>
            <w:pPr>
              <w:jc w:val="center"/>
              <w:spacing w:after="0" w:line="199" w:lineRule="exact"/>
              <w:rPr>
                <w:sz w:val="20"/>
                <w:szCs w:val="20"/>
                <w:color w:val="auto"/>
              </w:rPr>
            </w:pPr>
            <w:r>
              <w:rPr>
                <w:rFonts w:ascii="Calibri" w:cs="Calibri" w:eastAsia="Calibri" w:hAnsi="Calibri"/>
                <w:sz w:val="18"/>
                <w:szCs w:val="18"/>
                <w:color w:val="auto"/>
                <w:w w:val="98"/>
              </w:rPr>
              <w:t>58</w:t>
            </w:r>
          </w:p>
        </w:tc>
        <w:tc>
          <w:tcPr>
            <w:tcW w:w="0" w:type="dxa"/>
            <w:vAlign w:val="bottom"/>
          </w:tcPr>
          <w:p>
            <w:pPr>
              <w:spacing w:after="0"/>
              <w:rPr>
                <w:sz w:val="1"/>
                <w:szCs w:val="1"/>
                <w:color w:val="auto"/>
              </w:rPr>
            </w:pPr>
          </w:p>
        </w:tc>
      </w:tr>
      <w:tr>
        <w:trPr>
          <w:trHeight w:val="265"/>
        </w:trPr>
        <w:tc>
          <w:tcPr>
            <w:tcW w:w="1000" w:type="dxa"/>
            <w:vAlign w:val="bottom"/>
            <w:tcBorders>
              <w:bottom w:val="single" w:sz="8" w:color="CCEEFF"/>
            </w:tcBorders>
            <w:shd w:val="clear" w:color="auto" w:fill="CCEEFF"/>
          </w:tcPr>
          <w:p>
            <w:pPr>
              <w:spacing w:after="0"/>
              <w:rPr>
                <w:sz w:val="22"/>
                <w:szCs w:val="22"/>
                <w:color w:val="auto"/>
              </w:rPr>
            </w:pPr>
          </w:p>
        </w:tc>
        <w:tc>
          <w:tcPr>
            <w:tcW w:w="7080" w:type="dxa"/>
            <w:vAlign w:val="bottom"/>
            <w:tcBorders>
              <w:bottom w:val="single" w:sz="8" w:color="CCEEFF"/>
            </w:tcBorders>
            <w:shd w:val="clear" w:color="auto" w:fill="CCEEFF"/>
          </w:tcPr>
          <w:p>
            <w:pPr>
              <w:ind w:left="120"/>
              <w:spacing w:after="0" w:line="211" w:lineRule="exact"/>
              <w:rPr>
                <w:sz w:val="20"/>
                <w:szCs w:val="20"/>
                <w:color w:val="auto"/>
              </w:rPr>
            </w:pPr>
            <w:r>
              <w:rPr>
                <w:rFonts w:ascii="Calibri" w:cs="Calibri" w:eastAsia="Calibri" w:hAnsi="Calibri"/>
                <w:sz w:val="18"/>
                <w:szCs w:val="18"/>
                <w:color w:val="auto"/>
              </w:rPr>
              <w:t>call special meetngs</w:t>
            </w:r>
          </w:p>
        </w:tc>
        <w:tc>
          <w:tcPr>
            <w:tcW w:w="16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000" w:type="dxa"/>
            <w:vAlign w:val="bottom"/>
            <w:tcBorders>
              <w:top w:val="single" w:sz="8" w:color="auto"/>
            </w:tcBorders>
            <w:vMerge w:val="restart"/>
          </w:tcPr>
          <w:p>
            <w:pPr>
              <w:jc w:val="center"/>
              <w:ind w:left="31"/>
              <w:spacing w:after="0"/>
              <w:rPr>
                <w:sz w:val="20"/>
                <w:szCs w:val="20"/>
                <w:color w:val="auto"/>
              </w:rPr>
            </w:pPr>
            <w:r>
              <w:rPr>
                <w:rFonts w:ascii="Calibri" w:cs="Calibri" w:eastAsia="Calibri" w:hAnsi="Calibri"/>
                <w:sz w:val="18"/>
                <w:szCs w:val="18"/>
                <w:color w:val="auto"/>
                <w:w w:val="92"/>
              </w:rPr>
              <w:t>No. 5</w:t>
            </w:r>
          </w:p>
        </w:tc>
        <w:tc>
          <w:tcPr>
            <w:tcW w:w="7080" w:type="dxa"/>
            <w:vAlign w:val="bottom"/>
            <w:tcBorders>
              <w:top w:val="single" w:sz="8" w:color="auto"/>
            </w:tcBorders>
          </w:tcPr>
          <w:p>
            <w:pPr>
              <w:ind w:left="120"/>
              <w:spacing w:after="0" w:line="198" w:lineRule="exact"/>
              <w:rPr>
                <w:sz w:val="20"/>
                <w:szCs w:val="20"/>
                <w:color w:val="auto"/>
              </w:rPr>
            </w:pPr>
            <w:r>
              <w:rPr>
                <w:rFonts w:ascii="Calibri" w:cs="Calibri" w:eastAsia="Calibri" w:hAnsi="Calibri"/>
                <w:sz w:val="18"/>
                <w:szCs w:val="18"/>
                <w:color w:val="auto"/>
              </w:rPr>
              <w:t>If properly presented at the Annual Meetng, a non-binding advisory vote on a stockholder</w:t>
            </w:r>
          </w:p>
        </w:tc>
        <w:tc>
          <w:tcPr>
            <w:tcW w:w="1680" w:type="dxa"/>
            <w:vAlign w:val="bottom"/>
            <w:tcBorders>
              <w:top w:val="single" w:sz="8" w:color="auto"/>
            </w:tcBorders>
            <w:vMerge w:val="restart"/>
          </w:tcPr>
          <w:p>
            <w:pPr>
              <w:jc w:val="center"/>
              <w:spacing w:after="0"/>
              <w:rPr>
                <w:sz w:val="20"/>
                <w:szCs w:val="20"/>
                <w:color w:val="auto"/>
              </w:rPr>
            </w:pPr>
            <w:r>
              <w:rPr>
                <w:rFonts w:ascii="Calibri" w:cs="Calibri" w:eastAsia="Calibri" w:hAnsi="Calibri"/>
                <w:sz w:val="18"/>
                <w:szCs w:val="18"/>
                <w:b w:val="1"/>
                <w:bCs w:val="1"/>
                <w:color w:val="auto"/>
                <w:w w:val="94"/>
              </w:rPr>
              <w:t>AGAINST</w:t>
            </w:r>
          </w:p>
        </w:tc>
        <w:tc>
          <w:tcPr>
            <w:tcW w:w="1480" w:type="dxa"/>
            <w:vAlign w:val="bottom"/>
            <w:tcBorders>
              <w:top w:val="single" w:sz="8" w:color="auto"/>
            </w:tcBorders>
            <w:vMerge w:val="restart"/>
          </w:tcPr>
          <w:p>
            <w:pPr>
              <w:jc w:val="center"/>
              <w:spacing w:after="0"/>
              <w:rPr>
                <w:sz w:val="20"/>
                <w:szCs w:val="20"/>
                <w:color w:val="auto"/>
              </w:rPr>
            </w:pPr>
            <w:r>
              <w:rPr>
                <w:rFonts w:ascii="Calibri" w:cs="Calibri" w:eastAsia="Calibri" w:hAnsi="Calibri"/>
                <w:sz w:val="18"/>
                <w:szCs w:val="18"/>
                <w:color w:val="auto"/>
                <w:w w:val="98"/>
              </w:rPr>
              <w:t>61</w:t>
            </w:r>
          </w:p>
        </w:tc>
        <w:tc>
          <w:tcPr>
            <w:tcW w:w="0" w:type="dxa"/>
            <w:vAlign w:val="bottom"/>
          </w:tcPr>
          <w:p>
            <w:pPr>
              <w:spacing w:after="0"/>
              <w:rPr>
                <w:sz w:val="1"/>
                <w:szCs w:val="1"/>
                <w:color w:val="auto"/>
              </w:rPr>
            </w:pPr>
          </w:p>
        </w:tc>
      </w:tr>
      <w:tr>
        <w:trPr>
          <w:trHeight w:val="118"/>
        </w:trPr>
        <w:tc>
          <w:tcPr>
            <w:tcW w:w="1000" w:type="dxa"/>
            <w:vAlign w:val="bottom"/>
            <w:vMerge w:val="continue"/>
          </w:tcPr>
          <w:p>
            <w:pPr>
              <w:spacing w:after="0"/>
              <w:rPr>
                <w:sz w:val="10"/>
                <w:szCs w:val="10"/>
                <w:color w:val="auto"/>
              </w:rPr>
            </w:pPr>
          </w:p>
        </w:tc>
        <w:tc>
          <w:tcPr>
            <w:tcW w:w="7080" w:type="dxa"/>
            <w:vAlign w:val="bottom"/>
            <w:vMerge w:val="restart"/>
          </w:tcPr>
          <w:p>
            <w:pPr>
              <w:ind w:left="120"/>
              <w:spacing w:after="0" w:line="211" w:lineRule="exact"/>
              <w:rPr>
                <w:sz w:val="20"/>
                <w:szCs w:val="20"/>
                <w:color w:val="auto"/>
              </w:rPr>
            </w:pPr>
            <w:r>
              <w:rPr>
                <w:rFonts w:ascii="Calibri" w:cs="Calibri" w:eastAsia="Calibri" w:hAnsi="Calibri"/>
                <w:sz w:val="18"/>
                <w:szCs w:val="18"/>
                <w:color w:val="auto"/>
              </w:rPr>
              <w:t>proposal</w:t>
            </w:r>
          </w:p>
        </w:tc>
        <w:tc>
          <w:tcPr>
            <w:tcW w:w="168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000" w:type="dxa"/>
            <w:vAlign w:val="bottom"/>
          </w:tcPr>
          <w:p>
            <w:pPr>
              <w:spacing w:after="0"/>
              <w:rPr>
                <w:sz w:val="8"/>
                <w:szCs w:val="8"/>
                <w:color w:val="auto"/>
              </w:rPr>
            </w:pPr>
          </w:p>
        </w:tc>
        <w:tc>
          <w:tcPr>
            <w:tcW w:w="7080" w:type="dxa"/>
            <w:vAlign w:val="bottom"/>
            <w:vMerge w:val="continue"/>
          </w:tcPr>
          <w:p>
            <w:pPr>
              <w:spacing w:after="0"/>
              <w:rPr>
                <w:sz w:val="8"/>
                <w:szCs w:val="8"/>
                <w:color w:val="auto"/>
              </w:rPr>
            </w:pPr>
          </w:p>
        </w:tc>
        <w:tc>
          <w:tcPr>
            <w:tcW w:w="16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1000" w:type="dxa"/>
            <w:vAlign w:val="bottom"/>
            <w:tcBorders>
              <w:bottom w:val="single" w:sz="8" w:color="auto"/>
            </w:tcBorders>
          </w:tcPr>
          <w:p>
            <w:pPr>
              <w:spacing w:after="0"/>
              <w:rPr>
                <w:sz w:val="4"/>
                <w:szCs w:val="4"/>
                <w:color w:val="auto"/>
              </w:rPr>
            </w:pPr>
          </w:p>
        </w:tc>
        <w:tc>
          <w:tcPr>
            <w:tcW w:w="708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How to Vote</w:t>
      </w:r>
    </w:p>
    <w:p>
      <w:pPr>
        <w:spacing w:after="0" w:line="166" w:lineRule="exact"/>
        <w:rPr>
          <w:sz w:val="20"/>
          <w:szCs w:val="20"/>
          <w:color w:val="auto"/>
        </w:rPr>
      </w:pPr>
    </w:p>
    <w:p>
      <w:pPr>
        <w:ind w:right="380"/>
        <w:spacing w:after="0" w:line="231" w:lineRule="auto"/>
        <w:rPr>
          <w:sz w:val="20"/>
          <w:szCs w:val="20"/>
          <w:color w:val="auto"/>
        </w:rPr>
      </w:pPr>
      <w:r>
        <w:rPr>
          <w:rFonts w:ascii="Calibri" w:cs="Calibri" w:eastAsia="Calibri" w:hAnsi="Calibri"/>
          <w:sz w:val="18"/>
          <w:szCs w:val="18"/>
          <w:color w:val="666666"/>
        </w:rPr>
        <w:t>Stockholders as of the record date may vote electronically at the virtual meetng or vote in advance by submitng a proxy by Internet, telephone, or mail as follows: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1</w:t>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864235</wp:posOffset>
            </wp:positionH>
            <wp:positionV relativeFrom="paragraph">
              <wp:posOffset>628650</wp:posOffset>
            </wp:positionV>
            <wp:extent cx="506095" cy="387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6095" cy="387985"/>
                    </a:xfrm>
                    <a:prstGeom prst="rect">
                      <a:avLst/>
                    </a:prstGeom>
                    <a:noFill/>
                  </pic:spPr>
                </pic:pic>
              </a:graphicData>
            </a:graphic>
          </wp:anchor>
        </w:drawing>
        <w:drawing>
          <wp:anchor simplePos="0" relativeHeight="251657728" behindDoc="1" locked="0" layoutInCell="0" allowOverlap="1">
            <wp:simplePos x="0" y="0"/>
            <wp:positionH relativeFrom="column">
              <wp:posOffset>3191510</wp:posOffset>
            </wp:positionH>
            <wp:positionV relativeFrom="paragraph">
              <wp:posOffset>569595</wp:posOffset>
            </wp:positionV>
            <wp:extent cx="447040" cy="514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7040" cy="514350"/>
                    </a:xfrm>
                    <a:prstGeom prst="rect">
                      <a:avLst/>
                    </a:prstGeom>
                    <a:noFill/>
                  </pic:spPr>
                </pic:pic>
              </a:graphicData>
            </a:graphic>
          </wp:anchor>
        </w:drawing>
        <w:drawing>
          <wp:anchor simplePos="0" relativeHeight="251657728" behindDoc="1" locked="0" layoutInCell="0" allowOverlap="1">
            <wp:simplePos x="0" y="0"/>
            <wp:positionH relativeFrom="column">
              <wp:posOffset>5468620</wp:posOffset>
            </wp:positionH>
            <wp:positionV relativeFrom="paragraph">
              <wp:posOffset>620395</wp:posOffset>
            </wp:positionV>
            <wp:extent cx="573405" cy="404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3405" cy="404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120" w:type="dxa"/>
        <w:tblCellMar>
          <w:top w:w="0" w:type="dxa"/>
          <w:left w:w="0" w:type="dxa"/>
          <w:bottom w:w="0" w:type="dxa"/>
          <w:right w:w="0" w:type="dxa"/>
        </w:tblCellMar>
      </w:tblPr>
      <w:tr>
        <w:trPr>
          <w:trHeight w:val="195"/>
        </w:trPr>
        <w:tc>
          <w:tcPr>
            <w:tcW w:w="1880" w:type="dxa"/>
            <w:vAlign w:val="bottom"/>
          </w:tcPr>
          <w:p>
            <w:pPr>
              <w:jc w:val="center"/>
              <w:ind w:right="520"/>
              <w:spacing w:after="0"/>
              <w:rPr>
                <w:sz w:val="20"/>
                <w:szCs w:val="20"/>
                <w:color w:val="auto"/>
              </w:rPr>
            </w:pPr>
            <w:r>
              <w:rPr>
                <w:rFonts w:ascii="Calibri" w:cs="Calibri" w:eastAsia="Calibri" w:hAnsi="Calibri"/>
                <w:sz w:val="16"/>
                <w:szCs w:val="16"/>
                <w:b w:val="1"/>
                <w:bCs w:val="1"/>
                <w:color w:val="5E5E61"/>
                <w:w w:val="98"/>
              </w:rPr>
              <w:t>Vote by Internet</w:t>
            </w:r>
          </w:p>
        </w:tc>
        <w:tc>
          <w:tcPr>
            <w:tcW w:w="4300" w:type="dxa"/>
            <w:vAlign w:val="bottom"/>
          </w:tcPr>
          <w:p>
            <w:pPr>
              <w:jc w:val="center"/>
              <w:ind w:left="380"/>
              <w:spacing w:after="0"/>
              <w:rPr>
                <w:sz w:val="20"/>
                <w:szCs w:val="20"/>
                <w:color w:val="auto"/>
              </w:rPr>
            </w:pPr>
            <w:r>
              <w:rPr>
                <w:rFonts w:ascii="Calibri" w:cs="Calibri" w:eastAsia="Calibri" w:hAnsi="Calibri"/>
                <w:sz w:val="16"/>
                <w:szCs w:val="16"/>
                <w:b w:val="1"/>
                <w:bCs w:val="1"/>
                <w:color w:val="5E5E61"/>
                <w:w w:val="98"/>
              </w:rPr>
              <w:t>Vote by Telephone</w:t>
            </w:r>
          </w:p>
        </w:tc>
        <w:tc>
          <w:tcPr>
            <w:tcW w:w="3380" w:type="dxa"/>
            <w:vAlign w:val="bottom"/>
          </w:tcPr>
          <w:p>
            <w:pPr>
              <w:jc w:val="center"/>
              <w:ind w:left="60"/>
              <w:spacing w:after="0"/>
              <w:rPr>
                <w:sz w:val="20"/>
                <w:szCs w:val="20"/>
                <w:color w:val="auto"/>
              </w:rPr>
            </w:pPr>
            <w:r>
              <w:rPr>
                <w:rFonts w:ascii="Calibri" w:cs="Calibri" w:eastAsia="Calibri" w:hAnsi="Calibri"/>
                <w:sz w:val="16"/>
                <w:szCs w:val="16"/>
                <w:b w:val="1"/>
                <w:bCs w:val="1"/>
                <w:color w:val="5E5E61"/>
                <w:w w:val="98"/>
              </w:rPr>
              <w:t>Vote by Mail</w:t>
            </w:r>
          </w:p>
        </w:tc>
      </w:tr>
      <w:tr>
        <w:trPr>
          <w:trHeight w:val="182"/>
        </w:trPr>
        <w:tc>
          <w:tcPr>
            <w:tcW w:w="1880" w:type="dxa"/>
            <w:vAlign w:val="bottom"/>
          </w:tcPr>
          <w:p>
            <w:pPr>
              <w:jc w:val="center"/>
              <w:ind w:right="540"/>
              <w:spacing w:after="0" w:line="183" w:lineRule="exact"/>
              <w:rPr>
                <w:sz w:val="20"/>
                <w:szCs w:val="20"/>
                <w:color w:val="auto"/>
              </w:rPr>
            </w:pPr>
            <w:r>
              <w:rPr>
                <w:rFonts w:ascii="Calibri" w:cs="Calibri" w:eastAsia="Calibri" w:hAnsi="Calibri"/>
                <w:sz w:val="16"/>
                <w:szCs w:val="16"/>
                <w:i w:val="1"/>
                <w:iCs w:val="1"/>
                <w:color w:val="666666"/>
                <w:w w:val="98"/>
              </w:rPr>
              <w:t>Visit proxyvote.com</w:t>
            </w:r>
          </w:p>
        </w:tc>
        <w:tc>
          <w:tcPr>
            <w:tcW w:w="4300" w:type="dxa"/>
            <w:vAlign w:val="bottom"/>
          </w:tcPr>
          <w:p>
            <w:pPr>
              <w:jc w:val="center"/>
              <w:ind w:left="380"/>
              <w:spacing w:after="0" w:line="183" w:lineRule="exact"/>
              <w:rPr>
                <w:sz w:val="20"/>
                <w:szCs w:val="20"/>
                <w:color w:val="auto"/>
              </w:rPr>
            </w:pPr>
            <w:r>
              <w:rPr>
                <w:rFonts w:ascii="Calibri" w:cs="Calibri" w:eastAsia="Calibri" w:hAnsi="Calibri"/>
                <w:sz w:val="16"/>
                <w:szCs w:val="16"/>
                <w:i w:val="1"/>
                <w:iCs w:val="1"/>
                <w:color w:val="666666"/>
                <w:w w:val="99"/>
              </w:rPr>
              <w:t>Call the phone number located on the top of your proxy</w:t>
            </w:r>
          </w:p>
        </w:tc>
        <w:tc>
          <w:tcPr>
            <w:tcW w:w="3380" w:type="dxa"/>
            <w:vAlign w:val="bottom"/>
          </w:tcPr>
          <w:p>
            <w:pPr>
              <w:jc w:val="center"/>
              <w:ind w:left="60"/>
              <w:spacing w:after="0" w:line="183" w:lineRule="exact"/>
              <w:rPr>
                <w:sz w:val="20"/>
                <w:szCs w:val="20"/>
                <w:color w:val="auto"/>
              </w:rPr>
            </w:pPr>
            <w:r>
              <w:rPr>
                <w:rFonts w:ascii="Calibri" w:cs="Calibri" w:eastAsia="Calibri" w:hAnsi="Calibri"/>
                <w:sz w:val="16"/>
                <w:szCs w:val="16"/>
                <w:i w:val="1"/>
                <w:iCs w:val="1"/>
                <w:color w:val="666666"/>
                <w:w w:val="99"/>
              </w:rPr>
              <w:t>Complete, sign, date and return your proxy card in</w:t>
            </w:r>
          </w:p>
        </w:tc>
      </w:tr>
      <w:tr>
        <w:trPr>
          <w:trHeight w:val="190"/>
        </w:trPr>
        <w:tc>
          <w:tcPr>
            <w:tcW w:w="1880" w:type="dxa"/>
            <w:vAlign w:val="bottom"/>
          </w:tcPr>
          <w:p>
            <w:pPr>
              <w:spacing w:after="0"/>
              <w:rPr>
                <w:sz w:val="16"/>
                <w:szCs w:val="16"/>
                <w:color w:val="auto"/>
              </w:rPr>
            </w:pPr>
          </w:p>
        </w:tc>
        <w:tc>
          <w:tcPr>
            <w:tcW w:w="4300" w:type="dxa"/>
            <w:vAlign w:val="bottom"/>
          </w:tcPr>
          <w:p>
            <w:pPr>
              <w:jc w:val="center"/>
              <w:ind w:left="380"/>
              <w:spacing w:after="0" w:line="189" w:lineRule="exact"/>
              <w:rPr>
                <w:sz w:val="20"/>
                <w:szCs w:val="20"/>
                <w:color w:val="auto"/>
              </w:rPr>
            </w:pPr>
            <w:r>
              <w:rPr>
                <w:rFonts w:ascii="Calibri" w:cs="Calibri" w:eastAsia="Calibri" w:hAnsi="Calibri"/>
                <w:sz w:val="16"/>
                <w:szCs w:val="16"/>
                <w:i w:val="1"/>
                <w:iCs w:val="1"/>
                <w:color w:val="666666"/>
                <w:w w:val="97"/>
              </w:rPr>
              <w:t>card.</w:t>
            </w:r>
          </w:p>
        </w:tc>
        <w:tc>
          <w:tcPr>
            <w:tcW w:w="3380" w:type="dxa"/>
            <w:vAlign w:val="bottom"/>
          </w:tcPr>
          <w:p>
            <w:pPr>
              <w:jc w:val="center"/>
              <w:ind w:left="40"/>
              <w:spacing w:after="0" w:line="189" w:lineRule="exact"/>
              <w:rPr>
                <w:sz w:val="20"/>
                <w:szCs w:val="20"/>
                <w:color w:val="auto"/>
              </w:rPr>
            </w:pPr>
            <w:r>
              <w:rPr>
                <w:rFonts w:ascii="Calibri" w:cs="Calibri" w:eastAsia="Calibri" w:hAnsi="Calibri"/>
                <w:sz w:val="16"/>
                <w:szCs w:val="16"/>
                <w:i w:val="1"/>
                <w:iCs w:val="1"/>
                <w:color w:val="666666"/>
                <w:w w:val="99"/>
              </w:rPr>
              <w:t>envelope provided.</w:t>
            </w:r>
          </w:p>
        </w:tc>
      </w:tr>
    </w:tbl>
    <w:p>
      <w:pPr>
        <w:spacing w:after="0" w:line="236"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Company Performance and Highlights</w:t>
      </w:r>
    </w:p>
    <w:p>
      <w:pPr>
        <w:spacing w:after="0" w:line="171" w:lineRule="exact"/>
        <w:rPr>
          <w:sz w:val="20"/>
          <w:szCs w:val="20"/>
          <w:color w:val="auto"/>
        </w:rPr>
      </w:pPr>
    </w:p>
    <w:p>
      <w:pPr>
        <w:ind w:left="640" w:hanging="315"/>
        <w:spacing w:after="0"/>
        <w:tabs>
          <w:tab w:leader="none" w:pos="640" w:val="left"/>
        </w:tabs>
        <w:numPr>
          <w:ilvl w:val="0"/>
          <w:numId w:val="7"/>
        </w:numPr>
        <w:rPr>
          <w:rFonts w:ascii="Calibri" w:cs="Calibri" w:eastAsia="Calibri" w:hAnsi="Calibri"/>
          <w:sz w:val="18"/>
          <w:szCs w:val="18"/>
          <w:color w:val="666666"/>
        </w:rPr>
      </w:pPr>
      <w:r>
        <w:rPr>
          <w:rFonts w:ascii="Calibri" w:cs="Calibri" w:eastAsia="Calibri" w:hAnsi="Calibri"/>
          <w:sz w:val="18"/>
          <w:szCs w:val="18"/>
          <w:color w:val="666666"/>
        </w:rPr>
        <w:t>During fscal year 2022, we returned $628.4 million to stockholders in the form of:</w:t>
      </w:r>
    </w:p>
    <w:p>
      <w:pPr>
        <w:spacing w:after="0" w:line="152" w:lineRule="exact"/>
        <w:rPr>
          <w:rFonts w:ascii="Calibri" w:cs="Calibri" w:eastAsia="Calibri" w:hAnsi="Calibri"/>
          <w:sz w:val="18"/>
          <w:szCs w:val="18"/>
          <w:color w:val="666666"/>
        </w:rPr>
      </w:pPr>
    </w:p>
    <w:p>
      <w:pPr>
        <w:ind w:left="1280" w:hanging="318"/>
        <w:spacing w:after="0"/>
        <w:tabs>
          <w:tab w:leader="none" w:pos="1280" w:val="left"/>
        </w:tabs>
        <w:numPr>
          <w:ilvl w:val="1"/>
          <w:numId w:val="7"/>
        </w:numPr>
        <w:rPr>
          <w:rFonts w:ascii="Arial" w:cs="Arial" w:eastAsia="Arial" w:hAnsi="Arial"/>
          <w:sz w:val="18"/>
          <w:szCs w:val="18"/>
          <w:color w:val="666666"/>
        </w:rPr>
      </w:pPr>
      <w:r>
        <w:rPr>
          <w:rFonts w:ascii="Calibri" w:cs="Calibri" w:eastAsia="Calibri" w:hAnsi="Calibri"/>
          <w:sz w:val="18"/>
          <w:szCs w:val="18"/>
          <w:color w:val="666666"/>
        </w:rPr>
        <w:t>$209.1 million in quarterly dividends — three regular dividends of $0.37 per share and one regular dividend of $0.43 per share; and</w:t>
      </w:r>
    </w:p>
    <w:p>
      <w:pPr>
        <w:spacing w:after="0" w:line="161" w:lineRule="exact"/>
        <w:rPr>
          <w:rFonts w:ascii="Arial" w:cs="Arial" w:eastAsia="Arial" w:hAnsi="Arial"/>
          <w:sz w:val="18"/>
          <w:szCs w:val="18"/>
          <w:color w:val="666666"/>
        </w:rPr>
      </w:pPr>
    </w:p>
    <w:p>
      <w:pPr>
        <w:jc w:val="both"/>
        <w:ind w:left="1280" w:hanging="318"/>
        <w:spacing w:after="0" w:line="231" w:lineRule="auto"/>
        <w:tabs>
          <w:tab w:leader="none" w:pos="1303" w:val="left"/>
        </w:tabs>
        <w:numPr>
          <w:ilvl w:val="1"/>
          <w:numId w:val="7"/>
        </w:numPr>
        <w:rPr>
          <w:rFonts w:ascii="Arial" w:cs="Arial" w:eastAsia="Arial" w:hAnsi="Arial"/>
          <w:sz w:val="18"/>
          <w:szCs w:val="18"/>
          <w:color w:val="666666"/>
        </w:rPr>
      </w:pPr>
      <w:r>
        <w:rPr>
          <w:rFonts w:ascii="Calibri" w:cs="Calibri" w:eastAsia="Calibri" w:hAnsi="Calibri"/>
          <w:sz w:val="18"/>
          <w:szCs w:val="18"/>
          <w:color w:val="666666"/>
        </w:rPr>
        <w:t>$419.3 million through the repurchase of 5.1 million shares of Class A common stock (which includes 4.7 million of open market share repurchases, as well as 0.3 million shares to cover the minimum statutory withholding taxes on restricted stock units that vested on various dates during the period).</w:t>
      </w:r>
    </w:p>
    <w:p>
      <w:pPr>
        <w:spacing w:after="0" w:line="162" w:lineRule="exact"/>
        <w:rPr>
          <w:rFonts w:ascii="Arial" w:cs="Arial" w:eastAsia="Arial" w:hAnsi="Arial"/>
          <w:sz w:val="18"/>
          <w:szCs w:val="18"/>
          <w:color w:val="666666"/>
        </w:rPr>
      </w:pPr>
    </w:p>
    <w:p>
      <w:pPr>
        <w:ind w:left="640" w:hanging="315"/>
        <w:spacing w:after="0" w:line="231" w:lineRule="auto"/>
        <w:tabs>
          <w:tab w:leader="none" w:pos="633" w:val="left"/>
        </w:tabs>
        <w:numPr>
          <w:ilvl w:val="0"/>
          <w:numId w:val="7"/>
        </w:numPr>
        <w:rPr>
          <w:rFonts w:ascii="Calibri" w:cs="Calibri" w:eastAsia="Calibri" w:hAnsi="Calibri"/>
          <w:sz w:val="18"/>
          <w:szCs w:val="18"/>
          <w:color w:val="666666"/>
        </w:rPr>
      </w:pPr>
      <w:r>
        <w:rPr>
          <w:rFonts w:ascii="Calibri" w:cs="Calibri" w:eastAsia="Calibri" w:hAnsi="Calibri"/>
          <w:sz w:val="18"/>
          <w:szCs w:val="18"/>
          <w:color w:val="666666"/>
        </w:rPr>
        <w:t>The Board increased the quarterly dividend 16% for performance in the third quarter of fscal year 2022, payable in the fourth quarter of fscal year 2022.</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7"/>
        </w:numPr>
        <w:rPr>
          <w:rFonts w:ascii="Calibri" w:cs="Calibri" w:eastAsia="Calibri" w:hAnsi="Calibri"/>
          <w:sz w:val="18"/>
          <w:szCs w:val="18"/>
          <w:color w:val="666666"/>
        </w:rPr>
      </w:pPr>
      <w:r>
        <w:rPr>
          <w:rFonts w:ascii="Calibri" w:cs="Calibri" w:eastAsia="Calibri" w:hAnsi="Calibri"/>
          <w:sz w:val="18"/>
          <w:szCs w:val="18"/>
          <w:color w:val="666666"/>
        </w:rPr>
        <w:t>During fscal year 2022, our stock price increased by approximately 9%, with a total stockholder return of approximately 11%.</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494949"/>
        </w:rPr>
        <w:t>Total Stockholder Return</w:t>
      </w:r>
    </w:p>
    <w:p>
      <w:pPr>
        <w:spacing w:after="0" w:line="97" w:lineRule="exact"/>
        <w:rPr>
          <w:sz w:val="20"/>
          <w:szCs w:val="20"/>
          <w:color w:val="auto"/>
        </w:rPr>
      </w:pPr>
    </w:p>
    <w:p>
      <w:pPr>
        <w:jc w:val="center"/>
        <w:spacing w:after="0"/>
        <w:rPr>
          <w:sz w:val="20"/>
          <w:szCs w:val="20"/>
          <w:color w:val="auto"/>
        </w:rPr>
      </w:pPr>
      <w:r>
        <w:rPr>
          <w:rFonts w:ascii="Calibri" w:cs="Calibri" w:eastAsia="Calibri" w:hAnsi="Calibri"/>
          <w:sz w:val="16"/>
          <w:szCs w:val="16"/>
          <w:color w:val="494949"/>
        </w:rPr>
        <w:t>As of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Note: Total stockholder return assumes dividends are reinvested.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2</w:t>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Our Board of Directors</w:t>
      </w:r>
    </w:p>
    <w:p>
      <w:pPr>
        <w:spacing w:after="0" w:line="166"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This year's Board nominees include three Class II directors—Horacio D. Rozanski, Mark E. Gaumond, and Gretchen W. McClain—and four Class III directors— Melody C. Barnes, Ellen Jewet, Arthur E. Johnson, and Charles O. Rossot. A fourth current Class II director, Ian Fujiyama, notfed the Board of Directors of his intenton to not stand for re-electon once his term expires at the Annual Meetng, although he intends to remain a director, Chair of the Nominatng and Corporate Governance Commitee, and a member of the Executve Commitee and Compensaton, Culture and People Commitee untl the tme of the Annual Meetng. Each nominee is listed below, along with the contnuing directors, and you can fnd additonal informaton under "Proposal 1: Electon of Directors" beginning on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687070</wp:posOffset>
            </wp:positionH>
            <wp:positionV relativeFrom="paragraph">
              <wp:posOffset>185420</wp:posOffset>
            </wp:positionV>
            <wp:extent cx="5768340" cy="3238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68340" cy="323850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666666"/>
        </w:rPr>
        <w:t>3</w:t>
      </w:r>
    </w:p>
    <w:p>
      <w:pPr>
        <w:sectPr>
          <w:pgSz w:w="11900" w:h="16838" w:orient="portrait"/>
          <w:cols w:equalWidth="0" w:num="1">
            <w:col w:w="11240"/>
          </w:cols>
          <w:pgMar w:left="320" w:top="118"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547BCC"/>
        </w:rPr>
        <w:t>Current Board Compositon and Diversity</w:t>
      </w:r>
    </w:p>
    <w:p>
      <w:pPr>
        <w:spacing w:after="0" w:line="299" w:lineRule="exact"/>
        <w:rPr>
          <w:sz w:val="20"/>
          <w:szCs w:val="20"/>
          <w:color w:val="auto"/>
        </w:rPr>
      </w:pPr>
    </w:p>
    <w:p>
      <w:pPr>
        <w:ind w:left="2560"/>
        <w:spacing w:after="0"/>
        <w:tabs>
          <w:tab w:leader="none" w:pos="7660" w:val="left"/>
        </w:tabs>
        <w:rPr>
          <w:sz w:val="20"/>
          <w:szCs w:val="20"/>
          <w:color w:val="auto"/>
        </w:rPr>
      </w:pPr>
      <w:r>
        <w:rPr>
          <w:rFonts w:ascii="Calibri" w:cs="Calibri" w:eastAsia="Calibri" w:hAnsi="Calibri"/>
          <w:sz w:val="16"/>
          <w:szCs w:val="16"/>
          <w:b w:val="1"/>
          <w:bCs w:val="1"/>
          <w:color w:val="494949"/>
        </w:rPr>
        <w:t>Director Independence</w:t>
      </w:r>
      <w:r>
        <w:rPr>
          <w:sz w:val="20"/>
          <w:szCs w:val="20"/>
          <w:color w:val="auto"/>
        </w:rPr>
        <w:tab/>
      </w:r>
      <w:r>
        <w:rPr>
          <w:rFonts w:ascii="Calibri" w:cs="Calibri" w:eastAsia="Calibri" w:hAnsi="Calibri"/>
          <w:sz w:val="15"/>
          <w:szCs w:val="15"/>
          <w:b w:val="1"/>
          <w:bCs w:val="1"/>
          <w:color w:val="494949"/>
        </w:rPr>
        <w:t>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872490</wp:posOffset>
            </wp:positionH>
            <wp:positionV relativeFrom="paragraph">
              <wp:posOffset>17780</wp:posOffset>
            </wp:positionV>
            <wp:extent cx="5414010" cy="1416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14010" cy="1416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060"/>
        <w:spacing w:after="0"/>
        <w:tabs>
          <w:tab w:leader="none" w:pos="7600" w:val="left"/>
        </w:tabs>
        <w:rPr>
          <w:sz w:val="20"/>
          <w:szCs w:val="20"/>
          <w:color w:val="auto"/>
        </w:rPr>
      </w:pPr>
      <w:r>
        <w:rPr>
          <w:rFonts w:ascii="Calibri" w:cs="Calibri" w:eastAsia="Calibri" w:hAnsi="Calibri"/>
          <w:sz w:val="16"/>
          <w:szCs w:val="16"/>
          <w:b w:val="1"/>
          <w:bCs w:val="1"/>
          <w:color w:val="494949"/>
        </w:rPr>
        <w:t>Age Mix</w:t>
      </w:r>
      <w:r>
        <w:rPr>
          <w:sz w:val="20"/>
          <w:szCs w:val="20"/>
          <w:color w:val="auto"/>
        </w:rPr>
        <w:tab/>
      </w:r>
      <w:r>
        <w:rPr>
          <w:rFonts w:ascii="Calibri" w:cs="Calibri" w:eastAsia="Calibri" w:hAnsi="Calibri"/>
          <w:sz w:val="15"/>
          <w:szCs w:val="15"/>
          <w:b w:val="1"/>
          <w:bCs w:val="1"/>
          <w:color w:val="494949"/>
        </w:rPr>
        <w:t>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17780</wp:posOffset>
            </wp:positionV>
            <wp:extent cx="5456555" cy="14420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6555" cy="1442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200"/>
        <w:spacing w:after="0"/>
        <w:rPr>
          <w:sz w:val="20"/>
          <w:szCs w:val="20"/>
          <w:color w:val="auto"/>
        </w:rPr>
      </w:pPr>
      <w:r>
        <w:rPr>
          <w:rFonts w:ascii="Calibri" w:cs="Calibri" w:eastAsia="Calibri" w:hAnsi="Calibri"/>
          <w:sz w:val="14"/>
          <w:szCs w:val="14"/>
          <w:color w:val="494949"/>
        </w:rPr>
        <w:t>73% of our Directors (8 of 11) are Women, Asian, Hispanic,</w:t>
      </w:r>
    </w:p>
    <w:p>
      <w:pPr>
        <w:ind w:left="6200"/>
        <w:spacing w:after="0" w:line="196" w:lineRule="auto"/>
        <w:rPr>
          <w:sz w:val="20"/>
          <w:szCs w:val="20"/>
          <w:color w:val="auto"/>
        </w:rPr>
      </w:pPr>
      <w:r>
        <w:rPr>
          <w:rFonts w:ascii="Calibri" w:cs="Calibri" w:eastAsia="Calibri" w:hAnsi="Calibri"/>
          <w:sz w:val="14"/>
          <w:szCs w:val="14"/>
          <w:color w:val="494949"/>
        </w:rPr>
        <w:t>and/or African-American and 45% (5 out of 11) are Women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8"/>
          <w:szCs w:val="18"/>
          <w:color w:val="666666"/>
        </w:rPr>
        <w:t>4</w:t>
      </w:r>
    </w:p>
    <w:p>
      <w:pPr>
        <w:sectPr>
          <w:pgSz w:w="11900" w:h="16838" w:orient="portrait"/>
          <w:cols w:equalWidth="0" w:num="1">
            <w:col w:w="10139"/>
          </w:cols>
          <w:pgMar w:left="320" w:top="118"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Corporate Governance Highlights</w:t>
      </w:r>
    </w:p>
    <w:p>
      <w:pPr>
        <w:spacing w:after="0" w:line="166" w:lineRule="exact"/>
        <w:rPr>
          <w:sz w:val="20"/>
          <w:szCs w:val="20"/>
          <w:color w:val="auto"/>
        </w:rPr>
      </w:pPr>
    </w:p>
    <w:p>
      <w:pPr>
        <w:ind w:left="640" w:hanging="315"/>
        <w:spacing w:after="0" w:line="231" w:lineRule="auto"/>
        <w:tabs>
          <w:tab w:leader="none" w:pos="633" w:val="left"/>
        </w:tabs>
        <w:numPr>
          <w:ilvl w:val="0"/>
          <w:numId w:val="8"/>
        </w:numPr>
        <w:rPr>
          <w:rFonts w:ascii="Calibri" w:cs="Calibri" w:eastAsia="Calibri" w:hAnsi="Calibri"/>
          <w:sz w:val="18"/>
          <w:szCs w:val="18"/>
          <w:color w:val="666666"/>
        </w:rPr>
      </w:pPr>
      <w:r>
        <w:rPr>
          <w:rFonts w:ascii="Calibri" w:cs="Calibri" w:eastAsia="Calibri" w:hAnsi="Calibri"/>
          <w:sz w:val="18"/>
          <w:szCs w:val="18"/>
          <w:color w:val="666666"/>
        </w:rPr>
        <w:t>Ten of our 11 current directors are independent, and the Audit, Compensaton, Culture and People, and Nominatng and Corporate Governance Commitees are 100% independent.</w:t>
      </w:r>
    </w:p>
    <w:p>
      <w:pPr>
        <w:spacing w:after="0" w:line="161" w:lineRule="exact"/>
        <w:rPr>
          <w:rFonts w:ascii="Calibri" w:cs="Calibri" w:eastAsia="Calibri" w:hAnsi="Calibri"/>
          <w:sz w:val="18"/>
          <w:szCs w:val="18"/>
          <w:color w:val="666666"/>
        </w:rPr>
      </w:pPr>
    </w:p>
    <w:p>
      <w:pPr>
        <w:jc w:val="both"/>
        <w:ind w:left="640" w:hanging="315"/>
        <w:spacing w:after="0" w:line="231" w:lineRule="auto"/>
        <w:tabs>
          <w:tab w:leader="none" w:pos="633" w:val="left"/>
        </w:tabs>
        <w:numPr>
          <w:ilvl w:val="0"/>
          <w:numId w:val="8"/>
        </w:numPr>
        <w:rPr>
          <w:rFonts w:ascii="Calibri" w:cs="Calibri" w:eastAsia="Calibri" w:hAnsi="Calibri"/>
          <w:sz w:val="18"/>
          <w:szCs w:val="18"/>
          <w:color w:val="666666"/>
        </w:rPr>
      </w:pPr>
      <w:r>
        <w:rPr>
          <w:rFonts w:ascii="Calibri" w:cs="Calibri" w:eastAsia="Calibri" w:hAnsi="Calibri"/>
          <w:sz w:val="18"/>
          <w:szCs w:val="18"/>
          <w:color w:val="666666"/>
        </w:rPr>
        <w:t>We provide for a majority votng standard in our bylaws for the electon of directors in uncontested electons, with the requirement that any incumbent director nominee who does not receive a majority of the votes validly cast in an uncontested electon tender his or her resignaton, subject to acceptance by the Board of Directors.</w:t>
      </w:r>
    </w:p>
    <w:p>
      <w:pPr>
        <w:spacing w:after="0" w:line="162" w:lineRule="exact"/>
        <w:rPr>
          <w:rFonts w:ascii="Calibri" w:cs="Calibri" w:eastAsia="Calibri" w:hAnsi="Calibri"/>
          <w:sz w:val="18"/>
          <w:szCs w:val="18"/>
          <w:color w:val="666666"/>
        </w:rPr>
      </w:pPr>
    </w:p>
    <w:p>
      <w:pPr>
        <w:ind w:left="640" w:hanging="315"/>
        <w:spacing w:after="0" w:line="231" w:lineRule="auto"/>
        <w:tabs>
          <w:tab w:leader="none" w:pos="633" w:val="left"/>
        </w:tabs>
        <w:numPr>
          <w:ilvl w:val="0"/>
          <w:numId w:val="8"/>
        </w:numPr>
        <w:rPr>
          <w:rFonts w:ascii="Calibri" w:cs="Calibri" w:eastAsia="Calibri" w:hAnsi="Calibri"/>
          <w:sz w:val="18"/>
          <w:szCs w:val="18"/>
          <w:color w:val="666666"/>
        </w:rPr>
      </w:pPr>
      <w:r>
        <w:rPr>
          <w:rFonts w:ascii="Calibri" w:cs="Calibri" w:eastAsia="Calibri" w:hAnsi="Calibri"/>
          <w:sz w:val="18"/>
          <w:szCs w:val="18"/>
          <w:color w:val="666666"/>
        </w:rPr>
        <w:t>We have a diverse Board of Directors in terms of gender, ethnicity, experience, tenure, and skills, and 73% of our Board of Directors is gender and/or racially diverse.</w:t>
      </w:r>
    </w:p>
    <w:p>
      <w:pPr>
        <w:spacing w:after="0" w:line="161" w:lineRule="exact"/>
        <w:rPr>
          <w:rFonts w:ascii="Calibri" w:cs="Calibri" w:eastAsia="Calibri" w:hAnsi="Calibri"/>
          <w:sz w:val="18"/>
          <w:szCs w:val="18"/>
          <w:color w:val="666666"/>
        </w:rPr>
      </w:pPr>
    </w:p>
    <w:p>
      <w:pPr>
        <w:ind w:left="640" w:hanging="315"/>
        <w:spacing w:after="0" w:line="231" w:lineRule="auto"/>
        <w:tabs>
          <w:tab w:leader="none" w:pos="633" w:val="left"/>
        </w:tabs>
        <w:numPr>
          <w:ilvl w:val="0"/>
          <w:numId w:val="8"/>
        </w:numPr>
        <w:rPr>
          <w:rFonts w:ascii="Calibri" w:cs="Calibri" w:eastAsia="Calibri" w:hAnsi="Calibri"/>
          <w:sz w:val="18"/>
          <w:szCs w:val="18"/>
          <w:color w:val="666666"/>
        </w:rPr>
      </w:pPr>
      <w:r>
        <w:rPr>
          <w:rFonts w:ascii="Calibri" w:cs="Calibri" w:eastAsia="Calibri" w:hAnsi="Calibri"/>
          <w:sz w:val="18"/>
          <w:szCs w:val="18"/>
          <w:color w:val="666666"/>
        </w:rPr>
        <w:t>Efectve as of the 2023 annual meetng of stockholders, our Board of Directors will be fully declassifed and each of our directors will be elected annually.</w:t>
      </w:r>
    </w:p>
    <w:p>
      <w:pPr>
        <w:spacing w:after="0" w:line="161" w:lineRule="exact"/>
        <w:rPr>
          <w:rFonts w:ascii="Calibri" w:cs="Calibri" w:eastAsia="Calibri" w:hAnsi="Calibri"/>
          <w:sz w:val="18"/>
          <w:szCs w:val="18"/>
          <w:color w:val="666666"/>
        </w:rPr>
      </w:pPr>
    </w:p>
    <w:p>
      <w:pPr>
        <w:ind w:left="640" w:hanging="315"/>
        <w:spacing w:after="0" w:line="231" w:lineRule="auto"/>
        <w:tabs>
          <w:tab w:leader="none" w:pos="633" w:val="left"/>
        </w:tabs>
        <w:numPr>
          <w:ilvl w:val="0"/>
          <w:numId w:val="8"/>
        </w:numPr>
        <w:rPr>
          <w:rFonts w:ascii="Calibri" w:cs="Calibri" w:eastAsia="Calibri" w:hAnsi="Calibri"/>
          <w:sz w:val="18"/>
          <w:szCs w:val="18"/>
          <w:color w:val="666666"/>
        </w:rPr>
      </w:pPr>
      <w:r>
        <w:rPr>
          <w:rFonts w:ascii="Calibri" w:cs="Calibri" w:eastAsia="Calibri" w:hAnsi="Calibri"/>
          <w:sz w:val="18"/>
          <w:szCs w:val="18"/>
          <w:color w:val="666666"/>
        </w:rPr>
        <w:t>Our Board of Directors and senior leadership exercise oversight in respect of Environmental, Social, and Governance (“ESG") maters, as further described on page 6.</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8"/>
        </w:numPr>
        <w:rPr>
          <w:rFonts w:ascii="Calibri" w:cs="Calibri" w:eastAsia="Calibri" w:hAnsi="Calibri"/>
          <w:sz w:val="18"/>
          <w:szCs w:val="18"/>
          <w:color w:val="666666"/>
        </w:rPr>
      </w:pPr>
      <w:r>
        <w:rPr>
          <w:rFonts w:ascii="Calibri" w:cs="Calibri" w:eastAsia="Calibri" w:hAnsi="Calibri"/>
          <w:sz w:val="18"/>
          <w:szCs w:val="18"/>
          <w:color w:val="666666"/>
        </w:rPr>
        <w:t>Our directors atended 95% of the total aggregate number of Board of Directors and commitee meetngs.</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8"/>
        </w:numPr>
        <w:rPr>
          <w:rFonts w:ascii="Calibri" w:cs="Calibri" w:eastAsia="Calibri" w:hAnsi="Calibri"/>
          <w:sz w:val="18"/>
          <w:szCs w:val="18"/>
          <w:color w:val="666666"/>
        </w:rPr>
      </w:pPr>
      <w:r>
        <w:rPr>
          <w:rFonts w:ascii="Calibri" w:cs="Calibri" w:eastAsia="Calibri" w:hAnsi="Calibri"/>
          <w:sz w:val="18"/>
          <w:szCs w:val="18"/>
          <w:color w:val="666666"/>
        </w:rPr>
        <w:t>The Board of Directors holds regular executve sessions of non-management directors.</w:t>
      </w:r>
    </w:p>
    <w:p>
      <w:pPr>
        <w:spacing w:after="0" w:line="161" w:lineRule="exact"/>
        <w:rPr>
          <w:rFonts w:ascii="Calibri" w:cs="Calibri" w:eastAsia="Calibri" w:hAnsi="Calibri"/>
          <w:sz w:val="18"/>
          <w:szCs w:val="18"/>
          <w:color w:val="666666"/>
        </w:rPr>
      </w:pPr>
    </w:p>
    <w:p>
      <w:pPr>
        <w:ind w:left="640" w:hanging="315"/>
        <w:spacing w:after="0" w:line="231" w:lineRule="auto"/>
        <w:tabs>
          <w:tab w:leader="none" w:pos="633" w:val="left"/>
        </w:tabs>
        <w:numPr>
          <w:ilvl w:val="0"/>
          <w:numId w:val="8"/>
        </w:numPr>
        <w:rPr>
          <w:rFonts w:ascii="Calibri" w:cs="Calibri" w:eastAsia="Calibri" w:hAnsi="Calibri"/>
          <w:sz w:val="18"/>
          <w:szCs w:val="18"/>
          <w:color w:val="666666"/>
        </w:rPr>
      </w:pPr>
      <w:r>
        <w:rPr>
          <w:rFonts w:ascii="Calibri" w:cs="Calibri" w:eastAsia="Calibri" w:hAnsi="Calibri"/>
          <w:sz w:val="18"/>
          <w:szCs w:val="18"/>
          <w:color w:val="666666"/>
        </w:rPr>
        <w:t>The Board of Directors conducts an annual discussion on management succession planning, with support provided by the Compensaton, Culture and People Commitee.</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8"/>
        </w:numPr>
        <w:rPr>
          <w:rFonts w:ascii="Calibri" w:cs="Calibri" w:eastAsia="Calibri" w:hAnsi="Calibri"/>
          <w:sz w:val="18"/>
          <w:szCs w:val="18"/>
          <w:color w:val="666666"/>
        </w:rPr>
      </w:pPr>
      <w:r>
        <w:rPr>
          <w:rFonts w:ascii="Calibri" w:cs="Calibri" w:eastAsia="Calibri" w:hAnsi="Calibri"/>
          <w:sz w:val="18"/>
          <w:szCs w:val="18"/>
          <w:color w:val="666666"/>
        </w:rPr>
        <w:t>We prohibit short sales and derivatve transactons in our equity, and hedging and pledging of our stock.</w:t>
      </w:r>
    </w:p>
    <w:p>
      <w:pPr>
        <w:spacing w:after="0" w:line="161" w:lineRule="exact"/>
        <w:rPr>
          <w:rFonts w:ascii="Calibri" w:cs="Calibri" w:eastAsia="Calibri" w:hAnsi="Calibri"/>
          <w:sz w:val="18"/>
          <w:szCs w:val="18"/>
          <w:color w:val="666666"/>
        </w:rPr>
      </w:pPr>
    </w:p>
    <w:p>
      <w:pPr>
        <w:ind w:left="640" w:hanging="315"/>
        <w:spacing w:after="0"/>
        <w:tabs>
          <w:tab w:leader="none" w:pos="640" w:val="left"/>
        </w:tabs>
        <w:numPr>
          <w:ilvl w:val="0"/>
          <w:numId w:val="8"/>
        </w:numPr>
        <w:rPr>
          <w:rFonts w:ascii="Calibri" w:cs="Calibri" w:eastAsia="Calibri" w:hAnsi="Calibri"/>
          <w:sz w:val="17"/>
          <w:szCs w:val="17"/>
          <w:color w:val="666666"/>
        </w:rPr>
      </w:pPr>
      <w:r>
        <w:rPr>
          <w:rFonts w:ascii="Calibri" w:cs="Calibri" w:eastAsia="Calibri" w:hAnsi="Calibri"/>
          <w:sz w:val="17"/>
          <w:szCs w:val="17"/>
          <w:color w:val="666666"/>
        </w:rPr>
        <w:t>Our equity awards include a provision for the recoupment of equity-based compensaton in the event of misconduct leading to a fnancial restatement.</w:t>
      </w:r>
    </w:p>
    <w:p>
      <w:pPr>
        <w:spacing w:after="0" w:line="155" w:lineRule="exact"/>
        <w:rPr>
          <w:rFonts w:ascii="Calibri" w:cs="Calibri" w:eastAsia="Calibri" w:hAnsi="Calibri"/>
          <w:sz w:val="17"/>
          <w:szCs w:val="17"/>
          <w:color w:val="666666"/>
        </w:rPr>
      </w:pPr>
    </w:p>
    <w:p>
      <w:pPr>
        <w:ind w:left="640" w:hanging="315"/>
        <w:spacing w:after="0"/>
        <w:tabs>
          <w:tab w:leader="none" w:pos="640" w:val="left"/>
        </w:tabs>
        <w:numPr>
          <w:ilvl w:val="0"/>
          <w:numId w:val="8"/>
        </w:numPr>
        <w:rPr>
          <w:rFonts w:ascii="Calibri" w:cs="Calibri" w:eastAsia="Calibri" w:hAnsi="Calibri"/>
          <w:sz w:val="18"/>
          <w:szCs w:val="18"/>
          <w:color w:val="666666"/>
        </w:rPr>
      </w:pPr>
      <w:r>
        <w:rPr>
          <w:rFonts w:ascii="Calibri" w:cs="Calibri" w:eastAsia="Calibri" w:hAnsi="Calibri"/>
          <w:sz w:val="18"/>
          <w:szCs w:val="18"/>
          <w:color w:val="666666"/>
        </w:rPr>
        <w:t>Our Investor Relatons team and management regularly engage with current and potental stockholders.</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8"/>
        </w:numPr>
        <w:rPr>
          <w:rFonts w:ascii="Calibri" w:cs="Calibri" w:eastAsia="Calibri" w:hAnsi="Calibri"/>
          <w:sz w:val="18"/>
          <w:szCs w:val="18"/>
          <w:color w:val="666666"/>
        </w:rPr>
      </w:pPr>
      <w:r>
        <w:rPr>
          <w:rFonts w:ascii="Calibri" w:cs="Calibri" w:eastAsia="Calibri" w:hAnsi="Calibri"/>
          <w:sz w:val="18"/>
          <w:szCs w:val="18"/>
          <w:color w:val="666666"/>
        </w:rPr>
        <w:t>We do not have a poison pill in place.</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8"/>
        </w:numPr>
        <w:rPr>
          <w:rFonts w:ascii="Calibri" w:cs="Calibri" w:eastAsia="Calibri" w:hAnsi="Calibri"/>
          <w:sz w:val="18"/>
          <w:szCs w:val="18"/>
          <w:color w:val="666666"/>
        </w:rPr>
      </w:pPr>
      <w:r>
        <w:rPr>
          <w:rFonts w:ascii="Calibri" w:cs="Calibri" w:eastAsia="Calibri" w:hAnsi="Calibri"/>
          <w:sz w:val="18"/>
          <w:szCs w:val="18"/>
          <w:color w:val="666666"/>
        </w:rPr>
        <w:t>We adhere to robust executve ofcer and director stock ownership guidelines.</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8"/>
        </w:numPr>
        <w:rPr>
          <w:rFonts w:ascii="Calibri" w:cs="Calibri" w:eastAsia="Calibri" w:hAnsi="Calibri"/>
          <w:sz w:val="18"/>
          <w:szCs w:val="18"/>
          <w:color w:val="666666"/>
        </w:rPr>
      </w:pPr>
      <w:r>
        <w:rPr>
          <w:rFonts w:ascii="Calibri" w:cs="Calibri" w:eastAsia="Calibri" w:hAnsi="Calibri"/>
          <w:sz w:val="18"/>
          <w:szCs w:val="18"/>
          <w:color w:val="666666"/>
        </w:rPr>
        <w:t>We conduct annual Board and commitee evaluatons and self-assessments.</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8"/>
        </w:numPr>
        <w:rPr>
          <w:rFonts w:ascii="Calibri" w:cs="Calibri" w:eastAsia="Calibri" w:hAnsi="Calibri"/>
          <w:sz w:val="18"/>
          <w:szCs w:val="18"/>
          <w:color w:val="666666"/>
        </w:rPr>
      </w:pPr>
      <w:r>
        <w:rPr>
          <w:rFonts w:ascii="Calibri" w:cs="Calibri" w:eastAsia="Calibri" w:hAnsi="Calibri"/>
          <w:sz w:val="18"/>
          <w:szCs w:val="18"/>
          <w:color w:val="666666"/>
        </w:rPr>
        <w:t>We adhere to a sound policy on public company board service to ensure a director's ability to devote necessary tme to serve on our Board.</w:t>
      </w:r>
    </w:p>
    <w:p>
      <w:pPr>
        <w:spacing w:after="0" w:line="150"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Executve Compensaton Highlights</w:t>
      </w:r>
    </w:p>
    <w:p>
      <w:pPr>
        <w:spacing w:after="0" w:line="166" w:lineRule="exact"/>
        <w:rPr>
          <w:sz w:val="20"/>
          <w:szCs w:val="20"/>
          <w:color w:val="auto"/>
        </w:rPr>
      </w:pPr>
    </w:p>
    <w:p>
      <w:pPr>
        <w:jc w:val="both"/>
        <w:ind w:left="640" w:hanging="315"/>
        <w:spacing w:after="0" w:line="231" w:lineRule="auto"/>
        <w:tabs>
          <w:tab w:leader="none" w:pos="633" w:val="left"/>
        </w:tabs>
        <w:numPr>
          <w:ilvl w:val="0"/>
          <w:numId w:val="9"/>
        </w:numPr>
        <w:rPr>
          <w:rFonts w:ascii="Calibri" w:cs="Calibri" w:eastAsia="Calibri" w:hAnsi="Calibri"/>
          <w:sz w:val="18"/>
          <w:szCs w:val="18"/>
          <w:color w:val="666666"/>
        </w:rPr>
      </w:pPr>
      <w:r>
        <w:rPr>
          <w:rFonts w:ascii="Calibri" w:cs="Calibri" w:eastAsia="Calibri" w:hAnsi="Calibri"/>
          <w:sz w:val="18"/>
          <w:szCs w:val="18"/>
          <w:color w:val="666666"/>
        </w:rPr>
        <w:t>We contnue to utlize a partnership-style compensaton model that fosters a culture of collaboraton and long-term ownership mindset that encourages our executves to think and act in the best interests of the Company. The spirit of collectve ingenuity is paramount to our success and underscores our commitment to inclusion, collaboraton, and service.</w:t>
      </w:r>
    </w:p>
    <w:p>
      <w:pPr>
        <w:spacing w:after="0" w:line="162" w:lineRule="exact"/>
        <w:rPr>
          <w:rFonts w:ascii="Calibri" w:cs="Calibri" w:eastAsia="Calibri" w:hAnsi="Calibri"/>
          <w:sz w:val="18"/>
          <w:szCs w:val="18"/>
          <w:color w:val="666666"/>
        </w:rPr>
      </w:pPr>
    </w:p>
    <w:p>
      <w:pPr>
        <w:jc w:val="both"/>
        <w:ind w:left="640" w:hanging="315"/>
        <w:spacing w:after="0" w:line="231" w:lineRule="auto"/>
        <w:tabs>
          <w:tab w:leader="none" w:pos="633" w:val="left"/>
        </w:tabs>
        <w:numPr>
          <w:ilvl w:val="0"/>
          <w:numId w:val="9"/>
        </w:numPr>
        <w:rPr>
          <w:rFonts w:ascii="Calibri" w:cs="Calibri" w:eastAsia="Calibri" w:hAnsi="Calibri"/>
          <w:sz w:val="18"/>
          <w:szCs w:val="18"/>
          <w:color w:val="666666"/>
        </w:rPr>
      </w:pPr>
      <w:r>
        <w:rPr>
          <w:rFonts w:ascii="Calibri" w:cs="Calibri" w:eastAsia="Calibri" w:hAnsi="Calibri"/>
          <w:sz w:val="18"/>
          <w:szCs w:val="18"/>
          <w:color w:val="666666"/>
        </w:rPr>
        <w:t>We are a values-driven organizaton with a guiding purpose to empower people to change the world. Our executves are commited to bold thinking, holding themselves and those around them accountable to act with integrity, and realizing positve change in all the work we do. Our executve compensaton program is intrinsically ted to our purpose and values. We believe our executves are motvated to act in the best interests of the Company with an emphasis on problem solving, passionate service, and collectve ingenuity across markets, clients, and opportunites.</w:t>
      </w:r>
    </w:p>
    <w:p>
      <w:pPr>
        <w:spacing w:after="0" w:line="163" w:lineRule="exact"/>
        <w:rPr>
          <w:rFonts w:ascii="Calibri" w:cs="Calibri" w:eastAsia="Calibri" w:hAnsi="Calibri"/>
          <w:sz w:val="18"/>
          <w:szCs w:val="18"/>
          <w:color w:val="666666"/>
        </w:rPr>
      </w:pPr>
    </w:p>
    <w:p>
      <w:pPr>
        <w:jc w:val="both"/>
        <w:ind w:left="640" w:hanging="315"/>
        <w:spacing w:after="0" w:line="231" w:lineRule="auto"/>
        <w:tabs>
          <w:tab w:leader="none" w:pos="633" w:val="left"/>
        </w:tabs>
        <w:numPr>
          <w:ilvl w:val="0"/>
          <w:numId w:val="9"/>
        </w:numPr>
        <w:rPr>
          <w:rFonts w:ascii="Calibri" w:cs="Calibri" w:eastAsia="Calibri" w:hAnsi="Calibri"/>
          <w:sz w:val="18"/>
          <w:szCs w:val="18"/>
          <w:color w:val="666666"/>
        </w:rPr>
      </w:pPr>
      <w:r>
        <w:rPr>
          <w:rFonts w:ascii="Calibri" w:cs="Calibri" w:eastAsia="Calibri" w:hAnsi="Calibri"/>
          <w:sz w:val="18"/>
          <w:szCs w:val="18"/>
          <w:color w:val="666666"/>
        </w:rPr>
        <w:t>Together with our Compensaton, Culture and People Commitee, we are commited to designing a compensaton program that aligns the interests of our executves with the long-term interests of our stockholders. We contnuously seek to evolve our approach and stay connected with the views of our stockholders. Our compensaton program links our executve rewards packages with the long-term interests of our stockholders and includes a long-term performance-based component to our program, where a porton of our executves’ compensaton is ted to the achievement of mult-year performance goals. For more details on our compensaton program, please see our discussion in the CD&amp;A beginning with the Executve Summary on page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5</w:t>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Environmental, Social, and Governance Discussion and Highlights</w:t>
      </w:r>
    </w:p>
    <w:p>
      <w:pPr>
        <w:spacing w:after="0" w:line="162"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547BCC"/>
        </w:rPr>
        <w:t>ESG Governance Structure</w:t>
      </w:r>
    </w:p>
    <w:p>
      <w:pPr>
        <w:spacing w:after="0" w:line="170" w:lineRule="exact"/>
        <w:rPr>
          <w:sz w:val="20"/>
          <w:szCs w:val="20"/>
          <w:color w:val="auto"/>
        </w:rPr>
      </w:pPr>
    </w:p>
    <w:p>
      <w:pPr>
        <w:ind w:firstLine="319"/>
        <w:spacing w:after="0" w:line="231" w:lineRule="auto"/>
        <w:rPr>
          <w:sz w:val="20"/>
          <w:szCs w:val="20"/>
          <w:color w:val="auto"/>
        </w:rPr>
      </w:pPr>
      <w:r>
        <w:rPr>
          <w:rFonts w:ascii="Calibri" w:cs="Calibri" w:eastAsia="Calibri" w:hAnsi="Calibri"/>
          <w:sz w:val="18"/>
          <w:szCs w:val="18"/>
          <w:color w:val="666666"/>
        </w:rPr>
        <w:t>We contnue to integrate ESG principles into our business operatons, guided by our corporate values and purpose to “empower people to change the world.” Our ESG initatves are driven by our global ESG strategy, as developed and directed by the following:</w:t>
      </w:r>
    </w:p>
    <w:p>
      <w:pPr>
        <w:spacing w:after="0" w:line="161" w:lineRule="exact"/>
        <w:rPr>
          <w:sz w:val="20"/>
          <w:szCs w:val="20"/>
          <w:color w:val="auto"/>
        </w:rPr>
      </w:pPr>
    </w:p>
    <w:p>
      <w:pPr>
        <w:ind w:left="640" w:hanging="315"/>
        <w:spacing w:after="0" w:line="249" w:lineRule="auto"/>
        <w:tabs>
          <w:tab w:leader="none" w:pos="633" w:val="left"/>
        </w:tabs>
        <w:numPr>
          <w:ilvl w:val="0"/>
          <w:numId w:val="10"/>
        </w:numPr>
        <w:rPr>
          <w:rFonts w:ascii="Calibri" w:cs="Calibri" w:eastAsia="Calibri" w:hAnsi="Calibri"/>
          <w:sz w:val="17"/>
          <w:szCs w:val="17"/>
          <w:color w:val="666666"/>
        </w:rPr>
      </w:pPr>
      <w:r>
        <w:rPr>
          <w:rFonts w:ascii="Calibri" w:cs="Calibri" w:eastAsia="Calibri" w:hAnsi="Calibri"/>
          <w:sz w:val="17"/>
          <w:szCs w:val="17"/>
          <w:i w:val="1"/>
          <w:iCs w:val="1"/>
          <w:color w:val="666666"/>
        </w:rPr>
        <w:t>Board of Directors</w:t>
      </w:r>
      <w:r>
        <w:rPr>
          <w:rFonts w:ascii="Calibri" w:cs="Calibri" w:eastAsia="Calibri" w:hAnsi="Calibri"/>
          <w:sz w:val="17"/>
          <w:szCs w:val="17"/>
          <w:color w:val="666666"/>
        </w:rPr>
        <w:t>: Our Board of Directors, through the authority of the Nominatng and Corporate Governance Commitee, provides oversight of and</w:t>
      </w:r>
      <w:r>
        <w:rPr>
          <w:rFonts w:ascii="Calibri" w:cs="Calibri" w:eastAsia="Calibri" w:hAnsi="Calibri"/>
          <w:sz w:val="17"/>
          <w:szCs w:val="17"/>
          <w:i w:val="1"/>
          <w:iCs w:val="1"/>
          <w:color w:val="666666"/>
        </w:rPr>
        <w:t xml:space="preserve"> </w:t>
      </w:r>
      <w:r>
        <w:rPr>
          <w:rFonts w:ascii="Calibri" w:cs="Calibri" w:eastAsia="Calibri" w:hAnsi="Calibri"/>
          <w:sz w:val="17"/>
          <w:szCs w:val="17"/>
          <w:color w:val="666666"/>
        </w:rPr>
        <w:t>engages with management on our ESG strategy, including our approach to ESG-related risks, opportunites, disclosure, operatons, and management.</w:t>
      </w:r>
    </w:p>
    <w:p>
      <w:pPr>
        <w:spacing w:after="0" w:line="153" w:lineRule="exact"/>
        <w:rPr>
          <w:rFonts w:ascii="Calibri" w:cs="Calibri" w:eastAsia="Calibri" w:hAnsi="Calibri"/>
          <w:sz w:val="17"/>
          <w:szCs w:val="17"/>
          <w:color w:val="666666"/>
        </w:rPr>
      </w:pPr>
    </w:p>
    <w:p>
      <w:pPr>
        <w:jc w:val="both"/>
        <w:ind w:left="640" w:hanging="315"/>
        <w:spacing w:after="0" w:line="231" w:lineRule="auto"/>
        <w:tabs>
          <w:tab w:leader="none" w:pos="633" w:val="left"/>
        </w:tabs>
        <w:numPr>
          <w:ilvl w:val="0"/>
          <w:numId w:val="10"/>
        </w:numPr>
        <w:rPr>
          <w:rFonts w:ascii="Calibri" w:cs="Calibri" w:eastAsia="Calibri" w:hAnsi="Calibri"/>
          <w:sz w:val="18"/>
          <w:szCs w:val="18"/>
          <w:color w:val="666666"/>
        </w:rPr>
      </w:pPr>
      <w:r>
        <w:rPr>
          <w:rFonts w:ascii="Calibri" w:cs="Calibri" w:eastAsia="Calibri" w:hAnsi="Calibri"/>
          <w:sz w:val="18"/>
          <w:szCs w:val="18"/>
          <w:i w:val="1"/>
          <w:iCs w:val="1"/>
          <w:color w:val="666666"/>
        </w:rPr>
        <w:t>ESG Commitee</w:t>
      </w:r>
      <w:r>
        <w:rPr>
          <w:rFonts w:ascii="Calibri" w:cs="Calibri" w:eastAsia="Calibri" w:hAnsi="Calibri"/>
          <w:sz w:val="18"/>
          <w:szCs w:val="18"/>
          <w:color w:val="666666"/>
        </w:rPr>
        <w:t>: The executve management-level ESG Commitee operates with the Board of Directors’ authority to execute ESG maters. Chaired by</w:t>
      </w:r>
      <w:r>
        <w:rPr>
          <w:rFonts w:ascii="Calibri" w:cs="Calibri" w:eastAsia="Calibri" w:hAnsi="Calibri"/>
          <w:sz w:val="18"/>
          <w:szCs w:val="18"/>
          <w:i w:val="1"/>
          <w:iCs w:val="1"/>
          <w:color w:val="666666"/>
        </w:rPr>
        <w:t xml:space="preserve"> </w:t>
      </w:r>
      <w:r>
        <w:rPr>
          <w:rFonts w:ascii="Calibri" w:cs="Calibri" w:eastAsia="Calibri" w:hAnsi="Calibri"/>
          <w:sz w:val="18"/>
          <w:szCs w:val="18"/>
          <w:color w:val="666666"/>
        </w:rPr>
        <w:t>our Chief Legal Ofcer and comprised of senior executves, including our President and Chief Executve Ofcer, the ESG Commitee uses its deep knowledge of our business, business strategies, and ESG priorites, goals, and strategies to champion our ongoing commitment to our ESG strategy and integraton of ESG principles into our business strategy, facilitated by the ESG Functon of our Ofce of the Corporate Secretary (the "ESG Functon"), as described below.</w:t>
      </w:r>
    </w:p>
    <w:p>
      <w:pPr>
        <w:spacing w:after="0" w:line="164" w:lineRule="exact"/>
        <w:rPr>
          <w:rFonts w:ascii="Calibri" w:cs="Calibri" w:eastAsia="Calibri" w:hAnsi="Calibri"/>
          <w:sz w:val="18"/>
          <w:szCs w:val="18"/>
          <w:color w:val="666666"/>
        </w:rPr>
      </w:pPr>
    </w:p>
    <w:p>
      <w:pPr>
        <w:jc w:val="both"/>
        <w:ind w:left="640" w:hanging="315"/>
        <w:spacing w:after="0" w:line="231" w:lineRule="auto"/>
        <w:tabs>
          <w:tab w:leader="none" w:pos="633" w:val="left"/>
        </w:tabs>
        <w:numPr>
          <w:ilvl w:val="0"/>
          <w:numId w:val="10"/>
        </w:numPr>
        <w:rPr>
          <w:rFonts w:ascii="Calibri" w:cs="Calibri" w:eastAsia="Calibri" w:hAnsi="Calibri"/>
          <w:sz w:val="18"/>
          <w:szCs w:val="18"/>
          <w:color w:val="666666"/>
        </w:rPr>
      </w:pPr>
      <w:r>
        <w:rPr>
          <w:rFonts w:ascii="Calibri" w:cs="Calibri" w:eastAsia="Calibri" w:hAnsi="Calibri"/>
          <w:sz w:val="18"/>
          <w:szCs w:val="18"/>
          <w:i w:val="1"/>
          <w:iCs w:val="1"/>
          <w:color w:val="666666"/>
        </w:rPr>
        <w:t>ESG Council</w:t>
      </w:r>
      <w:r>
        <w:rPr>
          <w:rFonts w:ascii="Calibri" w:cs="Calibri" w:eastAsia="Calibri" w:hAnsi="Calibri"/>
          <w:sz w:val="18"/>
          <w:szCs w:val="18"/>
          <w:color w:val="666666"/>
        </w:rPr>
        <w:t>: The management-level ESG Council leverages the collectve ingenuity of key functonal and business leaders across the Company, each</w:t>
      </w:r>
      <w:r>
        <w:rPr>
          <w:rFonts w:ascii="Calibri" w:cs="Calibri" w:eastAsia="Calibri" w:hAnsi="Calibri"/>
          <w:sz w:val="18"/>
          <w:szCs w:val="18"/>
          <w:i w:val="1"/>
          <w:iCs w:val="1"/>
          <w:color w:val="666666"/>
        </w:rPr>
        <w:t xml:space="preserve"> </w:t>
      </w:r>
      <w:r>
        <w:rPr>
          <w:rFonts w:ascii="Calibri" w:cs="Calibri" w:eastAsia="Calibri" w:hAnsi="Calibri"/>
          <w:sz w:val="18"/>
          <w:szCs w:val="18"/>
          <w:color w:val="666666"/>
        </w:rPr>
        <w:t>holding operatonal or policy-level responsibility for an area of our performance or practces that relates to our ESG priorites. The ESG Council seeks to achieve a consistent and collaboratve frmwide approach to our ESG priorites both through the Council's day-to-day work and cross-functonal initatves.</w:t>
      </w:r>
    </w:p>
    <w:p>
      <w:pPr>
        <w:spacing w:after="0" w:line="163" w:lineRule="exact"/>
        <w:rPr>
          <w:rFonts w:ascii="Calibri" w:cs="Calibri" w:eastAsia="Calibri" w:hAnsi="Calibri"/>
          <w:sz w:val="18"/>
          <w:szCs w:val="18"/>
          <w:color w:val="666666"/>
        </w:rPr>
      </w:pPr>
    </w:p>
    <w:p>
      <w:pPr>
        <w:jc w:val="both"/>
        <w:ind w:left="640" w:hanging="315"/>
        <w:spacing w:after="0" w:line="231" w:lineRule="auto"/>
        <w:tabs>
          <w:tab w:leader="none" w:pos="633" w:val="left"/>
        </w:tabs>
        <w:numPr>
          <w:ilvl w:val="0"/>
          <w:numId w:val="10"/>
        </w:numPr>
        <w:rPr>
          <w:rFonts w:ascii="Calibri" w:cs="Calibri" w:eastAsia="Calibri" w:hAnsi="Calibri"/>
          <w:sz w:val="18"/>
          <w:szCs w:val="18"/>
          <w:color w:val="666666"/>
        </w:rPr>
      </w:pPr>
      <w:r>
        <w:rPr>
          <w:rFonts w:ascii="Calibri" w:cs="Calibri" w:eastAsia="Calibri" w:hAnsi="Calibri"/>
          <w:sz w:val="18"/>
          <w:szCs w:val="18"/>
          <w:i w:val="1"/>
          <w:iCs w:val="1"/>
          <w:color w:val="666666"/>
        </w:rPr>
        <w:t>ESG Functon</w:t>
      </w:r>
      <w:r>
        <w:rPr>
          <w:rFonts w:ascii="Calibri" w:cs="Calibri" w:eastAsia="Calibri" w:hAnsi="Calibri"/>
          <w:sz w:val="18"/>
          <w:szCs w:val="18"/>
          <w:color w:val="666666"/>
        </w:rPr>
        <w:t>: The ESG Functon drives our global ESG strategy and supports our Board of Directors, ESG Commitee, and ESG Council by providing</w:t>
      </w:r>
      <w:r>
        <w:rPr>
          <w:rFonts w:ascii="Calibri" w:cs="Calibri" w:eastAsia="Calibri" w:hAnsi="Calibri"/>
          <w:sz w:val="18"/>
          <w:szCs w:val="18"/>
          <w:i w:val="1"/>
          <w:iCs w:val="1"/>
          <w:color w:val="666666"/>
        </w:rPr>
        <w:t xml:space="preserve"> </w:t>
      </w:r>
      <w:r>
        <w:rPr>
          <w:rFonts w:ascii="Calibri" w:cs="Calibri" w:eastAsia="Calibri" w:hAnsi="Calibri"/>
          <w:sz w:val="18"/>
          <w:szCs w:val="18"/>
          <w:color w:val="666666"/>
        </w:rPr>
        <w:t>relevant informaton and data-driven guidance for strategic decision-making, enhancing transparency through internal accountability and external reportng channels, advocatng for integraton of ESG principles into business strategy, and coordinatng and evolving the integraton of ESG initatves into our business operatons to refect business, regulatory, and market imperatves.</w:t>
      </w:r>
    </w:p>
    <w:p>
      <w:pPr>
        <w:spacing w:after="0" w:line="159"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547BCC"/>
        </w:rPr>
        <w:t>ESG Priorites and ESG Reportng</w:t>
      </w:r>
    </w:p>
    <w:p>
      <w:pPr>
        <w:spacing w:after="0" w:line="91" w:lineRule="exact"/>
        <w:rPr>
          <w:sz w:val="20"/>
          <w:szCs w:val="20"/>
          <w:color w:val="auto"/>
        </w:rPr>
      </w:pPr>
    </w:p>
    <w:p>
      <w:pPr>
        <w:ind w:left="640" w:right="140" w:hanging="315"/>
        <w:spacing w:after="0" w:line="221" w:lineRule="auto"/>
        <w:tabs>
          <w:tab w:leader="none" w:pos="633" w:val="left"/>
        </w:tabs>
        <w:numPr>
          <w:ilvl w:val="0"/>
          <w:numId w:val="11"/>
        </w:numPr>
        <w:rPr>
          <w:rFonts w:ascii="Calibri" w:cs="Calibri" w:eastAsia="Calibri" w:hAnsi="Calibri"/>
          <w:sz w:val="18"/>
          <w:szCs w:val="18"/>
          <w:color w:val="666666"/>
        </w:rPr>
      </w:pPr>
      <w:r>
        <w:rPr>
          <w:rFonts w:ascii="Calibri" w:cs="Calibri" w:eastAsia="Calibri" w:hAnsi="Calibri"/>
          <w:sz w:val="18"/>
          <w:szCs w:val="18"/>
          <w:color w:val="666666"/>
        </w:rPr>
        <w:t>The six priority areas of focus for our ESG strategy are Ethics &amp; Integrity, Mission &amp; Innovaton, Employee Experience, Community Engagement, Global Resilience, and Informaton Security. We have identfed these six areas to be of partcular relevance to our employees, potental talent, clients, regulators, suppliers, investors, and communites in which we conduct business.</w:t>
      </w:r>
    </w:p>
    <w:p>
      <w:pPr>
        <w:spacing w:after="0" w:line="163" w:lineRule="exact"/>
        <w:rPr>
          <w:rFonts w:ascii="Calibri" w:cs="Calibri" w:eastAsia="Calibri" w:hAnsi="Calibri"/>
          <w:sz w:val="18"/>
          <w:szCs w:val="18"/>
          <w:color w:val="666666"/>
        </w:rPr>
      </w:pPr>
    </w:p>
    <w:p>
      <w:pPr>
        <w:jc w:val="both"/>
        <w:ind w:left="640" w:hanging="315"/>
        <w:spacing w:after="0" w:line="231" w:lineRule="auto"/>
        <w:tabs>
          <w:tab w:leader="none" w:pos="633" w:val="left"/>
        </w:tabs>
        <w:numPr>
          <w:ilvl w:val="0"/>
          <w:numId w:val="11"/>
        </w:numPr>
        <w:rPr>
          <w:rFonts w:ascii="Calibri" w:cs="Calibri" w:eastAsia="Calibri" w:hAnsi="Calibri"/>
          <w:sz w:val="18"/>
          <w:szCs w:val="18"/>
          <w:color w:val="666666"/>
        </w:rPr>
      </w:pPr>
      <w:r>
        <w:rPr>
          <w:rFonts w:ascii="Calibri" w:cs="Calibri" w:eastAsia="Calibri" w:hAnsi="Calibri"/>
          <w:sz w:val="18"/>
          <w:szCs w:val="18"/>
          <w:color w:val="666666"/>
        </w:rPr>
        <w:t>The six priority areas provide an organizing principle for the more granular ESG topics that may represent drivers of long-term positve ESG impact across our value chain. We explore our management and performance of specifc aspects of these six areas in our 2021 ESG Impact Report, which is available on our website, www.boozallen.com. Topics that may be priorites for our 2021 ESG Impact Report are not necessarily material for purposes of the U.S. federal securites laws or for other purposes.</w:t>
      </w:r>
    </w:p>
    <w:p>
      <w:pPr>
        <w:spacing w:after="0" w:line="163" w:lineRule="exact"/>
        <w:rPr>
          <w:rFonts w:ascii="Calibri" w:cs="Calibri" w:eastAsia="Calibri" w:hAnsi="Calibri"/>
          <w:sz w:val="18"/>
          <w:szCs w:val="18"/>
          <w:color w:val="666666"/>
        </w:rPr>
      </w:pPr>
    </w:p>
    <w:p>
      <w:pPr>
        <w:jc w:val="both"/>
        <w:ind w:left="640" w:hanging="315"/>
        <w:spacing w:after="0" w:line="231" w:lineRule="auto"/>
        <w:tabs>
          <w:tab w:leader="none" w:pos="633" w:val="left"/>
        </w:tabs>
        <w:numPr>
          <w:ilvl w:val="0"/>
          <w:numId w:val="11"/>
        </w:numPr>
        <w:rPr>
          <w:rFonts w:ascii="Calibri" w:cs="Calibri" w:eastAsia="Calibri" w:hAnsi="Calibri"/>
          <w:sz w:val="18"/>
          <w:szCs w:val="18"/>
          <w:color w:val="666666"/>
        </w:rPr>
      </w:pPr>
      <w:r>
        <w:rPr>
          <w:rFonts w:ascii="Calibri" w:cs="Calibri" w:eastAsia="Calibri" w:hAnsi="Calibri"/>
          <w:sz w:val="18"/>
          <w:szCs w:val="18"/>
          <w:color w:val="666666"/>
        </w:rPr>
        <w:t>We plan to release our 2022 ESG Impact Report later this calendar year. Our 2021 ESG Impact Report was built on the foundaton of the Global Reportng Initatve’s (GRI) Sustainability Reportng Standards (Core Opton), and includes indices from the following reportng frameworks and standards: the Sustainability Accountng Standards Board (SASB) standard for our industry, the Task Force on Climate-related Financial Disclosures’ (TCFD) recommendatons, the World Economic Forum Core Stakeholder Capitalism Metrics, and the United Natons Guiding Principles on Business and Human Rights. Our ESG initatves evolve as we implement changes to our business and operatons. We monitor regulatons and the markets for relevant guidelines and reportng frameworks useful to our company and our industry.</w:t>
      </w:r>
    </w:p>
    <w:p>
      <w:pPr>
        <w:spacing w:after="0" w:line="165" w:lineRule="exact"/>
        <w:rPr>
          <w:rFonts w:ascii="Calibri" w:cs="Calibri" w:eastAsia="Calibri" w:hAnsi="Calibri"/>
          <w:sz w:val="18"/>
          <w:szCs w:val="18"/>
          <w:color w:val="666666"/>
        </w:rPr>
      </w:pPr>
    </w:p>
    <w:p>
      <w:pPr>
        <w:jc w:val="both"/>
        <w:ind w:left="640" w:hanging="315"/>
        <w:spacing w:after="0" w:line="231" w:lineRule="auto"/>
        <w:tabs>
          <w:tab w:leader="none" w:pos="633" w:val="left"/>
        </w:tabs>
        <w:numPr>
          <w:ilvl w:val="0"/>
          <w:numId w:val="11"/>
        </w:numPr>
        <w:rPr>
          <w:rFonts w:ascii="Calibri" w:cs="Calibri" w:eastAsia="Calibri" w:hAnsi="Calibri"/>
          <w:sz w:val="18"/>
          <w:szCs w:val="18"/>
          <w:color w:val="666666"/>
        </w:rPr>
      </w:pPr>
      <w:r>
        <w:rPr>
          <w:rFonts w:ascii="Calibri" w:cs="Calibri" w:eastAsia="Calibri" w:hAnsi="Calibri"/>
          <w:sz w:val="18"/>
          <w:szCs w:val="18"/>
          <w:color w:val="666666"/>
        </w:rPr>
        <w:t>In our 2021 ESG Impact Report, we commited to a long-term target of net-zero greenhouse gas emissions by no later than 2050. In furtherance of this commitment, we plan to set verifable targets for the reducton of relevant Scope 1, 2, and 3 greenhouse gas emissions through the Science Based Targets initatve (SBTi) to ensure our targets are aligned with climate science on meetng the Paris Agreement’s goals, with our fscal year 2020 emissions as our baseline.</w:t>
      </w:r>
    </w:p>
    <w:p>
      <w:pPr>
        <w:spacing w:after="0" w:line="3" w:lineRule="exact"/>
        <w:rPr>
          <w:rFonts w:ascii="Calibri" w:cs="Calibri" w:eastAsia="Calibri" w:hAnsi="Calibri"/>
          <w:sz w:val="18"/>
          <w:szCs w:val="18"/>
          <w:color w:val="666666"/>
        </w:rPr>
      </w:pPr>
    </w:p>
    <w:p>
      <w:pPr>
        <w:jc w:val="both"/>
        <w:ind w:left="640" w:right="360" w:hanging="315"/>
        <w:spacing w:after="0" w:line="213" w:lineRule="auto"/>
        <w:tabs>
          <w:tab w:leader="none" w:pos="633" w:val="left"/>
        </w:tabs>
        <w:numPr>
          <w:ilvl w:val="0"/>
          <w:numId w:val="11"/>
        </w:numPr>
        <w:rPr>
          <w:rFonts w:ascii="Calibri" w:cs="Calibri" w:eastAsia="Calibri" w:hAnsi="Calibri"/>
          <w:sz w:val="19"/>
          <w:szCs w:val="19"/>
          <w:color w:val="666666"/>
        </w:rPr>
      </w:pPr>
      <w:r>
        <w:rPr>
          <w:rFonts w:ascii="Calibri" w:cs="Calibri" w:eastAsia="Calibri" w:hAnsi="Calibri"/>
          <w:sz w:val="18"/>
          <w:szCs w:val="18"/>
          <w:color w:val="666666"/>
        </w:rPr>
        <w:t>For fscal year 2022, the Compensaton, Culture and People Commitee, with guidance from Korn Ferry and management, introduced non-fnancial strategic metrics as part of the goals for our performance-based restricted stock units. For fscal year 2022, the Compensaton, Culture and People Commitee approved two goals associated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6</w:t>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384" w:lineRule="exact"/>
        <w:rPr>
          <w:sz w:val="20"/>
          <w:szCs w:val="20"/>
          <w:color w:val="auto"/>
        </w:rPr>
      </w:pPr>
    </w:p>
    <w:p>
      <w:pPr>
        <w:ind w:left="640" w:right="120"/>
        <w:spacing w:after="0" w:line="216" w:lineRule="auto"/>
        <w:rPr>
          <w:sz w:val="20"/>
          <w:szCs w:val="20"/>
          <w:color w:val="auto"/>
        </w:rPr>
      </w:pPr>
      <w:r>
        <w:rPr>
          <w:rFonts w:ascii="Calibri" w:cs="Calibri" w:eastAsia="Calibri" w:hAnsi="Calibri"/>
          <w:sz w:val="18"/>
          <w:szCs w:val="18"/>
          <w:color w:val="666666"/>
        </w:rPr>
        <w:t>with our commitment to diversity, equity, and inclusion, as further described under "Compensaton Discussion and Analysis—Compensaton Elements —Long-Term Equity Incentves—Fiscal Year 2022 Annual Grants."</w:t>
      </w:r>
    </w:p>
    <w:p>
      <w:pPr>
        <w:spacing w:after="0" w:line="162" w:lineRule="exact"/>
        <w:rPr>
          <w:sz w:val="20"/>
          <w:szCs w:val="20"/>
          <w:color w:val="auto"/>
        </w:rPr>
      </w:pPr>
    </w:p>
    <w:p>
      <w:pPr>
        <w:ind w:left="640" w:hanging="315"/>
        <w:spacing w:after="0" w:line="231" w:lineRule="auto"/>
        <w:tabs>
          <w:tab w:leader="none" w:pos="633" w:val="left"/>
        </w:tabs>
        <w:numPr>
          <w:ilvl w:val="0"/>
          <w:numId w:val="12"/>
        </w:numPr>
        <w:rPr>
          <w:rFonts w:ascii="Calibri" w:cs="Calibri" w:eastAsia="Calibri" w:hAnsi="Calibri"/>
          <w:sz w:val="18"/>
          <w:szCs w:val="18"/>
          <w:color w:val="666666"/>
        </w:rPr>
      </w:pPr>
      <w:r>
        <w:rPr>
          <w:rFonts w:ascii="Calibri" w:cs="Calibri" w:eastAsia="Calibri" w:hAnsi="Calibri"/>
          <w:sz w:val="18"/>
          <w:szCs w:val="18"/>
          <w:color w:val="666666"/>
        </w:rPr>
        <w:t>We are certfed ISO 22301 compliant and have established our Business Contnuity Program Ofce as an exemplary operaton that focuses on protectng and recovering the business operatons of Booz Allen and our clients.</w:t>
      </w:r>
    </w:p>
    <w:p>
      <w:pPr>
        <w:spacing w:after="0" w:line="157"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547BCC"/>
        </w:rPr>
        <w:t>ESG Awards</w:t>
      </w:r>
    </w:p>
    <w:p>
      <w:pPr>
        <w:spacing w:after="0" w:line="157" w:lineRule="exact"/>
        <w:rPr>
          <w:sz w:val="20"/>
          <w:szCs w:val="20"/>
          <w:color w:val="auto"/>
        </w:rPr>
      </w:pPr>
    </w:p>
    <w:p>
      <w:pPr>
        <w:ind w:firstLine="319"/>
        <w:spacing w:after="0" w:line="231" w:lineRule="auto"/>
        <w:rPr>
          <w:sz w:val="20"/>
          <w:szCs w:val="20"/>
          <w:color w:val="auto"/>
        </w:rPr>
      </w:pPr>
      <w:r>
        <w:rPr>
          <w:rFonts w:ascii="Calibri" w:cs="Calibri" w:eastAsia="Calibri" w:hAnsi="Calibri"/>
          <w:sz w:val="18"/>
          <w:szCs w:val="18"/>
          <w:color w:val="666666"/>
        </w:rPr>
        <w:t>For detail regarding our fscal year 2021 ESG performance, please see our 2021 ESG Impact Report, which is available on our website. Our fscal year 2022 ESG performance will be detailed in our 2022 ESG Impact Report, which will be available later this calendar year.</w:t>
      </w:r>
    </w:p>
    <w:p>
      <w:pPr>
        <w:spacing w:after="0" w:line="152" w:lineRule="exact"/>
        <w:rPr>
          <w:sz w:val="20"/>
          <w:szCs w:val="20"/>
          <w:color w:val="auto"/>
        </w:rPr>
      </w:pPr>
    </w:p>
    <w:p>
      <w:pPr>
        <w:ind w:left="320"/>
        <w:spacing w:after="0"/>
        <w:rPr>
          <w:sz w:val="20"/>
          <w:szCs w:val="20"/>
          <w:color w:val="auto"/>
        </w:rPr>
      </w:pPr>
      <w:r>
        <w:rPr>
          <w:rFonts w:ascii="Calibri" w:cs="Calibri" w:eastAsia="Calibri" w:hAnsi="Calibri"/>
          <w:sz w:val="18"/>
          <w:szCs w:val="18"/>
          <w:color w:val="666666"/>
        </w:rPr>
        <w:t>Below are select award designatons Booz Allen has received in the past year:</w:t>
      </w:r>
    </w:p>
    <w:p>
      <w:pPr>
        <w:spacing w:after="0" w:line="152" w:lineRule="exact"/>
        <w:rPr>
          <w:sz w:val="20"/>
          <w:szCs w:val="20"/>
          <w:color w:val="auto"/>
        </w:rPr>
      </w:pPr>
    </w:p>
    <w:p>
      <w:pPr>
        <w:ind w:left="640" w:hanging="315"/>
        <w:spacing w:after="0"/>
        <w:tabs>
          <w:tab w:leader="none" w:pos="640" w:val="left"/>
        </w:tabs>
        <w:numPr>
          <w:ilvl w:val="0"/>
          <w:numId w:val="13"/>
        </w:numPr>
        <w:rPr>
          <w:rFonts w:ascii="Calibri" w:cs="Calibri" w:eastAsia="Calibri" w:hAnsi="Calibri"/>
          <w:sz w:val="18"/>
          <w:szCs w:val="18"/>
          <w:color w:val="666666"/>
        </w:rPr>
      </w:pPr>
      <w:r>
        <w:rPr>
          <w:rFonts w:ascii="Calibri" w:cs="Calibri" w:eastAsia="Calibri" w:hAnsi="Calibri"/>
          <w:sz w:val="18"/>
          <w:szCs w:val="18"/>
          <w:color w:val="666666"/>
        </w:rPr>
        <w:t>Recognized as one of the “World’s Most Ethical Companies” by Ethisphere for the third consecutve year</w:t>
      </w:r>
    </w:p>
    <w:p>
      <w:pPr>
        <w:spacing w:after="0" w:line="161" w:lineRule="exact"/>
        <w:rPr>
          <w:rFonts w:ascii="Calibri" w:cs="Calibri" w:eastAsia="Calibri" w:hAnsi="Calibri"/>
          <w:sz w:val="18"/>
          <w:szCs w:val="18"/>
          <w:color w:val="666666"/>
        </w:rPr>
      </w:pPr>
    </w:p>
    <w:p>
      <w:pPr>
        <w:ind w:left="640" w:hanging="315"/>
        <w:spacing w:after="0"/>
        <w:tabs>
          <w:tab w:leader="none" w:pos="640" w:val="left"/>
        </w:tabs>
        <w:numPr>
          <w:ilvl w:val="0"/>
          <w:numId w:val="13"/>
        </w:numPr>
        <w:rPr>
          <w:rFonts w:ascii="Calibri" w:cs="Calibri" w:eastAsia="Calibri" w:hAnsi="Calibri"/>
          <w:sz w:val="17"/>
          <w:szCs w:val="17"/>
          <w:color w:val="666666"/>
        </w:rPr>
      </w:pPr>
      <w:r>
        <w:rPr>
          <w:rFonts w:ascii="Calibri" w:cs="Calibri" w:eastAsia="Calibri" w:hAnsi="Calibri"/>
          <w:sz w:val="17"/>
          <w:szCs w:val="17"/>
          <w:color w:val="666666"/>
        </w:rPr>
        <w:t>Received a perfect score on the Corporate Equality Index for the twelfh consecutve year and designated as a “Best Place to Work for LGBTQ Equality”</w:t>
      </w:r>
    </w:p>
    <w:p>
      <w:pPr>
        <w:spacing w:after="0" w:line="164" w:lineRule="exact"/>
        <w:rPr>
          <w:rFonts w:ascii="Calibri" w:cs="Calibri" w:eastAsia="Calibri" w:hAnsi="Calibri"/>
          <w:sz w:val="17"/>
          <w:szCs w:val="17"/>
          <w:color w:val="666666"/>
        </w:rPr>
      </w:pPr>
    </w:p>
    <w:p>
      <w:pPr>
        <w:ind w:left="640" w:hanging="315"/>
        <w:spacing w:after="0" w:line="231" w:lineRule="auto"/>
        <w:tabs>
          <w:tab w:leader="none" w:pos="633" w:val="left"/>
        </w:tabs>
        <w:numPr>
          <w:ilvl w:val="0"/>
          <w:numId w:val="13"/>
        </w:numPr>
        <w:rPr>
          <w:rFonts w:ascii="Calibri" w:cs="Calibri" w:eastAsia="Calibri" w:hAnsi="Calibri"/>
          <w:sz w:val="18"/>
          <w:szCs w:val="18"/>
          <w:color w:val="666666"/>
        </w:rPr>
      </w:pPr>
      <w:r>
        <w:rPr>
          <w:rFonts w:ascii="Calibri" w:cs="Calibri" w:eastAsia="Calibri" w:hAnsi="Calibri"/>
          <w:sz w:val="18"/>
          <w:szCs w:val="18"/>
          <w:color w:val="666666"/>
        </w:rPr>
        <w:t>Received a perfect score on the Disability Equality Index for the seventh consecutve year, named a “Best Place to Work for Disability Inclusion,” and named Private Sector Employer of the Year by CAREERS &amp; the disABLED</w:t>
      </w:r>
    </w:p>
    <w:p>
      <w:pPr>
        <w:spacing w:after="0" w:line="161" w:lineRule="exact"/>
        <w:rPr>
          <w:rFonts w:ascii="Calibri" w:cs="Calibri" w:eastAsia="Calibri" w:hAnsi="Calibri"/>
          <w:sz w:val="18"/>
          <w:szCs w:val="18"/>
          <w:color w:val="666666"/>
        </w:rPr>
      </w:pPr>
    </w:p>
    <w:p>
      <w:pPr>
        <w:ind w:left="640" w:hanging="315"/>
        <w:spacing w:after="0" w:line="231" w:lineRule="auto"/>
        <w:tabs>
          <w:tab w:leader="none" w:pos="633" w:val="left"/>
        </w:tabs>
        <w:numPr>
          <w:ilvl w:val="0"/>
          <w:numId w:val="13"/>
        </w:numPr>
        <w:rPr>
          <w:rFonts w:ascii="Calibri" w:cs="Calibri" w:eastAsia="Calibri" w:hAnsi="Calibri"/>
          <w:sz w:val="18"/>
          <w:szCs w:val="18"/>
          <w:color w:val="666666"/>
        </w:rPr>
      </w:pPr>
      <w:r>
        <w:rPr>
          <w:rFonts w:ascii="Calibri" w:cs="Calibri" w:eastAsia="Calibri" w:hAnsi="Calibri"/>
          <w:sz w:val="18"/>
          <w:szCs w:val="18"/>
          <w:color w:val="666666"/>
        </w:rPr>
        <w:t>Named by Forbes as the #1 “Best Employer for Women” and among America's “Best Management Consultng Firms,” “Best Employers for Diversity,” “Best Employers for Veterans,” and “Best Large Employers”</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13"/>
        </w:numPr>
        <w:rPr>
          <w:rFonts w:ascii="Calibri" w:cs="Calibri" w:eastAsia="Calibri" w:hAnsi="Calibri"/>
          <w:sz w:val="18"/>
          <w:szCs w:val="18"/>
          <w:color w:val="666666"/>
        </w:rPr>
      </w:pPr>
      <w:r>
        <w:rPr>
          <w:rFonts w:ascii="Calibri" w:cs="Calibri" w:eastAsia="Calibri" w:hAnsi="Calibri"/>
          <w:sz w:val="18"/>
          <w:szCs w:val="18"/>
          <w:color w:val="666666"/>
        </w:rPr>
        <w:t>Recognized by Military Spouse as “Top 10 Military Spouse Friendly Employers” and by Military Times as “Best for Vets”</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13"/>
        </w:numPr>
        <w:rPr>
          <w:rFonts w:ascii="Calibri" w:cs="Calibri" w:eastAsia="Calibri" w:hAnsi="Calibri"/>
          <w:sz w:val="18"/>
          <w:szCs w:val="18"/>
          <w:color w:val="666666"/>
        </w:rPr>
      </w:pPr>
      <w:r>
        <w:rPr>
          <w:rFonts w:ascii="Calibri" w:cs="Calibri" w:eastAsia="Calibri" w:hAnsi="Calibri"/>
          <w:sz w:val="18"/>
          <w:szCs w:val="18"/>
          <w:color w:val="666666"/>
        </w:rPr>
        <w:t>Recognized by Working Mother as one of the “100 Best Companies” for 23 consecutve years</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13"/>
        </w:numPr>
        <w:rPr>
          <w:rFonts w:ascii="Calibri" w:cs="Calibri" w:eastAsia="Calibri" w:hAnsi="Calibri"/>
          <w:sz w:val="18"/>
          <w:szCs w:val="18"/>
          <w:color w:val="666666"/>
        </w:rPr>
      </w:pPr>
      <w:r>
        <w:rPr>
          <w:rFonts w:ascii="Calibri" w:cs="Calibri" w:eastAsia="Calibri" w:hAnsi="Calibri"/>
          <w:sz w:val="18"/>
          <w:szCs w:val="18"/>
          <w:color w:val="666666"/>
        </w:rPr>
        <w:t>Included in Fortune Magazine’s “World’s Most Admired Companies” for the eleventh consecutve year</w:t>
      </w:r>
    </w:p>
    <w:p>
      <w:pPr>
        <w:spacing w:after="0" w:line="161" w:lineRule="exact"/>
        <w:rPr>
          <w:rFonts w:ascii="Calibri" w:cs="Calibri" w:eastAsia="Calibri" w:hAnsi="Calibri"/>
          <w:sz w:val="18"/>
          <w:szCs w:val="18"/>
          <w:color w:val="666666"/>
        </w:rPr>
      </w:pPr>
    </w:p>
    <w:p>
      <w:pPr>
        <w:ind w:left="640" w:hanging="315"/>
        <w:spacing w:after="0" w:line="231" w:lineRule="auto"/>
        <w:tabs>
          <w:tab w:leader="none" w:pos="633" w:val="left"/>
        </w:tabs>
        <w:numPr>
          <w:ilvl w:val="0"/>
          <w:numId w:val="13"/>
        </w:numPr>
        <w:rPr>
          <w:rFonts w:ascii="Calibri" w:cs="Calibri" w:eastAsia="Calibri" w:hAnsi="Calibri"/>
          <w:sz w:val="18"/>
          <w:szCs w:val="18"/>
          <w:color w:val="666666"/>
        </w:rPr>
      </w:pPr>
      <w:r>
        <w:rPr>
          <w:rFonts w:ascii="Calibri" w:cs="Calibri" w:eastAsia="Calibri" w:hAnsi="Calibri"/>
          <w:sz w:val="18"/>
          <w:szCs w:val="18"/>
          <w:color w:val="666666"/>
        </w:rPr>
        <w:t>Recipient of the Washington Business Journal’s “Corporate Philanthropy Award” and the U.S. Small Business Associaton’s Dwight D. Eisenhower “Award for Excellence”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7</w:t>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Calibri" w:cs="Calibri" w:eastAsia="Calibri" w:hAnsi="Calibri"/>
          <w:sz w:val="28"/>
          <w:szCs w:val="28"/>
          <w:b w:val="1"/>
          <w:bCs w:val="1"/>
          <w:color w:val="547BCC"/>
        </w:rPr>
        <w:t>PROPOSAL 1: ELECTION OF DIRECTORS</w:t>
      </w:r>
    </w:p>
    <w:p>
      <w:pPr>
        <w:spacing w:after="0" w:line="164"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547BCC"/>
        </w:rPr>
        <w:t>Board Structure</w:t>
      </w:r>
    </w:p>
    <w:p>
      <w:pPr>
        <w:spacing w:after="0" w:line="166"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Company currently has eleven directors divided into three classes: three in Class I, four in Class II, and four in Class III. The terms of ofce of the Class II and Class III directors expire at the 2022 Annual Meetng of Stockholders.</w:t>
      </w:r>
    </w:p>
    <w:p>
      <w:pPr>
        <w:spacing w:after="0" w:line="150"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547BCC"/>
        </w:rPr>
        <w:t>Class II and III Electon</w:t>
      </w:r>
    </w:p>
    <w:p>
      <w:pPr>
        <w:spacing w:after="0" w:line="166"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seven nominees for electon as directors are listed below. If elected, the nominees for electon as Class II and Class III directors will serve for one-year terms and untl their successors are elected and qualify. Unless you instruct us on the proxy card to vote diferently, we will vote signed, returned proxies FOR the electon of such nominees. If for any reason any nominee cannot or will not serve as a director, we may vote such proxies for the electon of a substtute nominee designated by the Board. Mr. Fujiyama, a current Class II director, has notfed the Board of Directors of his intenton to not stand for re-electon at the Annual Meetng. Mr. Fujiyama's decision to not stand for re-electon was not the result of any disagreement with the Company relatng to any of our operatons, policies, or practces.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8</w:t>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547BCC"/>
        </w:rPr>
        <w:t>Class II and Class III Nominees</w:t>
      </w:r>
    </w:p>
    <w:p>
      <w:pPr>
        <w:spacing w:after="0" w:line="127" w:lineRule="exact"/>
        <w:rPr>
          <w:sz w:val="20"/>
          <w:szCs w:val="20"/>
          <w:color w:val="auto"/>
        </w:rPr>
      </w:pPr>
    </w:p>
    <w:p>
      <w:pPr>
        <w:jc w:val="both"/>
        <w:ind w:firstLine="438"/>
        <w:spacing w:after="0" w:line="231" w:lineRule="auto"/>
        <w:rPr>
          <w:sz w:val="20"/>
          <w:szCs w:val="20"/>
          <w:color w:val="auto"/>
        </w:rPr>
      </w:pPr>
      <w:r>
        <w:rPr>
          <w:rFonts w:ascii="Calibri" w:cs="Calibri" w:eastAsia="Calibri" w:hAnsi="Calibri"/>
          <w:sz w:val="18"/>
          <w:szCs w:val="18"/>
          <w:color w:val="666666"/>
        </w:rPr>
        <w:t>To be elected in an uncontested electon, a nominee must receive a majority of the votes validly cast with respect to that nominee’s electon at the annual meetng represented either in person or by proxy at the annual meetng. To be elected in a contested electon, a nominee must receive the vote of a plurality of the votes validly cast at the annual meetng represented either in person or by proxy at the annual meetng. Any nominee who is an incumbent director and does not receive a majority of the votes cast in an uncontested electon must promptly tender his or her resignaton, contngent on the acceptance of that resignaton by the Board, to the chair of the Board following certfcaton of the electon results. The Nominatng and Corporate Governance Commitee and the Board believe that each director nominee brings a strong and diverse set of skills and experiences to the Company, including signifcant government, public company, fnancial, and strategic experience, that will strengthen our Board's independent leadership and efectveness with respect to our business and long-term strategy. The Class II and Class III nominees are as follows:</w:t>
      </w:r>
    </w:p>
    <w:p>
      <w:pPr>
        <w:sectPr>
          <w:pgSz w:w="11900" w:h="16838" w:orient="portrait"/>
          <w:cols w:equalWidth="0" w:num="1">
            <w:col w:w="11240"/>
          </w:cols>
          <w:pgMar w:left="320" w:top="118" w:right="339" w:bottom="1440" w:gutter="0" w:footer="0" w:header="0"/>
        </w:sectPr>
      </w:pPr>
    </w:p>
    <w:p>
      <w:pPr>
        <w:spacing w:after="0" w:line="340" w:lineRule="exact"/>
        <w:rPr>
          <w:sz w:val="20"/>
          <w:szCs w:val="20"/>
          <w:color w:val="auto"/>
        </w:rPr>
      </w:pPr>
    </w:p>
    <w:p>
      <w:pPr>
        <w:ind w:left="840"/>
        <w:spacing w:after="0"/>
        <w:rPr>
          <w:sz w:val="20"/>
          <w:szCs w:val="20"/>
          <w:color w:val="auto"/>
        </w:rPr>
      </w:pPr>
      <w:r>
        <w:rPr>
          <w:rFonts w:ascii="Calibri" w:cs="Calibri" w:eastAsia="Calibri" w:hAnsi="Calibri"/>
          <w:sz w:val="17"/>
          <w:szCs w:val="17"/>
          <w:b w:val="1"/>
          <w:bCs w:val="1"/>
          <w:color w:val="666666"/>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14249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4940" cy="8255"/>
                    </a:xfrm>
                    <a:prstGeom prst="rect">
                      <a:avLst/>
                    </a:prstGeom>
                    <a:noFill/>
                  </pic:spPr>
                </pic:pic>
              </a:graphicData>
            </a:graphic>
          </wp:anchor>
        </w:drawing>
      </w:r>
    </w:p>
    <w:p>
      <w:pPr>
        <w:spacing w:after="0" w:line="264" w:lineRule="exact"/>
        <w:rPr>
          <w:sz w:val="20"/>
          <w:szCs w:val="20"/>
          <w:color w:val="auto"/>
        </w:rPr>
      </w:pPr>
    </w:p>
    <w:p>
      <w:pPr>
        <w:ind w:left="20" w:right="580"/>
        <w:spacing w:after="0" w:line="216" w:lineRule="auto"/>
        <w:rPr>
          <w:sz w:val="20"/>
          <w:szCs w:val="20"/>
          <w:color w:val="auto"/>
        </w:rPr>
      </w:pPr>
      <w:r>
        <w:rPr>
          <w:rFonts w:ascii="Calibri" w:cs="Calibri" w:eastAsia="Calibri" w:hAnsi="Calibri"/>
          <w:sz w:val="18"/>
          <w:szCs w:val="18"/>
          <w:color w:val="666666"/>
        </w:rPr>
        <w:t>Horacio D. Rozanski (Class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82550</wp:posOffset>
            </wp:positionV>
            <wp:extent cx="1121410" cy="11214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21410" cy="112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Calibri" w:cs="Calibri" w:eastAsia="Calibri" w:hAnsi="Calibri"/>
          <w:sz w:val="18"/>
          <w:szCs w:val="18"/>
          <w:color w:val="666666"/>
        </w:rPr>
        <w:t>Age: 54</w:t>
      </w:r>
    </w:p>
    <w:p>
      <w:pPr>
        <w:ind w:left="20"/>
        <w:spacing w:after="0" w:line="215" w:lineRule="auto"/>
        <w:rPr>
          <w:sz w:val="20"/>
          <w:szCs w:val="20"/>
          <w:color w:val="auto"/>
        </w:rPr>
      </w:pPr>
      <w:r>
        <w:rPr>
          <w:rFonts w:ascii="Calibri" w:cs="Calibri" w:eastAsia="Calibri" w:hAnsi="Calibri"/>
          <w:sz w:val="17"/>
          <w:szCs w:val="17"/>
          <w:color w:val="666666"/>
        </w:rPr>
        <w:t>Director since: 2014</w:t>
      </w:r>
    </w:p>
    <w:p>
      <w:pPr>
        <w:spacing w:after="0" w:line="188" w:lineRule="exact"/>
        <w:rPr>
          <w:sz w:val="20"/>
          <w:szCs w:val="20"/>
          <w:color w:val="auto"/>
        </w:rPr>
      </w:pPr>
    </w:p>
    <w:p>
      <w:pPr>
        <w:ind w:left="20"/>
        <w:spacing w:after="0"/>
        <w:rPr>
          <w:sz w:val="20"/>
          <w:szCs w:val="20"/>
          <w:color w:val="auto"/>
        </w:rPr>
      </w:pPr>
      <w:r>
        <w:rPr>
          <w:rFonts w:ascii="Calibri" w:cs="Calibri" w:eastAsia="Calibri" w:hAnsi="Calibri"/>
          <w:sz w:val="18"/>
          <w:szCs w:val="18"/>
          <w:i w:val="1"/>
          <w:iCs w:val="1"/>
          <w:color w:val="666666"/>
        </w:rPr>
        <w:t>Commitee:</w:t>
      </w:r>
    </w:p>
    <w:p>
      <w:pPr>
        <w:ind w:left="60"/>
        <w:spacing w:after="0" w:line="193" w:lineRule="auto"/>
        <w:rPr>
          <w:sz w:val="20"/>
          <w:szCs w:val="20"/>
          <w:color w:val="auto"/>
        </w:rPr>
      </w:pPr>
      <w:r>
        <w:rPr>
          <w:rFonts w:ascii="Calibri" w:cs="Calibri" w:eastAsia="Calibri" w:hAnsi="Calibri"/>
          <w:sz w:val="18"/>
          <w:szCs w:val="18"/>
          <w:color w:val="666666"/>
        </w:rPr>
        <w:t>• Executve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Calibri" w:cs="Calibri" w:eastAsia="Calibri" w:hAnsi="Calibri"/>
          <w:sz w:val="18"/>
          <w:szCs w:val="18"/>
          <w:color w:val="666666"/>
        </w:rPr>
        <w:t>Mark E. Gaumond</w:t>
      </w:r>
    </w:p>
    <w:p>
      <w:pPr>
        <w:ind w:left="20"/>
        <w:spacing w:after="0" w:line="193" w:lineRule="auto"/>
        <w:rPr>
          <w:sz w:val="20"/>
          <w:szCs w:val="20"/>
          <w:color w:val="auto"/>
        </w:rPr>
      </w:pPr>
      <w:r>
        <w:rPr>
          <w:rFonts w:ascii="Calibri" w:cs="Calibri" w:eastAsia="Calibri" w:hAnsi="Calibri"/>
          <w:sz w:val="18"/>
          <w:szCs w:val="18"/>
          <w:color w:val="666666"/>
        </w:rPr>
        <w:t>(Class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48260</wp:posOffset>
            </wp:positionV>
            <wp:extent cx="1113155" cy="1113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3155" cy="1113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ind w:right="140"/>
        <w:spacing w:after="0"/>
        <w:rPr>
          <w:sz w:val="20"/>
          <w:szCs w:val="20"/>
          <w:color w:val="auto"/>
        </w:rPr>
      </w:pPr>
      <w:r>
        <w:rPr>
          <w:rFonts w:ascii="Calibri" w:cs="Calibri" w:eastAsia="Calibri" w:hAnsi="Calibri"/>
          <w:sz w:val="18"/>
          <w:szCs w:val="18"/>
          <w:b w:val="1"/>
          <w:bCs w:val="1"/>
          <w:color w:val="666666"/>
        </w:rPr>
        <w:t>Principal Occupaton, Business Experience</w:t>
      </w:r>
    </w:p>
    <w:p>
      <w:pPr>
        <w:jc w:val="center"/>
        <w:ind w:right="80"/>
        <w:spacing w:after="0" w:line="203" w:lineRule="auto"/>
        <w:rPr>
          <w:sz w:val="20"/>
          <w:szCs w:val="20"/>
          <w:color w:val="auto"/>
        </w:rPr>
      </w:pPr>
      <w:r>
        <w:rPr>
          <w:rFonts w:ascii="Calibri" w:cs="Calibri" w:eastAsia="Calibri" w:hAnsi="Calibri"/>
          <w:sz w:val="18"/>
          <w:szCs w:val="18"/>
          <w:b w:val="1"/>
          <w:bCs w:val="1"/>
          <w:color w:val="666666"/>
        </w:rPr>
        <w:t>and Other Directorships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5346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6700" cy="8255"/>
                    </a:xfrm>
                    <a:prstGeom prst="rect">
                      <a:avLst/>
                    </a:prstGeom>
                    <a:noFill/>
                  </pic:spPr>
                </pic:pic>
              </a:graphicData>
            </a:graphic>
          </wp:anchor>
        </w:drawing>
      </w:r>
    </w:p>
    <w:p>
      <w:pPr>
        <w:spacing w:after="0" w:line="261" w:lineRule="exact"/>
        <w:rPr>
          <w:sz w:val="20"/>
          <w:szCs w:val="20"/>
          <w:color w:val="auto"/>
        </w:rPr>
      </w:pPr>
    </w:p>
    <w:p>
      <w:pPr>
        <w:jc w:val="both"/>
        <w:ind w:left="40" w:right="120"/>
        <w:spacing w:after="0" w:line="198" w:lineRule="auto"/>
        <w:rPr>
          <w:sz w:val="20"/>
          <w:szCs w:val="20"/>
          <w:color w:val="auto"/>
        </w:rPr>
      </w:pPr>
      <w:r>
        <w:rPr>
          <w:rFonts w:ascii="Calibri" w:cs="Calibri" w:eastAsia="Calibri" w:hAnsi="Calibri"/>
          <w:sz w:val="18"/>
          <w:szCs w:val="18"/>
          <w:color w:val="666666"/>
        </w:rPr>
        <w:t>Mr. Rozanski is our President and Chief Executve Ofcer. A respected authority and leader in the consultng industry, Mr. Rozanski has expertse in business strategy, technology and operatons, talent and diversity, and the future of consultng. He joined Booz Allen in 1992 as a consultant to commercial clients, was elected vice president in 1999, and served as our Chief Personnel Ofcer, Chief Strategy and Talent Ofcer, Chief Operatng Ofcer, and President before becoming Chief Executve Ofcer in 2015. He also is a member of our Board of Directors. Mr. Rozanski currently serves as Chair of the board of directors for Children’s Natonal Medical Center and is a member of the board of directors at Marriot Internatonal, Inc. (NASDAQ: MAR) and CARE. He is also a member of the Business Roundtable and the United States Holocaust Memorial Museum’s Commitee on Conscience, and Vice Chair of the Kennedy Center Corporate Fund Board.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
        <w:spacing w:after="0"/>
        <w:rPr>
          <w:sz w:val="20"/>
          <w:szCs w:val="20"/>
          <w:color w:val="auto"/>
        </w:rPr>
      </w:pPr>
      <w:r>
        <w:rPr>
          <w:rFonts w:ascii="Calibri" w:cs="Calibri" w:eastAsia="Calibri" w:hAnsi="Calibri"/>
          <w:sz w:val="18"/>
          <w:szCs w:val="18"/>
          <w:color w:val="666666"/>
        </w:rPr>
        <w:t>Specifc qualifcatons, experience, skills, and expertse include:</w:t>
      </w:r>
    </w:p>
    <w:p>
      <w:pPr>
        <w:spacing w:after="0" w:line="68" w:lineRule="exact"/>
        <w:rPr>
          <w:sz w:val="20"/>
          <w:szCs w:val="20"/>
          <w:color w:val="auto"/>
        </w:rPr>
      </w:pPr>
    </w:p>
    <w:p>
      <w:pPr>
        <w:ind w:left="240" w:hanging="127"/>
        <w:spacing w:after="0"/>
        <w:tabs>
          <w:tab w:leader="none" w:pos="240" w:val="left"/>
        </w:tabs>
        <w:numPr>
          <w:ilvl w:val="0"/>
          <w:numId w:val="14"/>
        </w:numPr>
        <w:rPr>
          <w:rFonts w:ascii="Calibri" w:cs="Calibri" w:eastAsia="Calibri" w:hAnsi="Calibri"/>
          <w:sz w:val="18"/>
          <w:szCs w:val="18"/>
          <w:color w:val="666666"/>
        </w:rPr>
      </w:pPr>
      <w:r>
        <w:rPr>
          <w:rFonts w:ascii="Calibri" w:cs="Calibri" w:eastAsia="Calibri" w:hAnsi="Calibri"/>
          <w:sz w:val="18"/>
          <w:szCs w:val="18"/>
          <w:color w:val="666666"/>
        </w:rPr>
        <w:t>Operatng and management experience;</w:t>
      </w:r>
    </w:p>
    <w:p>
      <w:pPr>
        <w:ind w:left="240" w:hanging="127"/>
        <w:spacing w:after="0" w:line="188" w:lineRule="auto"/>
        <w:tabs>
          <w:tab w:leader="none" w:pos="240" w:val="left"/>
        </w:tabs>
        <w:numPr>
          <w:ilvl w:val="0"/>
          <w:numId w:val="14"/>
        </w:numPr>
        <w:rPr>
          <w:rFonts w:ascii="Calibri" w:cs="Calibri" w:eastAsia="Calibri" w:hAnsi="Calibri"/>
          <w:sz w:val="18"/>
          <w:szCs w:val="18"/>
          <w:color w:val="666666"/>
        </w:rPr>
      </w:pPr>
      <w:r>
        <w:rPr>
          <w:rFonts w:ascii="Calibri" w:cs="Calibri" w:eastAsia="Calibri" w:hAnsi="Calibri"/>
          <w:sz w:val="18"/>
          <w:szCs w:val="18"/>
          <w:color w:val="666666"/>
        </w:rPr>
        <w:t>Understanding of government contractng;</w:t>
      </w:r>
    </w:p>
    <w:p>
      <w:pPr>
        <w:ind w:left="240" w:hanging="127"/>
        <w:spacing w:after="0" w:line="193" w:lineRule="auto"/>
        <w:tabs>
          <w:tab w:leader="none" w:pos="240" w:val="left"/>
        </w:tabs>
        <w:numPr>
          <w:ilvl w:val="0"/>
          <w:numId w:val="14"/>
        </w:numPr>
        <w:rPr>
          <w:rFonts w:ascii="Calibri" w:cs="Calibri" w:eastAsia="Calibri" w:hAnsi="Calibri"/>
          <w:sz w:val="18"/>
          <w:szCs w:val="18"/>
          <w:color w:val="666666"/>
        </w:rPr>
      </w:pPr>
      <w:r>
        <w:rPr>
          <w:rFonts w:ascii="Calibri" w:cs="Calibri" w:eastAsia="Calibri" w:hAnsi="Calibri"/>
          <w:sz w:val="18"/>
          <w:szCs w:val="18"/>
          <w:color w:val="666666"/>
        </w:rPr>
        <w:t>Core business skills, including fnancial and strategic planning; and</w:t>
      </w:r>
    </w:p>
    <w:p>
      <w:pPr>
        <w:ind w:left="240" w:hanging="127"/>
        <w:spacing w:after="0" w:line="203" w:lineRule="auto"/>
        <w:tabs>
          <w:tab w:leader="none" w:pos="240" w:val="left"/>
        </w:tabs>
        <w:numPr>
          <w:ilvl w:val="0"/>
          <w:numId w:val="14"/>
        </w:numPr>
        <w:rPr>
          <w:rFonts w:ascii="Calibri" w:cs="Calibri" w:eastAsia="Calibri" w:hAnsi="Calibri"/>
          <w:sz w:val="18"/>
          <w:szCs w:val="18"/>
          <w:color w:val="666666"/>
        </w:rPr>
      </w:pPr>
      <w:r>
        <w:rPr>
          <w:rFonts w:ascii="Calibri" w:cs="Calibri" w:eastAsia="Calibri" w:hAnsi="Calibri"/>
          <w:sz w:val="18"/>
          <w:szCs w:val="18"/>
          <w:color w:val="666666"/>
        </w:rPr>
        <w:t>Deep understanding of our Company, its history, and culture.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right="140"/>
        <w:spacing w:after="0" w:line="197" w:lineRule="auto"/>
        <w:rPr>
          <w:sz w:val="20"/>
          <w:szCs w:val="20"/>
          <w:color w:val="auto"/>
        </w:rPr>
      </w:pPr>
      <w:r>
        <w:rPr>
          <w:rFonts w:ascii="Calibri" w:cs="Calibri" w:eastAsia="Calibri" w:hAnsi="Calibri"/>
          <w:sz w:val="18"/>
          <w:szCs w:val="18"/>
          <w:color w:val="666666"/>
        </w:rPr>
        <w:t>Mr. Gaumond has over 35 years of experience working with senior management and audit commitees of public and privately-held companies. He held senior positons with E&amp;Y from 2002 to 2010, retring from the frm as Senior Vice Chair for the Americas, and previously was a partner with a 27-year career at Andersen LLP. Mr. Gaumond has a BA from Georgetown University and an MBA from New York University. He is a member of the American Insttute of Certfed Public Accountants. He has served as a director of First American Funds since January 2016. Mr. Gaumond formerly served as a director of Clif's Natural Resources, Inc. from July 2013 to September 2014, Rayonier, Inc. from November 2010 to June 2014, and Rayonier Advanced Materials, Inc. from July 2014 to May 2020, and is a former trustee of The California Academy of Sciences.</w:t>
      </w:r>
    </w:p>
    <w:p>
      <w:pPr>
        <w:spacing w:after="0" w:line="200" w:lineRule="exact"/>
        <w:rPr>
          <w:sz w:val="20"/>
          <w:szCs w:val="20"/>
          <w:color w:val="auto"/>
        </w:rPr>
      </w:pPr>
    </w:p>
    <w:p>
      <w:pPr>
        <w:sectPr>
          <w:pgSz w:w="11900" w:h="16838" w:orient="portrait"/>
          <w:cols w:equalWidth="0" w:num="2">
            <w:col w:w="1980" w:space="720"/>
            <w:col w:w="854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Calibri" w:cs="Calibri" w:eastAsia="Calibri" w:hAnsi="Calibri"/>
          <w:sz w:val="18"/>
          <w:szCs w:val="18"/>
          <w:color w:val="666666"/>
        </w:rPr>
        <w:t>Age: 71</w:t>
      </w:r>
    </w:p>
    <w:p>
      <w:pPr>
        <w:ind w:left="20" w:right="560"/>
        <w:spacing w:after="0" w:line="198" w:lineRule="auto"/>
        <w:rPr>
          <w:sz w:val="20"/>
          <w:szCs w:val="20"/>
          <w:color w:val="auto"/>
        </w:rPr>
      </w:pPr>
      <w:r>
        <w:rPr>
          <w:rFonts w:ascii="Calibri" w:cs="Calibri" w:eastAsia="Calibri" w:hAnsi="Calibri"/>
          <w:sz w:val="18"/>
          <w:szCs w:val="18"/>
          <w:color w:val="666666"/>
        </w:rPr>
        <w:t>Director since: 2011 Independent</w:t>
      </w:r>
    </w:p>
    <w:p>
      <w:pPr>
        <w:spacing w:after="0" w:line="122" w:lineRule="exact"/>
        <w:rPr>
          <w:sz w:val="20"/>
          <w:szCs w:val="20"/>
          <w:color w:val="auto"/>
        </w:rPr>
      </w:pPr>
    </w:p>
    <w:p>
      <w:pPr>
        <w:ind w:left="20"/>
        <w:spacing w:after="0"/>
        <w:rPr>
          <w:sz w:val="20"/>
          <w:szCs w:val="20"/>
          <w:color w:val="auto"/>
        </w:rPr>
      </w:pPr>
      <w:r>
        <w:rPr>
          <w:rFonts w:ascii="Calibri" w:cs="Calibri" w:eastAsia="Calibri" w:hAnsi="Calibri"/>
          <w:sz w:val="18"/>
          <w:szCs w:val="18"/>
          <w:color w:val="666666"/>
        </w:rPr>
        <w:t>Commitees:</w:t>
      </w:r>
    </w:p>
    <w:p>
      <w:pPr>
        <w:ind w:left="180" w:hanging="117"/>
        <w:spacing w:after="0" w:line="188" w:lineRule="auto"/>
        <w:tabs>
          <w:tab w:leader="none" w:pos="180" w:val="left"/>
        </w:tabs>
        <w:numPr>
          <w:ilvl w:val="0"/>
          <w:numId w:val="15"/>
        </w:numPr>
        <w:rPr>
          <w:rFonts w:ascii="Calibri" w:cs="Calibri" w:eastAsia="Calibri" w:hAnsi="Calibri"/>
          <w:sz w:val="18"/>
          <w:szCs w:val="18"/>
          <w:color w:val="666666"/>
        </w:rPr>
      </w:pPr>
      <w:r>
        <w:rPr>
          <w:rFonts w:ascii="Calibri" w:cs="Calibri" w:eastAsia="Calibri" w:hAnsi="Calibri"/>
          <w:sz w:val="18"/>
          <w:szCs w:val="18"/>
          <w:color w:val="666666"/>
        </w:rPr>
        <w:t>Audit (Chair)</w:t>
      </w:r>
    </w:p>
    <w:p>
      <w:pPr>
        <w:ind w:left="180" w:hanging="117"/>
        <w:spacing w:after="0" w:line="193" w:lineRule="auto"/>
        <w:tabs>
          <w:tab w:leader="none" w:pos="180" w:val="left"/>
        </w:tabs>
        <w:numPr>
          <w:ilvl w:val="0"/>
          <w:numId w:val="15"/>
        </w:numPr>
        <w:rPr>
          <w:rFonts w:ascii="Calibri" w:cs="Calibri" w:eastAsia="Calibri" w:hAnsi="Calibri"/>
          <w:sz w:val="18"/>
          <w:szCs w:val="18"/>
          <w:color w:val="666666"/>
        </w:rPr>
      </w:pPr>
      <w:r>
        <w:rPr>
          <w:rFonts w:ascii="Calibri" w:cs="Calibri" w:eastAsia="Calibri" w:hAnsi="Calibri"/>
          <w:sz w:val="18"/>
          <w:szCs w:val="18"/>
          <w:color w:val="666666"/>
        </w:rPr>
        <w:t>Executve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alibri" w:cs="Calibri" w:eastAsia="Calibri" w:hAnsi="Calibri"/>
          <w:sz w:val="18"/>
          <w:szCs w:val="18"/>
          <w:color w:val="666666"/>
        </w:rPr>
        <w:t>Specifc qualifcatons, experience, skills, and expertse include:</w:t>
      </w:r>
    </w:p>
    <w:p>
      <w:pPr>
        <w:spacing w:after="0" w:line="201" w:lineRule="exact"/>
        <w:rPr>
          <w:sz w:val="20"/>
          <w:szCs w:val="20"/>
          <w:color w:val="auto"/>
        </w:rPr>
      </w:pPr>
    </w:p>
    <w:p>
      <w:pPr>
        <w:ind w:left="220" w:hanging="134"/>
        <w:spacing w:after="0"/>
        <w:tabs>
          <w:tab w:leader="none" w:pos="220" w:val="left"/>
        </w:tabs>
        <w:numPr>
          <w:ilvl w:val="0"/>
          <w:numId w:val="16"/>
        </w:numPr>
        <w:rPr>
          <w:rFonts w:ascii="Calibri" w:cs="Calibri" w:eastAsia="Calibri" w:hAnsi="Calibri"/>
          <w:sz w:val="17"/>
          <w:szCs w:val="17"/>
          <w:color w:val="666666"/>
        </w:rPr>
      </w:pPr>
      <w:r>
        <w:rPr>
          <w:rFonts w:ascii="Calibri" w:cs="Calibri" w:eastAsia="Calibri" w:hAnsi="Calibri"/>
          <w:sz w:val="17"/>
          <w:szCs w:val="17"/>
          <w:color w:val="666666"/>
        </w:rPr>
        <w:t>Expertse in fnance, fnancial planning, and compliance and controls;</w:t>
      </w:r>
    </w:p>
    <w:p>
      <w:pPr>
        <w:spacing w:after="0" w:line="3" w:lineRule="exact"/>
        <w:rPr>
          <w:rFonts w:ascii="Calibri" w:cs="Calibri" w:eastAsia="Calibri" w:hAnsi="Calibri"/>
          <w:sz w:val="17"/>
          <w:szCs w:val="17"/>
          <w:color w:val="666666"/>
        </w:rPr>
      </w:pPr>
    </w:p>
    <w:p>
      <w:pPr>
        <w:ind w:left="220" w:hanging="134"/>
        <w:spacing w:after="0" w:line="198" w:lineRule="auto"/>
        <w:tabs>
          <w:tab w:leader="none" w:pos="220" w:val="left"/>
        </w:tabs>
        <w:numPr>
          <w:ilvl w:val="0"/>
          <w:numId w:val="16"/>
        </w:numPr>
        <w:rPr>
          <w:rFonts w:ascii="Calibri" w:cs="Calibri" w:eastAsia="Calibri" w:hAnsi="Calibri"/>
          <w:sz w:val="18"/>
          <w:szCs w:val="18"/>
          <w:color w:val="666666"/>
        </w:rPr>
      </w:pPr>
      <w:r>
        <w:rPr>
          <w:rFonts w:ascii="Calibri" w:cs="Calibri" w:eastAsia="Calibri" w:hAnsi="Calibri"/>
          <w:sz w:val="18"/>
          <w:szCs w:val="18"/>
          <w:color w:val="666666"/>
        </w:rPr>
        <w:t>Core business skills, including fnancial and strategic planning; and</w:t>
      </w:r>
    </w:p>
    <w:p>
      <w:pPr>
        <w:ind w:left="220" w:hanging="134"/>
        <w:spacing w:after="0" w:line="193" w:lineRule="auto"/>
        <w:tabs>
          <w:tab w:leader="none" w:pos="220" w:val="left"/>
        </w:tabs>
        <w:numPr>
          <w:ilvl w:val="0"/>
          <w:numId w:val="16"/>
        </w:numPr>
        <w:rPr>
          <w:rFonts w:ascii="Calibri" w:cs="Calibri" w:eastAsia="Calibri" w:hAnsi="Calibri"/>
          <w:sz w:val="18"/>
          <w:szCs w:val="18"/>
          <w:color w:val="666666"/>
        </w:rPr>
      </w:pPr>
      <w:r>
        <w:rPr>
          <w:rFonts w:ascii="Calibri" w:cs="Calibri" w:eastAsia="Calibri" w:hAnsi="Calibri"/>
          <w:sz w:val="18"/>
          <w:szCs w:val="18"/>
          <w:color w:val="666666"/>
        </w:rPr>
        <w:t>Public company audit commitee experience.</w:t>
      </w:r>
    </w:p>
    <w:p>
      <w:pPr>
        <w:spacing w:after="0" w:line="478" w:lineRule="exact"/>
        <w:rPr>
          <w:sz w:val="20"/>
          <w:szCs w:val="20"/>
          <w:color w:val="auto"/>
        </w:rPr>
      </w:pPr>
    </w:p>
    <w:p>
      <w:pPr>
        <w:sectPr>
          <w:pgSz w:w="11900" w:h="16838" w:orient="portrait"/>
          <w:cols w:equalWidth="0" w:num="2">
            <w:col w:w="1980" w:space="720"/>
            <w:col w:w="8540"/>
          </w:cols>
          <w:pgMar w:left="320" w:top="118" w:right="339" w:bottom="144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666666"/>
        </w:rPr>
        <w:t>9</w:t>
      </w:r>
    </w:p>
    <w:p>
      <w:pPr>
        <w:sectPr>
          <w:pgSz w:w="11900" w:h="16838" w:orient="portrait"/>
          <w:cols w:equalWidth="0" w:num="1">
            <w:col w:w="11240"/>
          </w:cols>
          <w:pgMar w:left="320" w:top="118"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ectPr>
          <w:pgSz w:w="11900" w:h="16838" w:orient="portrait"/>
          <w:cols w:equalWidth="0" w:num="1">
            <w:col w:w="11120"/>
          </w:cols>
          <w:pgMar w:left="320" w:top="118"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820"/>
        <w:spacing w:after="0"/>
        <w:rPr>
          <w:sz w:val="20"/>
          <w:szCs w:val="20"/>
          <w:color w:val="auto"/>
        </w:rPr>
      </w:pPr>
      <w:r>
        <w:rPr>
          <w:rFonts w:ascii="Calibri" w:cs="Calibri" w:eastAsia="Calibri" w:hAnsi="Calibri"/>
          <w:sz w:val="18"/>
          <w:szCs w:val="18"/>
          <w:b w:val="1"/>
          <w:bCs w:val="1"/>
          <w:color w:val="666666"/>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14084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0843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0" w:right="1120"/>
        <w:spacing w:after="0" w:line="209" w:lineRule="auto"/>
        <w:rPr>
          <w:sz w:val="20"/>
          <w:szCs w:val="20"/>
          <w:color w:val="auto"/>
        </w:rPr>
      </w:pPr>
      <w:r>
        <w:rPr>
          <w:rFonts w:ascii="Calibri" w:cs="Calibri" w:eastAsia="Calibri" w:hAnsi="Calibri"/>
          <w:sz w:val="18"/>
          <w:szCs w:val="18"/>
          <w:color w:val="666666"/>
        </w:rPr>
        <w:t>Gretchen W. McClain (Class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528955</wp:posOffset>
            </wp:positionV>
            <wp:extent cx="1113155" cy="1113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3155" cy="111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Calibri" w:cs="Calibri" w:eastAsia="Calibri" w:hAnsi="Calibri"/>
          <w:sz w:val="18"/>
          <w:szCs w:val="18"/>
          <w:color w:val="666666"/>
        </w:rPr>
        <w:t>Age: 59</w:t>
      </w:r>
    </w:p>
    <w:p>
      <w:pPr>
        <w:ind w:left="20"/>
        <w:spacing w:after="0" w:line="193" w:lineRule="auto"/>
        <w:rPr>
          <w:sz w:val="20"/>
          <w:szCs w:val="20"/>
          <w:color w:val="auto"/>
        </w:rPr>
      </w:pPr>
      <w:r>
        <w:rPr>
          <w:rFonts w:ascii="Calibri" w:cs="Calibri" w:eastAsia="Calibri" w:hAnsi="Calibri"/>
          <w:sz w:val="18"/>
          <w:szCs w:val="18"/>
          <w:color w:val="666666"/>
        </w:rPr>
        <w:t>Director since: 2014</w:t>
      </w:r>
    </w:p>
    <w:p>
      <w:pPr>
        <w:ind w:left="20"/>
        <w:spacing w:after="0" w:line="203" w:lineRule="auto"/>
        <w:rPr>
          <w:sz w:val="20"/>
          <w:szCs w:val="20"/>
          <w:color w:val="auto"/>
        </w:rPr>
      </w:pPr>
      <w:r>
        <w:rPr>
          <w:rFonts w:ascii="Calibri" w:cs="Calibri" w:eastAsia="Calibri" w:hAnsi="Calibri"/>
          <w:sz w:val="18"/>
          <w:szCs w:val="18"/>
          <w:color w:val="666666"/>
        </w:rPr>
        <w:t>Independent</w:t>
      </w:r>
    </w:p>
    <w:p>
      <w:pPr>
        <w:spacing w:after="0" w:line="122" w:lineRule="exact"/>
        <w:rPr>
          <w:sz w:val="20"/>
          <w:szCs w:val="20"/>
          <w:color w:val="auto"/>
        </w:rPr>
      </w:pPr>
    </w:p>
    <w:p>
      <w:pPr>
        <w:ind w:left="20"/>
        <w:spacing w:after="0"/>
        <w:rPr>
          <w:sz w:val="20"/>
          <w:szCs w:val="20"/>
          <w:color w:val="auto"/>
        </w:rPr>
      </w:pPr>
      <w:r>
        <w:rPr>
          <w:rFonts w:ascii="Calibri" w:cs="Calibri" w:eastAsia="Calibri" w:hAnsi="Calibri"/>
          <w:sz w:val="18"/>
          <w:szCs w:val="18"/>
          <w:color w:val="666666"/>
        </w:rPr>
        <w:t>Commitees:</w:t>
      </w:r>
    </w:p>
    <w:p>
      <w:pPr>
        <w:ind w:left="20" w:firstLine="43"/>
        <w:spacing w:after="0" w:line="195" w:lineRule="auto"/>
        <w:tabs>
          <w:tab w:leader="none" w:pos="184" w:val="left"/>
        </w:tabs>
        <w:numPr>
          <w:ilvl w:val="0"/>
          <w:numId w:val="17"/>
        </w:numPr>
        <w:rPr>
          <w:rFonts w:ascii="Calibri" w:cs="Calibri" w:eastAsia="Calibri" w:hAnsi="Calibri"/>
          <w:sz w:val="18"/>
          <w:szCs w:val="18"/>
          <w:color w:val="666666"/>
        </w:rPr>
      </w:pPr>
      <w:r>
        <w:rPr>
          <w:rFonts w:ascii="Calibri" w:cs="Calibri" w:eastAsia="Calibri" w:hAnsi="Calibri"/>
          <w:sz w:val="18"/>
          <w:szCs w:val="18"/>
          <w:color w:val="666666"/>
        </w:rPr>
        <w:t>Compensaton, Culture and People (Chair)</w:t>
      </w:r>
    </w:p>
    <w:p>
      <w:pPr>
        <w:spacing w:after="0" w:line="1" w:lineRule="exact"/>
        <w:rPr>
          <w:rFonts w:ascii="Calibri" w:cs="Calibri" w:eastAsia="Calibri" w:hAnsi="Calibri"/>
          <w:sz w:val="18"/>
          <w:szCs w:val="18"/>
          <w:color w:val="666666"/>
        </w:rPr>
      </w:pPr>
    </w:p>
    <w:p>
      <w:pPr>
        <w:ind w:left="20" w:right="560" w:firstLine="43"/>
        <w:spacing w:after="0" w:line="190" w:lineRule="auto"/>
        <w:tabs>
          <w:tab w:leader="none" w:pos="184" w:val="left"/>
        </w:tabs>
        <w:numPr>
          <w:ilvl w:val="0"/>
          <w:numId w:val="17"/>
        </w:numPr>
        <w:rPr>
          <w:rFonts w:ascii="Calibri" w:cs="Calibri" w:eastAsia="Calibri" w:hAnsi="Calibri"/>
          <w:sz w:val="18"/>
          <w:szCs w:val="18"/>
          <w:color w:val="666666"/>
        </w:rPr>
      </w:pPr>
      <w:r>
        <w:rPr>
          <w:rFonts w:ascii="Calibri" w:cs="Calibri" w:eastAsia="Calibri" w:hAnsi="Calibri"/>
          <w:sz w:val="18"/>
          <w:szCs w:val="18"/>
          <w:color w:val="666666"/>
        </w:rPr>
        <w:t>Nominatng and Corporate Governance</w:t>
      </w:r>
    </w:p>
    <w:p>
      <w:pPr>
        <w:spacing w:after="0" w:line="1" w:lineRule="exact"/>
        <w:rPr>
          <w:rFonts w:ascii="Calibri" w:cs="Calibri" w:eastAsia="Calibri" w:hAnsi="Calibri"/>
          <w:sz w:val="18"/>
          <w:szCs w:val="18"/>
          <w:color w:val="666666"/>
        </w:rPr>
      </w:pPr>
    </w:p>
    <w:p>
      <w:pPr>
        <w:ind w:left="180" w:hanging="117"/>
        <w:spacing w:after="0" w:line="203" w:lineRule="auto"/>
        <w:tabs>
          <w:tab w:leader="none" w:pos="180" w:val="left"/>
        </w:tabs>
        <w:numPr>
          <w:ilvl w:val="0"/>
          <w:numId w:val="17"/>
        </w:numPr>
        <w:rPr>
          <w:rFonts w:ascii="Calibri" w:cs="Calibri" w:eastAsia="Calibri" w:hAnsi="Calibri"/>
          <w:sz w:val="18"/>
          <w:szCs w:val="18"/>
          <w:color w:val="666666"/>
        </w:rPr>
      </w:pPr>
      <w:r>
        <w:rPr>
          <w:rFonts w:ascii="Calibri" w:cs="Calibri" w:eastAsia="Calibri" w:hAnsi="Calibri"/>
          <w:sz w:val="18"/>
          <w:szCs w:val="18"/>
          <w:color w:val="666666"/>
        </w:rPr>
        <w:t>Executve</w:t>
      </w:r>
    </w:p>
    <w:p>
      <w:pPr>
        <w:spacing w:after="0" w:line="228" w:lineRule="exact"/>
        <w:rPr>
          <w:sz w:val="20"/>
          <w:szCs w:val="20"/>
          <w:color w:val="auto"/>
        </w:rPr>
      </w:pPr>
    </w:p>
    <w:p>
      <w:pPr>
        <w:ind w:left="20"/>
        <w:spacing w:after="0"/>
        <w:rPr>
          <w:sz w:val="20"/>
          <w:szCs w:val="20"/>
          <w:color w:val="auto"/>
        </w:rPr>
      </w:pPr>
      <w:r>
        <w:rPr>
          <w:rFonts w:ascii="Calibri" w:cs="Calibri" w:eastAsia="Calibri" w:hAnsi="Calibri"/>
          <w:sz w:val="18"/>
          <w:szCs w:val="18"/>
          <w:color w:val="5E5E61"/>
        </w:rPr>
        <w:t>Melody C. Barnes</w:t>
      </w:r>
    </w:p>
    <w:p>
      <w:pPr>
        <w:ind w:left="20"/>
        <w:spacing w:after="0" w:line="193" w:lineRule="auto"/>
        <w:rPr>
          <w:sz w:val="20"/>
          <w:szCs w:val="20"/>
          <w:color w:val="auto"/>
        </w:rPr>
      </w:pPr>
      <w:r>
        <w:rPr>
          <w:rFonts w:ascii="Calibri" w:cs="Calibri" w:eastAsia="Calibri" w:hAnsi="Calibri"/>
          <w:sz w:val="18"/>
          <w:szCs w:val="18"/>
          <w:color w:val="5E5E61"/>
        </w:rPr>
        <w:t>(Class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1121410" cy="11214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21410" cy="112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Calibri" w:cs="Calibri" w:eastAsia="Calibri" w:hAnsi="Calibri"/>
          <w:sz w:val="18"/>
          <w:szCs w:val="18"/>
          <w:color w:val="666666"/>
        </w:rPr>
        <w:t>Age: 58</w:t>
      </w:r>
    </w:p>
    <w:p>
      <w:pPr>
        <w:ind w:left="20"/>
        <w:spacing w:after="0" w:line="188" w:lineRule="auto"/>
        <w:rPr>
          <w:sz w:val="20"/>
          <w:szCs w:val="20"/>
          <w:color w:val="auto"/>
        </w:rPr>
      </w:pPr>
      <w:r>
        <w:rPr>
          <w:rFonts w:ascii="Calibri" w:cs="Calibri" w:eastAsia="Calibri" w:hAnsi="Calibri"/>
          <w:sz w:val="18"/>
          <w:szCs w:val="18"/>
          <w:color w:val="666666"/>
        </w:rPr>
        <w:t>Director since: 2015</w:t>
      </w:r>
    </w:p>
    <w:p>
      <w:pPr>
        <w:ind w:left="20"/>
        <w:spacing w:after="0" w:line="193" w:lineRule="auto"/>
        <w:rPr>
          <w:sz w:val="20"/>
          <w:szCs w:val="20"/>
          <w:color w:val="auto"/>
        </w:rPr>
      </w:pPr>
      <w:r>
        <w:rPr>
          <w:rFonts w:ascii="Calibri" w:cs="Calibri" w:eastAsia="Calibri" w:hAnsi="Calibri"/>
          <w:sz w:val="18"/>
          <w:szCs w:val="18"/>
          <w:color w:val="666666"/>
        </w:rPr>
        <w:t>Independent</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Calibri" w:cs="Calibri" w:eastAsia="Calibri" w:hAnsi="Calibri"/>
          <w:sz w:val="18"/>
          <w:szCs w:val="18"/>
          <w:i w:val="1"/>
          <w:iCs w:val="1"/>
          <w:color w:val="666666"/>
        </w:rPr>
        <w:t>Commitees:</w:t>
      </w:r>
    </w:p>
    <w:p>
      <w:pPr>
        <w:ind w:left="180" w:hanging="117"/>
        <w:spacing w:after="0" w:line="199" w:lineRule="auto"/>
        <w:tabs>
          <w:tab w:leader="none" w:pos="180" w:val="left"/>
        </w:tabs>
        <w:numPr>
          <w:ilvl w:val="0"/>
          <w:numId w:val="18"/>
        </w:numPr>
        <w:rPr>
          <w:rFonts w:ascii="Calibri" w:cs="Calibri" w:eastAsia="Calibri" w:hAnsi="Calibri"/>
          <w:sz w:val="17"/>
          <w:szCs w:val="17"/>
          <w:color w:val="666666"/>
        </w:rPr>
      </w:pPr>
      <w:r>
        <w:rPr>
          <w:rFonts w:ascii="Calibri" w:cs="Calibri" w:eastAsia="Calibri" w:hAnsi="Calibri"/>
          <w:sz w:val="17"/>
          <w:szCs w:val="17"/>
          <w:color w:val="666666"/>
        </w:rPr>
        <w:t>Compensaton, Culture and People</w:t>
      </w:r>
    </w:p>
    <w:p>
      <w:pPr>
        <w:ind w:left="180" w:hanging="117"/>
        <w:spacing w:after="0" w:line="193" w:lineRule="auto"/>
        <w:tabs>
          <w:tab w:leader="none" w:pos="180" w:val="left"/>
        </w:tabs>
        <w:numPr>
          <w:ilvl w:val="0"/>
          <w:numId w:val="18"/>
        </w:numPr>
        <w:rPr>
          <w:rFonts w:ascii="Calibri" w:cs="Calibri" w:eastAsia="Calibri" w:hAnsi="Calibri"/>
          <w:sz w:val="18"/>
          <w:szCs w:val="18"/>
          <w:color w:val="666666"/>
        </w:rPr>
      </w:pPr>
      <w:r>
        <w:rPr>
          <w:rFonts w:ascii="Calibri" w:cs="Calibri" w:eastAsia="Calibri" w:hAnsi="Calibri"/>
          <w:sz w:val="18"/>
          <w:szCs w:val="18"/>
          <w:color w:val="666666"/>
        </w:rPr>
        <w:t>Nominatng and Corporate</w:t>
      </w:r>
    </w:p>
    <w:p>
      <w:pPr>
        <w:ind w:left="260"/>
        <w:spacing w:after="0" w:line="203" w:lineRule="auto"/>
        <w:rPr>
          <w:sz w:val="20"/>
          <w:szCs w:val="20"/>
          <w:color w:val="auto"/>
        </w:rPr>
      </w:pPr>
      <w:r>
        <w:rPr>
          <w:rFonts w:ascii="Calibri" w:cs="Calibri" w:eastAsia="Calibri" w:hAnsi="Calibri"/>
          <w:sz w:val="18"/>
          <w:szCs w:val="18"/>
          <w:color w:val="666666"/>
        </w:rPr>
        <w:t>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b w:val="1"/>
          <w:bCs w:val="1"/>
          <w:color w:val="666666"/>
        </w:rPr>
        <w:t>Principal Occupaton, Business Experience</w:t>
      </w:r>
    </w:p>
    <w:p>
      <w:pPr>
        <w:jc w:val="center"/>
        <w:ind w:right="20"/>
        <w:spacing w:after="0" w:line="193" w:lineRule="auto"/>
        <w:rPr>
          <w:sz w:val="20"/>
          <w:szCs w:val="20"/>
          <w:color w:val="auto"/>
        </w:rPr>
      </w:pPr>
      <w:r>
        <w:rPr>
          <w:rFonts w:ascii="Calibri" w:cs="Calibri" w:eastAsia="Calibri" w:hAnsi="Calibri"/>
          <w:sz w:val="18"/>
          <w:szCs w:val="18"/>
          <w:b w:val="1"/>
          <w:bCs w:val="1"/>
          <w:color w:val="666666"/>
        </w:rPr>
        <w:t>and Other Directorships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22860</wp:posOffset>
            </wp:positionV>
            <wp:extent cx="5354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54955"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right="20"/>
        <w:spacing w:after="0" w:line="207" w:lineRule="auto"/>
        <w:rPr>
          <w:sz w:val="20"/>
          <w:szCs w:val="20"/>
          <w:color w:val="auto"/>
        </w:rPr>
      </w:pPr>
      <w:r>
        <w:rPr>
          <w:rFonts w:ascii="Calibri" w:cs="Calibri" w:eastAsia="Calibri" w:hAnsi="Calibri"/>
          <w:sz w:val="17"/>
          <w:szCs w:val="17"/>
          <w:color w:val="666666"/>
        </w:rPr>
        <w:t>Ms. McClain has served as the Chief Executve Ofcer of J.M. Huber Corporaton (a family-owned business) since April 2022. She previously served as an Operatng Executve for the Carlyle Group from July 2019 to March 2022. Prior to Carlyle, she was the founding President and Chief Executve Ofcer of Xylem, Inc. from October 2011 to September 2013. She joined Xylem as the founding CEO in 2011 when it was formed and taken public from a spinof of the water business of ITT Corporaton. She joined ITT in 2005 as the President of its residental and commercial water business, and served as the SVP and President of ITT's commercial businesses from 2008 to 2011. Ms. McClain has served in a number of senior executve positons at Honeywell Aerospace (formerly AlliedSignal), including VP and General Manager of the Business, General Aviaton and Helicopters Electronics division, and VP for Engineering and Technology, as well as for Program Management in Honeywell Aerospace's Engines, Systems and Services Division. She also spent nine years with NASA and served as Deputy Associate Administrator for Space Development, where she played a pivotal role in the successful development and launch of the Internatonal Space Staton Program as Chief Director of the Space Staton and Deputy Director for Space Flight. Ms. McClain graduated from the University of Utah with a BS in Mechanical Engineering. She currently serves as a director of AMETEK, Inc. (NYSE: AME) and J.M. Huber Corporaton, and previously served as a director of Hennessy Capital Acquisiton Corp. IV from 2018 to 2020, Xylem, Inc. from 2011 to 2013, Con-Way Inc. from June 2015 to October 2015, Boart Longyear Limited from November 2015 to August 2019, and Faradyne Motors from 2009 to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alibri" w:cs="Calibri" w:eastAsia="Calibri" w:hAnsi="Calibri"/>
          <w:sz w:val="18"/>
          <w:szCs w:val="18"/>
          <w:color w:val="666666"/>
        </w:rPr>
        <w:t>Specifc qualifcatons, experience, skills, and expertse include:</w:t>
      </w:r>
    </w:p>
    <w:p>
      <w:pPr>
        <w:spacing w:after="0" w:line="192" w:lineRule="exact"/>
        <w:rPr>
          <w:sz w:val="20"/>
          <w:szCs w:val="20"/>
          <w:color w:val="auto"/>
        </w:rPr>
      </w:pPr>
    </w:p>
    <w:p>
      <w:pPr>
        <w:ind w:left="220" w:hanging="134"/>
        <w:spacing w:after="0"/>
        <w:tabs>
          <w:tab w:leader="none" w:pos="220" w:val="left"/>
        </w:tabs>
        <w:numPr>
          <w:ilvl w:val="0"/>
          <w:numId w:val="19"/>
        </w:numPr>
        <w:rPr>
          <w:rFonts w:ascii="Calibri" w:cs="Calibri" w:eastAsia="Calibri" w:hAnsi="Calibri"/>
          <w:sz w:val="18"/>
          <w:szCs w:val="18"/>
          <w:color w:val="666666"/>
        </w:rPr>
      </w:pPr>
      <w:r>
        <w:rPr>
          <w:rFonts w:ascii="Calibri" w:cs="Calibri" w:eastAsia="Calibri" w:hAnsi="Calibri"/>
          <w:sz w:val="18"/>
          <w:szCs w:val="18"/>
          <w:color w:val="666666"/>
        </w:rPr>
        <w:t>Operatng and management experience;</w:t>
      </w:r>
    </w:p>
    <w:p>
      <w:pPr>
        <w:ind w:left="220" w:hanging="134"/>
        <w:spacing w:after="0" w:line="198" w:lineRule="auto"/>
        <w:tabs>
          <w:tab w:leader="none" w:pos="220" w:val="left"/>
        </w:tabs>
        <w:numPr>
          <w:ilvl w:val="0"/>
          <w:numId w:val="19"/>
        </w:numPr>
        <w:rPr>
          <w:rFonts w:ascii="Calibri" w:cs="Calibri" w:eastAsia="Calibri" w:hAnsi="Calibri"/>
          <w:sz w:val="18"/>
          <w:szCs w:val="18"/>
          <w:color w:val="666666"/>
        </w:rPr>
      </w:pPr>
      <w:r>
        <w:rPr>
          <w:rFonts w:ascii="Calibri" w:cs="Calibri" w:eastAsia="Calibri" w:hAnsi="Calibri"/>
          <w:sz w:val="18"/>
          <w:szCs w:val="18"/>
          <w:color w:val="666666"/>
        </w:rPr>
        <w:t>Core business skills, including fnancial and strategic planning; and</w:t>
      </w:r>
    </w:p>
    <w:p>
      <w:pPr>
        <w:ind w:left="220" w:hanging="134"/>
        <w:spacing w:after="0" w:line="193" w:lineRule="auto"/>
        <w:tabs>
          <w:tab w:leader="none" w:pos="220" w:val="left"/>
        </w:tabs>
        <w:numPr>
          <w:ilvl w:val="0"/>
          <w:numId w:val="19"/>
        </w:numPr>
        <w:rPr>
          <w:rFonts w:ascii="Calibri" w:cs="Calibri" w:eastAsia="Calibri" w:hAnsi="Calibri"/>
          <w:sz w:val="18"/>
          <w:szCs w:val="18"/>
          <w:color w:val="666666"/>
        </w:rPr>
      </w:pPr>
      <w:r>
        <w:rPr>
          <w:rFonts w:ascii="Calibri" w:cs="Calibri" w:eastAsia="Calibri" w:hAnsi="Calibri"/>
          <w:sz w:val="18"/>
          <w:szCs w:val="18"/>
          <w:color w:val="666666"/>
        </w:rPr>
        <w:t>Public company directorship and audit commitee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40"/>
        <w:spacing w:after="0" w:line="207" w:lineRule="auto"/>
        <w:rPr>
          <w:sz w:val="20"/>
          <w:szCs w:val="20"/>
          <w:color w:val="auto"/>
        </w:rPr>
      </w:pPr>
      <w:r>
        <w:rPr>
          <w:rFonts w:ascii="Calibri" w:cs="Calibri" w:eastAsia="Calibri" w:hAnsi="Calibri"/>
          <w:sz w:val="17"/>
          <w:szCs w:val="17"/>
          <w:color w:val="666666"/>
        </w:rPr>
        <w:t>Ms. Barnes is the executve director of the Karsh Insttute of Democracy at the University of Virginia, where she also serves as the W.L. Lyons Brown Family Director for Policy and Public Engagement at the Democracy Initatve, the J. Wilson Newman Professor of Governance at the Miller Center of Public Policy, and a distnguished fellow at the School of Law. She is a co-founder of MB Squared Solutons, LLC and serves as Chair of the Nominatng and Corporate Governance commitee of Ventas Inc. (NYSE: VTR), a real estate investment trust. From January 2009 to January 2012, Ms. Barnes served in the White House as Director of the Domestc Policy Council. In this role, she provided policy and strategic advice to President Obama and coordinated the domestc policy-making process for his administraton. Before joining the White House, she served as the senior domestc policy advisor for then-Senator Obama’s 2008 presidental campaign. Ms. Barnes was the Executve Vice President for Policy at the Center for American Progress from 2005 to 2008 and Senior Fellow from 2003 to 2005. Prior to her tenure at the Center, Ms. Barnes was a principal in the Raben Group LLC. She also served as Chief Counsel to Senator Edward M. Kennedy on the Senate Judiciary Commitee from 1998 to 2003, and General Counsel for Senator Kennedy from 1995 to 1998.</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0"/>
        <w:spacing w:after="0"/>
        <w:rPr>
          <w:sz w:val="20"/>
          <w:szCs w:val="20"/>
          <w:color w:val="auto"/>
        </w:rPr>
      </w:pPr>
      <w:r>
        <w:rPr>
          <w:rFonts w:ascii="Calibri" w:cs="Calibri" w:eastAsia="Calibri" w:hAnsi="Calibri"/>
          <w:sz w:val="18"/>
          <w:szCs w:val="18"/>
          <w:color w:val="666666"/>
        </w:rPr>
        <w:t>Specifc qualifcatons, experience, skills, and expertse include:</w:t>
      </w:r>
    </w:p>
    <w:p>
      <w:pPr>
        <w:spacing w:after="0" w:line="55" w:lineRule="exact"/>
        <w:rPr>
          <w:sz w:val="20"/>
          <w:szCs w:val="20"/>
          <w:color w:val="auto"/>
        </w:rPr>
      </w:pPr>
    </w:p>
    <w:p>
      <w:pPr>
        <w:ind w:left="240" w:hanging="127"/>
        <w:spacing w:after="0"/>
        <w:tabs>
          <w:tab w:leader="none" w:pos="240" w:val="left"/>
        </w:tabs>
        <w:numPr>
          <w:ilvl w:val="0"/>
          <w:numId w:val="20"/>
        </w:numPr>
        <w:rPr>
          <w:rFonts w:ascii="Calibri" w:cs="Calibri" w:eastAsia="Calibri" w:hAnsi="Calibri"/>
          <w:sz w:val="18"/>
          <w:szCs w:val="18"/>
          <w:color w:val="666666"/>
        </w:rPr>
      </w:pPr>
      <w:r>
        <w:rPr>
          <w:rFonts w:ascii="Calibri" w:cs="Calibri" w:eastAsia="Calibri" w:hAnsi="Calibri"/>
          <w:sz w:val="18"/>
          <w:szCs w:val="18"/>
          <w:color w:val="666666"/>
        </w:rPr>
        <w:t>Signifcant government experience and strong skills in public policy;</w:t>
      </w:r>
    </w:p>
    <w:p>
      <w:pPr>
        <w:ind w:left="240" w:hanging="127"/>
        <w:spacing w:after="0" w:line="193" w:lineRule="auto"/>
        <w:tabs>
          <w:tab w:leader="none" w:pos="240" w:val="left"/>
        </w:tabs>
        <w:numPr>
          <w:ilvl w:val="0"/>
          <w:numId w:val="20"/>
        </w:numPr>
        <w:rPr>
          <w:rFonts w:ascii="Calibri" w:cs="Calibri" w:eastAsia="Calibri" w:hAnsi="Calibri"/>
          <w:sz w:val="18"/>
          <w:szCs w:val="18"/>
          <w:color w:val="666666"/>
        </w:rPr>
      </w:pPr>
      <w:r>
        <w:rPr>
          <w:rFonts w:ascii="Calibri" w:cs="Calibri" w:eastAsia="Calibri" w:hAnsi="Calibri"/>
          <w:sz w:val="18"/>
          <w:szCs w:val="18"/>
          <w:color w:val="666666"/>
        </w:rPr>
        <w:t>Public company directorship; and</w:t>
      </w:r>
    </w:p>
    <w:p>
      <w:pPr>
        <w:ind w:left="240" w:hanging="127"/>
        <w:spacing w:after="0" w:line="203" w:lineRule="auto"/>
        <w:tabs>
          <w:tab w:leader="none" w:pos="240" w:val="left"/>
        </w:tabs>
        <w:numPr>
          <w:ilvl w:val="0"/>
          <w:numId w:val="20"/>
        </w:numPr>
        <w:rPr>
          <w:rFonts w:ascii="Calibri" w:cs="Calibri" w:eastAsia="Calibri" w:hAnsi="Calibri"/>
          <w:sz w:val="18"/>
          <w:szCs w:val="18"/>
          <w:color w:val="666666"/>
        </w:rPr>
      </w:pPr>
      <w:r>
        <w:rPr>
          <w:rFonts w:ascii="Calibri" w:cs="Calibri" w:eastAsia="Calibri" w:hAnsi="Calibri"/>
          <w:sz w:val="18"/>
          <w:szCs w:val="18"/>
          <w:color w:val="666666"/>
        </w:rPr>
        <w:t>Core business skills, including fnancial and strategic planning, as well as leading not-for-proft organizatons.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820"/>
        <w:spacing w:after="0"/>
        <w:rPr>
          <w:sz w:val="20"/>
          <w:szCs w:val="20"/>
          <w:color w:val="auto"/>
        </w:rPr>
      </w:pPr>
      <w:r>
        <w:rPr>
          <w:rFonts w:ascii="Arial" w:cs="Arial" w:eastAsia="Arial" w:hAnsi="Arial"/>
          <w:sz w:val="18"/>
          <w:szCs w:val="18"/>
          <w:color w:val="666666"/>
        </w:rPr>
        <w:t>10</w:t>
      </w:r>
    </w:p>
    <w:p>
      <w:pPr>
        <w:sectPr>
          <w:pgSz w:w="11900" w:h="16838" w:orient="portrait"/>
          <w:cols w:equalWidth="0" w:num="2">
            <w:col w:w="2620" w:space="80"/>
            <w:col w:w="8420"/>
          </w:cols>
          <w:pgMar w:left="320" w:top="118" w:right="4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00"/>
        <w:spacing w:after="0"/>
        <w:rPr>
          <w:sz w:val="20"/>
          <w:szCs w:val="20"/>
          <w:color w:val="auto"/>
        </w:rPr>
      </w:pPr>
      <w:r>
        <w:rPr>
          <w:rFonts w:ascii="Calibri" w:cs="Calibri" w:eastAsia="Calibri" w:hAnsi="Calibri"/>
          <w:sz w:val="17"/>
          <w:szCs w:val="17"/>
          <w:b w:val="1"/>
          <w:bCs w:val="1"/>
          <w:color w:val="666666"/>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16510</wp:posOffset>
            </wp:positionV>
            <wp:extent cx="14249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24940" cy="8255"/>
                    </a:xfrm>
                    <a:prstGeom prst="rect">
                      <a:avLst/>
                    </a:prstGeom>
                    <a:noFill/>
                  </pic:spPr>
                </pic:pic>
              </a:graphicData>
            </a:graphic>
          </wp:anchor>
        </w:drawing>
      </w:r>
    </w:p>
    <w:p>
      <w:pPr>
        <w:spacing w:after="0" w:line="131" w:lineRule="exact"/>
        <w:rPr>
          <w:sz w:val="20"/>
          <w:szCs w:val="20"/>
          <w:color w:val="auto"/>
        </w:rPr>
      </w:pPr>
    </w:p>
    <w:p>
      <w:pPr>
        <w:ind w:left="80"/>
        <w:spacing w:after="0"/>
        <w:rPr>
          <w:sz w:val="20"/>
          <w:szCs w:val="20"/>
          <w:color w:val="auto"/>
        </w:rPr>
      </w:pPr>
      <w:r>
        <w:rPr>
          <w:rFonts w:ascii="Calibri" w:cs="Calibri" w:eastAsia="Calibri" w:hAnsi="Calibri"/>
          <w:sz w:val="18"/>
          <w:szCs w:val="18"/>
          <w:color w:val="5E5E61"/>
        </w:rPr>
        <w:t>Ellen Jewet</w:t>
      </w:r>
    </w:p>
    <w:p>
      <w:pPr>
        <w:ind w:left="80"/>
        <w:spacing w:after="0" w:line="193" w:lineRule="auto"/>
        <w:rPr>
          <w:sz w:val="20"/>
          <w:szCs w:val="20"/>
          <w:color w:val="auto"/>
        </w:rPr>
      </w:pPr>
      <w:r>
        <w:rPr>
          <w:rFonts w:ascii="Calibri" w:cs="Calibri" w:eastAsia="Calibri" w:hAnsi="Calibri"/>
          <w:sz w:val="18"/>
          <w:szCs w:val="18"/>
          <w:color w:val="5E5E61"/>
        </w:rPr>
        <w:t>(Class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31115</wp:posOffset>
            </wp:positionV>
            <wp:extent cx="1121410" cy="11214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21410" cy="112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0"/>
        <w:spacing w:after="0"/>
        <w:rPr>
          <w:sz w:val="20"/>
          <w:szCs w:val="20"/>
          <w:color w:val="auto"/>
        </w:rPr>
      </w:pPr>
      <w:r>
        <w:rPr>
          <w:rFonts w:ascii="Calibri" w:cs="Calibri" w:eastAsia="Calibri" w:hAnsi="Calibri"/>
          <w:sz w:val="18"/>
          <w:szCs w:val="18"/>
          <w:color w:val="666666"/>
        </w:rPr>
        <w:t>Age: 63</w:t>
      </w:r>
    </w:p>
    <w:p>
      <w:pPr>
        <w:ind w:left="80" w:right="580"/>
        <w:spacing w:after="0" w:line="190" w:lineRule="auto"/>
        <w:rPr>
          <w:sz w:val="20"/>
          <w:szCs w:val="20"/>
          <w:color w:val="auto"/>
        </w:rPr>
      </w:pPr>
      <w:r>
        <w:rPr>
          <w:rFonts w:ascii="Calibri" w:cs="Calibri" w:eastAsia="Calibri" w:hAnsi="Calibri"/>
          <w:sz w:val="18"/>
          <w:szCs w:val="18"/>
          <w:color w:val="666666"/>
        </w:rPr>
        <w:t>Director since: 2018 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b w:val="1"/>
          <w:bCs w:val="1"/>
          <w:color w:val="666666"/>
        </w:rPr>
        <w:t>Principal Occupaton, Business Experience</w:t>
      </w:r>
    </w:p>
    <w:p>
      <w:pPr>
        <w:jc w:val="center"/>
        <w:spacing w:after="0" w:line="193" w:lineRule="auto"/>
        <w:rPr>
          <w:sz w:val="20"/>
          <w:szCs w:val="20"/>
          <w:color w:val="auto"/>
        </w:rPr>
      </w:pPr>
      <w:r>
        <w:rPr>
          <w:rFonts w:ascii="Calibri" w:cs="Calibri" w:eastAsia="Calibri" w:hAnsi="Calibri"/>
          <w:sz w:val="18"/>
          <w:szCs w:val="18"/>
          <w:b w:val="1"/>
          <w:bCs w:val="1"/>
          <w:color w:val="666666"/>
        </w:rPr>
        <w:t>and Other Directorships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22860</wp:posOffset>
            </wp:positionV>
            <wp:extent cx="5346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46700" cy="8255"/>
                    </a:xfrm>
                    <a:prstGeom prst="rect">
                      <a:avLst/>
                    </a:prstGeom>
                    <a:noFill/>
                  </pic:spPr>
                </pic:pic>
              </a:graphicData>
            </a:graphic>
          </wp:anchor>
        </w:drawing>
      </w:r>
    </w:p>
    <w:p>
      <w:pPr>
        <w:spacing w:after="0" w:line="154" w:lineRule="exact"/>
        <w:rPr>
          <w:sz w:val="20"/>
          <w:szCs w:val="20"/>
          <w:color w:val="auto"/>
        </w:rPr>
      </w:pPr>
    </w:p>
    <w:p>
      <w:pPr>
        <w:jc w:val="both"/>
        <w:spacing w:after="0" w:line="197" w:lineRule="auto"/>
        <w:rPr>
          <w:sz w:val="20"/>
          <w:szCs w:val="20"/>
          <w:color w:val="auto"/>
        </w:rPr>
      </w:pPr>
      <w:r>
        <w:rPr>
          <w:rFonts w:ascii="Calibri" w:cs="Calibri" w:eastAsia="Calibri" w:hAnsi="Calibri"/>
          <w:sz w:val="18"/>
          <w:szCs w:val="18"/>
          <w:color w:val="666666"/>
        </w:rPr>
        <w:t>Ms. Jewet has served as managing partner at Canoe Point Capital LLC, an investment frm focusing on early stage social ventures, since 2015. Prior to that positon, she served as managing director and head of U.S. Government and Infrastructure for BMO Capital Markets, covering airports and infrastructure banking, from 2010 to 2015. Prior to that, Ms. Jewet spent more than 20 years at Goldman Sachs specializing in airport infrastructure fnancing, most recently serving as head of the public sector transportaton group, and previously as head of the airport fnance group. Ms. Jewet has served on the boards of directors of JetBlue (NASDAQ: JBLU) since 2011, where she chairs the Governance and Nominatng Commitee, Foundaton Credit Opportunites (FCO) U.S. and Ofshore Feeder Funds since 2016, and the nonproft board of trustees of Children's Aid since 2019. She currently serves as emerita trustee of Wesleyan University and the Brearley School, having previously served in leadership positons on the boards of trustees of both academic insttutons.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alibri" w:cs="Calibri" w:eastAsia="Calibri" w:hAnsi="Calibri"/>
          <w:sz w:val="18"/>
          <w:szCs w:val="18"/>
          <w:color w:val="666666"/>
        </w:rPr>
        <w:t>Specifc qualifcatons, experience, skills, and expertse include:</w:t>
      </w:r>
    </w:p>
    <w:p>
      <w:pPr>
        <w:spacing w:after="0" w:line="188" w:lineRule="exact"/>
        <w:rPr>
          <w:sz w:val="20"/>
          <w:szCs w:val="20"/>
          <w:color w:val="auto"/>
        </w:rPr>
      </w:pPr>
    </w:p>
    <w:p>
      <w:pPr>
        <w:ind w:left="220" w:hanging="134"/>
        <w:spacing w:after="0"/>
        <w:tabs>
          <w:tab w:leader="none" w:pos="220" w:val="left"/>
        </w:tabs>
        <w:numPr>
          <w:ilvl w:val="0"/>
          <w:numId w:val="21"/>
        </w:numPr>
        <w:rPr>
          <w:rFonts w:ascii="Calibri" w:cs="Calibri" w:eastAsia="Calibri" w:hAnsi="Calibri"/>
          <w:sz w:val="18"/>
          <w:szCs w:val="18"/>
          <w:color w:val="666666"/>
        </w:rPr>
      </w:pPr>
      <w:r>
        <w:rPr>
          <w:rFonts w:ascii="Calibri" w:cs="Calibri" w:eastAsia="Calibri" w:hAnsi="Calibri"/>
          <w:sz w:val="18"/>
          <w:szCs w:val="18"/>
          <w:color w:val="666666"/>
        </w:rPr>
        <w:t>Public company directorship and audit commitee experience;</w:t>
      </w:r>
    </w:p>
    <w:p>
      <w:pPr>
        <w:ind w:left="220" w:hanging="134"/>
        <w:spacing w:after="0" w:line="193" w:lineRule="auto"/>
        <w:tabs>
          <w:tab w:leader="none" w:pos="220" w:val="left"/>
        </w:tabs>
        <w:numPr>
          <w:ilvl w:val="0"/>
          <w:numId w:val="21"/>
        </w:numPr>
        <w:rPr>
          <w:rFonts w:ascii="Calibri" w:cs="Calibri" w:eastAsia="Calibri" w:hAnsi="Calibri"/>
          <w:sz w:val="18"/>
          <w:szCs w:val="18"/>
          <w:color w:val="666666"/>
        </w:rPr>
      </w:pPr>
      <w:r>
        <w:rPr>
          <w:rFonts w:ascii="Calibri" w:cs="Calibri" w:eastAsia="Calibri" w:hAnsi="Calibri"/>
          <w:sz w:val="18"/>
          <w:szCs w:val="18"/>
          <w:color w:val="666666"/>
        </w:rPr>
        <w:t>Experience in domestc and internatonal fnance and talent management; and</w:t>
      </w:r>
    </w:p>
    <w:p>
      <w:pPr>
        <w:spacing w:after="0" w:line="1" w:lineRule="exact"/>
        <w:rPr>
          <w:sz w:val="20"/>
          <w:szCs w:val="20"/>
          <w:color w:val="auto"/>
        </w:rPr>
      </w:pPr>
    </w:p>
    <w:p>
      <w:pPr>
        <w:sectPr>
          <w:pgSz w:w="11900" w:h="16838" w:orient="portrait"/>
          <w:cols w:equalWidth="0" w:num="2">
            <w:col w:w="2060" w:space="720"/>
            <w:col w:w="8400"/>
          </w:cols>
          <w:pgMar w:left="320" w:top="118" w:right="399" w:bottom="1440" w:gutter="0" w:footer="0" w:header="0"/>
          <w:type w:val="continuous"/>
        </w:sectPr>
      </w:pPr>
    </w:p>
    <w:p>
      <w:pPr>
        <w:ind w:left="80"/>
        <w:spacing w:after="0" w:line="198" w:lineRule="auto"/>
        <w:tabs>
          <w:tab w:leader="none" w:pos="2840" w:val="left"/>
        </w:tabs>
        <w:rPr>
          <w:sz w:val="20"/>
          <w:szCs w:val="20"/>
          <w:color w:val="auto"/>
        </w:rPr>
      </w:pPr>
      <w:r>
        <w:rPr>
          <w:rFonts w:ascii="Calibri" w:cs="Calibri" w:eastAsia="Calibri" w:hAnsi="Calibri"/>
          <w:sz w:val="18"/>
          <w:szCs w:val="18"/>
          <w:i w:val="1"/>
          <w:iCs w:val="1"/>
          <w:color w:val="666666"/>
        </w:rPr>
        <w:t>Commitee:</w:t>
      </w:r>
      <w:r>
        <w:rPr>
          <w:sz w:val="20"/>
          <w:szCs w:val="20"/>
          <w:color w:val="auto"/>
        </w:rPr>
        <w:tab/>
      </w:r>
      <w:r>
        <w:rPr>
          <w:rFonts w:ascii="Calibri" w:cs="Calibri" w:eastAsia="Calibri" w:hAnsi="Calibri"/>
          <w:sz w:val="18"/>
          <w:szCs w:val="18"/>
          <w:color w:val="666666"/>
        </w:rPr>
        <w:t>• Core business skills, including fnancial and strategic planning.</w:t>
      </w:r>
    </w:p>
    <w:p>
      <w:pPr>
        <w:ind w:left="120"/>
        <w:spacing w:after="0" w:line="193" w:lineRule="auto"/>
        <w:rPr>
          <w:sz w:val="20"/>
          <w:szCs w:val="20"/>
          <w:color w:val="auto"/>
        </w:rPr>
      </w:pPr>
      <w:r>
        <w:rPr>
          <w:rFonts w:ascii="Calibri" w:cs="Calibri" w:eastAsia="Calibri" w:hAnsi="Calibri"/>
          <w:sz w:val="18"/>
          <w:szCs w:val="18"/>
          <w:color w:val="666666"/>
        </w:rPr>
        <w:t>• Audit</w:t>
      </w:r>
    </w:p>
    <w:p>
      <w:pPr>
        <w:spacing w:after="0" w:line="179" w:lineRule="exact"/>
        <w:rPr>
          <w:sz w:val="20"/>
          <w:szCs w:val="20"/>
          <w:color w:val="auto"/>
        </w:rPr>
      </w:pPr>
    </w:p>
    <w:p>
      <w:pPr>
        <w:ind w:left="80"/>
        <w:spacing w:after="0"/>
        <w:tabs>
          <w:tab w:leader="none" w:pos="2760" w:val="left"/>
        </w:tabs>
        <w:rPr>
          <w:sz w:val="20"/>
          <w:szCs w:val="20"/>
          <w:color w:val="auto"/>
        </w:rPr>
      </w:pPr>
      <w:r>
        <w:rPr>
          <w:rFonts w:ascii="Calibri" w:cs="Calibri" w:eastAsia="Calibri" w:hAnsi="Calibri"/>
          <w:sz w:val="18"/>
          <w:szCs w:val="18"/>
          <w:color w:val="5E5E61"/>
        </w:rPr>
        <w:t>Arthur E. Johnson</w:t>
      </w:r>
      <w:r>
        <w:rPr>
          <w:sz w:val="20"/>
          <w:szCs w:val="20"/>
          <w:color w:val="auto"/>
        </w:rPr>
        <w:tab/>
      </w:r>
      <w:r>
        <w:rPr>
          <w:rFonts w:ascii="Calibri" w:cs="Calibri" w:eastAsia="Calibri" w:hAnsi="Calibri"/>
          <w:sz w:val="18"/>
          <w:szCs w:val="18"/>
          <w:color w:val="666666"/>
        </w:rPr>
        <w:t>Mr. Johnson retred as Senior Vice President, Corporate Strategic Development of Lockheed Martn Corp. in 2009, a</w:t>
      </w:r>
    </w:p>
    <w:p>
      <w:pPr>
        <w:ind w:left="80"/>
        <w:spacing w:after="0" w:line="198" w:lineRule="auto"/>
        <w:tabs>
          <w:tab w:leader="none" w:pos="2760" w:val="left"/>
        </w:tabs>
        <w:rPr>
          <w:sz w:val="20"/>
          <w:szCs w:val="20"/>
          <w:color w:val="auto"/>
        </w:rPr>
      </w:pPr>
      <w:r>
        <w:rPr>
          <w:rFonts w:ascii="Calibri" w:cs="Calibri" w:eastAsia="Calibri" w:hAnsi="Calibri"/>
          <w:sz w:val="18"/>
          <w:szCs w:val="18"/>
          <w:color w:val="5E5E61"/>
        </w:rPr>
        <w:t>(Class III)</w:t>
      </w:r>
      <w:r>
        <w:rPr>
          <w:sz w:val="20"/>
          <w:szCs w:val="20"/>
          <w:color w:val="auto"/>
        </w:rPr>
        <w:tab/>
      </w:r>
      <w:r>
        <w:rPr>
          <w:rFonts w:ascii="Calibri" w:cs="Calibri" w:eastAsia="Calibri" w:hAnsi="Calibri"/>
          <w:sz w:val="18"/>
          <w:szCs w:val="18"/>
          <w:color w:val="666666"/>
        </w:rPr>
        <w:t>positon he held since 1999. Mr. Johnson has over 20 years of senior leadership experience in the informaton</w:t>
      </w:r>
    </w:p>
    <w:p>
      <w:pPr>
        <w:ind w:left="2780"/>
        <w:spacing w:after="0" w:line="200" w:lineRule="auto"/>
        <w:rPr>
          <w:sz w:val="20"/>
          <w:szCs w:val="20"/>
          <w:color w:val="auto"/>
        </w:rPr>
      </w:pPr>
      <w:r>
        <w:rPr>
          <w:rFonts w:ascii="Calibri" w:cs="Calibri" w:eastAsia="Calibri" w:hAnsi="Calibri"/>
          <w:sz w:val="17"/>
          <w:szCs w:val="17"/>
          <w:color w:val="666666"/>
        </w:rPr>
        <w:t>technology and defense businesses. Mr. Johnson brings extensive IT management experience to the Board, having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-83820</wp:posOffset>
            </wp:positionV>
            <wp:extent cx="1121410" cy="11214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21410" cy="1121410"/>
                    </a:xfrm>
                    <a:prstGeom prst="rect">
                      <a:avLst/>
                    </a:prstGeom>
                    <a:noFill/>
                  </pic:spPr>
                </pic:pic>
              </a:graphicData>
            </a:graphic>
          </wp:anchor>
        </w:drawing>
      </w:r>
    </w:p>
    <w:p>
      <w:pPr>
        <w:jc w:val="right"/>
        <w:ind w:right="20"/>
        <w:spacing w:after="0" w:line="193" w:lineRule="auto"/>
        <w:rPr>
          <w:sz w:val="20"/>
          <w:szCs w:val="20"/>
          <w:color w:val="auto"/>
        </w:rPr>
      </w:pPr>
      <w:r>
        <w:rPr>
          <w:rFonts w:ascii="Calibri" w:cs="Calibri" w:eastAsia="Calibri" w:hAnsi="Calibri"/>
          <w:sz w:val="18"/>
          <w:szCs w:val="18"/>
          <w:color w:val="666666"/>
        </w:rPr>
        <w:t>senior positons at IBM, Loral Corporaton, and Lockheed Martn. He has served as an independent trustee of the Fixed</w:t>
      </w:r>
    </w:p>
    <w:p>
      <w:pPr>
        <w:ind w:left="2780"/>
        <w:spacing w:after="0" w:line="210" w:lineRule="auto"/>
        <w:rPr>
          <w:sz w:val="20"/>
          <w:szCs w:val="20"/>
          <w:color w:val="auto"/>
        </w:rPr>
      </w:pPr>
      <w:r>
        <w:rPr>
          <w:rFonts w:ascii="Calibri" w:cs="Calibri" w:eastAsia="Calibri" w:hAnsi="Calibri"/>
          <w:sz w:val="17"/>
          <w:szCs w:val="17"/>
          <w:color w:val="666666"/>
        </w:rPr>
        <w:t>Income and Asset Allocaton funds of Fidelity Investments since 2008. Mr. Johnson served as a director of Delta Airlines</w:t>
      </w:r>
    </w:p>
    <w:p>
      <w:pPr>
        <w:ind w:left="2780"/>
        <w:spacing w:after="0" w:line="200" w:lineRule="auto"/>
        <w:rPr>
          <w:sz w:val="20"/>
          <w:szCs w:val="20"/>
          <w:color w:val="auto"/>
        </w:rPr>
      </w:pPr>
      <w:r>
        <w:rPr>
          <w:rFonts w:ascii="Calibri" w:cs="Calibri" w:eastAsia="Calibri" w:hAnsi="Calibri"/>
          <w:sz w:val="17"/>
          <w:szCs w:val="17"/>
          <w:color w:val="666666"/>
        </w:rPr>
        <w:t>from 2005 to 2007, IKON Ofce Solutons Corporaton from 1999 to 2008, AGL Resources from 2002 to 2016, and Eaton</w:t>
      </w:r>
    </w:p>
    <w:p>
      <w:pPr>
        <w:ind w:left="2780"/>
        <w:spacing w:after="0" w:line="193" w:lineRule="auto"/>
        <w:rPr>
          <w:sz w:val="20"/>
          <w:szCs w:val="20"/>
          <w:color w:val="auto"/>
        </w:rPr>
      </w:pPr>
      <w:r>
        <w:rPr>
          <w:rFonts w:ascii="Calibri" w:cs="Calibri" w:eastAsia="Calibri" w:hAnsi="Calibri"/>
          <w:sz w:val="18"/>
          <w:szCs w:val="18"/>
          <w:color w:val="666666"/>
        </w:rPr>
        <w:t>Corporaton, plc from 2009 to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tabs>
          <w:tab w:leader="none" w:pos="2760" w:val="left"/>
        </w:tabs>
        <w:rPr>
          <w:sz w:val="20"/>
          <w:szCs w:val="20"/>
          <w:color w:val="auto"/>
        </w:rPr>
      </w:pPr>
      <w:r>
        <w:rPr>
          <w:rFonts w:ascii="Calibri" w:cs="Calibri" w:eastAsia="Calibri" w:hAnsi="Calibri"/>
          <w:sz w:val="18"/>
          <w:szCs w:val="18"/>
          <w:color w:val="666666"/>
        </w:rPr>
        <w:t>Age: 75</w:t>
      </w:r>
      <w:r>
        <w:rPr>
          <w:sz w:val="20"/>
          <w:szCs w:val="20"/>
          <w:color w:val="auto"/>
        </w:rPr>
        <w:tab/>
      </w:r>
      <w:r>
        <w:rPr>
          <w:rFonts w:ascii="Calibri" w:cs="Calibri" w:eastAsia="Calibri" w:hAnsi="Calibri"/>
          <w:sz w:val="17"/>
          <w:szCs w:val="17"/>
          <w:color w:val="666666"/>
        </w:rPr>
        <w:t>Specifc qualifcatons, experience, skills, and expertse include:</w:t>
      </w:r>
    </w:p>
    <w:p>
      <w:pPr>
        <w:ind w:left="80"/>
        <w:spacing w:after="0" w:line="198" w:lineRule="auto"/>
        <w:rPr>
          <w:sz w:val="20"/>
          <w:szCs w:val="20"/>
          <w:color w:val="auto"/>
        </w:rPr>
      </w:pPr>
      <w:r>
        <w:rPr>
          <w:rFonts w:ascii="Calibri" w:cs="Calibri" w:eastAsia="Calibri" w:hAnsi="Calibri"/>
          <w:sz w:val="18"/>
          <w:szCs w:val="18"/>
          <w:color w:val="666666"/>
        </w:rPr>
        <w:t>Director since: 2011</w:t>
      </w:r>
    </w:p>
    <w:p>
      <w:pPr>
        <w:ind w:left="80"/>
        <w:spacing w:after="0" w:line="185" w:lineRule="auto"/>
        <w:tabs>
          <w:tab w:leader="none" w:pos="2840" w:val="left"/>
        </w:tabs>
        <w:rPr>
          <w:sz w:val="20"/>
          <w:szCs w:val="20"/>
          <w:color w:val="auto"/>
        </w:rPr>
      </w:pPr>
      <w:r>
        <w:rPr>
          <w:rFonts w:ascii="Calibri" w:cs="Calibri" w:eastAsia="Calibri" w:hAnsi="Calibri"/>
          <w:sz w:val="22"/>
          <w:szCs w:val="22"/>
          <w:color w:val="666666"/>
          <w:vertAlign w:val="superscript"/>
        </w:rPr>
        <w:t>Independent</w:t>
      </w:r>
      <w:r>
        <w:rPr>
          <w:sz w:val="20"/>
          <w:szCs w:val="20"/>
          <w:color w:val="auto"/>
        </w:rPr>
        <w:tab/>
      </w:r>
      <w:r>
        <w:rPr>
          <w:rFonts w:ascii="Calibri" w:cs="Calibri" w:eastAsia="Calibri" w:hAnsi="Calibri"/>
          <w:sz w:val="13"/>
          <w:szCs w:val="13"/>
          <w:color w:val="666666"/>
        </w:rPr>
        <w:t>• Public company directorship and audit commitee experience;</w:t>
      </w:r>
    </w:p>
    <w:p>
      <w:pPr>
        <w:ind w:left="2860"/>
        <w:spacing w:after="0" w:line="224" w:lineRule="auto"/>
        <w:rPr>
          <w:sz w:val="20"/>
          <w:szCs w:val="20"/>
          <w:color w:val="auto"/>
        </w:rPr>
      </w:pPr>
      <w:r>
        <w:rPr>
          <w:rFonts w:ascii="Calibri" w:cs="Calibri" w:eastAsia="Calibri" w:hAnsi="Calibri"/>
          <w:sz w:val="18"/>
          <w:szCs w:val="18"/>
          <w:color w:val="666666"/>
        </w:rPr>
        <w:t>• Operatng and management experience;</w:t>
      </w:r>
    </w:p>
    <w:p>
      <w:pPr>
        <w:ind w:left="80"/>
        <w:spacing w:after="0" w:line="193" w:lineRule="auto"/>
        <w:tabs>
          <w:tab w:leader="none" w:pos="2840" w:val="left"/>
        </w:tabs>
        <w:rPr>
          <w:sz w:val="20"/>
          <w:szCs w:val="20"/>
          <w:color w:val="auto"/>
        </w:rPr>
      </w:pPr>
      <w:r>
        <w:rPr>
          <w:rFonts w:ascii="Calibri" w:cs="Calibri" w:eastAsia="Calibri" w:hAnsi="Calibri"/>
          <w:sz w:val="18"/>
          <w:szCs w:val="18"/>
          <w:i w:val="1"/>
          <w:iCs w:val="1"/>
          <w:color w:val="666666"/>
        </w:rPr>
        <w:t>Commitee:</w:t>
      </w:r>
      <w:r>
        <w:rPr>
          <w:sz w:val="20"/>
          <w:szCs w:val="20"/>
          <w:color w:val="auto"/>
        </w:rPr>
        <w:tab/>
      </w:r>
      <w:r>
        <w:rPr>
          <w:rFonts w:ascii="Calibri" w:cs="Calibri" w:eastAsia="Calibri" w:hAnsi="Calibri"/>
          <w:sz w:val="18"/>
          <w:szCs w:val="18"/>
          <w:color w:val="666666"/>
        </w:rPr>
        <w:t>• Understanding of government contractng; and</w:t>
      </w:r>
    </w:p>
    <w:p>
      <w:pPr>
        <w:ind w:left="120"/>
        <w:spacing w:after="0" w:line="215" w:lineRule="auto"/>
        <w:tabs>
          <w:tab w:leader="none" w:pos="2840" w:val="left"/>
        </w:tabs>
        <w:rPr>
          <w:sz w:val="20"/>
          <w:szCs w:val="20"/>
          <w:color w:val="auto"/>
        </w:rPr>
      </w:pPr>
      <w:r>
        <w:rPr>
          <w:rFonts w:ascii="Calibri" w:cs="Calibri" w:eastAsia="Calibri" w:hAnsi="Calibri"/>
          <w:sz w:val="18"/>
          <w:szCs w:val="18"/>
          <w:color w:val="666666"/>
        </w:rPr>
        <w:t>• Audit</w:t>
      </w:r>
      <w:r>
        <w:rPr>
          <w:sz w:val="20"/>
          <w:szCs w:val="20"/>
          <w:color w:val="auto"/>
        </w:rPr>
        <w:tab/>
      </w:r>
      <w:r>
        <w:rPr>
          <w:rFonts w:ascii="Calibri" w:cs="Calibri" w:eastAsia="Calibri" w:hAnsi="Calibri"/>
          <w:sz w:val="17"/>
          <w:szCs w:val="17"/>
          <w:color w:val="666666"/>
        </w:rPr>
        <w:t>• Core business skills, including fnancial and strategic planning.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666666"/>
        </w:rPr>
        <w:t>11</w:t>
      </w:r>
    </w:p>
    <w:p>
      <w:pPr>
        <w:sectPr>
          <w:pgSz w:w="11900" w:h="16838" w:orient="portrait"/>
          <w:cols w:equalWidth="0" w:num="1">
            <w:col w:w="11180"/>
          </w:cols>
          <w:pgMar w:left="320" w:top="118" w:right="3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00"/>
        <w:spacing w:after="0"/>
        <w:rPr>
          <w:sz w:val="20"/>
          <w:szCs w:val="20"/>
          <w:color w:val="auto"/>
        </w:rPr>
      </w:pPr>
      <w:r>
        <w:rPr>
          <w:rFonts w:ascii="Calibri" w:cs="Calibri" w:eastAsia="Calibri" w:hAnsi="Calibri"/>
          <w:sz w:val="17"/>
          <w:szCs w:val="17"/>
          <w:b w:val="1"/>
          <w:bCs w:val="1"/>
          <w:color w:val="666666"/>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16510</wp:posOffset>
            </wp:positionV>
            <wp:extent cx="14249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24940" cy="8255"/>
                    </a:xfrm>
                    <a:prstGeom prst="rect">
                      <a:avLst/>
                    </a:prstGeom>
                    <a:noFill/>
                  </pic:spPr>
                </pic:pic>
              </a:graphicData>
            </a:graphic>
          </wp:anchor>
        </w:drawing>
      </w:r>
    </w:p>
    <w:p>
      <w:pPr>
        <w:spacing w:after="0" w:line="145" w:lineRule="exact"/>
        <w:rPr>
          <w:sz w:val="20"/>
          <w:szCs w:val="20"/>
          <w:color w:val="auto"/>
        </w:rPr>
      </w:pPr>
    </w:p>
    <w:p>
      <w:pPr>
        <w:ind w:left="80"/>
        <w:spacing w:after="0"/>
        <w:rPr>
          <w:sz w:val="20"/>
          <w:szCs w:val="20"/>
          <w:color w:val="auto"/>
        </w:rPr>
      </w:pPr>
      <w:r>
        <w:rPr>
          <w:rFonts w:ascii="Calibri" w:cs="Calibri" w:eastAsia="Calibri" w:hAnsi="Calibri"/>
          <w:sz w:val="18"/>
          <w:szCs w:val="18"/>
          <w:color w:val="666666"/>
        </w:rPr>
        <w:t>Charles O. Rossot</w:t>
      </w:r>
    </w:p>
    <w:p>
      <w:pPr>
        <w:ind w:left="80"/>
        <w:spacing w:after="0" w:line="193" w:lineRule="auto"/>
        <w:rPr>
          <w:sz w:val="20"/>
          <w:szCs w:val="20"/>
          <w:color w:val="auto"/>
        </w:rPr>
      </w:pPr>
      <w:r>
        <w:rPr>
          <w:rFonts w:ascii="Calibri" w:cs="Calibri" w:eastAsia="Calibri" w:hAnsi="Calibri"/>
          <w:sz w:val="18"/>
          <w:szCs w:val="18"/>
          <w:color w:val="666666"/>
        </w:rPr>
        <w:t>(Class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342900</wp:posOffset>
            </wp:positionV>
            <wp:extent cx="1121410" cy="11214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21410" cy="112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
        <w:spacing w:after="0"/>
        <w:rPr>
          <w:sz w:val="20"/>
          <w:szCs w:val="20"/>
          <w:color w:val="auto"/>
        </w:rPr>
      </w:pPr>
      <w:r>
        <w:rPr>
          <w:rFonts w:ascii="Calibri" w:cs="Calibri" w:eastAsia="Calibri" w:hAnsi="Calibri"/>
          <w:sz w:val="18"/>
          <w:szCs w:val="18"/>
          <w:color w:val="666666"/>
        </w:rPr>
        <w:t>Age: 81</w:t>
      </w:r>
    </w:p>
    <w:p>
      <w:pPr>
        <w:ind w:left="80" w:right="580"/>
        <w:spacing w:after="0" w:line="190" w:lineRule="auto"/>
        <w:rPr>
          <w:sz w:val="20"/>
          <w:szCs w:val="20"/>
          <w:color w:val="auto"/>
        </w:rPr>
      </w:pPr>
      <w:r>
        <w:rPr>
          <w:rFonts w:ascii="Calibri" w:cs="Calibri" w:eastAsia="Calibri" w:hAnsi="Calibri"/>
          <w:sz w:val="18"/>
          <w:szCs w:val="18"/>
          <w:color w:val="666666"/>
        </w:rPr>
        <w:t>Director since: 2008 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b w:val="1"/>
          <w:bCs w:val="1"/>
          <w:color w:val="666666"/>
        </w:rPr>
        <w:t>Principal Occupaton, Business Experience</w:t>
      </w:r>
    </w:p>
    <w:p>
      <w:pPr>
        <w:jc w:val="center"/>
        <w:spacing w:after="0" w:line="193" w:lineRule="auto"/>
        <w:rPr>
          <w:sz w:val="20"/>
          <w:szCs w:val="20"/>
          <w:color w:val="auto"/>
        </w:rPr>
      </w:pPr>
      <w:r>
        <w:rPr>
          <w:rFonts w:ascii="Calibri" w:cs="Calibri" w:eastAsia="Calibri" w:hAnsi="Calibri"/>
          <w:sz w:val="18"/>
          <w:szCs w:val="18"/>
          <w:b w:val="1"/>
          <w:bCs w:val="1"/>
          <w:color w:val="666666"/>
        </w:rPr>
        <w:t>and Other Directorships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22860</wp:posOffset>
            </wp:positionV>
            <wp:extent cx="5346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6700" cy="8255"/>
                    </a:xfrm>
                    <a:prstGeom prst="rect">
                      <a:avLst/>
                    </a:prstGeom>
                    <a:noFill/>
                  </pic:spPr>
                </pic:pic>
              </a:graphicData>
            </a:graphic>
          </wp:anchor>
        </w:drawing>
      </w:r>
    </w:p>
    <w:p>
      <w:pPr>
        <w:spacing w:after="0" w:line="168" w:lineRule="exact"/>
        <w:rPr>
          <w:sz w:val="20"/>
          <w:szCs w:val="20"/>
          <w:color w:val="auto"/>
        </w:rPr>
      </w:pPr>
    </w:p>
    <w:p>
      <w:pPr>
        <w:jc w:val="both"/>
        <w:spacing w:after="0" w:line="196" w:lineRule="auto"/>
        <w:rPr>
          <w:sz w:val="20"/>
          <w:szCs w:val="20"/>
          <w:color w:val="auto"/>
        </w:rPr>
      </w:pPr>
      <w:r>
        <w:rPr>
          <w:rFonts w:ascii="Calibri" w:cs="Calibri" w:eastAsia="Calibri" w:hAnsi="Calibri"/>
          <w:sz w:val="18"/>
          <w:szCs w:val="18"/>
          <w:color w:val="666666"/>
        </w:rPr>
        <w:t>Mr. Rossot has served as a Senior Advisor to The Carlyle Group since June 2003. Prior to this positon, Mr. Rossot served as the Commissioner of the Internal Revenue Service from 1997 to 2002. Mr. Rossot co-founded American Management Systems, Inc., an internatonal business and informaton technology consultng frm in 1970, where he served at various tmes as President, Chief Executve Ofcer, and Chairman of the Board untl 1997. Mr. Rossot has served as a director for Accelerated Learning Inc. since December 2018, Unison Corporaton since April 2020, and Abrigo Corporaton since July 2021 where he chairs the Audit Commitee. Mr. Rossot formerly served as a director of Merrill Lynch &amp; Co., Inc. from 2004 to 2008, Bank of America Corporaton from 2009 to 2013, Compusearch Sofware Systems from 2005 to 2010, Wall Street Insttute from 2005 to 2010, Apollo Global from 2006 to 2012, Quorum Management Solutons from 2010 to 2014, Carlyle Select Trust from 2014 to 2015, Primatcs Financial from 2011 to 2015, ECi Sofware Solutons from 2014 to April 2017, The AES Corporaton from 2003 to April 2018, where he served as Chairman of the board from 2013 to April 2018, Coalfre Systems Inc. from November 2015 untl July 2019, and Noveta Solutons LLC from March 2016 untl 2021. Mr. Rossot also serves as a director of Capital Partners for Educaton where he chairs the Development Commitee.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alibri" w:cs="Calibri" w:eastAsia="Calibri" w:hAnsi="Calibri"/>
          <w:sz w:val="18"/>
          <w:szCs w:val="18"/>
          <w:color w:val="666666"/>
        </w:rPr>
        <w:t>Specifc qualifcatons, experience, skills, and expertse include:</w:t>
      </w:r>
    </w:p>
    <w:p>
      <w:pPr>
        <w:spacing w:after="0" w:line="188" w:lineRule="exact"/>
        <w:rPr>
          <w:sz w:val="20"/>
          <w:szCs w:val="20"/>
          <w:color w:val="auto"/>
        </w:rPr>
      </w:pPr>
    </w:p>
    <w:p>
      <w:pPr>
        <w:ind w:left="220" w:hanging="134"/>
        <w:spacing w:after="0"/>
        <w:tabs>
          <w:tab w:leader="none" w:pos="220" w:val="left"/>
        </w:tabs>
        <w:numPr>
          <w:ilvl w:val="0"/>
          <w:numId w:val="22"/>
        </w:numPr>
        <w:rPr>
          <w:rFonts w:ascii="Calibri" w:cs="Calibri" w:eastAsia="Calibri" w:hAnsi="Calibri"/>
          <w:sz w:val="18"/>
          <w:szCs w:val="18"/>
          <w:color w:val="666666"/>
        </w:rPr>
      </w:pPr>
      <w:r>
        <w:rPr>
          <w:rFonts w:ascii="Calibri" w:cs="Calibri" w:eastAsia="Calibri" w:hAnsi="Calibri"/>
          <w:sz w:val="18"/>
          <w:szCs w:val="18"/>
          <w:color w:val="666666"/>
        </w:rPr>
        <w:t>Public company directorship and audit commitee experience;</w:t>
      </w:r>
    </w:p>
    <w:p>
      <w:pPr>
        <w:ind w:left="220" w:hanging="134"/>
        <w:spacing w:after="0" w:line="193" w:lineRule="auto"/>
        <w:tabs>
          <w:tab w:leader="none" w:pos="220" w:val="left"/>
        </w:tabs>
        <w:numPr>
          <w:ilvl w:val="0"/>
          <w:numId w:val="22"/>
        </w:numPr>
        <w:rPr>
          <w:rFonts w:ascii="Calibri" w:cs="Calibri" w:eastAsia="Calibri" w:hAnsi="Calibri"/>
          <w:sz w:val="18"/>
          <w:szCs w:val="18"/>
          <w:color w:val="666666"/>
        </w:rPr>
      </w:pPr>
      <w:r>
        <w:rPr>
          <w:rFonts w:ascii="Calibri" w:cs="Calibri" w:eastAsia="Calibri" w:hAnsi="Calibri"/>
          <w:sz w:val="18"/>
          <w:szCs w:val="18"/>
          <w:color w:val="666666"/>
        </w:rPr>
        <w:t>Operatng and management experience;</w:t>
      </w:r>
    </w:p>
    <w:p>
      <w:pPr>
        <w:spacing w:after="0" w:line="1" w:lineRule="exact"/>
        <w:rPr>
          <w:sz w:val="20"/>
          <w:szCs w:val="20"/>
          <w:color w:val="auto"/>
        </w:rPr>
      </w:pPr>
    </w:p>
    <w:p>
      <w:pPr>
        <w:sectPr>
          <w:pgSz w:w="11900" w:h="16838" w:orient="portrait"/>
          <w:cols w:equalWidth="0" w:num="2">
            <w:col w:w="2060" w:space="720"/>
            <w:col w:w="8400"/>
          </w:cols>
          <w:pgMar w:left="320" w:top="118" w:right="399" w:bottom="1440" w:gutter="0" w:footer="0" w:header="0"/>
          <w:type w:val="continuous"/>
        </w:sectPr>
      </w:pPr>
    </w:p>
    <w:p>
      <w:pPr>
        <w:ind w:left="80"/>
        <w:spacing w:after="0" w:line="198" w:lineRule="auto"/>
        <w:tabs>
          <w:tab w:leader="none" w:pos="2840" w:val="left"/>
        </w:tabs>
        <w:rPr>
          <w:sz w:val="20"/>
          <w:szCs w:val="20"/>
          <w:color w:val="auto"/>
        </w:rPr>
      </w:pPr>
      <w:r>
        <w:rPr>
          <w:rFonts w:ascii="Calibri" w:cs="Calibri" w:eastAsia="Calibri" w:hAnsi="Calibri"/>
          <w:sz w:val="18"/>
          <w:szCs w:val="18"/>
          <w:i w:val="1"/>
          <w:iCs w:val="1"/>
          <w:color w:val="666666"/>
        </w:rPr>
        <w:t>Commitee:</w:t>
      </w:r>
      <w:r>
        <w:rPr>
          <w:sz w:val="20"/>
          <w:szCs w:val="20"/>
          <w:color w:val="auto"/>
        </w:rPr>
        <w:tab/>
      </w:r>
      <w:r>
        <w:rPr>
          <w:rFonts w:ascii="Calibri" w:cs="Calibri" w:eastAsia="Calibri" w:hAnsi="Calibri"/>
          <w:sz w:val="18"/>
          <w:szCs w:val="18"/>
          <w:color w:val="666666"/>
        </w:rPr>
        <w:t>• Understanding of government contractng;</w:t>
      </w:r>
    </w:p>
    <w:p>
      <w:pPr>
        <w:ind w:left="120"/>
        <w:spacing w:after="0" w:line="200" w:lineRule="auto"/>
        <w:tabs>
          <w:tab w:leader="none" w:pos="2840" w:val="left"/>
        </w:tabs>
        <w:rPr>
          <w:sz w:val="20"/>
          <w:szCs w:val="20"/>
          <w:color w:val="auto"/>
        </w:rPr>
      </w:pPr>
      <w:r>
        <w:rPr>
          <w:rFonts w:ascii="Calibri" w:cs="Calibri" w:eastAsia="Calibri" w:hAnsi="Calibri"/>
          <w:sz w:val="18"/>
          <w:szCs w:val="18"/>
          <w:color w:val="666666"/>
        </w:rPr>
        <w:t>• Audit</w:t>
      </w:r>
      <w:r>
        <w:rPr>
          <w:sz w:val="20"/>
          <w:szCs w:val="20"/>
          <w:color w:val="auto"/>
        </w:rPr>
        <w:tab/>
      </w:r>
      <w:r>
        <w:rPr>
          <w:rFonts w:ascii="Calibri" w:cs="Calibri" w:eastAsia="Calibri" w:hAnsi="Calibri"/>
          <w:sz w:val="17"/>
          <w:szCs w:val="17"/>
          <w:color w:val="666666"/>
        </w:rPr>
        <w:t>• Core business skills, including fnancial and strategic planning; and</w:t>
      </w:r>
    </w:p>
    <w:p>
      <w:pPr>
        <w:jc w:val="right"/>
        <w:ind w:right="2020"/>
        <w:spacing w:after="0" w:line="193" w:lineRule="auto"/>
        <w:rPr>
          <w:sz w:val="20"/>
          <w:szCs w:val="20"/>
          <w:color w:val="auto"/>
        </w:rPr>
      </w:pPr>
      <w:r>
        <w:rPr>
          <w:rFonts w:ascii="Calibri" w:cs="Calibri" w:eastAsia="Calibri" w:hAnsi="Calibri"/>
          <w:sz w:val="18"/>
          <w:szCs w:val="18"/>
          <w:color w:val="666666"/>
        </w:rPr>
        <w:t>• Expertse in fnance, fnancial reportng, compliance and controls, and global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604520</wp:posOffset>
            </wp:positionV>
            <wp:extent cx="5565775" cy="775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65775" cy="775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440"/>
        <w:spacing w:after="0"/>
        <w:rPr>
          <w:sz w:val="20"/>
          <w:szCs w:val="20"/>
          <w:color w:val="auto"/>
        </w:rPr>
      </w:pPr>
      <w:r>
        <w:rPr>
          <w:rFonts w:ascii="Calibri" w:cs="Calibri" w:eastAsia="Calibri" w:hAnsi="Calibri"/>
          <w:sz w:val="21"/>
          <w:szCs w:val="21"/>
          <w:b w:val="1"/>
          <w:bCs w:val="1"/>
          <w:i w:val="1"/>
          <w:iCs w:val="1"/>
          <w:color w:val="547BCC"/>
        </w:rPr>
        <w:t>The Board of Directors recommends a vote FOR</w:t>
      </w:r>
    </w:p>
    <w:p>
      <w:pPr>
        <w:jc w:val="center"/>
        <w:ind w:left="440"/>
        <w:spacing w:after="0" w:line="198" w:lineRule="auto"/>
        <w:rPr>
          <w:sz w:val="20"/>
          <w:szCs w:val="20"/>
          <w:color w:val="auto"/>
        </w:rPr>
      </w:pPr>
      <w:r>
        <w:rPr>
          <w:rFonts w:ascii="Calibri" w:cs="Calibri" w:eastAsia="Calibri" w:hAnsi="Calibri"/>
          <w:sz w:val="21"/>
          <w:szCs w:val="21"/>
          <w:b w:val="1"/>
          <w:bCs w:val="1"/>
          <w:i w:val="1"/>
          <w:iCs w:val="1"/>
          <w:color w:val="547BCC"/>
        </w:rPr>
        <w:t>each of the Class II and Class III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666666"/>
        </w:rPr>
        <w:t>12</w:t>
      </w:r>
    </w:p>
    <w:p>
      <w:pPr>
        <w:sectPr>
          <w:pgSz w:w="11900" w:h="16838" w:orient="portrait"/>
          <w:cols w:equalWidth="0" w:num="1">
            <w:col w:w="11180"/>
          </w:cols>
          <w:pgMar w:left="320" w:top="118" w:right="3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342"/>
        </w:trPr>
        <w:tc>
          <w:tcPr>
            <w:tcW w:w="2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40" w:type="dxa"/>
            <w:vAlign w:val="bottom"/>
          </w:tcPr>
          <w:p>
            <w:pPr>
              <w:ind w:left="1320"/>
              <w:spacing w:after="0"/>
              <w:rPr>
                <w:sz w:val="20"/>
                <w:szCs w:val="20"/>
                <w:color w:val="auto"/>
              </w:rPr>
            </w:pPr>
            <w:r>
              <w:rPr>
                <w:rFonts w:ascii="Calibri" w:cs="Calibri" w:eastAsia="Calibri" w:hAnsi="Calibri"/>
                <w:sz w:val="28"/>
                <w:szCs w:val="28"/>
                <w:b w:val="1"/>
                <w:bCs w:val="1"/>
                <w:color w:val="547BCC"/>
              </w:rPr>
              <w:t>NON-CONTINUING DIRECTORS</w:t>
            </w:r>
          </w:p>
        </w:tc>
      </w:tr>
      <w:tr>
        <w:trPr>
          <w:trHeight w:val="372"/>
        </w:trPr>
        <w:tc>
          <w:tcPr>
            <w:tcW w:w="11180" w:type="dxa"/>
            <w:vAlign w:val="bottom"/>
            <w:gridSpan w:val="3"/>
          </w:tcPr>
          <w:p>
            <w:pPr>
              <w:ind w:left="320"/>
              <w:spacing w:after="0"/>
              <w:rPr>
                <w:sz w:val="20"/>
                <w:szCs w:val="20"/>
                <w:color w:val="auto"/>
              </w:rPr>
            </w:pPr>
            <w:r>
              <w:rPr>
                <w:rFonts w:ascii="Calibri" w:cs="Calibri" w:eastAsia="Calibri" w:hAnsi="Calibri"/>
                <w:sz w:val="18"/>
                <w:szCs w:val="18"/>
                <w:color w:val="666666"/>
              </w:rPr>
              <w:t>The one director whose term will not contnue afer the Annual Meetng (Class II) is listed below.</w:t>
            </w:r>
          </w:p>
        </w:tc>
      </w:tr>
      <w:tr>
        <w:trPr>
          <w:trHeight w:val="387"/>
        </w:trPr>
        <w:tc>
          <w:tcPr>
            <w:tcW w:w="2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40" w:type="dxa"/>
            <w:vAlign w:val="bottom"/>
          </w:tcPr>
          <w:p>
            <w:pPr>
              <w:ind w:left="2720"/>
              <w:spacing w:after="0"/>
              <w:rPr>
                <w:sz w:val="20"/>
                <w:szCs w:val="20"/>
                <w:color w:val="auto"/>
              </w:rPr>
            </w:pPr>
            <w:r>
              <w:rPr>
                <w:rFonts w:ascii="Calibri" w:cs="Calibri" w:eastAsia="Calibri" w:hAnsi="Calibri"/>
                <w:sz w:val="18"/>
                <w:szCs w:val="18"/>
                <w:b w:val="1"/>
                <w:bCs w:val="1"/>
                <w:color w:val="666666"/>
              </w:rPr>
              <w:t>Principal Occupaton, Business Experience</w:t>
            </w:r>
          </w:p>
        </w:tc>
      </w:tr>
      <w:tr>
        <w:trPr>
          <w:trHeight w:val="211"/>
        </w:trPr>
        <w:tc>
          <w:tcPr>
            <w:tcW w:w="2740" w:type="dxa"/>
            <w:vAlign w:val="bottom"/>
            <w:gridSpan w:val="2"/>
          </w:tcPr>
          <w:p>
            <w:pPr>
              <w:ind w:left="860"/>
              <w:spacing w:after="0" w:line="211" w:lineRule="exact"/>
              <w:rPr>
                <w:sz w:val="20"/>
                <w:szCs w:val="20"/>
                <w:color w:val="auto"/>
              </w:rPr>
            </w:pPr>
            <w:r>
              <w:rPr>
                <w:rFonts w:ascii="Calibri" w:cs="Calibri" w:eastAsia="Calibri" w:hAnsi="Calibri"/>
                <w:sz w:val="18"/>
                <w:szCs w:val="18"/>
                <w:b w:val="1"/>
                <w:bCs w:val="1"/>
                <w:color w:val="666666"/>
              </w:rPr>
              <w:t>Director</w:t>
            </w:r>
          </w:p>
        </w:tc>
        <w:tc>
          <w:tcPr>
            <w:tcW w:w="8440" w:type="dxa"/>
            <w:vAlign w:val="bottom"/>
          </w:tcPr>
          <w:p>
            <w:pPr>
              <w:ind w:left="3200"/>
              <w:spacing w:after="0" w:line="211" w:lineRule="exact"/>
              <w:rPr>
                <w:sz w:val="20"/>
                <w:szCs w:val="20"/>
                <w:color w:val="auto"/>
              </w:rPr>
            </w:pPr>
            <w:r>
              <w:rPr>
                <w:rFonts w:ascii="Calibri" w:cs="Calibri" w:eastAsia="Calibri" w:hAnsi="Calibri"/>
                <w:sz w:val="18"/>
                <w:szCs w:val="18"/>
                <w:b w:val="1"/>
                <w:bCs w:val="1"/>
                <w:color w:val="666666"/>
              </w:rPr>
              <w:t>and Other Directorships Held</w:t>
            </w:r>
          </w:p>
        </w:tc>
      </w:tr>
      <w:tr>
        <w:trPr>
          <w:trHeight w:val="22"/>
        </w:trPr>
        <w:tc>
          <w:tcPr>
            <w:tcW w:w="2280" w:type="dxa"/>
            <w:vAlign w:val="bottom"/>
            <w:tcBorders>
              <w:bottom w:val="single" w:sz="8" w:color="666666"/>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40" w:type="dxa"/>
            <w:vAlign w:val="bottom"/>
            <w:tcBorders>
              <w:bottom w:val="single" w:sz="8" w:color="666666"/>
            </w:tcBorders>
          </w:tcPr>
          <w:p>
            <w:pPr>
              <w:spacing w:after="0" w:line="20" w:lineRule="exact"/>
              <w:rPr>
                <w:sz w:val="1"/>
                <w:szCs w:val="1"/>
                <w:color w:val="auto"/>
              </w:rPr>
            </w:pPr>
          </w:p>
        </w:tc>
      </w:tr>
      <w:tr>
        <w:trPr>
          <w:trHeight w:val="424"/>
        </w:trPr>
        <w:tc>
          <w:tcPr>
            <w:tcW w:w="2740" w:type="dxa"/>
            <w:vAlign w:val="bottom"/>
            <w:gridSpan w:val="2"/>
          </w:tcPr>
          <w:p>
            <w:pPr>
              <w:ind w:left="20"/>
              <w:spacing w:after="0"/>
              <w:rPr>
                <w:sz w:val="20"/>
                <w:szCs w:val="20"/>
                <w:color w:val="auto"/>
              </w:rPr>
            </w:pPr>
            <w:r>
              <w:rPr>
                <w:rFonts w:ascii="Calibri" w:cs="Calibri" w:eastAsia="Calibri" w:hAnsi="Calibri"/>
                <w:sz w:val="18"/>
                <w:szCs w:val="18"/>
                <w:color w:val="5E5E61"/>
              </w:rPr>
              <w:t>Ian Fujiyama</w:t>
            </w:r>
          </w:p>
        </w:tc>
        <w:tc>
          <w:tcPr>
            <w:tcW w:w="8440" w:type="dxa"/>
            <w:vAlign w:val="bottom"/>
          </w:tcPr>
          <w:p>
            <w:pPr>
              <w:ind w:left="20"/>
              <w:spacing w:after="0"/>
              <w:rPr>
                <w:sz w:val="20"/>
                <w:szCs w:val="20"/>
                <w:color w:val="auto"/>
              </w:rPr>
            </w:pPr>
            <w:r>
              <w:rPr>
                <w:rFonts w:ascii="Calibri" w:cs="Calibri" w:eastAsia="Calibri" w:hAnsi="Calibri"/>
                <w:sz w:val="18"/>
                <w:szCs w:val="18"/>
                <w:color w:val="666666"/>
              </w:rPr>
              <w:t>Mr. Fujiyama is a Managing Director of The Carlyle Group, a private equity frm, as well as head of the frm's Global</w:t>
            </w:r>
          </w:p>
        </w:tc>
      </w:tr>
      <w:tr>
        <w:trPr>
          <w:trHeight w:val="173"/>
        </w:trPr>
        <w:tc>
          <w:tcPr>
            <w:tcW w:w="2740" w:type="dxa"/>
            <w:vAlign w:val="bottom"/>
            <w:gridSpan w:val="2"/>
          </w:tcPr>
          <w:p>
            <w:pPr>
              <w:ind w:left="20"/>
              <w:spacing w:after="0" w:line="173" w:lineRule="exact"/>
              <w:rPr>
                <w:sz w:val="20"/>
                <w:szCs w:val="20"/>
                <w:color w:val="auto"/>
              </w:rPr>
            </w:pPr>
            <w:r>
              <w:rPr>
                <w:rFonts w:ascii="Calibri" w:cs="Calibri" w:eastAsia="Calibri" w:hAnsi="Calibri"/>
                <w:sz w:val="18"/>
                <w:szCs w:val="18"/>
                <w:color w:val="5E5E61"/>
              </w:rPr>
              <w:t>(Class II)</w:t>
            </w:r>
          </w:p>
        </w:tc>
        <w:tc>
          <w:tcPr>
            <w:tcW w:w="8440" w:type="dxa"/>
            <w:vAlign w:val="bottom"/>
          </w:tcPr>
          <w:p>
            <w:pPr>
              <w:ind w:left="20"/>
              <w:spacing w:after="0" w:line="173" w:lineRule="exact"/>
              <w:rPr>
                <w:sz w:val="20"/>
                <w:szCs w:val="20"/>
                <w:color w:val="auto"/>
              </w:rPr>
            </w:pPr>
            <w:r>
              <w:rPr>
                <w:rFonts w:ascii="Calibri" w:cs="Calibri" w:eastAsia="Calibri" w:hAnsi="Calibri"/>
                <w:sz w:val="18"/>
                <w:szCs w:val="18"/>
                <w:color w:val="666666"/>
                <w:w w:val="99"/>
              </w:rPr>
              <w:t>Aerospace, Defense, and Government Services team. Mr. Fujiyama joined Carlyle in 1997, and in 1999 he spent two</w:t>
            </w:r>
          </w:p>
        </w:tc>
      </w:tr>
      <w:tr>
        <w:trPr>
          <w:trHeight w:val="173"/>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40" w:type="dxa"/>
            <w:vAlign w:val="bottom"/>
          </w:tcPr>
          <w:p>
            <w:pPr>
              <w:ind w:left="20"/>
              <w:spacing w:after="0" w:line="173" w:lineRule="exact"/>
              <w:rPr>
                <w:sz w:val="20"/>
                <w:szCs w:val="20"/>
                <w:color w:val="auto"/>
              </w:rPr>
            </w:pPr>
            <w:r>
              <w:rPr>
                <w:rFonts w:ascii="Calibri" w:cs="Calibri" w:eastAsia="Calibri" w:hAnsi="Calibri"/>
                <w:sz w:val="18"/>
                <w:szCs w:val="18"/>
                <w:color w:val="666666"/>
                <w:w w:val="96"/>
              </w:rPr>
              <w:t>years in Hong Kong and Seoul working with Carlyle's Asia buyout fund, Carlyle Asia Partners. Mr. Fujiyama has led all of</w:t>
            </w:r>
          </w:p>
        </w:tc>
      </w:tr>
      <w:tr>
        <w:trPr>
          <w:trHeight w:val="186"/>
        </w:trPr>
        <w:tc>
          <w:tcPr>
            <w:tcW w:w="2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40" w:type="dxa"/>
            <w:vAlign w:val="bottom"/>
          </w:tcPr>
          <w:p>
            <w:pPr>
              <w:ind w:left="20"/>
              <w:spacing w:after="0" w:line="186" w:lineRule="exact"/>
              <w:rPr>
                <w:sz w:val="20"/>
                <w:szCs w:val="20"/>
                <w:color w:val="auto"/>
              </w:rPr>
            </w:pPr>
            <w:r>
              <w:rPr>
                <w:rFonts w:ascii="Calibri" w:cs="Calibri" w:eastAsia="Calibri" w:hAnsi="Calibri"/>
                <w:sz w:val="18"/>
                <w:szCs w:val="18"/>
                <w:color w:val="666666"/>
                <w:w w:val="97"/>
              </w:rPr>
              <w:t>Carlyle's recent investments in the federal services sector and previously served as Chairman of Carlyle's Diversity and</w:t>
            </w:r>
          </w:p>
        </w:tc>
      </w:tr>
      <w:tr>
        <w:trPr>
          <w:trHeight w:val="173"/>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40" w:type="dxa"/>
            <w:vAlign w:val="bottom"/>
          </w:tcPr>
          <w:p>
            <w:pPr>
              <w:ind w:left="20"/>
              <w:spacing w:after="0" w:line="173" w:lineRule="exact"/>
              <w:rPr>
                <w:sz w:val="20"/>
                <w:szCs w:val="20"/>
                <w:color w:val="auto"/>
              </w:rPr>
            </w:pPr>
            <w:r>
              <w:rPr>
                <w:rFonts w:ascii="Calibri" w:cs="Calibri" w:eastAsia="Calibri" w:hAnsi="Calibri"/>
                <w:sz w:val="18"/>
                <w:szCs w:val="18"/>
                <w:color w:val="666666"/>
                <w:w w:val="98"/>
              </w:rPr>
              <w:t>Inclusion Commitee. Prior to joining Carlyle, Mr. Fujiyama was an associate at Donaldson Lufin and Jenrete Securites</w:t>
            </w:r>
          </w:p>
        </w:tc>
      </w:tr>
      <w:tr>
        <w:trPr>
          <w:trHeight w:val="173"/>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40" w:type="dxa"/>
            <w:vAlign w:val="bottom"/>
          </w:tcPr>
          <w:p>
            <w:pPr>
              <w:ind w:left="20"/>
              <w:spacing w:after="0" w:line="173" w:lineRule="exact"/>
              <w:rPr>
                <w:sz w:val="20"/>
                <w:szCs w:val="20"/>
                <w:color w:val="auto"/>
              </w:rPr>
            </w:pPr>
            <w:r>
              <w:rPr>
                <w:rFonts w:ascii="Calibri" w:cs="Calibri" w:eastAsia="Calibri" w:hAnsi="Calibri"/>
                <w:sz w:val="18"/>
                <w:szCs w:val="18"/>
                <w:color w:val="666666"/>
                <w:w w:val="98"/>
              </w:rPr>
              <w:t>Corp., with a focus on high yield and merchant banking transactons. He currently serves as a member of the board of</w:t>
            </w:r>
          </w:p>
        </w:tc>
      </w:tr>
      <w:tr>
        <w:trPr>
          <w:trHeight w:val="186"/>
        </w:trPr>
        <w:tc>
          <w:tcPr>
            <w:tcW w:w="2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40" w:type="dxa"/>
            <w:vAlign w:val="bottom"/>
          </w:tcPr>
          <w:p>
            <w:pPr>
              <w:ind w:left="20"/>
              <w:spacing w:after="0" w:line="186" w:lineRule="exact"/>
              <w:rPr>
                <w:sz w:val="20"/>
                <w:szCs w:val="20"/>
                <w:color w:val="auto"/>
              </w:rPr>
            </w:pPr>
            <w:r>
              <w:rPr>
                <w:rFonts w:ascii="Calibri" w:cs="Calibri" w:eastAsia="Calibri" w:hAnsi="Calibri"/>
                <w:sz w:val="18"/>
                <w:szCs w:val="18"/>
                <w:color w:val="666666"/>
                <w:w w:val="97"/>
              </w:rPr>
              <w:t>directors of Dynamic Precision Group, KLDiscovery, Two Six Technologies, and StandardAero. He previously served on</w:t>
            </w:r>
          </w:p>
        </w:tc>
      </w:tr>
      <w:tr>
        <w:trPr>
          <w:trHeight w:val="173"/>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40" w:type="dxa"/>
            <w:vAlign w:val="bottom"/>
          </w:tcPr>
          <w:p>
            <w:pPr>
              <w:ind w:left="20"/>
              <w:spacing w:after="0" w:line="173" w:lineRule="exact"/>
              <w:rPr>
                <w:sz w:val="20"/>
                <w:szCs w:val="20"/>
                <w:color w:val="auto"/>
              </w:rPr>
            </w:pPr>
            <w:r>
              <w:rPr>
                <w:rFonts w:ascii="Calibri" w:cs="Calibri" w:eastAsia="Calibri" w:hAnsi="Calibri"/>
                <w:sz w:val="18"/>
                <w:szCs w:val="18"/>
                <w:color w:val="666666"/>
              </w:rPr>
              <w:t>the board of directors of ARINC Incorporated from 2007 to 2013 and Noveta Solutons LLC from 2016 to 2021. Mr.</w:t>
            </w:r>
          </w:p>
        </w:tc>
      </w:tr>
      <w:tr>
        <w:trPr>
          <w:trHeight w:val="173"/>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40" w:type="dxa"/>
            <w:vAlign w:val="bottom"/>
          </w:tcPr>
          <w:p>
            <w:pPr>
              <w:ind w:left="20"/>
              <w:spacing w:after="0" w:line="173" w:lineRule="exact"/>
              <w:rPr>
                <w:sz w:val="20"/>
                <w:szCs w:val="20"/>
                <w:color w:val="auto"/>
              </w:rPr>
            </w:pPr>
            <w:r>
              <w:rPr>
                <w:rFonts w:ascii="Calibri" w:cs="Calibri" w:eastAsia="Calibri" w:hAnsi="Calibri"/>
                <w:sz w:val="18"/>
                <w:szCs w:val="18"/>
                <w:color w:val="666666"/>
                <w:w w:val="96"/>
              </w:rPr>
              <w:t>Fujiyama received his Bachelor of Science in economics, summa cum laude, from the Wharton School at the University</w:t>
            </w:r>
          </w:p>
        </w:tc>
      </w:tr>
      <w:tr>
        <w:trPr>
          <w:trHeight w:val="211"/>
        </w:trPr>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40" w:type="dxa"/>
            <w:vAlign w:val="bottom"/>
          </w:tcPr>
          <w:p>
            <w:pPr>
              <w:ind w:left="20"/>
              <w:spacing w:after="0" w:line="211" w:lineRule="exact"/>
              <w:rPr>
                <w:sz w:val="20"/>
                <w:szCs w:val="20"/>
                <w:color w:val="auto"/>
              </w:rPr>
            </w:pPr>
            <w:r>
              <w:rPr>
                <w:rFonts w:ascii="Calibri" w:cs="Calibri" w:eastAsia="Calibri" w:hAnsi="Calibri"/>
                <w:sz w:val="18"/>
                <w:szCs w:val="18"/>
                <w:color w:val="666666"/>
              </w:rPr>
              <w:t>of Pennsylvania with a concentraton in fnance.</w:t>
            </w:r>
          </w:p>
        </w:tc>
      </w:tr>
      <w:tr>
        <w:trPr>
          <w:trHeight w:val="706"/>
        </w:trPr>
        <w:tc>
          <w:tcPr>
            <w:tcW w:w="2740" w:type="dxa"/>
            <w:vAlign w:val="bottom"/>
            <w:gridSpan w:val="2"/>
          </w:tcPr>
          <w:p>
            <w:pPr>
              <w:ind w:left="20"/>
              <w:spacing w:after="0"/>
              <w:rPr>
                <w:sz w:val="20"/>
                <w:szCs w:val="20"/>
                <w:color w:val="auto"/>
              </w:rPr>
            </w:pPr>
            <w:r>
              <w:rPr>
                <w:rFonts w:ascii="Calibri" w:cs="Calibri" w:eastAsia="Calibri" w:hAnsi="Calibri"/>
                <w:sz w:val="18"/>
                <w:szCs w:val="18"/>
                <w:color w:val="666666"/>
              </w:rPr>
              <w:t>Age: 49</w:t>
            </w:r>
          </w:p>
        </w:tc>
        <w:tc>
          <w:tcPr>
            <w:tcW w:w="8440" w:type="dxa"/>
            <w:vAlign w:val="bottom"/>
          </w:tcPr>
          <w:p>
            <w:pPr>
              <w:ind w:left="20"/>
              <w:spacing w:after="0"/>
              <w:rPr>
                <w:sz w:val="20"/>
                <w:szCs w:val="20"/>
                <w:color w:val="auto"/>
              </w:rPr>
            </w:pPr>
            <w:r>
              <w:rPr>
                <w:rFonts w:ascii="Calibri" w:cs="Calibri" w:eastAsia="Calibri" w:hAnsi="Calibri"/>
                <w:sz w:val="18"/>
                <w:szCs w:val="18"/>
                <w:color w:val="666666"/>
              </w:rPr>
              <w:t>Specifc qualifcatons, experience, skills, and expertse include:</w:t>
            </w:r>
          </w:p>
        </w:tc>
      </w:tr>
      <w:tr>
        <w:trPr>
          <w:trHeight w:val="173"/>
        </w:trPr>
        <w:tc>
          <w:tcPr>
            <w:tcW w:w="2740" w:type="dxa"/>
            <w:vAlign w:val="bottom"/>
            <w:gridSpan w:val="2"/>
          </w:tcPr>
          <w:p>
            <w:pPr>
              <w:ind w:left="20"/>
              <w:spacing w:after="0" w:line="173" w:lineRule="exact"/>
              <w:rPr>
                <w:sz w:val="20"/>
                <w:szCs w:val="20"/>
                <w:color w:val="auto"/>
              </w:rPr>
            </w:pPr>
            <w:r>
              <w:rPr>
                <w:rFonts w:ascii="Calibri" w:cs="Calibri" w:eastAsia="Calibri" w:hAnsi="Calibri"/>
                <w:sz w:val="18"/>
                <w:szCs w:val="18"/>
                <w:color w:val="666666"/>
              </w:rPr>
              <w:t>Director since: 2008</w:t>
            </w:r>
          </w:p>
        </w:tc>
        <w:tc>
          <w:tcPr>
            <w:tcW w:w="8440" w:type="dxa"/>
            <w:vAlign w:val="bottom"/>
          </w:tcPr>
          <w:p>
            <w:pPr>
              <w:spacing w:after="0"/>
              <w:rPr>
                <w:sz w:val="15"/>
                <w:szCs w:val="15"/>
                <w:color w:val="auto"/>
              </w:rPr>
            </w:pPr>
          </w:p>
        </w:tc>
      </w:tr>
      <w:tr>
        <w:trPr>
          <w:trHeight w:val="239"/>
        </w:trPr>
        <w:tc>
          <w:tcPr>
            <w:tcW w:w="2740" w:type="dxa"/>
            <w:vAlign w:val="bottom"/>
            <w:gridSpan w:val="2"/>
          </w:tcPr>
          <w:p>
            <w:pPr>
              <w:ind w:left="20"/>
              <w:spacing w:after="0" w:line="211" w:lineRule="exact"/>
              <w:rPr>
                <w:sz w:val="20"/>
                <w:szCs w:val="20"/>
                <w:color w:val="auto"/>
              </w:rPr>
            </w:pPr>
            <w:r>
              <w:rPr>
                <w:rFonts w:ascii="Calibri" w:cs="Calibri" w:eastAsia="Calibri" w:hAnsi="Calibri"/>
                <w:sz w:val="18"/>
                <w:szCs w:val="18"/>
                <w:color w:val="666666"/>
              </w:rPr>
              <w:t>Independent</w:t>
            </w:r>
          </w:p>
        </w:tc>
        <w:tc>
          <w:tcPr>
            <w:tcW w:w="8440" w:type="dxa"/>
            <w:vAlign w:val="bottom"/>
          </w:tcPr>
          <w:p>
            <w:pPr>
              <w:ind w:left="100"/>
              <w:spacing w:after="0"/>
              <w:rPr>
                <w:sz w:val="20"/>
                <w:szCs w:val="20"/>
                <w:color w:val="auto"/>
              </w:rPr>
            </w:pPr>
            <w:r>
              <w:rPr>
                <w:rFonts w:ascii="Calibri" w:cs="Calibri" w:eastAsia="Calibri" w:hAnsi="Calibri"/>
                <w:sz w:val="18"/>
                <w:szCs w:val="18"/>
                <w:color w:val="666666"/>
              </w:rPr>
              <w:t>• Operatng experience;</w:t>
            </w:r>
          </w:p>
        </w:tc>
      </w:tr>
      <w:tr>
        <w:trPr>
          <w:trHeight w:val="173"/>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40" w:type="dxa"/>
            <w:vAlign w:val="bottom"/>
          </w:tcPr>
          <w:p>
            <w:pPr>
              <w:ind w:left="100"/>
              <w:spacing w:after="0" w:line="173" w:lineRule="exact"/>
              <w:rPr>
                <w:sz w:val="20"/>
                <w:szCs w:val="20"/>
                <w:color w:val="auto"/>
              </w:rPr>
            </w:pPr>
            <w:r>
              <w:rPr>
                <w:rFonts w:ascii="Calibri" w:cs="Calibri" w:eastAsia="Calibri" w:hAnsi="Calibri"/>
                <w:sz w:val="18"/>
                <w:szCs w:val="18"/>
                <w:color w:val="666666"/>
              </w:rPr>
              <w:t>• Understanding of government contractng;</w:t>
            </w:r>
          </w:p>
        </w:tc>
      </w:tr>
      <w:tr>
        <w:trPr>
          <w:trHeight w:val="186"/>
        </w:trPr>
        <w:tc>
          <w:tcPr>
            <w:tcW w:w="2740" w:type="dxa"/>
            <w:vAlign w:val="bottom"/>
            <w:gridSpan w:val="2"/>
          </w:tcPr>
          <w:p>
            <w:pPr>
              <w:ind w:left="20"/>
              <w:spacing w:after="0" w:line="186" w:lineRule="exact"/>
              <w:rPr>
                <w:sz w:val="20"/>
                <w:szCs w:val="20"/>
                <w:color w:val="auto"/>
              </w:rPr>
            </w:pPr>
            <w:r>
              <w:rPr>
                <w:rFonts w:ascii="Calibri" w:cs="Calibri" w:eastAsia="Calibri" w:hAnsi="Calibri"/>
                <w:sz w:val="18"/>
                <w:szCs w:val="18"/>
                <w:i w:val="1"/>
                <w:iCs w:val="1"/>
                <w:color w:val="666666"/>
              </w:rPr>
              <w:t>Commitees:</w:t>
            </w:r>
          </w:p>
        </w:tc>
        <w:tc>
          <w:tcPr>
            <w:tcW w:w="8440" w:type="dxa"/>
            <w:vAlign w:val="bottom"/>
          </w:tcPr>
          <w:p>
            <w:pPr>
              <w:ind w:left="100"/>
              <w:spacing w:after="0" w:line="186" w:lineRule="exact"/>
              <w:rPr>
                <w:sz w:val="20"/>
                <w:szCs w:val="20"/>
                <w:color w:val="auto"/>
              </w:rPr>
            </w:pPr>
            <w:r>
              <w:rPr>
                <w:rFonts w:ascii="Calibri" w:cs="Calibri" w:eastAsia="Calibri" w:hAnsi="Calibri"/>
                <w:sz w:val="18"/>
                <w:szCs w:val="18"/>
                <w:color w:val="666666"/>
              </w:rPr>
              <w:t>• Core business skills, including fnancial and strategic planning;</w:t>
            </w:r>
          </w:p>
        </w:tc>
      </w:tr>
      <w:tr>
        <w:trPr>
          <w:trHeight w:val="173"/>
        </w:trPr>
        <w:tc>
          <w:tcPr>
            <w:tcW w:w="2740" w:type="dxa"/>
            <w:vAlign w:val="bottom"/>
            <w:gridSpan w:val="2"/>
          </w:tcPr>
          <w:p>
            <w:pPr>
              <w:ind w:left="60"/>
              <w:spacing w:after="0" w:line="173" w:lineRule="exact"/>
              <w:rPr>
                <w:sz w:val="20"/>
                <w:szCs w:val="20"/>
                <w:color w:val="auto"/>
              </w:rPr>
            </w:pPr>
            <w:r>
              <w:rPr>
                <w:rFonts w:ascii="Calibri" w:cs="Calibri" w:eastAsia="Calibri" w:hAnsi="Calibri"/>
                <w:sz w:val="18"/>
                <w:szCs w:val="18"/>
                <w:color w:val="666666"/>
              </w:rPr>
              <w:t>• Executve</w:t>
            </w:r>
          </w:p>
        </w:tc>
        <w:tc>
          <w:tcPr>
            <w:tcW w:w="8440" w:type="dxa"/>
            <w:vAlign w:val="bottom"/>
          </w:tcPr>
          <w:p>
            <w:pPr>
              <w:ind w:left="100"/>
              <w:spacing w:after="0" w:line="173" w:lineRule="exact"/>
              <w:rPr>
                <w:sz w:val="20"/>
                <w:szCs w:val="20"/>
                <w:color w:val="auto"/>
              </w:rPr>
            </w:pPr>
            <w:r>
              <w:rPr>
                <w:rFonts w:ascii="Calibri" w:cs="Calibri" w:eastAsia="Calibri" w:hAnsi="Calibri"/>
                <w:sz w:val="18"/>
                <w:szCs w:val="18"/>
                <w:color w:val="666666"/>
              </w:rPr>
              <w:t>• Experience in mergers and acquisitons; and</w:t>
            </w:r>
          </w:p>
        </w:tc>
      </w:tr>
      <w:tr>
        <w:trPr>
          <w:trHeight w:val="173"/>
        </w:trPr>
        <w:tc>
          <w:tcPr>
            <w:tcW w:w="2740" w:type="dxa"/>
            <w:vAlign w:val="bottom"/>
            <w:gridSpan w:val="2"/>
          </w:tcPr>
          <w:p>
            <w:pPr>
              <w:ind w:left="60"/>
              <w:spacing w:after="0" w:line="173" w:lineRule="exact"/>
              <w:rPr>
                <w:sz w:val="20"/>
                <w:szCs w:val="20"/>
                <w:color w:val="auto"/>
              </w:rPr>
            </w:pPr>
            <w:r>
              <w:rPr>
                <w:rFonts w:ascii="Calibri" w:cs="Calibri" w:eastAsia="Calibri" w:hAnsi="Calibri"/>
                <w:sz w:val="18"/>
                <w:szCs w:val="18"/>
                <w:color w:val="666666"/>
              </w:rPr>
              <w:t>• Compensaton, Culture and</w:t>
            </w:r>
          </w:p>
        </w:tc>
        <w:tc>
          <w:tcPr>
            <w:tcW w:w="8440" w:type="dxa"/>
            <w:vAlign w:val="bottom"/>
          </w:tcPr>
          <w:p>
            <w:pPr>
              <w:ind w:left="100"/>
              <w:spacing w:after="0" w:line="173" w:lineRule="exact"/>
              <w:rPr>
                <w:sz w:val="20"/>
                <w:szCs w:val="20"/>
                <w:color w:val="auto"/>
              </w:rPr>
            </w:pPr>
            <w:r>
              <w:rPr>
                <w:rFonts w:ascii="Calibri" w:cs="Calibri" w:eastAsia="Calibri" w:hAnsi="Calibri"/>
                <w:sz w:val="18"/>
                <w:szCs w:val="18"/>
                <w:color w:val="666666"/>
              </w:rPr>
              <w:t>• Expertse in fnance, fnancial reportng, compliance and controls, and global businesses.</w:t>
            </w:r>
          </w:p>
        </w:tc>
      </w:tr>
      <w:tr>
        <w:trPr>
          <w:trHeight w:val="211"/>
        </w:trPr>
        <w:tc>
          <w:tcPr>
            <w:tcW w:w="2740" w:type="dxa"/>
            <w:vAlign w:val="bottom"/>
            <w:gridSpan w:val="2"/>
          </w:tcPr>
          <w:p>
            <w:pPr>
              <w:ind w:left="20"/>
              <w:spacing w:after="0" w:line="211" w:lineRule="exact"/>
              <w:rPr>
                <w:sz w:val="20"/>
                <w:szCs w:val="20"/>
                <w:color w:val="auto"/>
              </w:rPr>
            </w:pPr>
            <w:r>
              <w:rPr>
                <w:rFonts w:ascii="Calibri" w:cs="Calibri" w:eastAsia="Calibri" w:hAnsi="Calibri"/>
                <w:sz w:val="18"/>
                <w:szCs w:val="18"/>
                <w:color w:val="666666"/>
              </w:rPr>
              <w:t>People</w:t>
            </w:r>
          </w:p>
        </w:tc>
        <w:tc>
          <w:tcPr>
            <w:tcW w:w="84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-2160905</wp:posOffset>
            </wp:positionV>
            <wp:extent cx="1130300" cy="1130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30300" cy="1130300"/>
                    </a:xfrm>
                    <a:prstGeom prst="rect">
                      <a:avLst/>
                    </a:prstGeom>
                    <a:noFill/>
                  </pic:spPr>
                </pic:pic>
              </a:graphicData>
            </a:graphic>
          </wp:anchor>
        </w:drawing>
      </w:r>
    </w:p>
    <w:p>
      <w:pPr>
        <w:ind w:left="60"/>
        <w:spacing w:after="0" w:line="198" w:lineRule="auto"/>
        <w:rPr>
          <w:sz w:val="20"/>
          <w:szCs w:val="20"/>
          <w:color w:val="auto"/>
        </w:rPr>
      </w:pPr>
      <w:r>
        <w:rPr>
          <w:rFonts w:ascii="Calibri" w:cs="Calibri" w:eastAsia="Calibri" w:hAnsi="Calibri"/>
          <w:sz w:val="18"/>
          <w:szCs w:val="18"/>
          <w:color w:val="666666"/>
        </w:rPr>
        <w:t>• Nominatng and Corporate</w:t>
      </w:r>
    </w:p>
    <w:p>
      <w:pPr>
        <w:ind w:left="20"/>
        <w:spacing w:after="0" w:line="193" w:lineRule="auto"/>
        <w:rPr>
          <w:sz w:val="20"/>
          <w:szCs w:val="20"/>
          <w:color w:val="auto"/>
        </w:rPr>
      </w:pPr>
      <w:r>
        <w:rPr>
          <w:rFonts w:ascii="Calibri" w:cs="Calibri" w:eastAsia="Calibri" w:hAnsi="Calibri"/>
          <w:sz w:val="18"/>
          <w:szCs w:val="18"/>
          <w:color w:val="666666"/>
        </w:rPr>
        <w:t>Governance (Chair)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666666"/>
        </w:rPr>
        <w:t>13</w:t>
      </w:r>
    </w:p>
    <w:p>
      <w:pPr>
        <w:sectPr>
          <w:pgSz w:w="11900" w:h="16838" w:orient="portrait"/>
          <w:cols w:equalWidth="0" w:num="1">
            <w:col w:w="11180"/>
          </w:cols>
          <w:pgMar w:left="320" w:top="118"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Calibri" w:cs="Calibri" w:eastAsia="Calibri" w:hAnsi="Calibri"/>
          <w:sz w:val="28"/>
          <w:szCs w:val="28"/>
          <w:b w:val="1"/>
          <w:bCs w:val="1"/>
          <w:color w:val="547BCC"/>
        </w:rPr>
        <w:t>CONTINUING DIRECTORS</w:t>
      </w:r>
    </w:p>
    <w:p>
      <w:pPr>
        <w:spacing w:after="0" w:line="175" w:lineRule="exact"/>
        <w:rPr>
          <w:sz w:val="20"/>
          <w:szCs w:val="20"/>
          <w:color w:val="auto"/>
        </w:rPr>
      </w:pPr>
    </w:p>
    <w:p>
      <w:pPr>
        <w:ind w:left="320"/>
        <w:spacing w:after="0"/>
        <w:rPr>
          <w:sz w:val="20"/>
          <w:szCs w:val="20"/>
          <w:color w:val="auto"/>
        </w:rPr>
      </w:pPr>
      <w:r>
        <w:rPr>
          <w:rFonts w:ascii="Calibri" w:cs="Calibri" w:eastAsia="Calibri" w:hAnsi="Calibri"/>
          <w:sz w:val="17"/>
          <w:szCs w:val="17"/>
          <w:color w:val="666666"/>
        </w:rPr>
        <w:t>The three directors whose terms will contnue afer the Annual Meetng and will expire at the 2023 Annual Meetng (Class I) are listed below.</w:t>
      </w:r>
    </w:p>
    <w:p>
      <w:pPr>
        <w:sectPr>
          <w:pgSz w:w="11900" w:h="16838" w:orient="portrait"/>
          <w:cols w:equalWidth="0" w:num="1">
            <w:col w:w="11160"/>
          </w:cols>
          <w:pgMar w:left="320" w:top="118" w:right="419" w:bottom="1440" w:gutter="0" w:footer="0" w:header="0"/>
        </w:sectPr>
      </w:pPr>
    </w:p>
    <w:p>
      <w:pPr>
        <w:spacing w:after="0" w:line="381" w:lineRule="exact"/>
        <w:rPr>
          <w:sz w:val="20"/>
          <w:szCs w:val="20"/>
          <w:color w:val="auto"/>
        </w:rPr>
      </w:pPr>
    </w:p>
    <w:p>
      <w:pPr>
        <w:jc w:val="right"/>
        <w:ind w:right="600"/>
        <w:spacing w:after="0"/>
        <w:rPr>
          <w:sz w:val="20"/>
          <w:szCs w:val="20"/>
          <w:color w:val="auto"/>
        </w:rPr>
      </w:pPr>
      <w:r>
        <w:rPr>
          <w:rFonts w:ascii="Calibri" w:cs="Calibri" w:eastAsia="Calibri" w:hAnsi="Calibri"/>
          <w:sz w:val="18"/>
          <w:szCs w:val="18"/>
          <w:b w:val="1"/>
          <w:bCs w:val="1"/>
          <w:color w:val="666666"/>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14420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42085" cy="8255"/>
                    </a:xfrm>
                    <a:prstGeom prst="rect">
                      <a:avLst/>
                    </a:prstGeom>
                    <a:noFill/>
                  </pic:spPr>
                </pic:pic>
              </a:graphicData>
            </a:graphic>
          </wp:anchor>
        </w:drawing>
      </w:r>
    </w:p>
    <w:p>
      <w:pPr>
        <w:spacing w:after="0" w:line="248" w:lineRule="exact"/>
        <w:rPr>
          <w:sz w:val="20"/>
          <w:szCs w:val="20"/>
          <w:color w:val="auto"/>
        </w:rPr>
      </w:pPr>
    </w:p>
    <w:p>
      <w:pPr>
        <w:ind w:left="20"/>
        <w:spacing w:after="0"/>
        <w:rPr>
          <w:sz w:val="20"/>
          <w:szCs w:val="20"/>
          <w:color w:val="auto"/>
        </w:rPr>
      </w:pPr>
      <w:r>
        <w:rPr>
          <w:rFonts w:ascii="Calibri" w:cs="Calibri" w:eastAsia="Calibri" w:hAnsi="Calibri"/>
          <w:sz w:val="18"/>
          <w:szCs w:val="18"/>
          <w:color w:val="5E5E61"/>
        </w:rPr>
        <w:t>Ralph W. Shrader</w:t>
      </w:r>
    </w:p>
    <w:p>
      <w:pPr>
        <w:ind w:left="20"/>
        <w:spacing w:after="0" w:line="193" w:lineRule="auto"/>
        <w:rPr>
          <w:sz w:val="20"/>
          <w:szCs w:val="20"/>
          <w:color w:val="auto"/>
        </w:rPr>
      </w:pPr>
      <w:r>
        <w:rPr>
          <w:rFonts w:ascii="Calibri" w:cs="Calibri" w:eastAsia="Calibri" w:hAnsi="Calibri"/>
          <w:sz w:val="18"/>
          <w:szCs w:val="18"/>
          <w:color w:val="5E5E61"/>
        </w:rPr>
        <w:t>(Class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Calibri" w:cs="Calibri" w:eastAsia="Calibri" w:hAnsi="Calibri"/>
          <w:sz w:val="18"/>
          <w:szCs w:val="18"/>
          <w:color w:val="666666"/>
        </w:rPr>
        <w:t>Age: 77</w:t>
      </w:r>
    </w:p>
    <w:p>
      <w:pPr>
        <w:ind w:left="20" w:right="620"/>
        <w:spacing w:after="0" w:line="202" w:lineRule="auto"/>
        <w:rPr>
          <w:sz w:val="20"/>
          <w:szCs w:val="20"/>
          <w:color w:val="auto"/>
        </w:rPr>
      </w:pPr>
      <w:r>
        <w:rPr>
          <w:rFonts w:ascii="Calibri" w:cs="Calibri" w:eastAsia="Calibri" w:hAnsi="Calibri"/>
          <w:sz w:val="17"/>
          <w:szCs w:val="17"/>
          <w:color w:val="666666"/>
        </w:rPr>
        <w:t>Director since: 2008 Chair, Independent</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Calibri" w:cs="Calibri" w:eastAsia="Calibri" w:hAnsi="Calibri"/>
          <w:sz w:val="18"/>
          <w:szCs w:val="18"/>
          <w:i w:val="1"/>
          <w:iCs w:val="1"/>
          <w:color w:val="666666"/>
        </w:rPr>
        <w:t>Commitee</w:t>
      </w:r>
      <w:r>
        <w:rPr>
          <w:rFonts w:ascii="Calibri" w:cs="Calibri" w:eastAsia="Calibri" w:hAnsi="Calibri"/>
          <w:sz w:val="18"/>
          <w:szCs w:val="18"/>
          <w:color w:val="666666"/>
        </w:rPr>
        <w:t>:</w:t>
      </w:r>
    </w:p>
    <w:p>
      <w:pPr>
        <w:ind w:left="60"/>
        <w:spacing w:after="0" w:line="193" w:lineRule="auto"/>
        <w:rPr>
          <w:sz w:val="20"/>
          <w:szCs w:val="20"/>
          <w:color w:val="auto"/>
        </w:rPr>
      </w:pPr>
      <w:r>
        <w:rPr>
          <w:rFonts w:ascii="Calibri" w:cs="Calibri" w:eastAsia="Calibri" w:hAnsi="Calibri"/>
          <w:sz w:val="18"/>
          <w:szCs w:val="18"/>
          <w:color w:val="666666"/>
        </w:rPr>
        <w:t>• Executve (Chair)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right="640"/>
        <w:spacing w:after="0" w:line="216" w:lineRule="auto"/>
        <w:rPr>
          <w:sz w:val="20"/>
          <w:szCs w:val="20"/>
          <w:color w:val="auto"/>
        </w:rPr>
      </w:pPr>
      <w:r>
        <w:rPr>
          <w:rFonts w:ascii="Calibri" w:cs="Calibri" w:eastAsia="Calibri" w:hAnsi="Calibri"/>
          <w:sz w:val="18"/>
          <w:szCs w:val="18"/>
          <w:color w:val="666666"/>
        </w:rPr>
        <w:t>Joan Lordi C. Amble (Class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259715</wp:posOffset>
            </wp:positionV>
            <wp:extent cx="1121410" cy="11214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21410" cy="112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Calibri" w:cs="Calibri" w:eastAsia="Calibri" w:hAnsi="Calibri"/>
          <w:sz w:val="18"/>
          <w:szCs w:val="18"/>
          <w:color w:val="666666"/>
        </w:rPr>
        <w:t>Age: 69</w:t>
      </w:r>
    </w:p>
    <w:p>
      <w:pPr>
        <w:ind w:left="20" w:right="620"/>
        <w:spacing w:after="0" w:line="195" w:lineRule="auto"/>
        <w:rPr>
          <w:sz w:val="20"/>
          <w:szCs w:val="20"/>
          <w:color w:val="auto"/>
        </w:rPr>
      </w:pPr>
      <w:r>
        <w:rPr>
          <w:rFonts w:ascii="Calibri" w:cs="Calibri" w:eastAsia="Calibri" w:hAnsi="Calibri"/>
          <w:sz w:val="18"/>
          <w:szCs w:val="18"/>
          <w:color w:val="666666"/>
        </w:rPr>
        <w:t>Director since: 2012 Independent</w:t>
      </w:r>
    </w:p>
    <w:p>
      <w:pPr>
        <w:spacing w:after="0" w:line="193" w:lineRule="exact"/>
        <w:rPr>
          <w:sz w:val="20"/>
          <w:szCs w:val="20"/>
          <w:color w:val="auto"/>
        </w:rPr>
      </w:pPr>
    </w:p>
    <w:p>
      <w:pPr>
        <w:ind w:left="20"/>
        <w:spacing w:after="0"/>
        <w:rPr>
          <w:sz w:val="20"/>
          <w:szCs w:val="20"/>
          <w:color w:val="auto"/>
        </w:rPr>
      </w:pPr>
      <w:r>
        <w:rPr>
          <w:rFonts w:ascii="Calibri" w:cs="Calibri" w:eastAsia="Calibri" w:hAnsi="Calibri"/>
          <w:sz w:val="18"/>
          <w:szCs w:val="18"/>
          <w:i w:val="1"/>
          <w:iCs w:val="1"/>
          <w:color w:val="666666"/>
        </w:rPr>
        <w:t>Commitee:</w:t>
      </w:r>
    </w:p>
    <w:p>
      <w:pPr>
        <w:ind w:left="60"/>
        <w:spacing w:after="0" w:line="203" w:lineRule="auto"/>
        <w:rPr>
          <w:sz w:val="20"/>
          <w:szCs w:val="20"/>
          <w:color w:val="auto"/>
        </w:rPr>
      </w:pPr>
      <w:r>
        <w:rPr>
          <w:rFonts w:ascii="Calibri" w:cs="Calibri" w:eastAsia="Calibri" w:hAnsi="Calibri"/>
          <w:sz w:val="18"/>
          <w:szCs w:val="18"/>
          <w:color w:val="666666"/>
        </w:rPr>
        <w:t>• Audit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666666"/>
        </w:rPr>
        <w:t>Principal Occupaton, Business Experience</w:t>
      </w:r>
    </w:p>
    <w:p>
      <w:pPr>
        <w:jc w:val="center"/>
        <w:ind w:right="-39"/>
        <w:spacing w:after="0" w:line="193" w:lineRule="auto"/>
        <w:rPr>
          <w:sz w:val="20"/>
          <w:szCs w:val="20"/>
          <w:color w:val="auto"/>
        </w:rPr>
      </w:pPr>
      <w:r>
        <w:rPr>
          <w:rFonts w:ascii="Calibri" w:cs="Calibri" w:eastAsia="Calibri" w:hAnsi="Calibri"/>
          <w:sz w:val="18"/>
          <w:szCs w:val="18"/>
          <w:b w:val="1"/>
          <w:bCs w:val="1"/>
          <w:color w:val="666666"/>
        </w:rPr>
        <w:t>and Other Directorships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22860</wp:posOffset>
            </wp:positionV>
            <wp:extent cx="53549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54955" cy="8255"/>
                    </a:xfrm>
                    <a:prstGeom prst="rect">
                      <a:avLst/>
                    </a:prstGeom>
                    <a:noFill/>
                  </pic:spPr>
                </pic:pic>
              </a:graphicData>
            </a:graphic>
          </wp:anchor>
        </w:drawing>
      </w:r>
    </w:p>
    <w:p>
      <w:pPr>
        <w:spacing w:after="0" w:line="274" w:lineRule="exact"/>
        <w:rPr>
          <w:sz w:val="20"/>
          <w:szCs w:val="20"/>
          <w:color w:val="auto"/>
        </w:rPr>
      </w:pPr>
    </w:p>
    <w:p>
      <w:pPr>
        <w:jc w:val="both"/>
        <w:spacing w:after="0" w:line="198" w:lineRule="auto"/>
        <w:rPr>
          <w:sz w:val="20"/>
          <w:szCs w:val="20"/>
          <w:color w:val="auto"/>
        </w:rPr>
      </w:pPr>
      <w:r>
        <w:rPr>
          <w:rFonts w:ascii="Calibri" w:cs="Calibri" w:eastAsia="Calibri" w:hAnsi="Calibri"/>
          <w:sz w:val="18"/>
          <w:szCs w:val="18"/>
          <w:color w:val="666666"/>
        </w:rPr>
        <w:t>Dr. Shrader is our Chair and has served in this positon since 2008. He previously served as our Chief Executve Ofcer from 2008 to December 31, 2014 and as our President from 2008 to December 31, 2013. He has also served as Chair of Booz Allen Hamilton since 1999 and as Chief Executve Ofcer of Booz Allen Hamilton from 1999 to December 31, 2014. Dr. Shrader has been an employee of our Company since 1974. He is the seventh chair since our Company's founding in 1914 and has led our Company through a signifcant period of growth and strategic realignment. Dr. Shrader is actve in professional and charitable organizatons and was previously Chairman of the Armed Forces Communicatons and Electronics Associaton.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color w:val="666666"/>
        </w:rPr>
        <w:t>Specifc qualifcatons, experience, skills, and expertse include:</w:t>
      </w:r>
    </w:p>
    <w:p>
      <w:pPr>
        <w:spacing w:after="0" w:line="188" w:lineRule="exact"/>
        <w:rPr>
          <w:sz w:val="20"/>
          <w:szCs w:val="20"/>
          <w:color w:val="auto"/>
        </w:rPr>
      </w:pPr>
    </w:p>
    <w:p>
      <w:pPr>
        <w:ind w:left="200" w:hanging="121"/>
        <w:spacing w:after="0"/>
        <w:tabs>
          <w:tab w:leader="none" w:pos="200" w:val="left"/>
        </w:tabs>
        <w:numPr>
          <w:ilvl w:val="0"/>
          <w:numId w:val="23"/>
        </w:numPr>
        <w:rPr>
          <w:rFonts w:ascii="Calibri" w:cs="Calibri" w:eastAsia="Calibri" w:hAnsi="Calibri"/>
          <w:sz w:val="18"/>
          <w:szCs w:val="18"/>
          <w:color w:val="666666"/>
        </w:rPr>
      </w:pPr>
      <w:r>
        <w:rPr>
          <w:rFonts w:ascii="Calibri" w:cs="Calibri" w:eastAsia="Calibri" w:hAnsi="Calibri"/>
          <w:sz w:val="18"/>
          <w:szCs w:val="18"/>
          <w:color w:val="666666"/>
        </w:rPr>
        <w:t>Operatng and management experience;</w:t>
      </w:r>
    </w:p>
    <w:p>
      <w:pPr>
        <w:ind w:left="200" w:hanging="121"/>
        <w:spacing w:after="0" w:line="193" w:lineRule="auto"/>
        <w:tabs>
          <w:tab w:leader="none" w:pos="200" w:val="left"/>
        </w:tabs>
        <w:numPr>
          <w:ilvl w:val="0"/>
          <w:numId w:val="23"/>
        </w:numPr>
        <w:rPr>
          <w:rFonts w:ascii="Calibri" w:cs="Calibri" w:eastAsia="Calibri" w:hAnsi="Calibri"/>
          <w:sz w:val="18"/>
          <w:szCs w:val="18"/>
          <w:color w:val="666666"/>
        </w:rPr>
      </w:pPr>
      <w:r>
        <w:rPr>
          <w:rFonts w:ascii="Calibri" w:cs="Calibri" w:eastAsia="Calibri" w:hAnsi="Calibri"/>
          <w:sz w:val="18"/>
          <w:szCs w:val="18"/>
          <w:color w:val="666666"/>
        </w:rPr>
        <w:t>Understanding of government contractng;</w:t>
      </w:r>
    </w:p>
    <w:p>
      <w:pPr>
        <w:ind w:left="200" w:hanging="121"/>
        <w:spacing w:after="0" w:line="198" w:lineRule="auto"/>
        <w:tabs>
          <w:tab w:leader="none" w:pos="200" w:val="left"/>
        </w:tabs>
        <w:numPr>
          <w:ilvl w:val="0"/>
          <w:numId w:val="23"/>
        </w:numPr>
        <w:rPr>
          <w:rFonts w:ascii="Calibri" w:cs="Calibri" w:eastAsia="Calibri" w:hAnsi="Calibri"/>
          <w:sz w:val="18"/>
          <w:szCs w:val="18"/>
          <w:color w:val="666666"/>
        </w:rPr>
      </w:pPr>
      <w:r>
        <w:rPr>
          <w:rFonts w:ascii="Calibri" w:cs="Calibri" w:eastAsia="Calibri" w:hAnsi="Calibri"/>
          <w:sz w:val="18"/>
          <w:szCs w:val="18"/>
          <w:color w:val="666666"/>
        </w:rPr>
        <w:t>Core business skills, including fnancial and strategic planning; and</w:t>
      </w:r>
    </w:p>
    <w:p>
      <w:pPr>
        <w:ind w:left="200" w:hanging="121"/>
        <w:spacing w:after="0" w:line="193" w:lineRule="auto"/>
        <w:tabs>
          <w:tab w:leader="none" w:pos="200" w:val="left"/>
        </w:tabs>
        <w:numPr>
          <w:ilvl w:val="0"/>
          <w:numId w:val="23"/>
        </w:numPr>
        <w:rPr>
          <w:rFonts w:ascii="Calibri" w:cs="Calibri" w:eastAsia="Calibri" w:hAnsi="Calibri"/>
          <w:sz w:val="18"/>
          <w:szCs w:val="18"/>
          <w:color w:val="666666"/>
        </w:rPr>
      </w:pPr>
      <w:r>
        <w:rPr>
          <w:rFonts w:ascii="Calibri" w:cs="Calibri" w:eastAsia="Calibri" w:hAnsi="Calibri"/>
          <w:sz w:val="18"/>
          <w:szCs w:val="18"/>
          <w:color w:val="666666"/>
        </w:rPr>
        <w:t>Deep understanding of our Company, its history, and culture.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08" w:lineRule="auto"/>
        <w:rPr>
          <w:sz w:val="20"/>
          <w:szCs w:val="20"/>
          <w:color w:val="auto"/>
        </w:rPr>
      </w:pPr>
      <w:r>
        <w:rPr>
          <w:rFonts w:ascii="Calibri" w:cs="Calibri" w:eastAsia="Calibri" w:hAnsi="Calibri"/>
          <w:sz w:val="17"/>
          <w:szCs w:val="17"/>
          <w:color w:val="666666"/>
        </w:rPr>
        <w:t>Ms. Amble was the Executve Vice President, Finance for the American Express Company from May 2011 to December 2011, and also served as its Executve Vice President and Corporate Comptroller from December 2003 untl May 2011. Prior to joining American Express, Ms. Amble served as Chief Operatng Ofcer and Chief Financial Ofcer of GE Capital Markets, a service business within GE Capital Services, Inc., overseeing securitzatons, debt placement, and syndicaton, as well as structured equity transactons. From 1994 to March 2003, Ms. Amble served as vice president and controller for GE Capital and GE Financial Services. Ms. Amble is the President of JCA Consultng, LLC, and she has served on the boards of directors of Zurich Insurance Group since April 2015 and BuzzFeed, Inc. (NASDAQ: BZFD) since August 2021. In additon, she has served as an independent advisor to the Control and Risk Commitee of the Executve Commitee of the U.S. afliate of Société Général, S.A. since October 2016. Ms. Amble served as a member of the Standing Advisory Group for the Public Company Accountng Oversight Board from 2014 to 2020 and as a director at Broadcom Corporaton from 2009 to 2011, Brown-Forman Corporaton from 2011 to June 2016, XM Radio from 2006 to 2008, and Sirius XM Holdings Inc. from 2008 untl June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alibri" w:cs="Calibri" w:eastAsia="Calibri" w:hAnsi="Calibri"/>
          <w:sz w:val="18"/>
          <w:szCs w:val="18"/>
          <w:color w:val="666666"/>
        </w:rPr>
        <w:t>Specifc qualifcatons, experience, skills, and expertse include:</w:t>
      </w:r>
    </w:p>
    <w:p>
      <w:pPr>
        <w:spacing w:after="0" w:line="201" w:lineRule="exact"/>
        <w:rPr>
          <w:sz w:val="20"/>
          <w:szCs w:val="20"/>
          <w:color w:val="auto"/>
        </w:rPr>
      </w:pPr>
    </w:p>
    <w:p>
      <w:pPr>
        <w:ind w:left="200" w:hanging="121"/>
        <w:spacing w:after="0"/>
        <w:tabs>
          <w:tab w:leader="none" w:pos="200" w:val="left"/>
        </w:tabs>
        <w:numPr>
          <w:ilvl w:val="0"/>
          <w:numId w:val="24"/>
        </w:numPr>
        <w:rPr>
          <w:rFonts w:ascii="Calibri" w:cs="Calibri" w:eastAsia="Calibri" w:hAnsi="Calibri"/>
          <w:sz w:val="18"/>
          <w:szCs w:val="18"/>
          <w:color w:val="666666"/>
        </w:rPr>
      </w:pPr>
      <w:r>
        <w:rPr>
          <w:rFonts w:ascii="Calibri" w:cs="Calibri" w:eastAsia="Calibri" w:hAnsi="Calibri"/>
          <w:sz w:val="18"/>
          <w:szCs w:val="18"/>
          <w:color w:val="666666"/>
        </w:rPr>
        <w:t>Public company directorship and audit commitee experience;</w:t>
      </w:r>
    </w:p>
    <w:p>
      <w:pPr>
        <w:ind w:left="200" w:hanging="121"/>
        <w:spacing w:after="0" w:line="188" w:lineRule="auto"/>
        <w:tabs>
          <w:tab w:leader="none" w:pos="200" w:val="left"/>
        </w:tabs>
        <w:numPr>
          <w:ilvl w:val="0"/>
          <w:numId w:val="24"/>
        </w:numPr>
        <w:rPr>
          <w:rFonts w:ascii="Calibri" w:cs="Calibri" w:eastAsia="Calibri" w:hAnsi="Calibri"/>
          <w:sz w:val="18"/>
          <w:szCs w:val="18"/>
          <w:color w:val="666666"/>
        </w:rPr>
      </w:pPr>
      <w:r>
        <w:rPr>
          <w:rFonts w:ascii="Calibri" w:cs="Calibri" w:eastAsia="Calibri" w:hAnsi="Calibri"/>
          <w:sz w:val="18"/>
          <w:szCs w:val="18"/>
          <w:color w:val="666666"/>
        </w:rPr>
        <w:t>Operatng and management experience;</w:t>
      </w:r>
    </w:p>
    <w:p>
      <w:pPr>
        <w:ind w:left="200" w:hanging="121"/>
        <w:spacing w:after="0" w:line="193" w:lineRule="auto"/>
        <w:tabs>
          <w:tab w:leader="none" w:pos="200" w:val="left"/>
        </w:tabs>
        <w:numPr>
          <w:ilvl w:val="0"/>
          <w:numId w:val="24"/>
        </w:numPr>
        <w:rPr>
          <w:rFonts w:ascii="Calibri" w:cs="Calibri" w:eastAsia="Calibri" w:hAnsi="Calibri"/>
          <w:sz w:val="18"/>
          <w:szCs w:val="18"/>
          <w:color w:val="666666"/>
        </w:rPr>
      </w:pPr>
      <w:r>
        <w:rPr>
          <w:rFonts w:ascii="Calibri" w:cs="Calibri" w:eastAsia="Calibri" w:hAnsi="Calibri"/>
          <w:sz w:val="18"/>
          <w:szCs w:val="18"/>
          <w:color w:val="666666"/>
        </w:rPr>
        <w:t>Core business skills, including fnancial and strategic planning; and</w:t>
      </w:r>
    </w:p>
    <w:p>
      <w:pPr>
        <w:ind w:left="200" w:hanging="121"/>
        <w:spacing w:after="0" w:line="203" w:lineRule="auto"/>
        <w:tabs>
          <w:tab w:leader="none" w:pos="200" w:val="left"/>
        </w:tabs>
        <w:numPr>
          <w:ilvl w:val="0"/>
          <w:numId w:val="24"/>
        </w:numPr>
        <w:rPr>
          <w:rFonts w:ascii="Calibri" w:cs="Calibri" w:eastAsia="Calibri" w:hAnsi="Calibri"/>
          <w:sz w:val="18"/>
          <w:szCs w:val="18"/>
          <w:color w:val="666666"/>
        </w:rPr>
      </w:pPr>
      <w:r>
        <w:rPr>
          <w:rFonts w:ascii="Calibri" w:cs="Calibri" w:eastAsia="Calibri" w:hAnsi="Calibri"/>
          <w:sz w:val="18"/>
          <w:szCs w:val="18"/>
          <w:color w:val="666666"/>
        </w:rPr>
        <w:t>Expertse in fnance, fnancial reportng, compliance and controls, and global businesses.</w:t>
      </w:r>
    </w:p>
    <w:p>
      <w:pPr>
        <w:spacing w:after="0" w:line="200" w:lineRule="exact"/>
        <w:rPr>
          <w:sz w:val="20"/>
          <w:szCs w:val="20"/>
          <w:color w:val="auto"/>
        </w:rPr>
      </w:pPr>
    </w:p>
    <w:p>
      <w:pPr>
        <w:sectPr>
          <w:pgSz w:w="11900" w:h="16838" w:orient="portrait"/>
          <w:cols w:equalWidth="0" w:num="2">
            <w:col w:w="2040" w:space="720"/>
            <w:col w:w="8400"/>
          </w:cols>
          <w:pgMar w:left="320" w:top="118"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666666"/>
        </w:rPr>
        <w:t>14</w:t>
      </w:r>
    </w:p>
    <w:p>
      <w:pPr>
        <w:sectPr>
          <w:pgSz w:w="11900" w:h="16838" w:orient="portrait"/>
          <w:cols w:equalWidth="0" w:num="1">
            <w:col w:w="11160"/>
          </w:cols>
          <w:pgMar w:left="320" w:top="118" w:right="41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40" w:type="dxa"/>
            <w:vAlign w:val="bottom"/>
          </w:tcPr>
          <w:p>
            <w:pPr>
              <w:jc w:val="center"/>
              <w:spacing w:after="0"/>
              <w:rPr>
                <w:sz w:val="20"/>
                <w:szCs w:val="20"/>
                <w:color w:val="auto"/>
              </w:rPr>
            </w:pPr>
            <w:r>
              <w:rPr>
                <w:rFonts w:ascii="Calibri" w:cs="Calibri" w:eastAsia="Calibri" w:hAnsi="Calibri"/>
                <w:sz w:val="18"/>
                <w:szCs w:val="18"/>
                <w:b w:val="1"/>
                <w:bCs w:val="1"/>
                <w:color w:val="666666"/>
                <w:w w:val="97"/>
              </w:rPr>
              <w:t>Principal Occupaton, Business Experience</w:t>
            </w:r>
          </w:p>
        </w:tc>
      </w:tr>
      <w:tr>
        <w:trPr>
          <w:trHeight w:val="224"/>
        </w:trPr>
        <w:tc>
          <w:tcPr>
            <w:tcW w:w="2740" w:type="dxa"/>
            <w:vAlign w:val="bottom"/>
            <w:gridSpan w:val="2"/>
          </w:tcPr>
          <w:p>
            <w:pPr>
              <w:jc w:val="right"/>
              <w:ind w:right="1300"/>
              <w:spacing w:after="0"/>
              <w:rPr>
                <w:sz w:val="20"/>
                <w:szCs w:val="20"/>
                <w:color w:val="auto"/>
              </w:rPr>
            </w:pPr>
            <w:r>
              <w:rPr>
                <w:rFonts w:ascii="Calibri" w:cs="Calibri" w:eastAsia="Calibri" w:hAnsi="Calibri"/>
                <w:sz w:val="18"/>
                <w:szCs w:val="18"/>
                <w:b w:val="1"/>
                <w:bCs w:val="1"/>
                <w:color w:val="666666"/>
              </w:rPr>
              <w:t>Director</w:t>
            </w:r>
          </w:p>
        </w:tc>
        <w:tc>
          <w:tcPr>
            <w:tcW w:w="8440" w:type="dxa"/>
            <w:vAlign w:val="bottom"/>
          </w:tcPr>
          <w:p>
            <w:pPr>
              <w:jc w:val="center"/>
              <w:spacing w:after="0" w:line="211" w:lineRule="exact"/>
              <w:rPr>
                <w:sz w:val="20"/>
                <w:szCs w:val="20"/>
                <w:color w:val="auto"/>
              </w:rPr>
            </w:pPr>
            <w:r>
              <w:rPr>
                <w:rFonts w:ascii="Calibri" w:cs="Calibri" w:eastAsia="Calibri" w:hAnsi="Calibri"/>
                <w:sz w:val="18"/>
                <w:szCs w:val="18"/>
                <w:b w:val="1"/>
                <w:bCs w:val="1"/>
                <w:color w:val="666666"/>
                <w:w w:val="95"/>
              </w:rPr>
              <w:t>and Other Directorships Held</w:t>
            </w:r>
          </w:p>
        </w:tc>
      </w:tr>
      <w:tr>
        <w:trPr>
          <w:trHeight w:val="22"/>
        </w:trPr>
        <w:tc>
          <w:tcPr>
            <w:tcW w:w="2280" w:type="dxa"/>
            <w:vAlign w:val="bottom"/>
            <w:tcBorders>
              <w:bottom w:val="single" w:sz="8" w:color="666666"/>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40" w:type="dxa"/>
            <w:vAlign w:val="bottom"/>
            <w:tcBorders>
              <w:bottom w:val="single" w:sz="8" w:color="666666"/>
            </w:tcBorders>
          </w:tcPr>
          <w:p>
            <w:pPr>
              <w:spacing w:after="0" w:line="20" w:lineRule="exact"/>
              <w:rPr>
                <w:sz w:val="1"/>
                <w:szCs w:val="1"/>
                <w:color w:val="auto"/>
              </w:rPr>
            </w:pPr>
          </w:p>
        </w:tc>
      </w:tr>
      <w:tr>
        <w:trPr>
          <w:trHeight w:val="411"/>
        </w:trPr>
        <w:tc>
          <w:tcPr>
            <w:tcW w:w="2740" w:type="dxa"/>
            <w:vAlign w:val="bottom"/>
            <w:gridSpan w:val="2"/>
          </w:tcPr>
          <w:p>
            <w:pPr>
              <w:jc w:val="right"/>
              <w:ind w:right="1300"/>
              <w:spacing w:after="0"/>
              <w:rPr>
                <w:sz w:val="20"/>
                <w:szCs w:val="20"/>
                <w:color w:val="auto"/>
              </w:rPr>
            </w:pPr>
            <w:r>
              <w:rPr>
                <w:rFonts w:ascii="Calibri" w:cs="Calibri" w:eastAsia="Calibri" w:hAnsi="Calibri"/>
                <w:sz w:val="18"/>
                <w:szCs w:val="18"/>
                <w:color w:val="666666"/>
                <w:w w:val="96"/>
              </w:rPr>
              <w:t>Michèle A. Flournoy</w:t>
            </w:r>
          </w:p>
        </w:tc>
        <w:tc>
          <w:tcPr>
            <w:tcW w:w="8440" w:type="dxa"/>
            <w:vAlign w:val="bottom"/>
          </w:tcPr>
          <w:p>
            <w:pPr>
              <w:spacing w:after="0"/>
              <w:rPr>
                <w:sz w:val="24"/>
                <w:szCs w:val="24"/>
                <w:color w:val="auto"/>
              </w:rPr>
            </w:pPr>
          </w:p>
        </w:tc>
      </w:tr>
      <w:tr>
        <w:trPr>
          <w:trHeight w:val="211"/>
        </w:trPr>
        <w:tc>
          <w:tcPr>
            <w:tcW w:w="2740" w:type="dxa"/>
            <w:vAlign w:val="bottom"/>
            <w:gridSpan w:val="2"/>
          </w:tcPr>
          <w:p>
            <w:pPr>
              <w:ind w:left="20"/>
              <w:spacing w:after="0" w:line="211" w:lineRule="exact"/>
              <w:rPr>
                <w:sz w:val="20"/>
                <w:szCs w:val="20"/>
                <w:color w:val="auto"/>
              </w:rPr>
            </w:pPr>
            <w:r>
              <w:rPr>
                <w:rFonts w:ascii="Calibri" w:cs="Calibri" w:eastAsia="Calibri" w:hAnsi="Calibri"/>
                <w:sz w:val="18"/>
                <w:szCs w:val="18"/>
                <w:color w:val="666666"/>
              </w:rPr>
              <w:t>(Class I)</w:t>
            </w:r>
          </w:p>
        </w:tc>
        <w:tc>
          <w:tcPr>
            <w:tcW w:w="84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174625</wp:posOffset>
            </wp:positionV>
            <wp:extent cx="1130300" cy="1130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30300" cy="113030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Calibri" w:cs="Calibri" w:eastAsia="Calibri" w:hAnsi="Calibri"/>
          <w:sz w:val="18"/>
          <w:szCs w:val="18"/>
          <w:color w:val="666666"/>
        </w:rPr>
        <w:t>Age: 61</w:t>
      </w:r>
    </w:p>
    <w:p>
      <w:pPr>
        <w:ind w:left="20"/>
        <w:spacing w:after="0" w:line="193" w:lineRule="auto"/>
        <w:rPr>
          <w:sz w:val="20"/>
          <w:szCs w:val="20"/>
          <w:color w:val="auto"/>
        </w:rPr>
      </w:pPr>
      <w:r>
        <w:rPr>
          <w:rFonts w:ascii="Calibri" w:cs="Calibri" w:eastAsia="Calibri" w:hAnsi="Calibri"/>
          <w:sz w:val="18"/>
          <w:szCs w:val="18"/>
          <w:color w:val="666666"/>
        </w:rPr>
        <w:t>Director since: 2018</w:t>
      </w:r>
    </w:p>
    <w:p>
      <w:pPr>
        <w:ind w:left="20"/>
        <w:spacing w:after="0" w:line="203" w:lineRule="auto"/>
        <w:rPr>
          <w:sz w:val="20"/>
          <w:szCs w:val="20"/>
          <w:color w:val="auto"/>
        </w:rPr>
      </w:pPr>
      <w:r>
        <w:rPr>
          <w:rFonts w:ascii="Calibri" w:cs="Calibri" w:eastAsia="Calibri" w:hAnsi="Calibri"/>
          <w:sz w:val="18"/>
          <w:szCs w:val="18"/>
          <w:color w:val="666666"/>
        </w:rPr>
        <w:t>Independent</w:t>
      </w:r>
    </w:p>
    <w:p>
      <w:pPr>
        <w:spacing w:after="0" w:line="188" w:lineRule="exact"/>
        <w:rPr>
          <w:sz w:val="20"/>
          <w:szCs w:val="20"/>
          <w:color w:val="auto"/>
        </w:rPr>
      </w:pPr>
    </w:p>
    <w:p>
      <w:pPr>
        <w:ind w:left="20"/>
        <w:spacing w:after="0"/>
        <w:rPr>
          <w:sz w:val="20"/>
          <w:szCs w:val="20"/>
          <w:color w:val="auto"/>
        </w:rPr>
      </w:pPr>
      <w:r>
        <w:rPr>
          <w:rFonts w:ascii="Calibri" w:cs="Calibri" w:eastAsia="Calibri" w:hAnsi="Calibri"/>
          <w:sz w:val="18"/>
          <w:szCs w:val="18"/>
          <w:i w:val="1"/>
          <w:iCs w:val="1"/>
          <w:color w:val="666666"/>
        </w:rPr>
        <w:t>Commitees:</w:t>
      </w:r>
    </w:p>
    <w:p>
      <w:pPr>
        <w:ind w:left="180" w:hanging="117"/>
        <w:spacing w:after="0" w:line="204" w:lineRule="auto"/>
        <w:tabs>
          <w:tab w:leader="none" w:pos="180" w:val="left"/>
        </w:tabs>
        <w:numPr>
          <w:ilvl w:val="0"/>
          <w:numId w:val="25"/>
        </w:numPr>
        <w:rPr>
          <w:rFonts w:ascii="Calibri" w:cs="Calibri" w:eastAsia="Calibri" w:hAnsi="Calibri"/>
          <w:sz w:val="17"/>
          <w:szCs w:val="17"/>
          <w:color w:val="666666"/>
        </w:rPr>
      </w:pPr>
      <w:r>
        <w:rPr>
          <w:rFonts w:ascii="Calibri" w:cs="Calibri" w:eastAsia="Calibri" w:hAnsi="Calibri"/>
          <w:sz w:val="17"/>
          <w:szCs w:val="17"/>
          <w:color w:val="666666"/>
        </w:rPr>
        <w:t>Compensaton, Culture and People</w:t>
      </w:r>
    </w:p>
    <w:p>
      <w:pPr>
        <w:ind w:left="260" w:right="560" w:hanging="197"/>
        <w:spacing w:after="0" w:line="195" w:lineRule="auto"/>
        <w:tabs>
          <w:tab w:leader="none" w:pos="185" w:val="left"/>
        </w:tabs>
        <w:numPr>
          <w:ilvl w:val="0"/>
          <w:numId w:val="25"/>
        </w:numPr>
        <w:rPr>
          <w:rFonts w:ascii="Calibri" w:cs="Calibri" w:eastAsia="Calibri" w:hAnsi="Calibri"/>
          <w:sz w:val="18"/>
          <w:szCs w:val="18"/>
          <w:color w:val="666666"/>
        </w:rPr>
      </w:pPr>
      <w:r>
        <w:rPr>
          <w:rFonts w:ascii="Calibri" w:cs="Calibri" w:eastAsia="Calibri" w:hAnsi="Calibri"/>
          <w:sz w:val="18"/>
          <w:szCs w:val="18"/>
          <w:color w:val="666666"/>
        </w:rPr>
        <w:t>Nominatng and Corporate Governance</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both"/>
        <w:ind w:right="20"/>
        <w:spacing w:after="0" w:line="207" w:lineRule="auto"/>
        <w:rPr>
          <w:sz w:val="20"/>
          <w:szCs w:val="20"/>
          <w:color w:val="auto"/>
        </w:rPr>
      </w:pPr>
      <w:r>
        <w:rPr>
          <w:rFonts w:ascii="Calibri" w:cs="Calibri" w:eastAsia="Calibri" w:hAnsi="Calibri"/>
          <w:sz w:val="17"/>
          <w:szCs w:val="17"/>
          <w:color w:val="666666"/>
        </w:rPr>
        <w:t>Ms. Flournoy is co-founder and managing partner of WestExec Advisors, a strategic advisory frm founded in 2017. Prior to her positon, she served as the Under Secretary of Defense for Policy from 2009 to 2012. Ms. Flournoy serves as Chair of the board of Amida Technology Solutons and has served on the board of Astra Space, Inc., a space-launch company (NASDAQ: ASTR), since August 2021. She also serves on the nonproft boards of the Center for a New American Security (CNAS), a bipartsan think tank which she co-founded in 2007 and served as its Chief Executve Ofcer from 2014 to 2016, The Mission Contnues, CARE, and The War Horse. Previously, Ms. Flournoy served on the boards of directors of CSRA Inc. from 2015 to 2018, The MITRE Corporaton from 2013 to 2017, and Rolls Royce North America, Inc. from 2012 to 2015, and was a senior advisor at Boston Consultng Group from 2012 to 2017. Ms. Flournoy previously served as a member of the Defense Policy Board, the President's Intelligence Advisory Board, and the CIA Director's External Advisory Board. She remains a member of the Council on Foreign Relatons and the Aspen Strategy Group, and is a non-resident Senior Fellow at Harvard University’s Belfer Center for Science and Internatonal Afairs.</w:t>
      </w:r>
    </w:p>
    <w:p>
      <w:pPr>
        <w:spacing w:after="0" w:line="28" w:lineRule="exact"/>
        <w:rPr>
          <w:sz w:val="20"/>
          <w:szCs w:val="20"/>
          <w:color w:val="auto"/>
        </w:rPr>
      </w:pPr>
    </w:p>
    <w:p>
      <w:pPr>
        <w:spacing w:after="0"/>
        <w:rPr>
          <w:sz w:val="20"/>
          <w:szCs w:val="20"/>
          <w:color w:val="auto"/>
        </w:rPr>
      </w:pPr>
      <w:r>
        <w:rPr>
          <w:rFonts w:ascii="Calibri" w:cs="Calibri" w:eastAsia="Calibri" w:hAnsi="Calibri"/>
          <w:sz w:val="18"/>
          <w:szCs w:val="18"/>
          <w:color w:val="666666"/>
        </w:rPr>
        <w:t>Specifc qualifcatons, experience, skills, and expertse include:</w:t>
      </w:r>
    </w:p>
    <w:p>
      <w:pPr>
        <w:spacing w:after="0" w:line="192" w:lineRule="exact"/>
        <w:rPr>
          <w:sz w:val="20"/>
          <w:szCs w:val="20"/>
          <w:color w:val="auto"/>
        </w:rPr>
      </w:pPr>
    </w:p>
    <w:p>
      <w:pPr>
        <w:ind w:left="200" w:hanging="121"/>
        <w:spacing w:after="0"/>
        <w:tabs>
          <w:tab w:leader="none" w:pos="200" w:val="left"/>
        </w:tabs>
        <w:numPr>
          <w:ilvl w:val="0"/>
          <w:numId w:val="26"/>
        </w:numPr>
        <w:rPr>
          <w:rFonts w:ascii="Calibri" w:cs="Calibri" w:eastAsia="Calibri" w:hAnsi="Calibri"/>
          <w:sz w:val="18"/>
          <w:szCs w:val="18"/>
          <w:color w:val="666666"/>
        </w:rPr>
      </w:pPr>
      <w:r>
        <w:rPr>
          <w:rFonts w:ascii="Calibri" w:cs="Calibri" w:eastAsia="Calibri" w:hAnsi="Calibri"/>
          <w:sz w:val="18"/>
          <w:szCs w:val="18"/>
          <w:color w:val="666666"/>
        </w:rPr>
        <w:t>Signifcant government experience, partcularly in natonal security and defense policies;</w:t>
      </w:r>
    </w:p>
    <w:p>
      <w:pPr>
        <w:ind w:left="200" w:hanging="121"/>
        <w:spacing w:after="0" w:line="198" w:lineRule="auto"/>
        <w:tabs>
          <w:tab w:leader="none" w:pos="200" w:val="left"/>
        </w:tabs>
        <w:numPr>
          <w:ilvl w:val="0"/>
          <w:numId w:val="26"/>
        </w:numPr>
        <w:rPr>
          <w:rFonts w:ascii="Calibri" w:cs="Calibri" w:eastAsia="Calibri" w:hAnsi="Calibri"/>
          <w:sz w:val="18"/>
          <w:szCs w:val="18"/>
          <w:color w:val="666666"/>
        </w:rPr>
      </w:pPr>
      <w:r>
        <w:rPr>
          <w:rFonts w:ascii="Calibri" w:cs="Calibri" w:eastAsia="Calibri" w:hAnsi="Calibri"/>
          <w:sz w:val="18"/>
          <w:szCs w:val="18"/>
          <w:color w:val="666666"/>
        </w:rPr>
        <w:t>Public company directorship and commitee experience; and</w:t>
      </w:r>
    </w:p>
    <w:p>
      <w:pPr>
        <w:ind w:left="200" w:hanging="121"/>
        <w:spacing w:after="0" w:line="193" w:lineRule="auto"/>
        <w:tabs>
          <w:tab w:leader="none" w:pos="200" w:val="left"/>
        </w:tabs>
        <w:numPr>
          <w:ilvl w:val="0"/>
          <w:numId w:val="26"/>
        </w:numPr>
        <w:rPr>
          <w:rFonts w:ascii="Calibri" w:cs="Calibri" w:eastAsia="Calibri" w:hAnsi="Calibri"/>
          <w:sz w:val="18"/>
          <w:szCs w:val="18"/>
          <w:color w:val="666666"/>
        </w:rPr>
      </w:pPr>
      <w:r>
        <w:rPr>
          <w:rFonts w:ascii="Calibri" w:cs="Calibri" w:eastAsia="Calibri" w:hAnsi="Calibri"/>
          <w:sz w:val="18"/>
          <w:szCs w:val="18"/>
          <w:color w:val="666666"/>
        </w:rPr>
        <w:t>Core business skills, including fnancial and strategic planning as well as leading not-for-proft organizatons.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760"/>
        <w:spacing w:after="0"/>
        <w:rPr>
          <w:sz w:val="20"/>
          <w:szCs w:val="20"/>
          <w:color w:val="auto"/>
        </w:rPr>
      </w:pPr>
      <w:r>
        <w:rPr>
          <w:rFonts w:ascii="Arial" w:cs="Arial" w:eastAsia="Arial" w:hAnsi="Arial"/>
          <w:sz w:val="18"/>
          <w:szCs w:val="18"/>
          <w:color w:val="666666"/>
        </w:rPr>
        <w:t>15</w:t>
      </w:r>
    </w:p>
    <w:p>
      <w:pPr>
        <w:sectPr>
          <w:pgSz w:w="11900" w:h="16838" w:orient="portrait"/>
          <w:cols w:equalWidth="0" w:num="2">
            <w:col w:w="2620" w:space="140"/>
            <w:col w:w="8420"/>
          </w:cols>
          <w:pgMar w:left="320" w:top="118" w:right="3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Calibri" w:cs="Calibri" w:eastAsia="Calibri" w:hAnsi="Calibri"/>
          <w:sz w:val="28"/>
          <w:szCs w:val="28"/>
          <w:b w:val="1"/>
          <w:bCs w:val="1"/>
          <w:color w:val="547BCC"/>
        </w:rPr>
        <w:t>CORPORATE GOVERNANCE AND GENERAL INFORMATION CONCERNING THE BOARD OF DIRECTORS AND ITS COMMITTEES</w:t>
      </w:r>
    </w:p>
    <w:p>
      <w:pPr>
        <w:spacing w:after="0" w:line="151"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Our Board of Directors</w:t>
      </w:r>
    </w:p>
    <w:p>
      <w:pPr>
        <w:spacing w:after="0" w:line="166"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Board is responsible for providing governance and oversight over the strategy, risk, operatons, and management of the Company. The primary focus of the Board is promotng stockholder value by fostering the long-term success of the Company. The Board is responsible for supportng and overseeing management, to which the Board has delegated the responsibility to manage the day-to-day strategy and operatons of the Company.</w:t>
      </w:r>
    </w:p>
    <w:p>
      <w:pPr>
        <w:spacing w:after="0" w:line="162" w:lineRule="exact"/>
        <w:rPr>
          <w:sz w:val="20"/>
          <w:szCs w:val="20"/>
          <w:color w:val="auto"/>
        </w:rPr>
      </w:pPr>
    </w:p>
    <w:p>
      <w:pPr>
        <w:jc w:val="both"/>
        <w:ind w:firstLine="319"/>
        <w:spacing w:after="0" w:line="247" w:lineRule="auto"/>
        <w:rPr>
          <w:sz w:val="20"/>
          <w:szCs w:val="20"/>
          <w:color w:val="auto"/>
        </w:rPr>
      </w:pPr>
      <w:r>
        <w:rPr>
          <w:rFonts w:ascii="Calibri" w:cs="Calibri" w:eastAsia="Calibri" w:hAnsi="Calibri"/>
          <w:sz w:val="17"/>
          <w:szCs w:val="17"/>
          <w:color w:val="666666"/>
        </w:rPr>
        <w:t>The Board generally holds four regular meetngs per year, and special meetngs as necessary. The Board meets in executve session during each regular meetng; non-management directors also typically meet in executve sessions during each regular meetng. Consistent with the Company’s Corporate Governance Guidelines, Mark E. Gaumond was appointed by the non-management directors to serve as the Presiding Director. The Presiding Director presides over executve sessions at which the Chair is not present. At least annually, independent directors also meet in executve session during a regular Board meetng.</w:t>
      </w:r>
    </w:p>
    <w:p>
      <w:pPr>
        <w:spacing w:after="0" w:line="155"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Board and its commitees establish annual calendars of actvites to guide the development of their agendas during the year. All directors are invited to propose agenda topics when the annual calendars are established, as well as in advance of each regular Board meetng. In additon, directors are encouraged to raise topics that are not on a meetng agenda or suggest topics for future agendas. Each director is provided writen materials in advance of each meetng, and the Board and its commitees provide feedback to, and make requests of, management at each of their meetngs.</w:t>
      </w:r>
    </w:p>
    <w:p>
      <w:pPr>
        <w:spacing w:after="0" w:line="152"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Corporate Governance Guidelines</w:t>
      </w:r>
    </w:p>
    <w:p>
      <w:pPr>
        <w:spacing w:after="0" w:line="180"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As noted above, the Board has adopted Corporate Governance Guidelines. The Board and the Nominatng and Corporate Governance Commitee are responsible for reviewing and amending these guidelines as they deem necessary and appropriate. The Nominatng and Corporate Governance Commitee is responsible for overseeing the system of corporate governance of the Company. The Corporate Governance Guidelines are available without charge on the Investor Relatons porton of our website, www.boozallen.com.</w:t>
      </w:r>
    </w:p>
    <w:p>
      <w:pPr>
        <w:spacing w:after="0" w:line="152"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Codes of Conduct and Ethics</w:t>
      </w:r>
    </w:p>
    <w:p>
      <w:pPr>
        <w:spacing w:after="0" w:line="166"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Our website also includes the Company’s Code of Business Ethics and Conduct, which is applicable to our directors and all employees, and the Company's Code of Ethics for Senior Financial Ofcers, which is applicable to the Company’s Chief Executve Ofcer, Chief Financial Ofcer, Chief Accountng Ofcer, Controller, and any other persons performing similar functons. Each such code was adopted by the Board and may be accessed without charge on the Investor Relatons porton of our website, www.boozallen.com. We will disclose on the Investor Relatons porton of our website any amendments to the Code of Business Ethics and Conduct or Code of Ethics for Senior Financial Ofcers and any waiver granted to an executve ofcer or director under these codes. In fscal year 2022, no such waivers were sought or granted. The informaton found on the Company's website is not part of this proxy statement nor is it incorporated into any other flings the Company makes with the Securites and Exchange Commission (the "SEC").</w:t>
      </w:r>
    </w:p>
    <w:p>
      <w:pPr>
        <w:spacing w:after="0" w:line="155"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Board Meetngs and Atendance</w:t>
      </w:r>
    </w:p>
    <w:p>
      <w:pPr>
        <w:spacing w:after="0" w:line="166"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Directors are expected to atend each Board meetng, each meetng of the commitees on which they serve, and the Annual Meetng of Stockholders. During fscal year 2022, the Board held seven meetngs and acted by writen consent. Each of our directors who served as a director during fscal year 2022 atended at least 75 percent of the aggregate total number of Board and commitee meetngs to which they were assigned, and overall atendance was 95 percent. All directors who served at the tme of our 2021 Annual Meetng of Stockholders atended that meetng.</w:t>
      </w:r>
    </w:p>
    <w:p>
      <w:pPr>
        <w:spacing w:after="0" w:line="152"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Board Leadership Structure</w:t>
      </w:r>
    </w:p>
    <w:p>
      <w:pPr>
        <w:spacing w:after="0" w:line="166"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As noted in our Corporate Governance Guidelines, the Board has no policy with respect to the separaton of the ofces of Chair and Chief Executve Ofcer. The Board believes that it is important to retain its fexibility to allocate the responsibilites of the ofces of the Chair and Chief Executve Ofcer in any way that is in the best interests of the Company at a given point in tme. The Board has concluded that it is currently in the best interest of the stockholders for Dr. Shrader to contnue his service as Chair, retaining his four decades of experience at the Company with a focus on contnuing to build stockholder value, managing risk, and supportng the Company's executve management. In his role as President and Chief Executve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16</w:t>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31" w:lineRule="auto"/>
        <w:rPr>
          <w:sz w:val="20"/>
          <w:szCs w:val="20"/>
          <w:color w:val="auto"/>
        </w:rPr>
      </w:pPr>
      <w:r>
        <w:rPr>
          <w:rFonts w:ascii="Calibri" w:cs="Calibri" w:eastAsia="Calibri" w:hAnsi="Calibri"/>
          <w:sz w:val="18"/>
          <w:szCs w:val="18"/>
          <w:color w:val="666666"/>
        </w:rPr>
        <w:t>Ofcer, Mr. Rozanski will contnue to work closely with the Board in establishing the overall strategy and directon of the Company, and to efectvely communicate our strategy to our stockholders, clients, and employees.</w:t>
      </w:r>
    </w:p>
    <w:p>
      <w:pPr>
        <w:spacing w:after="0" w:line="150"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Succession Planning and Talent Reviews</w:t>
      </w:r>
    </w:p>
    <w:p>
      <w:pPr>
        <w:spacing w:after="0" w:line="166"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Board believes that executve management succession planning is one of its most important responsibilites. Accordingly, the Board regularly undertakes executve management succession planning and talent reviews, with support provided by the Compensaton, Culture and People Commitee. On an annual basis, the Chair leads the Board in an in-depth discussion concerning Chief Executve Ofcer succession and the Chief Executve Ofcer leads the Board in a discussion concerning senior management succession. Chief Executve Ofcer succession is also discussed by the Board in an executve session outside the presence of any management directors. Management also updates the Board on key talent indicators, such as recruitng and retenton for the overall employee populaton, throughout the year.</w:t>
      </w:r>
    </w:p>
    <w:p>
      <w:pPr>
        <w:spacing w:after="0" w:line="154"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Risk Oversight</w:t>
      </w:r>
    </w:p>
    <w:p>
      <w:pPr>
        <w:spacing w:after="0" w:line="166" w:lineRule="exact"/>
        <w:rPr>
          <w:sz w:val="20"/>
          <w:szCs w:val="20"/>
          <w:color w:val="auto"/>
        </w:rPr>
      </w:pPr>
    </w:p>
    <w:p>
      <w:pPr>
        <w:ind w:firstLine="319"/>
        <w:spacing w:after="0" w:line="231" w:lineRule="auto"/>
        <w:rPr>
          <w:sz w:val="20"/>
          <w:szCs w:val="20"/>
          <w:color w:val="auto"/>
        </w:rPr>
      </w:pPr>
      <w:r>
        <w:rPr>
          <w:rFonts w:ascii="Calibri" w:cs="Calibri" w:eastAsia="Calibri" w:hAnsi="Calibri"/>
          <w:sz w:val="18"/>
          <w:szCs w:val="18"/>
          <w:color w:val="666666"/>
        </w:rPr>
        <w:t>The Board and its commitees play an important role in overseeing the Company's risk management processes, and risk management consideratons form a regular element of the Board's dialogue with management. Risk oversight by the Board and its commitees includes oversight of ESG-related risks. One of the primary tools that facilitates the Board’s oversight of risk (and actons being taken to mitgate it) is the Company’s Enterprise Risk Management Framework (the " ERM Framework"). Under the leadership of our President and Chief Executve Ofcer, the ERM Framework is designed to enable efectve and efcient identfcaton of risks and facilitate the evaluaton of risks as an integral part of decision making. As part of the ERM Framework, the Company:</w:t>
      </w:r>
    </w:p>
    <w:p>
      <w:pPr>
        <w:spacing w:after="0" w:line="155" w:lineRule="exact"/>
        <w:rPr>
          <w:sz w:val="20"/>
          <w:szCs w:val="20"/>
          <w:color w:val="auto"/>
        </w:rPr>
      </w:pPr>
    </w:p>
    <w:p>
      <w:pPr>
        <w:ind w:left="640" w:hanging="315"/>
        <w:spacing w:after="0"/>
        <w:tabs>
          <w:tab w:leader="none" w:pos="640" w:val="left"/>
        </w:tabs>
        <w:numPr>
          <w:ilvl w:val="0"/>
          <w:numId w:val="27"/>
        </w:numPr>
        <w:rPr>
          <w:rFonts w:ascii="Calibri" w:cs="Calibri" w:eastAsia="Calibri" w:hAnsi="Calibri"/>
          <w:sz w:val="18"/>
          <w:szCs w:val="18"/>
          <w:color w:val="666666"/>
        </w:rPr>
      </w:pPr>
      <w:r>
        <w:rPr>
          <w:rFonts w:ascii="Calibri" w:cs="Calibri" w:eastAsia="Calibri" w:hAnsi="Calibri"/>
          <w:sz w:val="18"/>
          <w:szCs w:val="18"/>
          <w:color w:val="666666"/>
        </w:rPr>
        <w:t>Identfes and classifes into ters the top risks facing the business;</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27"/>
        </w:numPr>
        <w:rPr>
          <w:rFonts w:ascii="Calibri" w:cs="Calibri" w:eastAsia="Calibri" w:hAnsi="Calibri"/>
          <w:sz w:val="18"/>
          <w:szCs w:val="18"/>
          <w:color w:val="666666"/>
        </w:rPr>
      </w:pPr>
      <w:r>
        <w:rPr>
          <w:rFonts w:ascii="Calibri" w:cs="Calibri" w:eastAsia="Calibri" w:hAnsi="Calibri"/>
          <w:sz w:val="18"/>
          <w:szCs w:val="18"/>
          <w:color w:val="666666"/>
        </w:rPr>
        <w:t>Discusses and evaluates the Company’s risk appette with respect to diferent types of operatonal risk; and</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27"/>
        </w:numPr>
        <w:rPr>
          <w:rFonts w:ascii="Calibri" w:cs="Calibri" w:eastAsia="Calibri" w:hAnsi="Calibri"/>
          <w:sz w:val="18"/>
          <w:szCs w:val="18"/>
          <w:color w:val="666666"/>
        </w:rPr>
      </w:pPr>
      <w:r>
        <w:rPr>
          <w:rFonts w:ascii="Calibri" w:cs="Calibri" w:eastAsia="Calibri" w:hAnsi="Calibri"/>
          <w:sz w:val="18"/>
          <w:szCs w:val="18"/>
          <w:color w:val="666666"/>
        </w:rPr>
        <w:t>Develops acton plans to mitgate and monitor risk.</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process for regularly updatng the ERM Framework enables efectve and efcient identfcaton of risks and facilitates the evaluaton of risks as an integral part of decision making. Under the ERM Framework, our President and Chief Executve Ofcer leads an annual risk identfcaton, analysis, and mitgaton discussion with the Board and prepares a quarterly update for the Board of our enterprise risks. In additon to updates provided through the ERM Framework, the Board receives other informaton and briefngs as part of its risk oversight role. During the course of the year, the lead management ofcial with responsibility for each of our major markets provides a comprehensive overview of the market, including risks and challenges. The Board is also regularly updated by other elements of management, including the Chief Financial Ofcer, Chief Legal Ofcer, and Chief Informaton Ofcer, concerning signifcant risks facing the Company and processes that have been implemented to mitgate these risks.</w:t>
      </w:r>
    </w:p>
    <w:p>
      <w:pPr>
        <w:spacing w:after="0" w:line="166"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During fscal year 2022, as we contnued to navigate COVID-19, the Board received frequent management updates on the impact to our employees, operatons, and clients, and reviewed with management the various measures being taken to protect our people’s health and maintain contnuity of service for our clients. The Board provided oversight and guidance to management on the implementaton and executon of the Company’s crisis management plan, which includes plans to ensure the health and safety of our employees, as well as support for our clients and the communites afected.</w:t>
      </w:r>
    </w:p>
    <w:p>
      <w:pPr>
        <w:spacing w:after="0" w:line="163"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In additon to this dialogue between management and the entre Board, the Board's commitees have more specifc roles concerning elements of the Company's risk management processes.</w:t>
      </w:r>
    </w:p>
    <w:p>
      <w:pPr>
        <w:spacing w:after="0" w:line="161" w:lineRule="exact"/>
        <w:rPr>
          <w:sz w:val="20"/>
          <w:szCs w:val="20"/>
          <w:color w:val="auto"/>
        </w:rPr>
      </w:pPr>
    </w:p>
    <w:p>
      <w:pPr>
        <w:jc w:val="both"/>
        <w:ind w:left="640" w:hanging="315"/>
        <w:spacing w:after="0" w:line="231" w:lineRule="auto"/>
        <w:tabs>
          <w:tab w:leader="none" w:pos="633" w:val="left"/>
        </w:tabs>
        <w:numPr>
          <w:ilvl w:val="0"/>
          <w:numId w:val="28"/>
        </w:numPr>
        <w:rPr>
          <w:rFonts w:ascii="Calibri" w:cs="Calibri" w:eastAsia="Calibri" w:hAnsi="Calibri"/>
          <w:sz w:val="18"/>
          <w:szCs w:val="18"/>
          <w:color w:val="666666"/>
        </w:rPr>
      </w:pPr>
      <w:r>
        <w:rPr>
          <w:rFonts w:ascii="Calibri" w:cs="Calibri" w:eastAsia="Calibri" w:hAnsi="Calibri"/>
          <w:sz w:val="18"/>
          <w:szCs w:val="18"/>
          <w:i w:val="1"/>
          <w:iCs w:val="1"/>
          <w:color w:val="666666"/>
        </w:rPr>
        <w:t>Audit Commitee</w:t>
      </w:r>
      <w:r>
        <w:rPr>
          <w:rFonts w:ascii="Calibri" w:cs="Calibri" w:eastAsia="Calibri" w:hAnsi="Calibri"/>
          <w:sz w:val="18"/>
          <w:szCs w:val="18"/>
          <w:color w:val="666666"/>
        </w:rPr>
        <w:t>: The Audit Commitee is regularly updated by the Chief Legal Ofcer, Chief Ethics and Compliance Ofcer, Director of Internal Audit,</w:t>
      </w:r>
      <w:r>
        <w:rPr>
          <w:rFonts w:ascii="Calibri" w:cs="Calibri" w:eastAsia="Calibri" w:hAnsi="Calibri"/>
          <w:sz w:val="18"/>
          <w:szCs w:val="18"/>
          <w:i w:val="1"/>
          <w:iCs w:val="1"/>
          <w:color w:val="666666"/>
        </w:rPr>
        <w:t xml:space="preserve"> </w:t>
      </w:r>
      <w:r>
        <w:rPr>
          <w:rFonts w:ascii="Calibri" w:cs="Calibri" w:eastAsia="Calibri" w:hAnsi="Calibri"/>
          <w:sz w:val="18"/>
          <w:szCs w:val="18"/>
          <w:color w:val="666666"/>
        </w:rPr>
        <w:t>and Chief Informaton Ofcer, and receives regular reports concerning the status of the Company's ethics and compliance program, internal controls over fnancial reportng and other operatonal compliance areas, and signifcant communicatons from the Company's regulators. The Audit Commitee also leads the Board's eforts with respect to the oversight of cybersecurity risk.</w:t>
      </w:r>
    </w:p>
    <w:p>
      <w:pPr>
        <w:spacing w:after="0" w:line="163" w:lineRule="exact"/>
        <w:rPr>
          <w:rFonts w:ascii="Calibri" w:cs="Calibri" w:eastAsia="Calibri" w:hAnsi="Calibri"/>
          <w:sz w:val="18"/>
          <w:szCs w:val="18"/>
          <w:color w:val="666666"/>
        </w:rPr>
      </w:pPr>
    </w:p>
    <w:p>
      <w:pPr>
        <w:ind w:left="640" w:hanging="315"/>
        <w:spacing w:after="0" w:line="231" w:lineRule="auto"/>
        <w:tabs>
          <w:tab w:leader="none" w:pos="633" w:val="left"/>
        </w:tabs>
        <w:numPr>
          <w:ilvl w:val="0"/>
          <w:numId w:val="28"/>
        </w:numPr>
        <w:rPr>
          <w:rFonts w:ascii="Calibri" w:cs="Calibri" w:eastAsia="Calibri" w:hAnsi="Calibri"/>
          <w:sz w:val="18"/>
          <w:szCs w:val="18"/>
          <w:color w:val="666666"/>
        </w:rPr>
      </w:pPr>
      <w:r>
        <w:rPr>
          <w:rFonts w:ascii="Calibri" w:cs="Calibri" w:eastAsia="Calibri" w:hAnsi="Calibri"/>
          <w:sz w:val="18"/>
          <w:szCs w:val="18"/>
          <w:i w:val="1"/>
          <w:iCs w:val="1"/>
          <w:color w:val="666666"/>
        </w:rPr>
        <w:t>Compensaton, Culture and People Commitee</w:t>
      </w:r>
      <w:r>
        <w:rPr>
          <w:rFonts w:ascii="Calibri" w:cs="Calibri" w:eastAsia="Calibri" w:hAnsi="Calibri"/>
          <w:sz w:val="18"/>
          <w:szCs w:val="18"/>
          <w:color w:val="666666"/>
        </w:rPr>
        <w:t>: The Compensaton, Culture and People Commitee is responsible for overseeing risks related to the</w:t>
      </w:r>
      <w:r>
        <w:rPr>
          <w:rFonts w:ascii="Calibri" w:cs="Calibri" w:eastAsia="Calibri" w:hAnsi="Calibri"/>
          <w:sz w:val="18"/>
          <w:szCs w:val="18"/>
          <w:i w:val="1"/>
          <w:iCs w:val="1"/>
          <w:color w:val="666666"/>
        </w:rPr>
        <w:t xml:space="preserve"> </w:t>
      </w:r>
      <w:r>
        <w:rPr>
          <w:rFonts w:ascii="Calibri" w:cs="Calibri" w:eastAsia="Calibri" w:hAnsi="Calibri"/>
          <w:sz w:val="18"/>
          <w:szCs w:val="18"/>
          <w:color w:val="666666"/>
        </w:rPr>
        <w:t>Company's human capital management and executve compensaton policies and practces.</w:t>
      </w:r>
    </w:p>
    <w:p>
      <w:pPr>
        <w:spacing w:after="0" w:line="161" w:lineRule="exact"/>
        <w:rPr>
          <w:rFonts w:ascii="Calibri" w:cs="Calibri" w:eastAsia="Calibri" w:hAnsi="Calibri"/>
          <w:sz w:val="18"/>
          <w:szCs w:val="18"/>
          <w:color w:val="666666"/>
        </w:rPr>
      </w:pPr>
    </w:p>
    <w:p>
      <w:pPr>
        <w:ind w:left="640" w:hanging="315"/>
        <w:spacing w:after="0" w:line="231" w:lineRule="auto"/>
        <w:tabs>
          <w:tab w:leader="none" w:pos="633" w:val="left"/>
        </w:tabs>
        <w:numPr>
          <w:ilvl w:val="0"/>
          <w:numId w:val="28"/>
        </w:numPr>
        <w:rPr>
          <w:rFonts w:ascii="Calibri" w:cs="Calibri" w:eastAsia="Calibri" w:hAnsi="Calibri"/>
          <w:sz w:val="18"/>
          <w:szCs w:val="18"/>
          <w:color w:val="666666"/>
        </w:rPr>
      </w:pPr>
      <w:r>
        <w:rPr>
          <w:rFonts w:ascii="Calibri" w:cs="Calibri" w:eastAsia="Calibri" w:hAnsi="Calibri"/>
          <w:sz w:val="18"/>
          <w:szCs w:val="18"/>
          <w:i w:val="1"/>
          <w:iCs w:val="1"/>
          <w:color w:val="666666"/>
        </w:rPr>
        <w:t>Nominatng and Corporate Governance Commitee</w:t>
      </w:r>
      <w:r>
        <w:rPr>
          <w:rFonts w:ascii="Calibri" w:cs="Calibri" w:eastAsia="Calibri" w:hAnsi="Calibri"/>
          <w:sz w:val="18"/>
          <w:szCs w:val="18"/>
          <w:color w:val="666666"/>
        </w:rPr>
        <w:t>: The Nominatng and Corporate Governance Commitee oversees risks arising from the Company's</w:t>
      </w:r>
      <w:r>
        <w:rPr>
          <w:rFonts w:ascii="Calibri" w:cs="Calibri" w:eastAsia="Calibri" w:hAnsi="Calibri"/>
          <w:sz w:val="18"/>
          <w:szCs w:val="18"/>
          <w:i w:val="1"/>
          <w:iCs w:val="1"/>
          <w:color w:val="666666"/>
        </w:rPr>
        <w:t xml:space="preserve"> </w:t>
      </w:r>
      <w:r>
        <w:rPr>
          <w:rFonts w:ascii="Calibri" w:cs="Calibri" w:eastAsia="Calibri" w:hAnsi="Calibri"/>
          <w:sz w:val="18"/>
          <w:szCs w:val="18"/>
          <w:color w:val="666666"/>
        </w:rPr>
        <w:t>governance processes and practces related to ESG.</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17</w:t>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Annual Board Performance Assessment</w:t>
      </w:r>
    </w:p>
    <w:p>
      <w:pPr>
        <w:spacing w:after="0" w:line="166"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Board and each of the Audit, Compensaton, Culture and People, and Nominatng and Corporate Governance commitees perform an annual assessment of their operatons and efectveness, and set goals for the future. The core of this process involves our Chief Legal Ofcer interviewing each director individually. The comments of the directors are compiled and presented, as applicable, to the Chair, the applicable commitee Chair, and the full Board, with further discussion with the appropriate commitee as needed. The key maters to be addressed are identfed, and these maters become part of future agendas for the Board and its commitees.</w:t>
      </w:r>
    </w:p>
    <w:p>
      <w:pPr>
        <w:spacing w:after="0" w:line="153"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Board Independence</w:t>
      </w:r>
    </w:p>
    <w:p>
      <w:pPr>
        <w:spacing w:after="0" w:line="166"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Ten of our eleven current directors are independent under our Corporate Governance Guidelines and applicable New York Stock Exchange ("NYSE") listng standards. For a director to be considered independent, the Board must determine, afer consideraton of all relevant facts and circumstances, that the director has no material relatonship with the Company directly or as a partner, stockholder, or ofcer of an organizaton that has a relatonship with the Company. The independence criteria adopted by the Board are set forth in the Company's Corporate Governance Guidelines.</w:t>
      </w:r>
    </w:p>
    <w:p>
      <w:pPr>
        <w:spacing w:after="0" w:line="163"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Board has determined that Messrs. Fujiyama, Gaumond, Johnson, Rossot, and Shrader, and Mses. Amble, Barnes, Flournoy, Jewet, and McClain are independent under the independence criteria for directors established by the NYSE and the independence criteria adopted by the Board. As a result, we currently have a majority of independent directors and satsfy the applicable rule of the NYSE. Mr. Rozanski is an employee of the Company and is not independent under the NYSE listng standards or our Corporate Governance Guidelines, which can be found in the Investor Relatons porton of our website, www.boozallen.com.</w:t>
      </w:r>
    </w:p>
    <w:p>
      <w:pPr>
        <w:spacing w:after="0" w:line="153"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Selecton of Nominees for Electon to the Board</w:t>
      </w:r>
    </w:p>
    <w:p>
      <w:pPr>
        <w:spacing w:after="0" w:line="180"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Nominatng and Corporate Governance Commitee recommends to the Board appropriate criteria for the selecton of new directors based on the strategic needs of the Company and the Board, and periodically reviews the criteria adopted by the Board and, if deemed desirable, recommends to the Board changes to such criteria. The Board seeks members from diverse professional backgrounds who combine a broad spectrum of experience and expertse with a reputaton for integrity. The Nominatng and Corporate Governance Commitee defnes diversity in an expansive manner to be refectve of the diversity of the Company and representatve of its clients and other stakeholders, including, without limitaton, race, ethnicity, gender, sexual orientaton, age, disability, history of military service, geography, and areas of expertse and opinion. Accordingly, it is the policy of the Nominatng and Corporate Governance Commitee to include, and have any search frm that it engages include, diverse representaton in the pool from which the Nominatng and Corporate Governance Commitee selects director candidates. In additon, directors should have experience in positons with a high degree of responsibility, be, or have been, leaders in the companies or insttutons with which they are, or were, afliated, and be selected based upon the contributons they can make. Exceptonal candidates who meet alternatve criteria may also be considered.</w:t>
      </w:r>
    </w:p>
    <w:p>
      <w:pPr>
        <w:spacing w:after="0" w:line="165" w:lineRule="exact"/>
        <w:rPr>
          <w:sz w:val="20"/>
          <w:szCs w:val="20"/>
          <w:color w:val="auto"/>
        </w:rPr>
      </w:pPr>
    </w:p>
    <w:p>
      <w:pPr>
        <w:ind w:left="320"/>
        <w:spacing w:after="0"/>
        <w:rPr>
          <w:sz w:val="20"/>
          <w:szCs w:val="20"/>
          <w:color w:val="auto"/>
        </w:rPr>
      </w:pPr>
      <w:r>
        <w:rPr>
          <w:rFonts w:ascii="Calibri" w:cs="Calibri" w:eastAsia="Calibri" w:hAnsi="Calibri"/>
          <w:sz w:val="19"/>
          <w:szCs w:val="19"/>
          <w:i w:val="1"/>
          <w:iCs w:val="1"/>
          <w:color w:val="547BCC"/>
        </w:rPr>
        <w:t>Our Commitment to Board Diversity</w:t>
      </w:r>
    </w:p>
    <w:p>
      <w:pPr>
        <w:spacing w:after="0" w:line="157"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Consistent with the Company's long-standing commitment in this regard, the Nominatng and Corporate Governance Commitee is focused on ensuring the diversity of the Board, as refected below for fscal year 2022:</w:t>
      </w:r>
    </w:p>
    <w:p>
      <w:pPr>
        <w:spacing w:after="0" w:line="302" w:lineRule="exact"/>
        <w:rPr>
          <w:sz w:val="20"/>
          <w:szCs w:val="20"/>
          <w:color w:val="auto"/>
        </w:rPr>
      </w:pPr>
    </w:p>
    <w:tbl>
      <w:tblPr>
        <w:tblLayout w:type="fixed"/>
        <w:tblInd w:w="1820" w:type="dxa"/>
        <w:tblCellMar>
          <w:top w:w="0" w:type="dxa"/>
          <w:left w:w="0" w:type="dxa"/>
          <w:bottom w:w="0" w:type="dxa"/>
          <w:right w:w="0" w:type="dxa"/>
        </w:tblCellMar>
      </w:tblPr>
      <w:tr>
        <w:trPr>
          <w:trHeight w:val="194"/>
        </w:trPr>
        <w:tc>
          <w:tcPr>
            <w:tcW w:w="16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ind w:left="460"/>
              <w:spacing w:after="0"/>
              <w:rPr>
                <w:sz w:val="20"/>
                <w:szCs w:val="20"/>
                <w:color w:val="auto"/>
              </w:rPr>
            </w:pPr>
            <w:r>
              <w:rPr>
                <w:rFonts w:ascii="Calibri" w:cs="Calibri" w:eastAsia="Calibri" w:hAnsi="Calibri"/>
                <w:sz w:val="14"/>
                <w:szCs w:val="14"/>
                <w:b w:val="1"/>
                <w:bCs w:val="1"/>
                <w:color w:val="494949"/>
              </w:rPr>
              <w:t>Women</w:t>
            </w:r>
          </w:p>
        </w:tc>
        <w:tc>
          <w:tcPr>
            <w:tcW w:w="1460" w:type="dxa"/>
            <w:vAlign w:val="bottom"/>
            <w:tcBorders>
              <w:bottom w:val="single" w:sz="8" w:color="auto"/>
            </w:tcBorders>
            <w:shd w:val="clear" w:color="auto" w:fill="CCEEFF"/>
          </w:tcPr>
          <w:p>
            <w:pPr>
              <w:ind w:left="540"/>
              <w:spacing w:after="0"/>
              <w:rPr>
                <w:sz w:val="20"/>
                <w:szCs w:val="20"/>
                <w:color w:val="auto"/>
              </w:rPr>
            </w:pPr>
            <w:r>
              <w:rPr>
                <w:rFonts w:ascii="Calibri" w:cs="Calibri" w:eastAsia="Calibri" w:hAnsi="Calibri"/>
                <w:sz w:val="14"/>
                <w:szCs w:val="14"/>
                <w:b w:val="1"/>
                <w:bCs w:val="1"/>
                <w:color w:val="494949"/>
              </w:rPr>
              <w:t>Hispanic</w:t>
            </w:r>
          </w:p>
        </w:tc>
        <w:tc>
          <w:tcPr>
            <w:tcW w:w="1900" w:type="dxa"/>
            <w:vAlign w:val="bottom"/>
            <w:tcBorders>
              <w:bottom w:val="single" w:sz="8" w:color="auto"/>
            </w:tcBorders>
            <w:shd w:val="clear" w:color="auto" w:fill="CCEEFF"/>
          </w:tcPr>
          <w:p>
            <w:pPr>
              <w:ind w:left="420"/>
              <w:spacing w:after="0"/>
              <w:rPr>
                <w:sz w:val="20"/>
                <w:szCs w:val="20"/>
                <w:color w:val="auto"/>
              </w:rPr>
            </w:pPr>
            <w:r>
              <w:rPr>
                <w:rFonts w:ascii="Calibri" w:cs="Calibri" w:eastAsia="Calibri" w:hAnsi="Calibri"/>
                <w:sz w:val="14"/>
                <w:szCs w:val="14"/>
                <w:b w:val="1"/>
                <w:bCs w:val="1"/>
                <w:color w:val="494949"/>
              </w:rPr>
              <w:t>African-American</w:t>
            </w:r>
          </w:p>
        </w:tc>
        <w:tc>
          <w:tcPr>
            <w:tcW w:w="1420" w:type="dxa"/>
            <w:vAlign w:val="bottom"/>
            <w:tcBorders>
              <w:bottom w:val="single" w:sz="8" w:color="auto"/>
            </w:tcBorders>
            <w:shd w:val="clear" w:color="auto" w:fill="CCEEFF"/>
          </w:tcPr>
          <w:p>
            <w:pPr>
              <w:ind w:left="460"/>
              <w:spacing w:after="0"/>
              <w:rPr>
                <w:sz w:val="20"/>
                <w:szCs w:val="20"/>
                <w:color w:val="auto"/>
              </w:rPr>
            </w:pPr>
            <w:r>
              <w:rPr>
                <w:rFonts w:ascii="Calibri" w:cs="Calibri" w:eastAsia="Calibri" w:hAnsi="Calibri"/>
                <w:sz w:val="14"/>
                <w:szCs w:val="14"/>
                <w:b w:val="1"/>
                <w:bCs w:val="1"/>
                <w:color w:val="494949"/>
              </w:rPr>
              <w:t>Asian</w:t>
            </w:r>
          </w:p>
        </w:tc>
      </w:tr>
      <w:tr>
        <w:trPr>
          <w:trHeight w:val="167"/>
        </w:trPr>
        <w:tc>
          <w:tcPr>
            <w:tcW w:w="1680" w:type="dxa"/>
            <w:vAlign w:val="bottom"/>
          </w:tcPr>
          <w:p>
            <w:pPr>
              <w:jc w:val="center"/>
              <w:ind w:right="49"/>
              <w:spacing w:after="0" w:line="167" w:lineRule="exact"/>
              <w:rPr>
                <w:sz w:val="20"/>
                <w:szCs w:val="20"/>
                <w:color w:val="auto"/>
              </w:rPr>
            </w:pPr>
            <w:r>
              <w:rPr>
                <w:rFonts w:ascii="Calibri" w:cs="Calibri" w:eastAsia="Calibri" w:hAnsi="Calibri"/>
                <w:sz w:val="14"/>
                <w:szCs w:val="14"/>
                <w:b w:val="1"/>
                <w:bCs w:val="1"/>
                <w:color w:val="494949"/>
              </w:rPr>
              <w:t>No. of Directors</w:t>
            </w:r>
          </w:p>
        </w:tc>
        <w:tc>
          <w:tcPr>
            <w:tcW w:w="1480" w:type="dxa"/>
            <w:vAlign w:val="bottom"/>
          </w:tcPr>
          <w:p>
            <w:pPr>
              <w:jc w:val="right"/>
              <w:ind w:right="689"/>
              <w:spacing w:after="0" w:line="167" w:lineRule="exact"/>
              <w:rPr>
                <w:sz w:val="20"/>
                <w:szCs w:val="20"/>
                <w:color w:val="auto"/>
              </w:rPr>
            </w:pPr>
            <w:r>
              <w:rPr>
                <w:rFonts w:ascii="Calibri" w:cs="Calibri" w:eastAsia="Calibri" w:hAnsi="Calibri"/>
                <w:sz w:val="14"/>
                <w:szCs w:val="14"/>
                <w:b w:val="1"/>
                <w:bCs w:val="1"/>
                <w:color w:val="494949"/>
              </w:rPr>
              <w:t>5</w:t>
            </w:r>
          </w:p>
        </w:tc>
        <w:tc>
          <w:tcPr>
            <w:tcW w:w="1460" w:type="dxa"/>
            <w:vAlign w:val="bottom"/>
          </w:tcPr>
          <w:p>
            <w:pPr>
              <w:jc w:val="right"/>
              <w:ind w:right="549"/>
              <w:spacing w:after="0" w:line="167" w:lineRule="exact"/>
              <w:rPr>
                <w:sz w:val="20"/>
                <w:szCs w:val="20"/>
                <w:color w:val="auto"/>
              </w:rPr>
            </w:pPr>
            <w:r>
              <w:rPr>
                <w:rFonts w:ascii="Calibri" w:cs="Calibri" w:eastAsia="Calibri" w:hAnsi="Calibri"/>
                <w:sz w:val="14"/>
                <w:szCs w:val="14"/>
                <w:b w:val="1"/>
                <w:bCs w:val="1"/>
                <w:color w:val="494949"/>
              </w:rPr>
              <w:t>1</w:t>
            </w:r>
          </w:p>
        </w:tc>
        <w:tc>
          <w:tcPr>
            <w:tcW w:w="1900" w:type="dxa"/>
            <w:vAlign w:val="bottom"/>
          </w:tcPr>
          <w:p>
            <w:pPr>
              <w:jc w:val="right"/>
              <w:ind w:right="869"/>
              <w:spacing w:after="0" w:line="167" w:lineRule="exact"/>
              <w:rPr>
                <w:sz w:val="20"/>
                <w:szCs w:val="20"/>
                <w:color w:val="auto"/>
              </w:rPr>
            </w:pPr>
            <w:r>
              <w:rPr>
                <w:rFonts w:ascii="Calibri" w:cs="Calibri" w:eastAsia="Calibri" w:hAnsi="Calibri"/>
                <w:sz w:val="14"/>
                <w:szCs w:val="14"/>
                <w:b w:val="1"/>
                <w:bCs w:val="1"/>
                <w:color w:val="494949"/>
              </w:rPr>
              <w:t>2</w:t>
            </w:r>
          </w:p>
        </w:tc>
        <w:tc>
          <w:tcPr>
            <w:tcW w:w="1420" w:type="dxa"/>
            <w:vAlign w:val="bottom"/>
          </w:tcPr>
          <w:p>
            <w:pPr>
              <w:jc w:val="right"/>
              <w:ind w:right="689"/>
              <w:spacing w:after="0" w:line="167" w:lineRule="exact"/>
              <w:rPr>
                <w:sz w:val="20"/>
                <w:szCs w:val="20"/>
                <w:color w:val="auto"/>
              </w:rPr>
            </w:pPr>
            <w:r>
              <w:rPr>
                <w:rFonts w:ascii="Calibri" w:cs="Calibri" w:eastAsia="Calibri" w:hAnsi="Calibri"/>
                <w:sz w:val="14"/>
                <w:szCs w:val="14"/>
                <w:b w:val="1"/>
                <w:bCs w:val="1"/>
                <w:color w:val="494949"/>
              </w:rPr>
              <w:t>1</w:t>
            </w:r>
          </w:p>
        </w:tc>
      </w:tr>
      <w:tr>
        <w:trPr>
          <w:trHeight w:val="31"/>
        </w:trPr>
        <w:tc>
          <w:tcPr>
            <w:tcW w:w="1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79"/>
        </w:trPr>
        <w:tc>
          <w:tcPr>
            <w:tcW w:w="1680" w:type="dxa"/>
            <w:vAlign w:val="bottom"/>
            <w:tcBorders>
              <w:bottom w:val="single" w:sz="8" w:color="CCEEFF"/>
            </w:tcBorders>
            <w:shd w:val="clear" w:color="auto" w:fill="CCEEFF"/>
          </w:tcPr>
          <w:p>
            <w:pPr>
              <w:jc w:val="center"/>
              <w:ind w:right="69"/>
              <w:spacing w:after="0" w:line="169" w:lineRule="exact"/>
              <w:rPr>
                <w:sz w:val="20"/>
                <w:szCs w:val="20"/>
                <w:color w:val="auto"/>
              </w:rPr>
            </w:pPr>
            <w:r>
              <w:rPr>
                <w:rFonts w:ascii="Calibri" w:cs="Calibri" w:eastAsia="Calibri" w:hAnsi="Calibri"/>
                <w:sz w:val="14"/>
                <w:szCs w:val="14"/>
                <w:b w:val="1"/>
                <w:bCs w:val="1"/>
                <w:color w:val="494949"/>
              </w:rPr>
              <w:t>% of Directors</w:t>
            </w:r>
          </w:p>
        </w:tc>
        <w:tc>
          <w:tcPr>
            <w:tcW w:w="1480" w:type="dxa"/>
            <w:vAlign w:val="bottom"/>
            <w:tcBorders>
              <w:bottom w:val="single" w:sz="8" w:color="CCEEFF"/>
            </w:tcBorders>
            <w:shd w:val="clear" w:color="auto" w:fill="CCEEFF"/>
          </w:tcPr>
          <w:p>
            <w:pPr>
              <w:jc w:val="right"/>
              <w:ind w:right="609"/>
              <w:spacing w:after="0" w:line="169" w:lineRule="exact"/>
              <w:rPr>
                <w:sz w:val="20"/>
                <w:szCs w:val="20"/>
                <w:color w:val="auto"/>
              </w:rPr>
            </w:pPr>
            <w:r>
              <w:rPr>
                <w:rFonts w:ascii="Calibri" w:cs="Calibri" w:eastAsia="Calibri" w:hAnsi="Calibri"/>
                <w:sz w:val="14"/>
                <w:szCs w:val="14"/>
                <w:b w:val="1"/>
                <w:bCs w:val="1"/>
                <w:color w:val="494949"/>
              </w:rPr>
              <w:t>45%</w:t>
            </w:r>
          </w:p>
        </w:tc>
        <w:tc>
          <w:tcPr>
            <w:tcW w:w="1460" w:type="dxa"/>
            <w:vAlign w:val="bottom"/>
            <w:tcBorders>
              <w:bottom w:val="single" w:sz="8" w:color="CCEEFF"/>
            </w:tcBorders>
            <w:shd w:val="clear" w:color="auto" w:fill="CCEEFF"/>
          </w:tcPr>
          <w:p>
            <w:pPr>
              <w:jc w:val="right"/>
              <w:ind w:right="509"/>
              <w:spacing w:after="0" w:line="169" w:lineRule="exact"/>
              <w:rPr>
                <w:sz w:val="20"/>
                <w:szCs w:val="20"/>
                <w:color w:val="auto"/>
              </w:rPr>
            </w:pPr>
            <w:r>
              <w:rPr>
                <w:rFonts w:ascii="Calibri" w:cs="Calibri" w:eastAsia="Calibri" w:hAnsi="Calibri"/>
                <w:sz w:val="14"/>
                <w:szCs w:val="14"/>
                <w:b w:val="1"/>
                <w:bCs w:val="1"/>
                <w:color w:val="494949"/>
              </w:rPr>
              <w:t>9%</w:t>
            </w:r>
          </w:p>
        </w:tc>
        <w:tc>
          <w:tcPr>
            <w:tcW w:w="1900" w:type="dxa"/>
            <w:vAlign w:val="bottom"/>
            <w:tcBorders>
              <w:bottom w:val="single" w:sz="8" w:color="CCEEFF"/>
            </w:tcBorders>
            <w:shd w:val="clear" w:color="auto" w:fill="CCEEFF"/>
          </w:tcPr>
          <w:p>
            <w:pPr>
              <w:jc w:val="right"/>
              <w:ind w:right="769"/>
              <w:spacing w:after="0" w:line="169" w:lineRule="exact"/>
              <w:rPr>
                <w:sz w:val="20"/>
                <w:szCs w:val="20"/>
                <w:color w:val="auto"/>
              </w:rPr>
            </w:pPr>
            <w:r>
              <w:rPr>
                <w:rFonts w:ascii="Calibri" w:cs="Calibri" w:eastAsia="Calibri" w:hAnsi="Calibri"/>
                <w:sz w:val="14"/>
                <w:szCs w:val="14"/>
                <w:b w:val="1"/>
                <w:bCs w:val="1"/>
                <w:color w:val="494949"/>
              </w:rPr>
              <w:t>18%</w:t>
            </w:r>
          </w:p>
        </w:tc>
        <w:tc>
          <w:tcPr>
            <w:tcW w:w="1420" w:type="dxa"/>
            <w:vAlign w:val="bottom"/>
            <w:tcBorders>
              <w:bottom w:val="single" w:sz="8" w:color="CCEEFF"/>
            </w:tcBorders>
            <w:shd w:val="clear" w:color="auto" w:fill="CCEEFF"/>
          </w:tcPr>
          <w:p>
            <w:pPr>
              <w:jc w:val="right"/>
              <w:ind w:right="629"/>
              <w:spacing w:after="0" w:line="169" w:lineRule="exact"/>
              <w:rPr>
                <w:sz w:val="20"/>
                <w:szCs w:val="20"/>
                <w:color w:val="auto"/>
              </w:rPr>
            </w:pPr>
            <w:r>
              <w:rPr>
                <w:rFonts w:ascii="Calibri" w:cs="Calibri" w:eastAsia="Calibri" w:hAnsi="Calibri"/>
                <w:sz w:val="14"/>
                <w:szCs w:val="14"/>
                <w:b w:val="1"/>
                <w:bCs w:val="1"/>
                <w:color w:val="494949"/>
              </w:rPr>
              <w:t>9%</w:t>
            </w:r>
          </w:p>
        </w:tc>
      </w:tr>
      <w:tr>
        <w:trPr>
          <w:trHeight w:val="20"/>
        </w:trPr>
        <w:tc>
          <w:tcPr>
            <w:tcW w:w="16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18</w:t>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20"/>
        <w:spacing w:after="0"/>
        <w:rPr>
          <w:sz w:val="20"/>
          <w:szCs w:val="20"/>
          <w:color w:val="auto"/>
        </w:rPr>
      </w:pPr>
      <w:r>
        <w:rPr>
          <w:rFonts w:ascii="Calibri" w:cs="Calibri" w:eastAsia="Calibri" w:hAnsi="Calibri"/>
          <w:sz w:val="19"/>
          <w:szCs w:val="19"/>
          <w:i w:val="1"/>
          <w:iCs w:val="1"/>
          <w:color w:val="547BCC"/>
        </w:rPr>
        <w:t>Board Tenure</w:t>
      </w:r>
    </w:p>
    <w:p>
      <w:pPr>
        <w:spacing w:after="0" w:line="170" w:lineRule="exact"/>
        <w:rPr>
          <w:sz w:val="20"/>
          <w:szCs w:val="20"/>
          <w:color w:val="auto"/>
        </w:rPr>
      </w:pPr>
    </w:p>
    <w:p>
      <w:pPr>
        <w:jc w:val="both"/>
        <w:ind w:firstLine="319"/>
        <w:spacing w:after="0" w:line="249" w:lineRule="auto"/>
        <w:rPr>
          <w:sz w:val="20"/>
          <w:szCs w:val="20"/>
          <w:color w:val="auto"/>
        </w:rPr>
      </w:pPr>
      <w:r>
        <w:rPr>
          <w:rFonts w:ascii="Calibri" w:cs="Calibri" w:eastAsia="Calibri" w:hAnsi="Calibri"/>
          <w:sz w:val="17"/>
          <w:szCs w:val="17"/>
          <w:color w:val="666666"/>
        </w:rPr>
        <w:t>We believe that Board tenure diversity is important and directors with many years of service provide the Board with a deep knowledge of our Company, while newer directors lend fresh perspectves. The chart below refects the Board tenure of our current directors, which on average is approximately 9.2 years.</w:t>
      </w:r>
    </w:p>
    <w:p>
      <w:pPr>
        <w:spacing w:after="0" w:line="150" w:lineRule="exact"/>
        <w:rPr>
          <w:sz w:val="20"/>
          <w:szCs w:val="20"/>
          <w:color w:val="auto"/>
        </w:rPr>
      </w:pPr>
    </w:p>
    <w:p>
      <w:pPr>
        <w:jc w:val="center"/>
        <w:ind w:right="-319"/>
        <w:spacing w:after="0"/>
        <w:rPr>
          <w:sz w:val="20"/>
          <w:szCs w:val="20"/>
          <w:color w:val="auto"/>
        </w:rPr>
      </w:pPr>
      <w:r>
        <w:rPr>
          <w:rFonts w:ascii="Calibri" w:cs="Calibri" w:eastAsia="Calibri" w:hAnsi="Calibri"/>
          <w:sz w:val="16"/>
          <w:szCs w:val="16"/>
          <w:b w:val="1"/>
          <w:bCs w:val="1"/>
          <w:color w:val="494949"/>
        </w:rPr>
        <w:t>Board Tenure is Diversifed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1817370</wp:posOffset>
            </wp:positionH>
            <wp:positionV relativeFrom="paragraph">
              <wp:posOffset>111125</wp:posOffset>
            </wp:positionV>
            <wp:extent cx="3719195" cy="14001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719195" cy="140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20"/>
        <w:spacing w:after="0"/>
        <w:rPr>
          <w:sz w:val="20"/>
          <w:szCs w:val="20"/>
          <w:color w:val="auto"/>
        </w:rPr>
      </w:pPr>
      <w:r>
        <w:rPr>
          <w:rFonts w:ascii="Calibri" w:cs="Calibri" w:eastAsia="Calibri" w:hAnsi="Calibri"/>
          <w:sz w:val="19"/>
          <w:szCs w:val="19"/>
          <w:i w:val="1"/>
          <w:iCs w:val="1"/>
          <w:color w:val="547BCC"/>
        </w:rPr>
        <w:t>Process for Stockholders to Recommend Director Nominees</w:t>
      </w:r>
    </w:p>
    <w:p>
      <w:pPr>
        <w:spacing w:after="0" w:line="157"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Stockholders wishing to nominate a candidate for director must provide writen notce, in care of the Secretary, to 8283 Greensboro Drive, McLean, Virginia 22102, not fewer than 90 days nor more than 120 days prior to the frst anniversary of the preceding year's annual meetng. Our bylaws set forth the requirements for direct nominaton of an individual by a stockholder for electon to the Board.</w:t>
      </w:r>
    </w:p>
    <w:p>
      <w:pPr>
        <w:spacing w:after="0" w:line="162"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There is no diference in the manner in which the Nominatng and Corporate Governance Commitee evaluates a nominee for director designated by our Chief Executve Ofcer or recommended by a stockholder.</w:t>
      </w:r>
    </w:p>
    <w:p>
      <w:pPr>
        <w:spacing w:after="0" w:line="150"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Director Orientaton and Contnuing Educaton</w:t>
      </w:r>
    </w:p>
    <w:p>
      <w:pPr>
        <w:spacing w:after="0" w:line="166"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New directors are provided a mult-phase orientaton generally tmed to coincide with our Board meetngs as part of our efort to integrate them into their role as directors and familiarize them with the Company. Orientaton sessions are led by members of management and are focused on various elements of our business strategy, client service oferings, internal business operatons, and corporate governance, among other areas. During the course of the year, representatves of management brief the Board on topics designed to provide directors a deeper understanding of various aspects of our business, such as applicable legal developments, ethics and compliance programs, and the evolving regulatory environment. In additon, the Board holds an annual business strategy session with management. Directors are also encouraged to partcipate in contnuing educaton programs to beter understand and execute their dutes and responsibilites.</w:t>
      </w:r>
    </w:p>
    <w:p>
      <w:pPr>
        <w:spacing w:after="0" w:line="155"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Communicatons with the Board</w:t>
      </w:r>
    </w:p>
    <w:p>
      <w:pPr>
        <w:spacing w:after="0" w:line="180"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Stockholders, or other interested third partes, who wish to contact our Board may send writen correspondence, in care of the Secretary, to 8283 Greensboro Drive, McLean, Virginia 22102. Communicatons may be addressed to an individual director, to the non-management directors as a group, or to the Board as a whole, marked as confdental or otherwise. Communicatons not submited confdentally, which are addressed to directors that discuss business or other maters relevant to the actvites of our Board, will be preliminarily reviewed by the ofce of the Secretary and then distributed either in summary form or by delivering a copy of the communicaton. Communicatons marked as confdental will be distributed, without review by the ofce of the Secretary, to the director, or group of directors, to whom they are addressed. With respect to other correspondence received by the Company that is addressed to one or more directors, the Board has requested that the following items not be distributed to directors because they generally fall into the purview of management, rather than the Board: junk mail and mass mailings, service complaints and inquiries, résumés and other forms of job inquiries, solicitatons for charitable donatons, surveys, business solicitatons, and advertsements.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19</w:t>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Board Commitees</w:t>
      </w:r>
    </w:p>
    <w:p>
      <w:pPr>
        <w:spacing w:after="0" w:line="166"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Our Board has four standing commitees: an Executve Commitee, an Audit Commitee, a Compensaton, Culture and People Commitee, and a Nominatng and Corporate Governance Commitee. The charter of each commitee is available without charge on the Investor Relatons porton of our website, www.boozallen.com.</w:t>
      </w:r>
    </w:p>
    <w:p>
      <w:pPr>
        <w:spacing w:after="0" w:line="162"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following chart identfes the members and chair of each standing commitee, as well as related informaton. Once Mr. Fujiyama's term as director expires at the Annual Meetng, he will resign from his positons on our Executve Commitee, Nominatng and Corporate Governance Commitee, and Compensaton, Culture and People Commitee.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687070</wp:posOffset>
            </wp:positionH>
            <wp:positionV relativeFrom="paragraph">
              <wp:posOffset>82550</wp:posOffset>
            </wp:positionV>
            <wp:extent cx="5768340" cy="32385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68340" cy="3238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0"/>
        <w:spacing w:after="0"/>
        <w:rPr>
          <w:sz w:val="20"/>
          <w:szCs w:val="20"/>
          <w:color w:val="auto"/>
        </w:rPr>
      </w:pPr>
      <w:r>
        <w:rPr>
          <w:rFonts w:ascii="Calibri" w:cs="Calibri" w:eastAsia="Calibri" w:hAnsi="Calibri"/>
          <w:sz w:val="18"/>
          <w:szCs w:val="18"/>
          <w:color w:val="666666"/>
        </w:rPr>
        <w:t>The following is a brief descripton of our commitees.</w:t>
      </w:r>
    </w:p>
    <w:p>
      <w:pPr>
        <w:spacing w:after="0" w:line="157" w:lineRule="exact"/>
        <w:rPr>
          <w:sz w:val="20"/>
          <w:szCs w:val="20"/>
          <w:color w:val="auto"/>
        </w:rPr>
      </w:pPr>
    </w:p>
    <w:p>
      <w:pPr>
        <w:ind w:left="320"/>
        <w:spacing w:after="0"/>
        <w:rPr>
          <w:sz w:val="20"/>
          <w:szCs w:val="20"/>
          <w:color w:val="auto"/>
        </w:rPr>
      </w:pPr>
      <w:r>
        <w:rPr>
          <w:rFonts w:ascii="Calibri" w:cs="Calibri" w:eastAsia="Calibri" w:hAnsi="Calibri"/>
          <w:sz w:val="19"/>
          <w:szCs w:val="19"/>
          <w:i w:val="1"/>
          <w:iCs w:val="1"/>
          <w:color w:val="547BCC"/>
        </w:rPr>
        <w:t>The Executve Commitee</w:t>
      </w:r>
    </w:p>
    <w:p>
      <w:pPr>
        <w:spacing w:after="0" w:line="157"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Our Executve Commitee is responsible, among its other dutes and responsibilites, for assistng our Board in fulflling its responsibilites. Our Executve Commitee is responsible for approving certain corporate actons and transactons, including acquisitons of assets other than in the ordinary course of business. The current members of our Executve Commitee are Dr. Shrader (Chair), Messrs. Fujiyama, Gaumond, and Rozanski, and Ms. McClain. The Executve Commitee met once during fscal year 2022 and acted by writen consent.</w:t>
      </w:r>
    </w:p>
    <w:p>
      <w:pPr>
        <w:spacing w:after="0" w:line="159" w:lineRule="exact"/>
        <w:rPr>
          <w:sz w:val="20"/>
          <w:szCs w:val="20"/>
          <w:color w:val="auto"/>
        </w:rPr>
      </w:pPr>
    </w:p>
    <w:p>
      <w:pPr>
        <w:ind w:left="320"/>
        <w:spacing w:after="0"/>
        <w:rPr>
          <w:sz w:val="20"/>
          <w:szCs w:val="20"/>
          <w:color w:val="auto"/>
        </w:rPr>
      </w:pPr>
      <w:r>
        <w:rPr>
          <w:rFonts w:ascii="Calibri" w:cs="Calibri" w:eastAsia="Calibri" w:hAnsi="Calibri"/>
          <w:sz w:val="19"/>
          <w:szCs w:val="19"/>
          <w:i w:val="1"/>
          <w:iCs w:val="1"/>
          <w:color w:val="547BCC"/>
        </w:rPr>
        <w:t>The Audit Commitee</w:t>
      </w:r>
    </w:p>
    <w:p>
      <w:pPr>
        <w:spacing w:after="0" w:line="170"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Our Audit Commitee is responsible, among its other dutes and responsibilites, for overseeing our accountng and fnancial reportng processes, the audits of our fnancial statements, the qualifcatons and independence of our independent registered public accountng frm, the efectveness of our internal control over fnancial reportng, and the performance of our internal audit functon and independent registered public accountng frm. Our Audit Commitee reviews and assesses the qualitatve aspects of our fnancial reportng, our processes to manage business and fnancial risks, and our compliance with signifcant applicable legal, ethical, and regulatory requirements. Our Audit Commitee is directly responsible for the appointment, compensaton, retenton, and oversight of our independent registered public accountng frm.</w:t>
      </w:r>
    </w:p>
    <w:p>
      <w:pPr>
        <w:spacing w:after="0" w:line="165"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members of our Audit Commitee are Messrs. Gaumond (Chair), Johnson, and Rossot, and Mses. Amble and Jewet, each of whom is an independent director as required by NYSE listng standards and Rule 10A-3 of the Securites Exchange Act of 1934, as amended (the "Exchange Act"). The Board has determined that each member of our Audit Commitee is fnancially literate and that Messrs. Gaumond and Rossot and Mses. Amble and Jewet are each an “audit commitee fnancial expert”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666666"/>
        </w:rPr>
        <w:t>20</w:t>
      </w:r>
    </w:p>
    <w:p>
      <w:pPr>
        <w:sectPr>
          <w:pgSz w:w="11900" w:h="16838" w:orient="portrait"/>
          <w:cols w:equalWidth="0" w:num="1">
            <w:col w:w="11240"/>
          </w:cols>
          <w:pgMar w:left="320" w:top="118"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alibri" w:cs="Calibri" w:eastAsia="Calibri" w:hAnsi="Calibri"/>
          <w:sz w:val="18"/>
          <w:szCs w:val="18"/>
          <w:color w:val="666666"/>
        </w:rPr>
        <w:t>as such term is defned under Item 407(d)(5) of Regulaton S-K promulgated under the Securites Act of 1933, as amended (the "Securites Act").</w:t>
      </w:r>
    </w:p>
    <w:p>
      <w:pPr>
        <w:spacing w:after="0" w:line="152" w:lineRule="exact"/>
        <w:rPr>
          <w:sz w:val="20"/>
          <w:szCs w:val="20"/>
          <w:color w:val="auto"/>
        </w:rPr>
      </w:pPr>
    </w:p>
    <w:p>
      <w:pPr>
        <w:ind w:left="320"/>
        <w:spacing w:after="0"/>
        <w:rPr>
          <w:sz w:val="20"/>
          <w:szCs w:val="20"/>
          <w:color w:val="auto"/>
        </w:rPr>
      </w:pPr>
      <w:r>
        <w:rPr>
          <w:rFonts w:ascii="Calibri" w:cs="Calibri" w:eastAsia="Calibri" w:hAnsi="Calibri"/>
          <w:sz w:val="18"/>
          <w:szCs w:val="18"/>
          <w:color w:val="666666"/>
        </w:rPr>
        <w:t>The Audit Commitee met four tmes during fscal year 2022.</w:t>
      </w:r>
    </w:p>
    <w:p>
      <w:pPr>
        <w:spacing w:after="0" w:line="157" w:lineRule="exact"/>
        <w:rPr>
          <w:sz w:val="20"/>
          <w:szCs w:val="20"/>
          <w:color w:val="auto"/>
        </w:rPr>
      </w:pPr>
    </w:p>
    <w:p>
      <w:pPr>
        <w:ind w:left="320"/>
        <w:spacing w:after="0"/>
        <w:rPr>
          <w:sz w:val="20"/>
          <w:szCs w:val="20"/>
          <w:color w:val="auto"/>
        </w:rPr>
      </w:pPr>
      <w:r>
        <w:rPr>
          <w:rFonts w:ascii="Calibri" w:cs="Calibri" w:eastAsia="Calibri" w:hAnsi="Calibri"/>
          <w:sz w:val="19"/>
          <w:szCs w:val="19"/>
          <w:i w:val="1"/>
          <w:iCs w:val="1"/>
          <w:color w:val="547BCC"/>
        </w:rPr>
        <w:t>The Compensaton, Culture and People Commitee</w:t>
      </w:r>
    </w:p>
    <w:p>
      <w:pPr>
        <w:spacing w:after="0" w:line="170"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Our Compensaton, Culture and People Commitee is responsible, among its other dutes and responsibilites, for reviewing and approving all forms of compensaton to be provided to, and employment leter agreements with, the executves and directors of our Company and its subsidiaries (including the Chief Executve Ofcer), establishing and reviewing the general compensaton philosophy of our Company and its subsidiaries, reviewing, approving, and overseeing the administraton of the employee benefts plans of our Company and its subsidiaries, assistng the Board in overseeing succession planning of the Chief Executve Ofcer and key management positons, and overseeing programmatc maters relatng to human capital management and culture, including relatng to diversity, equity, and inclusion. In fscal year 2022, to refect the Commitee's expanded roles related to succession planning and human capital management maters, and to provide clarity to investors, our Board updated the name of the Commitee from the “Compensaton Commitee” to the “Compensaton, Culture and People Commitee.”</w:t>
      </w:r>
    </w:p>
    <w:p>
      <w:pPr>
        <w:spacing w:after="0" w:line="167"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current members of our Compensaton, Culture and People Commitee are Mr. Fujiyama, and Mses. Barnes, Flournoy, and McClain (Chair), each of whom is an independent director as required by NYSE listng standards. The Compensaton, Culture and People Commitee charter requires that at least two members of the Compensaton, Culture and People Commitee must satsfy the requirements of “non-employee director” for purposes of Rule 16b-3 under the Exchange Act. Each of the members of the Compensaton, Culture and People Commitee currently satsfes these requirements.</w:t>
      </w:r>
    </w:p>
    <w:p>
      <w:pPr>
        <w:spacing w:after="0" w:line="163"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Compensaton, Culture and People Commitee has the authority to delegate any of its responsibilites to subcommitees as the Compensaton, Culture and People Commitee may deem appropriate, provided that the subcommitees are composed entrely of directors satsfying the independence standards then applicable to the Compensaton, Culture and People Commitee generally.</w:t>
      </w:r>
    </w:p>
    <w:p>
      <w:pPr>
        <w:spacing w:after="0" w:line="162" w:lineRule="exact"/>
        <w:rPr>
          <w:sz w:val="20"/>
          <w:szCs w:val="20"/>
          <w:color w:val="auto"/>
        </w:rPr>
      </w:pPr>
    </w:p>
    <w:p>
      <w:pPr>
        <w:jc w:val="both"/>
        <w:ind w:firstLine="319"/>
        <w:spacing w:after="0" w:line="246" w:lineRule="auto"/>
        <w:rPr>
          <w:sz w:val="20"/>
          <w:szCs w:val="20"/>
          <w:color w:val="auto"/>
        </w:rPr>
      </w:pPr>
      <w:r>
        <w:rPr>
          <w:rFonts w:ascii="Calibri" w:cs="Calibri" w:eastAsia="Calibri" w:hAnsi="Calibri"/>
          <w:sz w:val="17"/>
          <w:szCs w:val="17"/>
          <w:color w:val="666666"/>
        </w:rPr>
        <w:t>The Compensaton, Culture and People Commitee has not engaged a compensaton consultant; however, the Compensaton, Culture and People Commitee is briefed by management, which consults with Korn Ferry. The Company engaged Korn Ferry to provide market assessments and recommendatons on the Company’s director compensaton and assist management with compensaton decisions regarding our named executve ofcers, executve compensaton philosophy and strategy, and other maters related to the Company’s long-term performance plan as well as insight related to the Company’s compensaton disclosure in the proxy statement. In additon, Korn Ferry provided other consultng services. The aggregate fees paid to Korn Ferry for services related to executve compensaton and other consultng services were $191,817 and $280,100, respectvely, for fscal year 2022. The Compensaton, Culture and People Commitee assessed the independence of Korn Ferry and concluded that Korn Ferry's work for the Company did not raise any conficts of interest.</w:t>
      </w:r>
    </w:p>
    <w:p>
      <w:pPr>
        <w:spacing w:after="0" w:line="158"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Each of our executve ofcers, who collectvely comprise our Leadership Team, partcipates in the discussion and consideraton of compensaton to be awarded to all executves. Our Leadership Team does not partcipate in the discussions or provide any recommendatons to the Compensaton, Culture and People Commitee regarding their own compensaton. See “Compensaton Discussion and Analysis—Setng Executve Compensaton and Peer Group.”</w:t>
      </w:r>
    </w:p>
    <w:p>
      <w:pPr>
        <w:spacing w:after="0" w:line="153" w:lineRule="exact"/>
        <w:rPr>
          <w:sz w:val="20"/>
          <w:szCs w:val="20"/>
          <w:color w:val="auto"/>
        </w:rPr>
      </w:pPr>
    </w:p>
    <w:p>
      <w:pPr>
        <w:ind w:left="320"/>
        <w:spacing w:after="0"/>
        <w:rPr>
          <w:sz w:val="20"/>
          <w:szCs w:val="20"/>
          <w:color w:val="auto"/>
        </w:rPr>
      </w:pPr>
      <w:r>
        <w:rPr>
          <w:rFonts w:ascii="Calibri" w:cs="Calibri" w:eastAsia="Calibri" w:hAnsi="Calibri"/>
          <w:sz w:val="18"/>
          <w:szCs w:val="18"/>
          <w:color w:val="666666"/>
        </w:rPr>
        <w:t>The Compensaton, Culture and People Commitee met fve tmes during fscal year 2022.</w:t>
      </w:r>
    </w:p>
    <w:p>
      <w:pPr>
        <w:spacing w:after="0" w:line="157" w:lineRule="exact"/>
        <w:rPr>
          <w:sz w:val="20"/>
          <w:szCs w:val="20"/>
          <w:color w:val="auto"/>
        </w:rPr>
      </w:pPr>
    </w:p>
    <w:p>
      <w:pPr>
        <w:ind w:left="320"/>
        <w:spacing w:after="0"/>
        <w:rPr>
          <w:sz w:val="20"/>
          <w:szCs w:val="20"/>
          <w:color w:val="auto"/>
        </w:rPr>
      </w:pPr>
      <w:r>
        <w:rPr>
          <w:rFonts w:ascii="Calibri" w:cs="Calibri" w:eastAsia="Calibri" w:hAnsi="Calibri"/>
          <w:sz w:val="19"/>
          <w:szCs w:val="19"/>
          <w:i w:val="1"/>
          <w:iCs w:val="1"/>
          <w:color w:val="547BCC"/>
        </w:rPr>
        <w:t>The Nominatng and Corporate Governance Commitee</w:t>
      </w:r>
    </w:p>
    <w:p>
      <w:pPr>
        <w:spacing w:after="0" w:line="157"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Our Nominatng and Corporate Governance Commitee is responsible for, among its other dutes and responsibilites, identfying and recommending candidates to the Board for electon to our Board (including candidates proposed by stockholders), reviewing the compositon of the Board and its commitees, developing and recommending to the Board corporate governance guidelines that are applicable to us, overseeing Board and Board commitee evaluatons, and overseeing practces related to corporate governance, corporate citzenship, and ESG maters.</w:t>
      </w:r>
    </w:p>
    <w:p>
      <w:pPr>
        <w:spacing w:after="0" w:line="163"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current members of our Nominatng and Corporate Governance Commitee are Mr. Fujiyama (Chair), and Mses. Barnes, Flournoy, and McClain, each of whom is an independent director as required by NYSE listng standards.</w:t>
      </w:r>
    </w:p>
    <w:p>
      <w:pPr>
        <w:spacing w:after="0" w:line="152" w:lineRule="exact"/>
        <w:rPr>
          <w:sz w:val="20"/>
          <w:szCs w:val="20"/>
          <w:color w:val="auto"/>
        </w:rPr>
      </w:pPr>
    </w:p>
    <w:p>
      <w:pPr>
        <w:ind w:left="320"/>
        <w:spacing w:after="0"/>
        <w:rPr>
          <w:sz w:val="20"/>
          <w:szCs w:val="20"/>
          <w:color w:val="auto"/>
        </w:rPr>
      </w:pPr>
      <w:r>
        <w:rPr>
          <w:rFonts w:ascii="Calibri" w:cs="Calibri" w:eastAsia="Calibri" w:hAnsi="Calibri"/>
          <w:sz w:val="18"/>
          <w:szCs w:val="18"/>
          <w:color w:val="666666"/>
        </w:rPr>
        <w:t>The Nominatng and Corporate Governance Commitee met four tmes during fscal year 2022.</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21</w:t>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Director Compensaton</w:t>
      </w:r>
    </w:p>
    <w:p>
      <w:pPr>
        <w:spacing w:after="0" w:line="166"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Directors who are employed by us do not receive any additonal compensaton for their services as directors. The Compensaton, Culture and People Commitee reviews director compensaton on an annual basis. In July 2021, with assistance from Korn Ferry, the Commitee reviewed director compensaton data for the peer group used for benchmarking executve compensaton and the general market. Based on that review, the Compensaton, Culture and People Commitee approved a $20,000 increase in the annual retainer (Chair and non-Chair) and a $50,000 increase in the annual equity award. Additonally, the Compensaton, Culture and People Commitee approved a $5,000 increase in the additonal retainer for the Compensaton, Culture and People Commitee Chair. The changes to the compensaton levels for directors apply for their service from August 2021 to July 2022.</w:t>
      </w:r>
    </w:p>
    <w:p>
      <w:pPr>
        <w:spacing w:after="0" w:line="156" w:lineRule="exact"/>
        <w:rPr>
          <w:sz w:val="20"/>
          <w:szCs w:val="20"/>
          <w:color w:val="auto"/>
        </w:rPr>
      </w:pPr>
    </w:p>
    <w:p>
      <w:pPr>
        <w:ind w:left="320"/>
        <w:spacing w:after="0"/>
        <w:rPr>
          <w:sz w:val="20"/>
          <w:szCs w:val="20"/>
          <w:color w:val="auto"/>
        </w:rPr>
      </w:pPr>
      <w:r>
        <w:rPr>
          <w:rFonts w:ascii="Calibri" w:cs="Calibri" w:eastAsia="Calibri" w:hAnsi="Calibri"/>
          <w:sz w:val="18"/>
          <w:szCs w:val="18"/>
          <w:color w:val="666666"/>
        </w:rPr>
        <w:t>Director compensaton included the following:</w:t>
      </w:r>
    </w:p>
    <w:p>
      <w:pPr>
        <w:spacing w:after="0" w:line="301" w:lineRule="exact"/>
        <w:rPr>
          <w:sz w:val="20"/>
          <w:szCs w:val="20"/>
          <w:color w:val="auto"/>
        </w:rPr>
      </w:pPr>
    </w:p>
    <w:tbl>
      <w:tblPr>
        <w:tblLayout w:type="fixed"/>
        <w:tblInd w:w="2160" w:type="dxa"/>
        <w:tblCellMar>
          <w:top w:w="0" w:type="dxa"/>
          <w:left w:w="0" w:type="dxa"/>
          <w:bottom w:w="0" w:type="dxa"/>
          <w:right w:w="0" w:type="dxa"/>
        </w:tblCellMar>
      </w:tblPr>
      <w:tr>
        <w:trPr>
          <w:trHeight w:val="194"/>
        </w:trPr>
        <w:tc>
          <w:tcPr>
            <w:tcW w:w="446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b w:val="1"/>
                <w:bCs w:val="1"/>
                <w:color w:val="494949"/>
              </w:rPr>
              <w:t>Component</w:t>
            </w:r>
          </w:p>
        </w:tc>
        <w:tc>
          <w:tcPr>
            <w:tcW w:w="2780" w:type="dxa"/>
            <w:vAlign w:val="bottom"/>
            <w:tcBorders>
              <w:bottom w:val="single" w:sz="8" w:color="auto"/>
            </w:tcBorders>
            <w:shd w:val="clear" w:color="auto" w:fill="CCEEFF"/>
          </w:tcPr>
          <w:p>
            <w:pPr>
              <w:ind w:left="40"/>
              <w:spacing w:after="0"/>
              <w:rPr>
                <w:sz w:val="20"/>
                <w:szCs w:val="20"/>
                <w:color w:val="auto"/>
              </w:rPr>
            </w:pPr>
            <w:r>
              <w:rPr>
                <w:rFonts w:ascii="Calibri" w:cs="Calibri" w:eastAsia="Calibri" w:hAnsi="Calibri"/>
                <w:sz w:val="14"/>
                <w:szCs w:val="14"/>
                <w:b w:val="1"/>
                <w:bCs w:val="1"/>
                <w:color w:val="494949"/>
              </w:rPr>
              <w:t>Annual Amount</w:t>
            </w:r>
          </w:p>
        </w:tc>
      </w:tr>
      <w:tr>
        <w:trPr>
          <w:trHeight w:val="167"/>
        </w:trPr>
        <w:tc>
          <w:tcPr>
            <w:tcW w:w="4460" w:type="dxa"/>
            <w:vAlign w:val="bottom"/>
          </w:tcPr>
          <w:p>
            <w:pPr>
              <w:ind w:left="20"/>
              <w:spacing w:after="0" w:line="167" w:lineRule="exact"/>
              <w:rPr>
                <w:sz w:val="20"/>
                <w:szCs w:val="20"/>
                <w:color w:val="auto"/>
              </w:rPr>
            </w:pPr>
            <w:r>
              <w:rPr>
                <w:rFonts w:ascii="Calibri" w:cs="Calibri" w:eastAsia="Calibri" w:hAnsi="Calibri"/>
                <w:sz w:val="14"/>
                <w:szCs w:val="14"/>
                <w:color w:val="494949"/>
              </w:rPr>
              <w:t>Annual Board Chair Retainer</w:t>
            </w:r>
          </w:p>
        </w:tc>
        <w:tc>
          <w:tcPr>
            <w:tcW w:w="2780" w:type="dxa"/>
            <w:vAlign w:val="bottom"/>
          </w:tcPr>
          <w:p>
            <w:pPr>
              <w:ind w:left="40"/>
              <w:spacing w:after="0" w:line="167" w:lineRule="exact"/>
              <w:rPr>
                <w:sz w:val="20"/>
                <w:szCs w:val="20"/>
                <w:color w:val="auto"/>
              </w:rPr>
            </w:pPr>
            <w:r>
              <w:rPr>
                <w:rFonts w:ascii="Calibri" w:cs="Calibri" w:eastAsia="Calibri" w:hAnsi="Calibri"/>
                <w:sz w:val="14"/>
                <w:szCs w:val="14"/>
                <w:color w:val="494949"/>
              </w:rPr>
              <w:t>$320,000</w:t>
            </w:r>
          </w:p>
        </w:tc>
      </w:tr>
      <w:tr>
        <w:trPr>
          <w:trHeight w:val="31"/>
        </w:trPr>
        <w:tc>
          <w:tcPr>
            <w:tcW w:w="44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179"/>
        </w:trPr>
        <w:tc>
          <w:tcPr>
            <w:tcW w:w="4460" w:type="dxa"/>
            <w:vAlign w:val="bottom"/>
            <w:tcBorders>
              <w:bottom w:val="single" w:sz="8" w:color="CCEEFF"/>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494949"/>
              </w:rPr>
              <w:t>Annual Board Retainer (non-Chair)</w:t>
            </w:r>
          </w:p>
        </w:tc>
        <w:tc>
          <w:tcPr>
            <w:tcW w:w="2780" w:type="dxa"/>
            <w:vAlign w:val="bottom"/>
            <w:tcBorders>
              <w:bottom w:val="single" w:sz="8" w:color="CCEEFF"/>
            </w:tcBorders>
            <w:shd w:val="clear" w:color="auto" w:fill="CCEEFF"/>
          </w:tcPr>
          <w:p>
            <w:pPr>
              <w:ind w:left="40"/>
              <w:spacing w:after="0" w:line="169" w:lineRule="exact"/>
              <w:rPr>
                <w:sz w:val="20"/>
                <w:szCs w:val="20"/>
                <w:color w:val="auto"/>
              </w:rPr>
            </w:pPr>
            <w:r>
              <w:rPr>
                <w:rFonts w:ascii="Calibri" w:cs="Calibri" w:eastAsia="Calibri" w:hAnsi="Calibri"/>
                <w:sz w:val="14"/>
                <w:szCs w:val="14"/>
                <w:color w:val="494949"/>
              </w:rPr>
              <w:t>$120,000</w:t>
            </w:r>
          </w:p>
        </w:tc>
      </w:tr>
      <w:tr>
        <w:trPr>
          <w:trHeight w:val="168"/>
        </w:trPr>
        <w:tc>
          <w:tcPr>
            <w:tcW w:w="4460" w:type="dxa"/>
            <w:vAlign w:val="bottom"/>
          </w:tcPr>
          <w:p>
            <w:pPr>
              <w:ind w:left="20"/>
              <w:spacing w:after="0" w:line="169" w:lineRule="exact"/>
              <w:rPr>
                <w:sz w:val="20"/>
                <w:szCs w:val="20"/>
                <w:color w:val="auto"/>
              </w:rPr>
            </w:pPr>
            <w:r>
              <w:rPr>
                <w:rFonts w:ascii="Calibri" w:cs="Calibri" w:eastAsia="Calibri" w:hAnsi="Calibri"/>
                <w:sz w:val="14"/>
                <w:szCs w:val="14"/>
                <w:color w:val="494949"/>
              </w:rPr>
              <w:t>Annual Equity Award</w:t>
            </w:r>
          </w:p>
        </w:tc>
        <w:tc>
          <w:tcPr>
            <w:tcW w:w="2780" w:type="dxa"/>
            <w:vAlign w:val="bottom"/>
          </w:tcPr>
          <w:p>
            <w:pPr>
              <w:ind w:left="40"/>
              <w:spacing w:after="0" w:line="169" w:lineRule="exact"/>
              <w:rPr>
                <w:sz w:val="20"/>
                <w:szCs w:val="20"/>
                <w:color w:val="auto"/>
              </w:rPr>
            </w:pPr>
            <w:r>
              <w:rPr>
                <w:rFonts w:ascii="Calibri" w:cs="Calibri" w:eastAsia="Calibri" w:hAnsi="Calibri"/>
                <w:sz w:val="14"/>
                <w:szCs w:val="14"/>
                <w:color w:val="494949"/>
              </w:rPr>
              <w:t>$200,000</w:t>
            </w:r>
          </w:p>
        </w:tc>
      </w:tr>
      <w:tr>
        <w:trPr>
          <w:trHeight w:val="31"/>
        </w:trPr>
        <w:tc>
          <w:tcPr>
            <w:tcW w:w="44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179"/>
        </w:trPr>
        <w:tc>
          <w:tcPr>
            <w:tcW w:w="4460" w:type="dxa"/>
            <w:vAlign w:val="bottom"/>
            <w:tcBorders>
              <w:bottom w:val="single" w:sz="8" w:color="CCEEFF"/>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494949"/>
              </w:rPr>
              <w:t>Audit Commitee Chair Additonal Retainer</w:t>
            </w:r>
          </w:p>
        </w:tc>
        <w:tc>
          <w:tcPr>
            <w:tcW w:w="2780" w:type="dxa"/>
            <w:vAlign w:val="bottom"/>
            <w:tcBorders>
              <w:bottom w:val="single" w:sz="8" w:color="CCEEFF"/>
            </w:tcBorders>
            <w:shd w:val="clear" w:color="auto" w:fill="CCEEFF"/>
          </w:tcPr>
          <w:p>
            <w:pPr>
              <w:ind w:left="40"/>
              <w:spacing w:after="0" w:line="169" w:lineRule="exact"/>
              <w:rPr>
                <w:sz w:val="20"/>
                <w:szCs w:val="20"/>
                <w:color w:val="auto"/>
              </w:rPr>
            </w:pPr>
            <w:r>
              <w:rPr>
                <w:rFonts w:ascii="Calibri" w:cs="Calibri" w:eastAsia="Calibri" w:hAnsi="Calibri"/>
                <w:sz w:val="14"/>
                <w:szCs w:val="14"/>
                <w:color w:val="494949"/>
              </w:rPr>
              <w:t>$30,000</w:t>
            </w:r>
          </w:p>
        </w:tc>
      </w:tr>
      <w:tr>
        <w:trPr>
          <w:trHeight w:val="168"/>
        </w:trPr>
        <w:tc>
          <w:tcPr>
            <w:tcW w:w="4460" w:type="dxa"/>
            <w:vAlign w:val="bottom"/>
          </w:tcPr>
          <w:p>
            <w:pPr>
              <w:ind w:left="20"/>
              <w:spacing w:after="0" w:line="169" w:lineRule="exact"/>
              <w:rPr>
                <w:sz w:val="20"/>
                <w:szCs w:val="20"/>
                <w:color w:val="auto"/>
              </w:rPr>
            </w:pPr>
            <w:r>
              <w:rPr>
                <w:rFonts w:ascii="Calibri" w:cs="Calibri" w:eastAsia="Calibri" w:hAnsi="Calibri"/>
                <w:sz w:val="14"/>
                <w:szCs w:val="14"/>
                <w:color w:val="494949"/>
              </w:rPr>
              <w:t>Compensaton, Culture and People Commitee Chair Additonal Retainer</w:t>
            </w:r>
          </w:p>
        </w:tc>
        <w:tc>
          <w:tcPr>
            <w:tcW w:w="2780" w:type="dxa"/>
            <w:vAlign w:val="bottom"/>
          </w:tcPr>
          <w:p>
            <w:pPr>
              <w:ind w:left="40"/>
              <w:spacing w:after="0" w:line="169" w:lineRule="exact"/>
              <w:rPr>
                <w:sz w:val="20"/>
                <w:szCs w:val="20"/>
                <w:color w:val="auto"/>
              </w:rPr>
            </w:pPr>
            <w:r>
              <w:rPr>
                <w:rFonts w:ascii="Calibri" w:cs="Calibri" w:eastAsia="Calibri" w:hAnsi="Calibri"/>
                <w:sz w:val="14"/>
                <w:szCs w:val="14"/>
                <w:color w:val="494949"/>
              </w:rPr>
              <w:t>$20,000</w:t>
            </w:r>
          </w:p>
        </w:tc>
      </w:tr>
      <w:tr>
        <w:trPr>
          <w:trHeight w:val="31"/>
        </w:trPr>
        <w:tc>
          <w:tcPr>
            <w:tcW w:w="44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168"/>
        </w:trPr>
        <w:tc>
          <w:tcPr>
            <w:tcW w:w="446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494949"/>
              </w:rPr>
              <w:t>Nominatng and Corporate Governance Commitee Chair Additonal Retainer</w:t>
            </w:r>
          </w:p>
        </w:tc>
        <w:tc>
          <w:tcPr>
            <w:tcW w:w="2780" w:type="dxa"/>
            <w:vAlign w:val="bottom"/>
            <w:shd w:val="clear" w:color="auto" w:fill="CCEEFF"/>
          </w:tcPr>
          <w:p>
            <w:pPr>
              <w:ind w:left="40"/>
              <w:spacing w:after="0" w:line="169" w:lineRule="exact"/>
              <w:rPr>
                <w:sz w:val="20"/>
                <w:szCs w:val="20"/>
                <w:color w:val="auto"/>
              </w:rPr>
            </w:pPr>
            <w:r>
              <w:rPr>
                <w:rFonts w:ascii="Calibri" w:cs="Calibri" w:eastAsia="Calibri" w:hAnsi="Calibri"/>
                <w:sz w:val="14"/>
                <w:szCs w:val="14"/>
                <w:color w:val="494949"/>
              </w:rPr>
              <w:t>$15,000</w:t>
            </w:r>
          </w:p>
        </w:tc>
      </w:tr>
      <w:tr>
        <w:trPr>
          <w:trHeight w:val="31"/>
        </w:trPr>
        <w:tc>
          <w:tcPr>
            <w:tcW w:w="446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r>
    </w:tbl>
    <w:p>
      <w:pPr>
        <w:spacing w:after="0" w:line="232"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annual equity awards are granted in the form of restricted stock under our Equity Incentve Plan, as amended and restated from tme to tme. Half of the annual award vests approximately six months from the date of grant on January 31 of the following year, and the other half vests on July 31 following the frst vestng date. Directors may also elect to receive all or a porton of their annual retainer and any additonal payments for service as a commitee chair in the form of restricted stock. Our directors do not receive additonal fees for atending Board or commitee meetngs.</w:t>
      </w:r>
    </w:p>
    <w:p>
      <w:pPr>
        <w:spacing w:after="0" w:line="160"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i w:val="1"/>
          <w:iCs w:val="1"/>
          <w:color w:val="494949"/>
        </w:rPr>
        <w:t>Director Compensaton Table</w:t>
      </w:r>
    </w:p>
    <w:p>
      <w:pPr>
        <w:spacing w:after="0" w:line="162"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24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center"/>
              <w:ind w:right="220"/>
              <w:spacing w:after="0"/>
              <w:rPr>
                <w:sz w:val="20"/>
                <w:szCs w:val="20"/>
                <w:color w:val="auto"/>
              </w:rPr>
            </w:pPr>
            <w:r>
              <w:rPr>
                <w:rFonts w:ascii="Calibri" w:cs="Calibri" w:eastAsia="Calibri" w:hAnsi="Calibri"/>
                <w:sz w:val="14"/>
                <w:szCs w:val="14"/>
                <w:b w:val="1"/>
                <w:bCs w:val="1"/>
                <w:color w:val="494949"/>
              </w:rPr>
              <w:t>Stock</w:t>
            </w:r>
          </w:p>
        </w:tc>
        <w:tc>
          <w:tcPr>
            <w:tcW w:w="1460" w:type="dxa"/>
            <w:vAlign w:val="bottom"/>
            <w:shd w:val="clear" w:color="auto" w:fill="CCEEFF"/>
          </w:tcPr>
          <w:p>
            <w:pPr>
              <w:spacing w:after="0"/>
              <w:rPr>
                <w:sz w:val="14"/>
                <w:szCs w:val="14"/>
                <w:color w:val="auto"/>
              </w:rPr>
            </w:pPr>
          </w:p>
        </w:tc>
      </w:tr>
      <w:tr>
        <w:trPr>
          <w:trHeight w:val="134"/>
        </w:trPr>
        <w:tc>
          <w:tcPr>
            <w:tcW w:w="248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ind w:left="380"/>
              <w:spacing w:after="0" w:line="134" w:lineRule="exact"/>
              <w:rPr>
                <w:sz w:val="20"/>
                <w:szCs w:val="20"/>
                <w:color w:val="auto"/>
              </w:rPr>
            </w:pPr>
            <w:r>
              <w:rPr>
                <w:rFonts w:ascii="Calibri" w:cs="Calibri" w:eastAsia="Calibri" w:hAnsi="Calibri"/>
                <w:sz w:val="14"/>
                <w:szCs w:val="14"/>
                <w:b w:val="1"/>
                <w:bCs w:val="1"/>
                <w:color w:val="494949"/>
              </w:rPr>
              <w:t>Fees Earned</w:t>
            </w:r>
          </w:p>
        </w:tc>
        <w:tc>
          <w:tcPr>
            <w:tcW w:w="1660" w:type="dxa"/>
            <w:vAlign w:val="bottom"/>
            <w:gridSpan w:val="2"/>
            <w:shd w:val="clear" w:color="auto" w:fill="CCEEFF"/>
          </w:tcPr>
          <w:p>
            <w:pPr>
              <w:jc w:val="center"/>
              <w:ind w:right="220"/>
              <w:spacing w:after="0" w:line="134" w:lineRule="exact"/>
              <w:rPr>
                <w:sz w:val="20"/>
                <w:szCs w:val="20"/>
                <w:color w:val="auto"/>
              </w:rPr>
            </w:pPr>
            <w:r>
              <w:rPr>
                <w:rFonts w:ascii="Calibri" w:cs="Calibri" w:eastAsia="Calibri" w:hAnsi="Calibri"/>
                <w:sz w:val="14"/>
                <w:szCs w:val="14"/>
                <w:b w:val="1"/>
                <w:bCs w:val="1"/>
                <w:color w:val="494949"/>
              </w:rPr>
              <w:t>Awards</w:t>
            </w:r>
          </w:p>
        </w:tc>
        <w:tc>
          <w:tcPr>
            <w:tcW w:w="1460" w:type="dxa"/>
            <w:vAlign w:val="bottom"/>
            <w:shd w:val="clear" w:color="auto" w:fill="CCEEFF"/>
          </w:tcPr>
          <w:p>
            <w:pPr>
              <w:jc w:val="right"/>
              <w:ind w:right="509"/>
              <w:spacing w:after="0" w:line="134" w:lineRule="exact"/>
              <w:rPr>
                <w:sz w:val="20"/>
                <w:szCs w:val="20"/>
                <w:color w:val="auto"/>
              </w:rPr>
            </w:pPr>
            <w:r>
              <w:rPr>
                <w:rFonts w:ascii="Calibri" w:cs="Calibri" w:eastAsia="Calibri" w:hAnsi="Calibri"/>
                <w:sz w:val="14"/>
                <w:szCs w:val="14"/>
                <w:b w:val="1"/>
                <w:bCs w:val="1"/>
                <w:color w:val="494949"/>
              </w:rPr>
              <w:t>Total</w:t>
            </w:r>
          </w:p>
        </w:tc>
      </w:tr>
      <w:tr>
        <w:trPr>
          <w:trHeight w:val="212"/>
        </w:trPr>
        <w:tc>
          <w:tcPr>
            <w:tcW w:w="2480" w:type="dxa"/>
            <w:vAlign w:val="bottom"/>
            <w:tcBorders>
              <w:bottom w:val="single" w:sz="8" w:color="CCEEFF"/>
            </w:tcBorders>
            <w:shd w:val="clear" w:color="auto" w:fill="CCEEFF"/>
          </w:tcPr>
          <w:p>
            <w:pPr>
              <w:ind w:left="20"/>
              <w:spacing w:after="0" w:line="169" w:lineRule="exact"/>
              <w:rPr>
                <w:sz w:val="20"/>
                <w:szCs w:val="20"/>
                <w:color w:val="auto"/>
              </w:rPr>
            </w:pPr>
            <w:r>
              <w:rPr>
                <w:rFonts w:ascii="Calibri" w:cs="Calibri" w:eastAsia="Calibri" w:hAnsi="Calibri"/>
                <w:sz w:val="14"/>
                <w:szCs w:val="14"/>
                <w:b w:val="1"/>
                <w:bCs w:val="1"/>
                <w:color w:val="494949"/>
              </w:rPr>
              <w:t>Name</w:t>
            </w:r>
          </w:p>
        </w:tc>
        <w:tc>
          <w:tcPr>
            <w:tcW w:w="1480" w:type="dxa"/>
            <w:vAlign w:val="bottom"/>
            <w:tcBorders>
              <w:bottom w:val="single" w:sz="8" w:color="CCEEFF"/>
            </w:tcBorders>
            <w:shd w:val="clear" w:color="auto" w:fill="CCEEFF"/>
          </w:tcPr>
          <w:p>
            <w:pPr>
              <w:jc w:val="right"/>
              <w:ind w:right="589"/>
              <w:spacing w:after="0"/>
              <w:rPr>
                <w:sz w:val="20"/>
                <w:szCs w:val="20"/>
                <w:color w:val="auto"/>
              </w:rPr>
            </w:pPr>
            <w:r>
              <w:rPr>
                <w:rFonts w:ascii="Calibri" w:cs="Calibri" w:eastAsia="Calibri" w:hAnsi="Calibri"/>
                <w:sz w:val="14"/>
                <w:szCs w:val="14"/>
                <w:b w:val="1"/>
                <w:bCs w:val="1"/>
                <w:color w:val="494949"/>
              </w:rPr>
              <w:t>($)</w:t>
            </w:r>
          </w:p>
        </w:tc>
        <w:tc>
          <w:tcPr>
            <w:tcW w:w="2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center"/>
              <w:spacing w:after="0" w:line="169" w:lineRule="exact"/>
              <w:rPr>
                <w:sz w:val="20"/>
                <w:szCs w:val="20"/>
                <w:color w:val="auto"/>
              </w:rPr>
            </w:pPr>
            <w:r>
              <w:rPr>
                <w:rFonts w:ascii="Calibri" w:cs="Calibri" w:eastAsia="Calibri" w:hAnsi="Calibri"/>
                <w:sz w:val="14"/>
                <w:szCs w:val="14"/>
                <w:b w:val="1"/>
                <w:bCs w:val="1"/>
                <w:color w:val="494949"/>
                <w:w w:val="98"/>
              </w:rPr>
              <w:t>($)(1)(12)</w:t>
            </w: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569"/>
              <w:spacing w:after="0"/>
              <w:rPr>
                <w:sz w:val="20"/>
                <w:szCs w:val="20"/>
                <w:color w:val="auto"/>
              </w:rPr>
            </w:pPr>
            <w:r>
              <w:rPr>
                <w:rFonts w:ascii="Calibri" w:cs="Calibri" w:eastAsia="Calibri" w:hAnsi="Calibri"/>
                <w:sz w:val="14"/>
                <w:szCs w:val="14"/>
                <w:b w:val="1"/>
                <w:bCs w:val="1"/>
                <w:color w:val="494949"/>
              </w:rPr>
              <w:t>($)</w:t>
            </w:r>
          </w:p>
        </w:tc>
      </w:tr>
      <w:tr>
        <w:trPr>
          <w:trHeight w:val="192"/>
        </w:trPr>
        <w:tc>
          <w:tcPr>
            <w:tcW w:w="2480" w:type="dxa"/>
            <w:vAlign w:val="bottom"/>
          </w:tcPr>
          <w:p>
            <w:pPr>
              <w:ind w:left="20"/>
              <w:spacing w:after="0" w:line="149" w:lineRule="exact"/>
              <w:rPr>
                <w:sz w:val="20"/>
                <w:szCs w:val="20"/>
                <w:color w:val="auto"/>
              </w:rPr>
            </w:pPr>
            <w:r>
              <w:rPr>
                <w:rFonts w:ascii="Calibri" w:cs="Calibri" w:eastAsia="Calibri" w:hAnsi="Calibri"/>
                <w:sz w:val="14"/>
                <w:szCs w:val="14"/>
                <w:color w:val="494949"/>
              </w:rPr>
              <w:t>Joan Lordi C. Amble</w:t>
            </w:r>
          </w:p>
        </w:tc>
        <w:tc>
          <w:tcPr>
            <w:tcW w:w="1480" w:type="dxa"/>
            <w:vAlign w:val="bottom"/>
            <w:tcBorders>
              <w:top w:val="single" w:sz="8" w:color="666666"/>
            </w:tcBorders>
          </w:tcPr>
          <w:p>
            <w:pPr>
              <w:jc w:val="right"/>
              <w:spacing w:after="0" w:line="193" w:lineRule="exact"/>
              <w:rPr>
                <w:sz w:val="20"/>
                <w:szCs w:val="20"/>
                <w:color w:val="auto"/>
              </w:rPr>
            </w:pPr>
            <w:r>
              <w:rPr>
                <w:rFonts w:ascii="Calibri" w:cs="Calibri" w:eastAsia="Calibri" w:hAnsi="Calibri"/>
                <w:sz w:val="14"/>
                <w:szCs w:val="14"/>
                <w:color w:val="494949"/>
              </w:rPr>
              <w:t>120,000</w:t>
            </w:r>
            <w:r>
              <w:rPr>
                <w:rFonts w:ascii="Calibri" w:cs="Calibri" w:eastAsia="Calibri" w:hAnsi="Calibri"/>
                <w:sz w:val="18"/>
                <w:szCs w:val="18"/>
                <w:color w:val="494949"/>
                <w:vertAlign w:val="superscript"/>
              </w:rPr>
              <w:t>(2)</w:t>
            </w:r>
          </w:p>
        </w:tc>
        <w:tc>
          <w:tcPr>
            <w:tcW w:w="240" w:type="dxa"/>
            <w:vAlign w:val="bottom"/>
          </w:tcPr>
          <w:p>
            <w:pPr>
              <w:spacing w:after="0"/>
              <w:rPr>
                <w:sz w:val="16"/>
                <w:szCs w:val="16"/>
                <w:color w:val="auto"/>
              </w:rPr>
            </w:pPr>
          </w:p>
        </w:tc>
        <w:tc>
          <w:tcPr>
            <w:tcW w:w="1420" w:type="dxa"/>
            <w:vAlign w:val="bottom"/>
            <w:tcBorders>
              <w:top w:val="single" w:sz="8" w:color="666666"/>
            </w:tcBorders>
          </w:tcPr>
          <w:p>
            <w:pPr>
              <w:jc w:val="right"/>
              <w:spacing w:after="0" w:line="193" w:lineRule="exact"/>
              <w:rPr>
                <w:sz w:val="20"/>
                <w:szCs w:val="20"/>
                <w:color w:val="auto"/>
              </w:rPr>
            </w:pPr>
            <w:r>
              <w:rPr>
                <w:rFonts w:ascii="Calibri" w:cs="Calibri" w:eastAsia="Calibri" w:hAnsi="Calibri"/>
                <w:sz w:val="14"/>
                <w:szCs w:val="14"/>
                <w:color w:val="494949"/>
              </w:rPr>
              <w:t>200,004</w:t>
            </w:r>
            <w:r>
              <w:rPr>
                <w:rFonts w:ascii="Calibri" w:cs="Calibri" w:eastAsia="Calibri" w:hAnsi="Calibri"/>
                <w:sz w:val="18"/>
                <w:szCs w:val="18"/>
                <w:color w:val="494949"/>
                <w:vertAlign w:val="superscript"/>
              </w:rPr>
              <w:t>(2)</w:t>
            </w:r>
          </w:p>
        </w:tc>
        <w:tc>
          <w:tcPr>
            <w:tcW w:w="240" w:type="dxa"/>
            <w:vAlign w:val="bottom"/>
          </w:tcPr>
          <w:p>
            <w:pPr>
              <w:spacing w:after="0"/>
              <w:rPr>
                <w:sz w:val="16"/>
                <w:szCs w:val="16"/>
                <w:color w:val="auto"/>
              </w:rPr>
            </w:pPr>
          </w:p>
        </w:tc>
        <w:tc>
          <w:tcPr>
            <w:tcW w:w="1460" w:type="dxa"/>
            <w:vAlign w:val="bottom"/>
            <w:tcBorders>
              <w:top w:val="single" w:sz="8" w:color="666666"/>
            </w:tcBorders>
          </w:tcPr>
          <w:p>
            <w:pPr>
              <w:jc w:val="right"/>
              <w:spacing w:after="0" w:line="169" w:lineRule="exact"/>
              <w:rPr>
                <w:sz w:val="20"/>
                <w:szCs w:val="20"/>
                <w:color w:val="auto"/>
              </w:rPr>
            </w:pPr>
            <w:r>
              <w:rPr>
                <w:rFonts w:ascii="Calibri" w:cs="Calibri" w:eastAsia="Calibri" w:hAnsi="Calibri"/>
                <w:sz w:val="14"/>
                <w:szCs w:val="14"/>
                <w:color w:val="494949"/>
              </w:rPr>
              <w:t>320,004</w:t>
            </w:r>
          </w:p>
        </w:tc>
      </w:tr>
      <w:tr>
        <w:trPr>
          <w:trHeight w:val="199"/>
        </w:trPr>
        <w:tc>
          <w:tcPr>
            <w:tcW w:w="248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494949"/>
              </w:rPr>
              <w:t>Melody C. Barnes</w:t>
            </w:r>
          </w:p>
        </w:tc>
        <w:tc>
          <w:tcPr>
            <w:tcW w:w="1480" w:type="dxa"/>
            <w:vAlign w:val="bottom"/>
            <w:shd w:val="clear" w:color="auto" w:fill="CCEEFF"/>
          </w:tcPr>
          <w:p>
            <w:pPr>
              <w:jc w:val="right"/>
              <w:spacing w:after="0" w:line="199" w:lineRule="exact"/>
              <w:rPr>
                <w:sz w:val="20"/>
                <w:szCs w:val="20"/>
                <w:color w:val="auto"/>
              </w:rPr>
            </w:pPr>
            <w:r>
              <w:rPr>
                <w:rFonts w:ascii="Calibri" w:cs="Calibri" w:eastAsia="Calibri" w:hAnsi="Calibri"/>
                <w:sz w:val="14"/>
                <w:szCs w:val="14"/>
                <w:color w:val="494949"/>
              </w:rPr>
              <w:t>120,000</w:t>
            </w:r>
            <w:r>
              <w:rPr>
                <w:rFonts w:ascii="Calibri" w:cs="Calibri" w:eastAsia="Calibri" w:hAnsi="Calibri"/>
                <w:sz w:val="18"/>
                <w:szCs w:val="18"/>
                <w:color w:val="494949"/>
                <w:vertAlign w:val="superscript"/>
              </w:rPr>
              <w:t>(3)</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199" w:lineRule="exact"/>
              <w:rPr>
                <w:sz w:val="20"/>
                <w:szCs w:val="20"/>
                <w:color w:val="auto"/>
              </w:rPr>
            </w:pPr>
            <w:r>
              <w:rPr>
                <w:rFonts w:ascii="Calibri" w:cs="Calibri" w:eastAsia="Calibri" w:hAnsi="Calibri"/>
                <w:sz w:val="14"/>
                <w:szCs w:val="14"/>
                <w:color w:val="494949"/>
              </w:rPr>
              <w:t>200,031</w:t>
            </w:r>
            <w:r>
              <w:rPr>
                <w:rFonts w:ascii="Calibri" w:cs="Calibri" w:eastAsia="Calibri" w:hAnsi="Calibri"/>
                <w:sz w:val="18"/>
                <w:szCs w:val="18"/>
                <w:color w:val="494949"/>
                <w:vertAlign w:val="superscript"/>
              </w:rPr>
              <w:t>(3)</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494949"/>
              </w:rPr>
              <w:t>320,031</w:t>
            </w:r>
          </w:p>
        </w:tc>
      </w:tr>
      <w:tr>
        <w:trPr>
          <w:trHeight w:val="199"/>
        </w:trPr>
        <w:tc>
          <w:tcPr>
            <w:tcW w:w="2480" w:type="dxa"/>
            <w:vAlign w:val="bottom"/>
          </w:tcPr>
          <w:p>
            <w:pPr>
              <w:ind w:left="20"/>
              <w:spacing w:after="0" w:line="169" w:lineRule="exact"/>
              <w:rPr>
                <w:sz w:val="20"/>
                <w:szCs w:val="20"/>
                <w:color w:val="auto"/>
              </w:rPr>
            </w:pPr>
            <w:r>
              <w:rPr>
                <w:rFonts w:ascii="Calibri" w:cs="Calibri" w:eastAsia="Calibri" w:hAnsi="Calibri"/>
                <w:sz w:val="14"/>
                <w:szCs w:val="14"/>
                <w:color w:val="494949"/>
              </w:rPr>
              <w:t>Michèle A. Flournoy</w:t>
            </w:r>
          </w:p>
        </w:tc>
        <w:tc>
          <w:tcPr>
            <w:tcW w:w="1480" w:type="dxa"/>
            <w:vAlign w:val="bottom"/>
          </w:tcPr>
          <w:p>
            <w:pPr>
              <w:jc w:val="right"/>
              <w:spacing w:after="0" w:line="199" w:lineRule="exact"/>
              <w:rPr>
                <w:sz w:val="20"/>
                <w:szCs w:val="20"/>
                <w:color w:val="auto"/>
              </w:rPr>
            </w:pPr>
            <w:r>
              <w:rPr>
                <w:rFonts w:ascii="Calibri" w:cs="Calibri" w:eastAsia="Calibri" w:hAnsi="Calibri"/>
                <w:sz w:val="14"/>
                <w:szCs w:val="14"/>
                <w:color w:val="494949"/>
              </w:rPr>
              <w:t>120,000</w:t>
            </w:r>
            <w:r>
              <w:rPr>
                <w:rFonts w:ascii="Calibri" w:cs="Calibri" w:eastAsia="Calibri" w:hAnsi="Calibri"/>
                <w:sz w:val="18"/>
                <w:szCs w:val="18"/>
                <w:color w:val="494949"/>
                <w:vertAlign w:val="superscript"/>
              </w:rPr>
              <w:t>(4)</w:t>
            </w:r>
          </w:p>
        </w:tc>
        <w:tc>
          <w:tcPr>
            <w:tcW w:w="240" w:type="dxa"/>
            <w:vAlign w:val="bottom"/>
          </w:tcPr>
          <w:p>
            <w:pPr>
              <w:spacing w:after="0"/>
              <w:rPr>
                <w:sz w:val="17"/>
                <w:szCs w:val="17"/>
                <w:color w:val="auto"/>
              </w:rPr>
            </w:pPr>
          </w:p>
        </w:tc>
        <w:tc>
          <w:tcPr>
            <w:tcW w:w="1420" w:type="dxa"/>
            <w:vAlign w:val="bottom"/>
          </w:tcPr>
          <w:p>
            <w:pPr>
              <w:jc w:val="right"/>
              <w:spacing w:after="0" w:line="199" w:lineRule="exact"/>
              <w:rPr>
                <w:sz w:val="20"/>
                <w:szCs w:val="20"/>
                <w:color w:val="auto"/>
              </w:rPr>
            </w:pPr>
            <w:r>
              <w:rPr>
                <w:rFonts w:ascii="Calibri" w:cs="Calibri" w:eastAsia="Calibri" w:hAnsi="Calibri"/>
                <w:sz w:val="14"/>
                <w:szCs w:val="14"/>
                <w:color w:val="494949"/>
              </w:rPr>
              <w:t>200,031</w:t>
            </w:r>
            <w:r>
              <w:rPr>
                <w:rFonts w:ascii="Calibri" w:cs="Calibri" w:eastAsia="Calibri" w:hAnsi="Calibri"/>
                <w:sz w:val="18"/>
                <w:szCs w:val="18"/>
                <w:color w:val="494949"/>
                <w:vertAlign w:val="superscript"/>
              </w:rPr>
              <w:t>(4)</w:t>
            </w:r>
          </w:p>
        </w:tc>
        <w:tc>
          <w:tcPr>
            <w:tcW w:w="240" w:type="dxa"/>
            <w:vAlign w:val="bottom"/>
          </w:tcPr>
          <w:p>
            <w:pPr>
              <w:spacing w:after="0"/>
              <w:rPr>
                <w:sz w:val="17"/>
                <w:szCs w:val="17"/>
                <w:color w:val="auto"/>
              </w:rPr>
            </w:pPr>
          </w:p>
        </w:tc>
        <w:tc>
          <w:tcPr>
            <w:tcW w:w="1460" w:type="dxa"/>
            <w:vAlign w:val="bottom"/>
          </w:tcPr>
          <w:p>
            <w:pPr>
              <w:jc w:val="right"/>
              <w:spacing w:after="0" w:line="169" w:lineRule="exact"/>
              <w:rPr>
                <w:sz w:val="20"/>
                <w:szCs w:val="20"/>
                <w:color w:val="auto"/>
              </w:rPr>
            </w:pPr>
            <w:r>
              <w:rPr>
                <w:rFonts w:ascii="Calibri" w:cs="Calibri" w:eastAsia="Calibri" w:hAnsi="Calibri"/>
                <w:sz w:val="14"/>
                <w:szCs w:val="14"/>
                <w:color w:val="494949"/>
              </w:rPr>
              <w:t>320,031</w:t>
            </w:r>
          </w:p>
        </w:tc>
      </w:tr>
      <w:tr>
        <w:trPr>
          <w:trHeight w:val="199"/>
        </w:trPr>
        <w:tc>
          <w:tcPr>
            <w:tcW w:w="248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494949"/>
              </w:rPr>
              <w:t>Ian Fujiyama</w:t>
            </w:r>
          </w:p>
        </w:tc>
        <w:tc>
          <w:tcPr>
            <w:tcW w:w="1480" w:type="dxa"/>
            <w:vAlign w:val="bottom"/>
            <w:shd w:val="clear" w:color="auto" w:fill="CCEEFF"/>
          </w:tcPr>
          <w:p>
            <w:pPr>
              <w:jc w:val="right"/>
              <w:spacing w:after="0" w:line="199" w:lineRule="exact"/>
              <w:rPr>
                <w:sz w:val="20"/>
                <w:szCs w:val="20"/>
                <w:color w:val="auto"/>
              </w:rPr>
            </w:pPr>
            <w:r>
              <w:rPr>
                <w:rFonts w:ascii="Calibri" w:cs="Calibri" w:eastAsia="Calibri" w:hAnsi="Calibri"/>
                <w:sz w:val="14"/>
                <w:szCs w:val="14"/>
                <w:color w:val="494949"/>
              </w:rPr>
              <w:t>135,000</w:t>
            </w:r>
            <w:r>
              <w:rPr>
                <w:rFonts w:ascii="Calibri" w:cs="Calibri" w:eastAsia="Calibri" w:hAnsi="Calibri"/>
                <w:sz w:val="18"/>
                <w:szCs w:val="18"/>
                <w:color w:val="494949"/>
                <w:vertAlign w:val="superscript"/>
              </w:rPr>
              <w:t>(5)</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199" w:lineRule="exact"/>
              <w:rPr>
                <w:sz w:val="20"/>
                <w:szCs w:val="20"/>
                <w:color w:val="auto"/>
              </w:rPr>
            </w:pPr>
            <w:r>
              <w:rPr>
                <w:rFonts w:ascii="Calibri" w:cs="Calibri" w:eastAsia="Calibri" w:hAnsi="Calibri"/>
                <w:sz w:val="14"/>
                <w:szCs w:val="14"/>
                <w:color w:val="494949"/>
              </w:rPr>
              <w:t>200,012</w:t>
            </w:r>
            <w:r>
              <w:rPr>
                <w:rFonts w:ascii="Calibri" w:cs="Calibri" w:eastAsia="Calibri" w:hAnsi="Calibri"/>
                <w:sz w:val="18"/>
                <w:szCs w:val="18"/>
                <w:color w:val="494949"/>
                <w:vertAlign w:val="superscript"/>
              </w:rPr>
              <w:t>(5)</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494949"/>
              </w:rPr>
              <w:t>335,012</w:t>
            </w:r>
          </w:p>
        </w:tc>
      </w:tr>
      <w:tr>
        <w:trPr>
          <w:trHeight w:val="199"/>
        </w:trPr>
        <w:tc>
          <w:tcPr>
            <w:tcW w:w="2480" w:type="dxa"/>
            <w:vAlign w:val="bottom"/>
          </w:tcPr>
          <w:p>
            <w:pPr>
              <w:ind w:left="20"/>
              <w:spacing w:after="0" w:line="169" w:lineRule="exact"/>
              <w:rPr>
                <w:sz w:val="20"/>
                <w:szCs w:val="20"/>
                <w:color w:val="auto"/>
              </w:rPr>
            </w:pPr>
            <w:r>
              <w:rPr>
                <w:rFonts w:ascii="Calibri" w:cs="Calibri" w:eastAsia="Calibri" w:hAnsi="Calibri"/>
                <w:sz w:val="14"/>
                <w:szCs w:val="14"/>
                <w:color w:val="494949"/>
              </w:rPr>
              <w:t>Mark E. Gaumond</w:t>
            </w:r>
          </w:p>
        </w:tc>
        <w:tc>
          <w:tcPr>
            <w:tcW w:w="1480" w:type="dxa"/>
            <w:vAlign w:val="bottom"/>
          </w:tcPr>
          <w:p>
            <w:pPr>
              <w:jc w:val="right"/>
              <w:spacing w:after="0" w:line="199" w:lineRule="exact"/>
              <w:rPr>
                <w:sz w:val="20"/>
                <w:szCs w:val="20"/>
                <w:color w:val="auto"/>
              </w:rPr>
            </w:pPr>
            <w:r>
              <w:rPr>
                <w:rFonts w:ascii="Calibri" w:cs="Calibri" w:eastAsia="Calibri" w:hAnsi="Calibri"/>
                <w:sz w:val="14"/>
                <w:szCs w:val="14"/>
                <w:color w:val="494949"/>
              </w:rPr>
              <w:t>150,000</w:t>
            </w:r>
            <w:r>
              <w:rPr>
                <w:rFonts w:ascii="Calibri" w:cs="Calibri" w:eastAsia="Calibri" w:hAnsi="Calibri"/>
                <w:sz w:val="18"/>
                <w:szCs w:val="18"/>
                <w:color w:val="494949"/>
                <w:vertAlign w:val="superscript"/>
              </w:rPr>
              <w:t>(6)</w:t>
            </w:r>
          </w:p>
        </w:tc>
        <w:tc>
          <w:tcPr>
            <w:tcW w:w="240" w:type="dxa"/>
            <w:vAlign w:val="bottom"/>
          </w:tcPr>
          <w:p>
            <w:pPr>
              <w:spacing w:after="0"/>
              <w:rPr>
                <w:sz w:val="17"/>
                <w:szCs w:val="17"/>
                <w:color w:val="auto"/>
              </w:rPr>
            </w:pPr>
          </w:p>
        </w:tc>
        <w:tc>
          <w:tcPr>
            <w:tcW w:w="1420" w:type="dxa"/>
            <w:vAlign w:val="bottom"/>
          </w:tcPr>
          <w:p>
            <w:pPr>
              <w:jc w:val="right"/>
              <w:spacing w:after="0" w:line="199" w:lineRule="exact"/>
              <w:rPr>
                <w:sz w:val="20"/>
                <w:szCs w:val="20"/>
                <w:color w:val="auto"/>
              </w:rPr>
            </w:pPr>
            <w:r>
              <w:rPr>
                <w:rFonts w:ascii="Calibri" w:cs="Calibri" w:eastAsia="Calibri" w:hAnsi="Calibri"/>
                <w:sz w:val="14"/>
                <w:szCs w:val="14"/>
                <w:color w:val="494949"/>
              </w:rPr>
              <w:t>200,073</w:t>
            </w:r>
            <w:r>
              <w:rPr>
                <w:rFonts w:ascii="Calibri" w:cs="Calibri" w:eastAsia="Calibri" w:hAnsi="Calibri"/>
                <w:sz w:val="18"/>
                <w:szCs w:val="18"/>
                <w:color w:val="494949"/>
                <w:vertAlign w:val="superscript"/>
              </w:rPr>
              <w:t>(6)</w:t>
            </w:r>
          </w:p>
        </w:tc>
        <w:tc>
          <w:tcPr>
            <w:tcW w:w="240" w:type="dxa"/>
            <w:vAlign w:val="bottom"/>
          </w:tcPr>
          <w:p>
            <w:pPr>
              <w:spacing w:after="0"/>
              <w:rPr>
                <w:sz w:val="17"/>
                <w:szCs w:val="17"/>
                <w:color w:val="auto"/>
              </w:rPr>
            </w:pPr>
          </w:p>
        </w:tc>
        <w:tc>
          <w:tcPr>
            <w:tcW w:w="1460" w:type="dxa"/>
            <w:vAlign w:val="bottom"/>
          </w:tcPr>
          <w:p>
            <w:pPr>
              <w:jc w:val="right"/>
              <w:spacing w:after="0" w:line="169" w:lineRule="exact"/>
              <w:rPr>
                <w:sz w:val="20"/>
                <w:szCs w:val="20"/>
                <w:color w:val="auto"/>
              </w:rPr>
            </w:pPr>
            <w:r>
              <w:rPr>
                <w:rFonts w:ascii="Calibri" w:cs="Calibri" w:eastAsia="Calibri" w:hAnsi="Calibri"/>
                <w:sz w:val="14"/>
                <w:szCs w:val="14"/>
                <w:color w:val="494949"/>
              </w:rPr>
              <w:t>350,073</w:t>
            </w:r>
          </w:p>
        </w:tc>
      </w:tr>
      <w:tr>
        <w:trPr>
          <w:trHeight w:val="199"/>
        </w:trPr>
        <w:tc>
          <w:tcPr>
            <w:tcW w:w="248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494949"/>
              </w:rPr>
              <w:t>Ellen Jewet</w:t>
            </w:r>
          </w:p>
        </w:tc>
        <w:tc>
          <w:tcPr>
            <w:tcW w:w="1480" w:type="dxa"/>
            <w:vAlign w:val="bottom"/>
            <w:shd w:val="clear" w:color="auto" w:fill="CCEEFF"/>
          </w:tcPr>
          <w:p>
            <w:pPr>
              <w:jc w:val="right"/>
              <w:spacing w:after="0" w:line="199" w:lineRule="exact"/>
              <w:rPr>
                <w:sz w:val="20"/>
                <w:szCs w:val="20"/>
                <w:color w:val="auto"/>
              </w:rPr>
            </w:pPr>
            <w:r>
              <w:rPr>
                <w:rFonts w:ascii="Calibri" w:cs="Calibri" w:eastAsia="Calibri" w:hAnsi="Calibri"/>
                <w:sz w:val="14"/>
                <w:szCs w:val="14"/>
                <w:color w:val="494949"/>
              </w:rPr>
              <w:t>120,000</w:t>
            </w:r>
            <w:r>
              <w:rPr>
                <w:rFonts w:ascii="Calibri" w:cs="Calibri" w:eastAsia="Calibri" w:hAnsi="Calibri"/>
                <w:sz w:val="18"/>
                <w:szCs w:val="18"/>
                <w:color w:val="494949"/>
                <w:vertAlign w:val="superscript"/>
              </w:rPr>
              <w:t>(7)</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199" w:lineRule="exact"/>
              <w:rPr>
                <w:sz w:val="20"/>
                <w:szCs w:val="20"/>
                <w:color w:val="auto"/>
              </w:rPr>
            </w:pPr>
            <w:r>
              <w:rPr>
                <w:rFonts w:ascii="Calibri" w:cs="Calibri" w:eastAsia="Calibri" w:hAnsi="Calibri"/>
                <w:sz w:val="14"/>
                <w:szCs w:val="14"/>
                <w:color w:val="494949"/>
              </w:rPr>
              <w:t>200,031</w:t>
            </w:r>
            <w:r>
              <w:rPr>
                <w:rFonts w:ascii="Calibri" w:cs="Calibri" w:eastAsia="Calibri" w:hAnsi="Calibri"/>
                <w:sz w:val="18"/>
                <w:szCs w:val="18"/>
                <w:color w:val="494949"/>
                <w:vertAlign w:val="superscript"/>
              </w:rPr>
              <w:t>(7)</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494949"/>
              </w:rPr>
              <w:t>320,031</w:t>
            </w:r>
          </w:p>
        </w:tc>
      </w:tr>
      <w:tr>
        <w:trPr>
          <w:trHeight w:val="199"/>
        </w:trPr>
        <w:tc>
          <w:tcPr>
            <w:tcW w:w="2480" w:type="dxa"/>
            <w:vAlign w:val="bottom"/>
          </w:tcPr>
          <w:p>
            <w:pPr>
              <w:ind w:left="20"/>
              <w:spacing w:after="0" w:line="169" w:lineRule="exact"/>
              <w:rPr>
                <w:sz w:val="20"/>
                <w:szCs w:val="20"/>
                <w:color w:val="auto"/>
              </w:rPr>
            </w:pPr>
            <w:r>
              <w:rPr>
                <w:rFonts w:ascii="Calibri" w:cs="Calibri" w:eastAsia="Calibri" w:hAnsi="Calibri"/>
                <w:sz w:val="14"/>
                <w:szCs w:val="14"/>
                <w:color w:val="494949"/>
              </w:rPr>
              <w:t>Arthur E. Johnson</w:t>
            </w:r>
          </w:p>
        </w:tc>
        <w:tc>
          <w:tcPr>
            <w:tcW w:w="1480" w:type="dxa"/>
            <w:vAlign w:val="bottom"/>
          </w:tcPr>
          <w:p>
            <w:pPr>
              <w:jc w:val="right"/>
              <w:spacing w:after="0" w:line="199" w:lineRule="exact"/>
              <w:rPr>
                <w:sz w:val="20"/>
                <w:szCs w:val="20"/>
                <w:color w:val="auto"/>
              </w:rPr>
            </w:pPr>
            <w:r>
              <w:rPr>
                <w:rFonts w:ascii="Calibri" w:cs="Calibri" w:eastAsia="Calibri" w:hAnsi="Calibri"/>
                <w:sz w:val="14"/>
                <w:szCs w:val="14"/>
                <w:color w:val="494949"/>
              </w:rPr>
              <w:t>120,000</w:t>
            </w:r>
            <w:r>
              <w:rPr>
                <w:rFonts w:ascii="Calibri" w:cs="Calibri" w:eastAsia="Calibri" w:hAnsi="Calibri"/>
                <w:sz w:val="18"/>
                <w:szCs w:val="18"/>
                <w:color w:val="494949"/>
                <w:vertAlign w:val="superscript"/>
              </w:rPr>
              <w:t>(8)</w:t>
            </w:r>
          </w:p>
        </w:tc>
        <w:tc>
          <w:tcPr>
            <w:tcW w:w="240" w:type="dxa"/>
            <w:vAlign w:val="bottom"/>
          </w:tcPr>
          <w:p>
            <w:pPr>
              <w:spacing w:after="0"/>
              <w:rPr>
                <w:sz w:val="17"/>
                <w:szCs w:val="17"/>
                <w:color w:val="auto"/>
              </w:rPr>
            </w:pPr>
          </w:p>
        </w:tc>
        <w:tc>
          <w:tcPr>
            <w:tcW w:w="1420" w:type="dxa"/>
            <w:vAlign w:val="bottom"/>
          </w:tcPr>
          <w:p>
            <w:pPr>
              <w:jc w:val="right"/>
              <w:spacing w:after="0" w:line="199" w:lineRule="exact"/>
              <w:rPr>
                <w:sz w:val="20"/>
                <w:szCs w:val="20"/>
                <w:color w:val="auto"/>
              </w:rPr>
            </w:pPr>
            <w:r>
              <w:rPr>
                <w:rFonts w:ascii="Calibri" w:cs="Calibri" w:eastAsia="Calibri" w:hAnsi="Calibri"/>
                <w:sz w:val="14"/>
                <w:szCs w:val="14"/>
                <w:color w:val="494949"/>
              </w:rPr>
              <w:t>200,031</w:t>
            </w:r>
            <w:r>
              <w:rPr>
                <w:rFonts w:ascii="Calibri" w:cs="Calibri" w:eastAsia="Calibri" w:hAnsi="Calibri"/>
                <w:sz w:val="18"/>
                <w:szCs w:val="18"/>
                <w:color w:val="494949"/>
                <w:vertAlign w:val="superscript"/>
              </w:rPr>
              <w:t>(8)</w:t>
            </w:r>
          </w:p>
        </w:tc>
        <w:tc>
          <w:tcPr>
            <w:tcW w:w="240" w:type="dxa"/>
            <w:vAlign w:val="bottom"/>
          </w:tcPr>
          <w:p>
            <w:pPr>
              <w:spacing w:after="0"/>
              <w:rPr>
                <w:sz w:val="17"/>
                <w:szCs w:val="17"/>
                <w:color w:val="auto"/>
              </w:rPr>
            </w:pPr>
          </w:p>
        </w:tc>
        <w:tc>
          <w:tcPr>
            <w:tcW w:w="1460" w:type="dxa"/>
            <w:vAlign w:val="bottom"/>
          </w:tcPr>
          <w:p>
            <w:pPr>
              <w:jc w:val="right"/>
              <w:spacing w:after="0" w:line="169" w:lineRule="exact"/>
              <w:rPr>
                <w:sz w:val="20"/>
                <w:szCs w:val="20"/>
                <w:color w:val="auto"/>
              </w:rPr>
            </w:pPr>
            <w:r>
              <w:rPr>
                <w:rFonts w:ascii="Calibri" w:cs="Calibri" w:eastAsia="Calibri" w:hAnsi="Calibri"/>
                <w:sz w:val="14"/>
                <w:szCs w:val="14"/>
                <w:color w:val="494949"/>
              </w:rPr>
              <w:t>320,031</w:t>
            </w:r>
          </w:p>
        </w:tc>
      </w:tr>
      <w:tr>
        <w:trPr>
          <w:trHeight w:val="199"/>
        </w:trPr>
        <w:tc>
          <w:tcPr>
            <w:tcW w:w="248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494949"/>
              </w:rPr>
              <w:t>Gretchen W. McClain</w:t>
            </w:r>
          </w:p>
        </w:tc>
        <w:tc>
          <w:tcPr>
            <w:tcW w:w="1480" w:type="dxa"/>
            <w:vAlign w:val="bottom"/>
            <w:shd w:val="clear" w:color="auto" w:fill="CCEEFF"/>
          </w:tcPr>
          <w:p>
            <w:pPr>
              <w:jc w:val="right"/>
              <w:spacing w:after="0" w:line="199" w:lineRule="exact"/>
              <w:rPr>
                <w:sz w:val="20"/>
                <w:szCs w:val="20"/>
                <w:color w:val="auto"/>
              </w:rPr>
            </w:pPr>
            <w:r>
              <w:rPr>
                <w:rFonts w:ascii="Calibri" w:cs="Calibri" w:eastAsia="Calibri" w:hAnsi="Calibri"/>
                <w:sz w:val="14"/>
                <w:szCs w:val="14"/>
                <w:color w:val="494949"/>
              </w:rPr>
              <w:t>140,000</w:t>
            </w:r>
            <w:r>
              <w:rPr>
                <w:rFonts w:ascii="Calibri" w:cs="Calibri" w:eastAsia="Calibri" w:hAnsi="Calibri"/>
                <w:sz w:val="18"/>
                <w:szCs w:val="18"/>
                <w:color w:val="494949"/>
                <w:vertAlign w:val="superscript"/>
              </w:rPr>
              <w:t>(9)</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199" w:lineRule="exact"/>
              <w:rPr>
                <w:sz w:val="20"/>
                <w:szCs w:val="20"/>
                <w:color w:val="auto"/>
              </w:rPr>
            </w:pPr>
            <w:r>
              <w:rPr>
                <w:rFonts w:ascii="Calibri" w:cs="Calibri" w:eastAsia="Calibri" w:hAnsi="Calibri"/>
                <w:sz w:val="14"/>
                <w:szCs w:val="14"/>
                <w:color w:val="494949"/>
              </w:rPr>
              <w:t>200,059</w:t>
            </w:r>
            <w:r>
              <w:rPr>
                <w:rFonts w:ascii="Calibri" w:cs="Calibri" w:eastAsia="Calibri" w:hAnsi="Calibri"/>
                <w:sz w:val="18"/>
                <w:szCs w:val="18"/>
                <w:color w:val="494949"/>
                <w:vertAlign w:val="superscript"/>
              </w:rPr>
              <w:t>(9)</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494949"/>
              </w:rPr>
              <w:t>340,059</w:t>
            </w:r>
          </w:p>
        </w:tc>
      </w:tr>
      <w:tr>
        <w:trPr>
          <w:trHeight w:val="199"/>
        </w:trPr>
        <w:tc>
          <w:tcPr>
            <w:tcW w:w="2480" w:type="dxa"/>
            <w:vAlign w:val="bottom"/>
          </w:tcPr>
          <w:p>
            <w:pPr>
              <w:ind w:left="20"/>
              <w:spacing w:after="0" w:line="169" w:lineRule="exact"/>
              <w:rPr>
                <w:sz w:val="20"/>
                <w:szCs w:val="20"/>
                <w:color w:val="auto"/>
              </w:rPr>
            </w:pPr>
            <w:r>
              <w:rPr>
                <w:rFonts w:ascii="Calibri" w:cs="Calibri" w:eastAsia="Calibri" w:hAnsi="Calibri"/>
                <w:sz w:val="14"/>
                <w:szCs w:val="14"/>
                <w:color w:val="494949"/>
              </w:rPr>
              <w:t>Charles O. Rossot</w:t>
            </w:r>
          </w:p>
        </w:tc>
        <w:tc>
          <w:tcPr>
            <w:tcW w:w="1480" w:type="dxa"/>
            <w:vAlign w:val="bottom"/>
          </w:tcPr>
          <w:p>
            <w:pPr>
              <w:jc w:val="right"/>
              <w:spacing w:after="0" w:line="199" w:lineRule="exact"/>
              <w:rPr>
                <w:sz w:val="20"/>
                <w:szCs w:val="20"/>
                <w:color w:val="auto"/>
              </w:rPr>
            </w:pPr>
            <w:r>
              <w:rPr>
                <w:rFonts w:ascii="Calibri" w:cs="Calibri" w:eastAsia="Calibri" w:hAnsi="Calibri"/>
                <w:sz w:val="14"/>
                <w:szCs w:val="14"/>
                <w:color w:val="494949"/>
              </w:rPr>
              <w:t>120,000</w:t>
            </w:r>
            <w:r>
              <w:rPr>
                <w:rFonts w:ascii="Calibri" w:cs="Calibri" w:eastAsia="Calibri" w:hAnsi="Calibri"/>
                <w:sz w:val="18"/>
                <w:szCs w:val="18"/>
                <w:color w:val="494949"/>
                <w:vertAlign w:val="superscript"/>
              </w:rPr>
              <w:t>(10)</w:t>
            </w:r>
          </w:p>
        </w:tc>
        <w:tc>
          <w:tcPr>
            <w:tcW w:w="240" w:type="dxa"/>
            <w:vAlign w:val="bottom"/>
          </w:tcPr>
          <w:p>
            <w:pPr>
              <w:spacing w:after="0"/>
              <w:rPr>
                <w:sz w:val="17"/>
                <w:szCs w:val="17"/>
                <w:color w:val="auto"/>
              </w:rPr>
            </w:pPr>
          </w:p>
        </w:tc>
        <w:tc>
          <w:tcPr>
            <w:tcW w:w="1420" w:type="dxa"/>
            <w:vAlign w:val="bottom"/>
          </w:tcPr>
          <w:p>
            <w:pPr>
              <w:jc w:val="right"/>
              <w:spacing w:after="0" w:line="199" w:lineRule="exact"/>
              <w:rPr>
                <w:sz w:val="20"/>
                <w:szCs w:val="20"/>
                <w:color w:val="auto"/>
              </w:rPr>
            </w:pPr>
            <w:r>
              <w:rPr>
                <w:rFonts w:ascii="Calibri" w:cs="Calibri" w:eastAsia="Calibri" w:hAnsi="Calibri"/>
                <w:sz w:val="14"/>
                <w:szCs w:val="14"/>
                <w:color w:val="494949"/>
              </w:rPr>
              <w:t>200,033</w:t>
            </w:r>
            <w:r>
              <w:rPr>
                <w:rFonts w:ascii="Calibri" w:cs="Calibri" w:eastAsia="Calibri" w:hAnsi="Calibri"/>
                <w:sz w:val="18"/>
                <w:szCs w:val="18"/>
                <w:color w:val="494949"/>
                <w:vertAlign w:val="superscript"/>
              </w:rPr>
              <w:t>(10)</w:t>
            </w:r>
          </w:p>
        </w:tc>
        <w:tc>
          <w:tcPr>
            <w:tcW w:w="240" w:type="dxa"/>
            <w:vAlign w:val="bottom"/>
          </w:tcPr>
          <w:p>
            <w:pPr>
              <w:spacing w:after="0"/>
              <w:rPr>
                <w:sz w:val="17"/>
                <w:szCs w:val="17"/>
                <w:color w:val="auto"/>
              </w:rPr>
            </w:pPr>
          </w:p>
        </w:tc>
        <w:tc>
          <w:tcPr>
            <w:tcW w:w="1460" w:type="dxa"/>
            <w:vAlign w:val="bottom"/>
          </w:tcPr>
          <w:p>
            <w:pPr>
              <w:jc w:val="right"/>
              <w:spacing w:after="0" w:line="169" w:lineRule="exact"/>
              <w:rPr>
                <w:sz w:val="20"/>
                <w:szCs w:val="20"/>
                <w:color w:val="auto"/>
              </w:rPr>
            </w:pPr>
            <w:r>
              <w:rPr>
                <w:rFonts w:ascii="Calibri" w:cs="Calibri" w:eastAsia="Calibri" w:hAnsi="Calibri"/>
                <w:sz w:val="14"/>
                <w:szCs w:val="14"/>
                <w:color w:val="494949"/>
              </w:rPr>
              <w:t>320,033</w:t>
            </w:r>
          </w:p>
        </w:tc>
      </w:tr>
      <w:tr>
        <w:trPr>
          <w:trHeight w:val="199"/>
        </w:trPr>
        <w:tc>
          <w:tcPr>
            <w:tcW w:w="248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494949"/>
              </w:rPr>
              <w:t>Ralph W. Shrader</w:t>
            </w:r>
          </w:p>
        </w:tc>
        <w:tc>
          <w:tcPr>
            <w:tcW w:w="1480" w:type="dxa"/>
            <w:vAlign w:val="bottom"/>
            <w:shd w:val="clear" w:color="auto" w:fill="CCEEFF"/>
          </w:tcPr>
          <w:p>
            <w:pPr>
              <w:jc w:val="right"/>
              <w:spacing w:after="0" w:line="199" w:lineRule="exact"/>
              <w:rPr>
                <w:sz w:val="20"/>
                <w:szCs w:val="20"/>
                <w:color w:val="auto"/>
              </w:rPr>
            </w:pPr>
            <w:r>
              <w:rPr>
                <w:rFonts w:ascii="Calibri" w:cs="Calibri" w:eastAsia="Calibri" w:hAnsi="Calibri"/>
                <w:sz w:val="14"/>
                <w:szCs w:val="14"/>
                <w:color w:val="494949"/>
              </w:rPr>
              <w:t>320,000</w:t>
            </w:r>
            <w:r>
              <w:rPr>
                <w:rFonts w:ascii="Calibri" w:cs="Calibri" w:eastAsia="Calibri" w:hAnsi="Calibri"/>
                <w:sz w:val="18"/>
                <w:szCs w:val="18"/>
                <w:color w:val="494949"/>
                <w:vertAlign w:val="superscript"/>
              </w:rPr>
              <w:t>(11)</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199" w:lineRule="exact"/>
              <w:rPr>
                <w:sz w:val="20"/>
                <w:szCs w:val="20"/>
                <w:color w:val="auto"/>
              </w:rPr>
            </w:pPr>
            <w:r>
              <w:rPr>
                <w:rFonts w:ascii="Calibri" w:cs="Calibri" w:eastAsia="Calibri" w:hAnsi="Calibri"/>
                <w:sz w:val="14"/>
                <w:szCs w:val="14"/>
                <w:color w:val="494949"/>
              </w:rPr>
              <w:t>200,031</w:t>
            </w:r>
            <w:r>
              <w:rPr>
                <w:rFonts w:ascii="Calibri" w:cs="Calibri" w:eastAsia="Calibri" w:hAnsi="Calibri"/>
                <w:sz w:val="18"/>
                <w:szCs w:val="18"/>
                <w:color w:val="494949"/>
                <w:vertAlign w:val="superscript"/>
              </w:rPr>
              <w:t>(11)</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494949"/>
              </w:rPr>
              <w:t>520,031</w:t>
            </w:r>
          </w:p>
        </w:tc>
      </w:tr>
    </w:tbl>
    <w:p>
      <w:pPr>
        <w:spacing w:after="0" w:line="224" w:lineRule="exact"/>
        <w:rPr>
          <w:sz w:val="20"/>
          <w:szCs w:val="20"/>
          <w:color w:val="auto"/>
        </w:rPr>
      </w:pPr>
    </w:p>
    <w:p>
      <w:pPr>
        <w:jc w:val="both"/>
        <w:ind w:left="560" w:hanging="394"/>
        <w:spacing w:after="0" w:line="237" w:lineRule="auto"/>
        <w:tabs>
          <w:tab w:leader="none" w:pos="558" w:val="left"/>
        </w:tabs>
        <w:numPr>
          <w:ilvl w:val="0"/>
          <w:numId w:val="29"/>
        </w:numPr>
        <w:rPr>
          <w:rFonts w:ascii="Calibri" w:cs="Calibri" w:eastAsia="Calibri" w:hAnsi="Calibri"/>
          <w:sz w:val="14"/>
          <w:szCs w:val="14"/>
          <w:color w:val="666666"/>
        </w:rPr>
      </w:pPr>
      <w:r>
        <w:rPr>
          <w:rFonts w:ascii="Calibri" w:cs="Calibri" w:eastAsia="Calibri" w:hAnsi="Calibri"/>
          <w:sz w:val="14"/>
          <w:szCs w:val="14"/>
          <w:color w:val="666666"/>
        </w:rPr>
        <w:t>This column represents the grant date fair value of the stock awards granted to our directors in fscal year 2022. Where the stock awards were the result of voluntary electons to receive cash retainers in stock, the value refected in the Stock Awards column represents only the excess of the fair market value of the stock awards over the cash retainer amount paid if in the form of stock. The aggregate fair value of the awards was computed in accordance with FASB ASC Topic 718 using the valuaton methodology and assumptons set forth in Note 18 to our fnancial statements for the fscal year ended March 31, 2022, which are incorporated by reference herein, modifed to exclude any forfeiture assumptons related to service-based vestng conditons. The amounts in this column do not refect the value, if any, that ultmately may be realized by the director.</w:t>
      </w:r>
    </w:p>
    <w:p>
      <w:pPr>
        <w:spacing w:after="0" w:line="112" w:lineRule="exact"/>
        <w:rPr>
          <w:rFonts w:ascii="Calibri" w:cs="Calibri" w:eastAsia="Calibri" w:hAnsi="Calibri"/>
          <w:sz w:val="14"/>
          <w:szCs w:val="14"/>
          <w:color w:val="666666"/>
        </w:rPr>
      </w:pPr>
    </w:p>
    <w:p>
      <w:pPr>
        <w:ind w:left="560" w:hanging="394"/>
        <w:spacing w:after="0" w:line="229" w:lineRule="auto"/>
        <w:tabs>
          <w:tab w:leader="none" w:pos="558" w:val="left"/>
        </w:tabs>
        <w:numPr>
          <w:ilvl w:val="0"/>
          <w:numId w:val="29"/>
        </w:numPr>
        <w:rPr>
          <w:rFonts w:ascii="Calibri" w:cs="Calibri" w:eastAsia="Calibri" w:hAnsi="Calibri"/>
          <w:sz w:val="14"/>
          <w:szCs w:val="14"/>
          <w:color w:val="666666"/>
        </w:rPr>
      </w:pPr>
      <w:r>
        <w:rPr>
          <w:rFonts w:ascii="Calibri" w:cs="Calibri" w:eastAsia="Calibri" w:hAnsi="Calibri"/>
          <w:sz w:val="14"/>
          <w:szCs w:val="14"/>
          <w:color w:val="666666"/>
        </w:rPr>
        <w:t>Ms. Amble elected to receive her annual retainer in a combinaton of cash and restricted stock, and was granted a total of 2,900 shares of restricted stock in lieu of the annual retainer and for her annual equity grant. The grant date fair market value of the shares was $240,004, based on the $82.76 closing price of our stock on the August 3, 2021 grant date.</w:t>
      </w:r>
    </w:p>
    <w:p>
      <w:pPr>
        <w:spacing w:after="0" w:line="112" w:lineRule="exact"/>
        <w:rPr>
          <w:rFonts w:ascii="Calibri" w:cs="Calibri" w:eastAsia="Calibri" w:hAnsi="Calibri"/>
          <w:sz w:val="14"/>
          <w:szCs w:val="14"/>
          <w:color w:val="666666"/>
        </w:rPr>
      </w:pPr>
    </w:p>
    <w:p>
      <w:pPr>
        <w:ind w:left="560" w:hanging="394"/>
        <w:spacing w:after="0" w:line="239" w:lineRule="auto"/>
        <w:tabs>
          <w:tab w:leader="none" w:pos="558" w:val="left"/>
        </w:tabs>
        <w:numPr>
          <w:ilvl w:val="0"/>
          <w:numId w:val="29"/>
        </w:numPr>
        <w:rPr>
          <w:rFonts w:ascii="Calibri" w:cs="Calibri" w:eastAsia="Calibri" w:hAnsi="Calibri"/>
          <w:sz w:val="14"/>
          <w:szCs w:val="14"/>
          <w:color w:val="666666"/>
        </w:rPr>
      </w:pPr>
      <w:r>
        <w:rPr>
          <w:rFonts w:ascii="Calibri" w:cs="Calibri" w:eastAsia="Calibri" w:hAnsi="Calibri"/>
          <w:sz w:val="14"/>
          <w:szCs w:val="14"/>
          <w:color w:val="666666"/>
        </w:rPr>
        <w:t>Ms. Barnes elected to receive her annual retainer in the form of cash, and was granted a total of 2,417 shares of restricted stock for her annual equity grant. The grant date fair market value of the shares was $200,031, based on the $82.76 closing price of our stock on the August 3, 2021 grant date.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22</w:t>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390" w:lineRule="exact"/>
        <w:rPr>
          <w:sz w:val="20"/>
          <w:szCs w:val="20"/>
          <w:color w:val="auto"/>
        </w:rPr>
      </w:pPr>
    </w:p>
    <w:p>
      <w:pPr>
        <w:ind w:left="560" w:hanging="394"/>
        <w:spacing w:after="0" w:line="239" w:lineRule="auto"/>
        <w:tabs>
          <w:tab w:leader="none" w:pos="558" w:val="left"/>
        </w:tabs>
        <w:numPr>
          <w:ilvl w:val="0"/>
          <w:numId w:val="30"/>
        </w:numPr>
        <w:rPr>
          <w:rFonts w:ascii="Calibri" w:cs="Calibri" w:eastAsia="Calibri" w:hAnsi="Calibri"/>
          <w:sz w:val="14"/>
          <w:szCs w:val="14"/>
          <w:color w:val="666666"/>
        </w:rPr>
      </w:pPr>
      <w:r>
        <w:rPr>
          <w:rFonts w:ascii="Calibri" w:cs="Calibri" w:eastAsia="Calibri" w:hAnsi="Calibri"/>
          <w:sz w:val="14"/>
          <w:szCs w:val="14"/>
          <w:color w:val="666666"/>
        </w:rPr>
        <w:t>Ms. Flournoy elected to receive her annual retainer in the form of cash, and was granted a total of 2,417 shares of restricted stock for her annual equity grant. The grant date fair market value of the shares was $200,031, based on the $82.76 closing price of our stock on the August 3, 2021 grant date.</w:t>
      </w:r>
    </w:p>
    <w:p>
      <w:pPr>
        <w:spacing w:after="0" w:line="111" w:lineRule="exact"/>
        <w:rPr>
          <w:rFonts w:ascii="Calibri" w:cs="Calibri" w:eastAsia="Calibri" w:hAnsi="Calibri"/>
          <w:sz w:val="14"/>
          <w:szCs w:val="14"/>
          <w:color w:val="666666"/>
        </w:rPr>
      </w:pPr>
    </w:p>
    <w:p>
      <w:pPr>
        <w:jc w:val="both"/>
        <w:ind w:left="560" w:hanging="394"/>
        <w:spacing w:after="0" w:line="234" w:lineRule="auto"/>
        <w:tabs>
          <w:tab w:leader="none" w:pos="558" w:val="left"/>
        </w:tabs>
        <w:numPr>
          <w:ilvl w:val="0"/>
          <w:numId w:val="30"/>
        </w:numPr>
        <w:rPr>
          <w:rFonts w:ascii="Calibri" w:cs="Calibri" w:eastAsia="Calibri" w:hAnsi="Calibri"/>
          <w:sz w:val="14"/>
          <w:szCs w:val="14"/>
          <w:color w:val="666666"/>
        </w:rPr>
      </w:pPr>
      <w:r>
        <w:rPr>
          <w:rFonts w:ascii="Calibri" w:cs="Calibri" w:eastAsia="Calibri" w:hAnsi="Calibri"/>
          <w:sz w:val="14"/>
          <w:szCs w:val="14"/>
          <w:color w:val="666666"/>
        </w:rPr>
        <w:t>Mr. Fujiyama elected to receive his annual retainer and his additonal payment for service as the chair of the Nominatng and Corporate Governance Commitee in the form of restricted stock, and was granted a total of 4,048 shares of restricted stock for his annual equity grant and in lieu of the annual retainer and $15,000 for the chair retainer. The grant date fair market value of the shares was $335,012, based on the $82.76 closing price of our stock on the August 3, 2021 grant date.</w:t>
      </w:r>
    </w:p>
    <w:p>
      <w:pPr>
        <w:spacing w:after="0" w:line="111" w:lineRule="exact"/>
        <w:rPr>
          <w:rFonts w:ascii="Calibri" w:cs="Calibri" w:eastAsia="Calibri" w:hAnsi="Calibri"/>
          <w:sz w:val="14"/>
          <w:szCs w:val="14"/>
          <w:color w:val="666666"/>
        </w:rPr>
      </w:pPr>
    </w:p>
    <w:p>
      <w:pPr>
        <w:jc w:val="both"/>
        <w:ind w:left="560" w:right="20" w:hanging="394"/>
        <w:spacing w:after="0"/>
        <w:tabs>
          <w:tab w:leader="none" w:pos="558" w:val="left"/>
        </w:tabs>
        <w:numPr>
          <w:ilvl w:val="0"/>
          <w:numId w:val="30"/>
        </w:numPr>
        <w:rPr>
          <w:rFonts w:ascii="Calibri" w:cs="Calibri" w:eastAsia="Calibri" w:hAnsi="Calibri"/>
          <w:sz w:val="14"/>
          <w:szCs w:val="14"/>
          <w:color w:val="666666"/>
        </w:rPr>
      </w:pPr>
      <w:r>
        <w:rPr>
          <w:rFonts w:ascii="Calibri" w:cs="Calibri" w:eastAsia="Calibri" w:hAnsi="Calibri"/>
          <w:sz w:val="14"/>
          <w:szCs w:val="14"/>
          <w:color w:val="666666"/>
        </w:rPr>
        <w:t>Mr. Gaumond elected to receive his annual retainer in the form of cash and his additonal payment for service as the chair of the Audit Commitee in the form of restricted stock, and was awarded a total of 2,780 shares of restricted stock in lieu of $30,000 for the chair retainer and for his annual equity grant. The grant date fair market value of the shares was $230,073, based on the $82.76 closing price of our stock on the August 3, 2021 grant date.</w:t>
      </w:r>
    </w:p>
    <w:p>
      <w:pPr>
        <w:spacing w:after="0" w:line="98" w:lineRule="exact"/>
        <w:rPr>
          <w:rFonts w:ascii="Calibri" w:cs="Calibri" w:eastAsia="Calibri" w:hAnsi="Calibri"/>
          <w:sz w:val="14"/>
          <w:szCs w:val="14"/>
          <w:color w:val="666666"/>
        </w:rPr>
      </w:pPr>
    </w:p>
    <w:p>
      <w:pPr>
        <w:ind w:left="560" w:hanging="394"/>
        <w:spacing w:after="0" w:line="239" w:lineRule="auto"/>
        <w:tabs>
          <w:tab w:leader="none" w:pos="558" w:val="left"/>
        </w:tabs>
        <w:numPr>
          <w:ilvl w:val="0"/>
          <w:numId w:val="30"/>
        </w:numPr>
        <w:rPr>
          <w:rFonts w:ascii="Calibri" w:cs="Calibri" w:eastAsia="Calibri" w:hAnsi="Calibri"/>
          <w:sz w:val="14"/>
          <w:szCs w:val="14"/>
          <w:color w:val="666666"/>
        </w:rPr>
      </w:pPr>
      <w:r>
        <w:rPr>
          <w:rFonts w:ascii="Calibri" w:cs="Calibri" w:eastAsia="Calibri" w:hAnsi="Calibri"/>
          <w:sz w:val="14"/>
          <w:szCs w:val="14"/>
          <w:color w:val="666666"/>
        </w:rPr>
        <w:t>Ms. Jewet elected to receive her annual retainer in the form of cash, and was granted a total of 2,417 shares of restricted stock for her annual equity grant. The grant date fair market value of the shares was $200,031, based on the $82.76 closing price of our stock on the August 3, 2021 grant date.</w:t>
      </w:r>
    </w:p>
    <w:p>
      <w:pPr>
        <w:spacing w:after="0" w:line="111" w:lineRule="exact"/>
        <w:rPr>
          <w:rFonts w:ascii="Calibri" w:cs="Calibri" w:eastAsia="Calibri" w:hAnsi="Calibri"/>
          <w:sz w:val="14"/>
          <w:szCs w:val="14"/>
          <w:color w:val="666666"/>
        </w:rPr>
      </w:pPr>
    </w:p>
    <w:p>
      <w:pPr>
        <w:ind w:left="560" w:hanging="394"/>
        <w:spacing w:after="0" w:line="239" w:lineRule="auto"/>
        <w:tabs>
          <w:tab w:leader="none" w:pos="558" w:val="left"/>
        </w:tabs>
        <w:numPr>
          <w:ilvl w:val="0"/>
          <w:numId w:val="30"/>
        </w:numPr>
        <w:rPr>
          <w:rFonts w:ascii="Calibri" w:cs="Calibri" w:eastAsia="Calibri" w:hAnsi="Calibri"/>
          <w:sz w:val="14"/>
          <w:szCs w:val="14"/>
          <w:color w:val="666666"/>
        </w:rPr>
      </w:pPr>
      <w:r>
        <w:rPr>
          <w:rFonts w:ascii="Calibri" w:cs="Calibri" w:eastAsia="Calibri" w:hAnsi="Calibri"/>
          <w:sz w:val="14"/>
          <w:szCs w:val="14"/>
          <w:color w:val="666666"/>
        </w:rPr>
        <w:t>Mr. Johnson elected to receive his annual retainer in the form of cash, and was granted a total of 2,417 shares of restricted stock for his annual equity grant. The grant date fair market value of the shares was $200,031, based on the $82.76 closing price of our stock on the August 3, 2021 grant date.</w:t>
      </w:r>
    </w:p>
    <w:p>
      <w:pPr>
        <w:spacing w:after="0" w:line="111" w:lineRule="exact"/>
        <w:rPr>
          <w:rFonts w:ascii="Calibri" w:cs="Calibri" w:eastAsia="Calibri" w:hAnsi="Calibri"/>
          <w:sz w:val="14"/>
          <w:szCs w:val="14"/>
          <w:color w:val="666666"/>
        </w:rPr>
      </w:pPr>
    </w:p>
    <w:p>
      <w:pPr>
        <w:jc w:val="both"/>
        <w:ind w:left="560" w:hanging="394"/>
        <w:spacing w:after="0" w:line="234" w:lineRule="auto"/>
        <w:tabs>
          <w:tab w:leader="none" w:pos="558" w:val="left"/>
        </w:tabs>
        <w:numPr>
          <w:ilvl w:val="0"/>
          <w:numId w:val="30"/>
        </w:numPr>
        <w:rPr>
          <w:rFonts w:ascii="Calibri" w:cs="Calibri" w:eastAsia="Calibri" w:hAnsi="Calibri"/>
          <w:sz w:val="14"/>
          <w:szCs w:val="14"/>
          <w:color w:val="666666"/>
        </w:rPr>
      </w:pPr>
      <w:r>
        <w:rPr>
          <w:rFonts w:ascii="Calibri" w:cs="Calibri" w:eastAsia="Calibri" w:hAnsi="Calibri"/>
          <w:sz w:val="14"/>
          <w:szCs w:val="14"/>
          <w:color w:val="666666"/>
        </w:rPr>
        <w:t>Ms. McClain elected to receive her annual retainer in the form of cash and her additonal payment for service as the chair of the Compensaton, Culture and People Commitee in the form of restricted stock, and was granted a total 2,659 shares of restricted stock in lieu of $20,000 for the chair retainer and for her annual equity grant. The grant date fair market value of the shares was $220,059, based on the $82.76 closing price of our stock on the August 3, 2021 grant date.</w:t>
      </w:r>
    </w:p>
    <w:p>
      <w:pPr>
        <w:spacing w:after="0" w:line="111" w:lineRule="exact"/>
        <w:rPr>
          <w:rFonts w:ascii="Calibri" w:cs="Calibri" w:eastAsia="Calibri" w:hAnsi="Calibri"/>
          <w:sz w:val="14"/>
          <w:szCs w:val="14"/>
          <w:color w:val="666666"/>
        </w:rPr>
      </w:pPr>
    </w:p>
    <w:p>
      <w:pPr>
        <w:ind w:left="560" w:hanging="394"/>
        <w:spacing w:after="0" w:line="239" w:lineRule="auto"/>
        <w:tabs>
          <w:tab w:leader="none" w:pos="550" w:val="left"/>
        </w:tabs>
        <w:numPr>
          <w:ilvl w:val="0"/>
          <w:numId w:val="30"/>
        </w:numPr>
        <w:rPr>
          <w:rFonts w:ascii="Calibri" w:cs="Calibri" w:eastAsia="Calibri" w:hAnsi="Calibri"/>
          <w:sz w:val="14"/>
          <w:szCs w:val="14"/>
          <w:color w:val="666666"/>
        </w:rPr>
      </w:pPr>
      <w:r>
        <w:rPr>
          <w:rFonts w:ascii="Calibri" w:cs="Calibri" w:eastAsia="Calibri" w:hAnsi="Calibri"/>
          <w:sz w:val="14"/>
          <w:szCs w:val="14"/>
          <w:color w:val="666666"/>
        </w:rPr>
        <w:t>Mr. Rossot elected to receive his annual retainer in the form of restricted stock, and was granted a total of 3,867 shares of restricted stock in lieu of the annual retainer and for his annual equity grant. The grant date fair market value of the shares was $320,033, based on the $82.76 closing price of our stock on the August 3, 2021 grant date.</w:t>
      </w:r>
    </w:p>
    <w:p>
      <w:pPr>
        <w:spacing w:after="0" w:line="111" w:lineRule="exact"/>
        <w:rPr>
          <w:rFonts w:ascii="Calibri" w:cs="Calibri" w:eastAsia="Calibri" w:hAnsi="Calibri"/>
          <w:sz w:val="14"/>
          <w:szCs w:val="14"/>
          <w:color w:val="666666"/>
        </w:rPr>
      </w:pPr>
    </w:p>
    <w:p>
      <w:pPr>
        <w:ind w:left="560" w:hanging="394"/>
        <w:spacing w:after="0" w:line="229" w:lineRule="auto"/>
        <w:tabs>
          <w:tab w:leader="none" w:pos="550" w:val="left"/>
        </w:tabs>
        <w:numPr>
          <w:ilvl w:val="0"/>
          <w:numId w:val="30"/>
        </w:numPr>
        <w:rPr>
          <w:rFonts w:ascii="Calibri" w:cs="Calibri" w:eastAsia="Calibri" w:hAnsi="Calibri"/>
          <w:sz w:val="14"/>
          <w:szCs w:val="14"/>
          <w:color w:val="666666"/>
        </w:rPr>
      </w:pPr>
      <w:r>
        <w:rPr>
          <w:rFonts w:ascii="Calibri" w:cs="Calibri" w:eastAsia="Calibri" w:hAnsi="Calibri"/>
          <w:sz w:val="14"/>
          <w:szCs w:val="14"/>
          <w:color w:val="666666"/>
        </w:rPr>
        <w:t>Dr. Shrader elected to receive his annual retainer as Chair in the form of cash, and was granted 2,417 shares of restricted stock for his annual equity grant. The grant date fair market value of the shares was $200,031, based on the $82.76 closing price of our stock on the August 3, 2021 grant date.</w:t>
      </w:r>
    </w:p>
    <w:p>
      <w:pPr>
        <w:spacing w:after="0" w:line="109" w:lineRule="exact"/>
        <w:rPr>
          <w:rFonts w:ascii="Calibri" w:cs="Calibri" w:eastAsia="Calibri" w:hAnsi="Calibri"/>
          <w:sz w:val="14"/>
          <w:szCs w:val="14"/>
          <w:color w:val="666666"/>
        </w:rPr>
      </w:pPr>
    </w:p>
    <w:p>
      <w:pPr>
        <w:ind w:left="560" w:hanging="394"/>
        <w:spacing w:after="0"/>
        <w:tabs>
          <w:tab w:leader="none" w:pos="560" w:val="left"/>
        </w:tabs>
        <w:numPr>
          <w:ilvl w:val="0"/>
          <w:numId w:val="30"/>
        </w:numPr>
        <w:rPr>
          <w:rFonts w:ascii="Calibri" w:cs="Calibri" w:eastAsia="Calibri" w:hAnsi="Calibri"/>
          <w:sz w:val="14"/>
          <w:szCs w:val="14"/>
          <w:color w:val="666666"/>
        </w:rPr>
      </w:pPr>
      <w:r>
        <w:rPr>
          <w:rFonts w:ascii="Calibri" w:cs="Calibri" w:eastAsia="Calibri" w:hAnsi="Calibri"/>
          <w:sz w:val="14"/>
          <w:szCs w:val="14"/>
          <w:color w:val="666666"/>
        </w:rPr>
        <w:t>The following table sets forth the aggregate number of equity awards outstanding at the end of fscal year 2022.</w:t>
      </w:r>
    </w:p>
    <w:p>
      <w:pPr>
        <w:spacing w:after="0" w:line="167"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i w:val="1"/>
          <w:iCs w:val="1"/>
          <w:color w:val="494949"/>
        </w:rPr>
        <w:t>Equity Awards for Service as a Director</w:t>
      </w:r>
    </w:p>
    <w:p>
      <w:pPr>
        <w:spacing w:after="0" w:line="201" w:lineRule="exact"/>
        <w:rPr>
          <w:sz w:val="20"/>
          <w:szCs w:val="20"/>
          <w:color w:val="auto"/>
        </w:rPr>
      </w:pPr>
    </w:p>
    <w:tbl>
      <w:tblPr>
        <w:tblLayout w:type="fixed"/>
        <w:tblInd w:w="3180" w:type="dxa"/>
        <w:tblCellMar>
          <w:top w:w="0" w:type="dxa"/>
          <w:left w:w="0" w:type="dxa"/>
          <w:bottom w:w="0" w:type="dxa"/>
          <w:right w:w="0" w:type="dxa"/>
        </w:tblCellMar>
      </w:tblPr>
      <w:tr>
        <w:trPr>
          <w:trHeight w:val="199"/>
        </w:trPr>
        <w:tc>
          <w:tcPr>
            <w:tcW w:w="3060" w:type="dxa"/>
            <w:vAlign w:val="bottom"/>
            <w:gridSpan w:val="2"/>
            <w:shd w:val="clear" w:color="auto" w:fill="CCEEFF"/>
          </w:tcPr>
          <w:p>
            <w:pPr>
              <w:ind w:left="1240"/>
              <w:spacing w:after="0"/>
              <w:rPr>
                <w:sz w:val="20"/>
                <w:szCs w:val="20"/>
                <w:color w:val="auto"/>
              </w:rPr>
            </w:pPr>
            <w:r>
              <w:rPr>
                <w:rFonts w:ascii="Calibri" w:cs="Calibri" w:eastAsia="Calibri" w:hAnsi="Calibri"/>
                <w:sz w:val="14"/>
                <w:szCs w:val="14"/>
                <w:b w:val="1"/>
                <w:bCs w:val="1"/>
                <w:color w:val="666666"/>
              </w:rPr>
              <w:t>Name</w:t>
            </w:r>
          </w:p>
        </w:tc>
        <w:tc>
          <w:tcPr>
            <w:tcW w:w="1860" w:type="dxa"/>
            <w:vAlign w:val="bottom"/>
            <w:shd w:val="clear" w:color="auto" w:fill="CCEEFF"/>
          </w:tcPr>
          <w:p>
            <w:pPr>
              <w:jc w:val="right"/>
              <w:ind w:right="9"/>
              <w:spacing w:after="0"/>
              <w:rPr>
                <w:sz w:val="20"/>
                <w:szCs w:val="20"/>
                <w:color w:val="auto"/>
              </w:rPr>
            </w:pPr>
            <w:r>
              <w:rPr>
                <w:rFonts w:ascii="Calibri" w:cs="Calibri" w:eastAsia="Calibri" w:hAnsi="Calibri"/>
                <w:sz w:val="14"/>
                <w:szCs w:val="14"/>
                <w:b w:val="1"/>
                <w:bCs w:val="1"/>
                <w:color w:val="666666"/>
              </w:rPr>
              <w:t>Unvested Restricted Stock(a)</w:t>
            </w:r>
          </w:p>
        </w:tc>
      </w:tr>
      <w:tr>
        <w:trPr>
          <w:trHeight w:val="161"/>
        </w:trPr>
        <w:tc>
          <w:tcPr>
            <w:tcW w:w="2820" w:type="dxa"/>
            <w:vAlign w:val="bottom"/>
            <w:tcBorders>
              <w:top w:val="single" w:sz="8" w:color="666666"/>
            </w:tcBorders>
          </w:tcPr>
          <w:p>
            <w:pPr>
              <w:ind w:left="20"/>
              <w:spacing w:after="0" w:line="161" w:lineRule="exact"/>
              <w:rPr>
                <w:sz w:val="20"/>
                <w:szCs w:val="20"/>
                <w:color w:val="auto"/>
              </w:rPr>
            </w:pPr>
            <w:r>
              <w:rPr>
                <w:rFonts w:ascii="Calibri" w:cs="Calibri" w:eastAsia="Calibri" w:hAnsi="Calibri"/>
                <w:sz w:val="14"/>
                <w:szCs w:val="14"/>
                <w:color w:val="666666"/>
              </w:rPr>
              <w:t>Joan Lordi C. Amble</w:t>
            </w:r>
          </w:p>
        </w:tc>
        <w:tc>
          <w:tcPr>
            <w:tcW w:w="240" w:type="dxa"/>
            <w:vAlign w:val="bottom"/>
          </w:tcPr>
          <w:p>
            <w:pPr>
              <w:spacing w:after="0"/>
              <w:rPr>
                <w:sz w:val="14"/>
                <w:szCs w:val="14"/>
                <w:color w:val="auto"/>
              </w:rPr>
            </w:pPr>
          </w:p>
        </w:tc>
        <w:tc>
          <w:tcPr>
            <w:tcW w:w="1860" w:type="dxa"/>
            <w:vAlign w:val="bottom"/>
            <w:tcBorders>
              <w:top w:val="single" w:sz="8" w:color="666666"/>
            </w:tcBorders>
          </w:tcPr>
          <w:p>
            <w:pPr>
              <w:jc w:val="right"/>
              <w:spacing w:after="0" w:line="161" w:lineRule="exact"/>
              <w:rPr>
                <w:sz w:val="20"/>
                <w:szCs w:val="20"/>
                <w:color w:val="auto"/>
              </w:rPr>
            </w:pPr>
            <w:r>
              <w:rPr>
                <w:rFonts w:ascii="Calibri" w:cs="Calibri" w:eastAsia="Calibri" w:hAnsi="Calibri"/>
                <w:sz w:val="14"/>
                <w:szCs w:val="14"/>
                <w:color w:val="666666"/>
              </w:rPr>
              <w:t>1,450</w:t>
            </w:r>
          </w:p>
        </w:tc>
      </w:tr>
      <w:tr>
        <w:trPr>
          <w:trHeight w:val="31"/>
        </w:trPr>
        <w:tc>
          <w:tcPr>
            <w:tcW w:w="2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179"/>
        </w:trPr>
        <w:tc>
          <w:tcPr>
            <w:tcW w:w="3060" w:type="dxa"/>
            <w:vAlign w:val="bottom"/>
            <w:tcBorders>
              <w:bottom w:val="single" w:sz="8" w:color="CCEEFF"/>
            </w:tcBorders>
            <w:gridSpan w:val="2"/>
            <w:shd w:val="clear" w:color="auto" w:fill="CCEEFF"/>
          </w:tcPr>
          <w:p>
            <w:pPr>
              <w:ind w:left="20"/>
              <w:spacing w:after="0" w:line="169" w:lineRule="exact"/>
              <w:rPr>
                <w:sz w:val="20"/>
                <w:szCs w:val="20"/>
                <w:color w:val="auto"/>
              </w:rPr>
            </w:pPr>
            <w:r>
              <w:rPr>
                <w:rFonts w:ascii="Calibri" w:cs="Calibri" w:eastAsia="Calibri" w:hAnsi="Calibri"/>
                <w:sz w:val="14"/>
                <w:szCs w:val="14"/>
                <w:color w:val="666666"/>
              </w:rPr>
              <w:t>Melody C. Barnes</w:t>
            </w:r>
          </w:p>
        </w:tc>
        <w:tc>
          <w:tcPr>
            <w:tcW w:w="1860" w:type="dxa"/>
            <w:vAlign w:val="bottom"/>
            <w:tcBorders>
              <w:bottom w:val="single" w:sz="8" w:color="CCEEFF"/>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666666"/>
              </w:rPr>
              <w:t>1,208</w:t>
            </w:r>
          </w:p>
        </w:tc>
      </w:tr>
      <w:tr>
        <w:trPr>
          <w:trHeight w:val="168"/>
        </w:trPr>
        <w:tc>
          <w:tcPr>
            <w:tcW w:w="3060" w:type="dxa"/>
            <w:vAlign w:val="bottom"/>
            <w:gridSpan w:val="2"/>
          </w:tcPr>
          <w:p>
            <w:pPr>
              <w:ind w:left="20"/>
              <w:spacing w:after="0" w:line="169" w:lineRule="exact"/>
              <w:rPr>
                <w:sz w:val="20"/>
                <w:szCs w:val="20"/>
                <w:color w:val="auto"/>
              </w:rPr>
            </w:pPr>
            <w:r>
              <w:rPr>
                <w:rFonts w:ascii="Calibri" w:cs="Calibri" w:eastAsia="Calibri" w:hAnsi="Calibri"/>
                <w:sz w:val="14"/>
                <w:szCs w:val="14"/>
                <w:color w:val="666666"/>
              </w:rPr>
              <w:t>Michèle A. Flournoy</w:t>
            </w:r>
          </w:p>
        </w:tc>
        <w:tc>
          <w:tcPr>
            <w:tcW w:w="1860" w:type="dxa"/>
            <w:vAlign w:val="bottom"/>
          </w:tcPr>
          <w:p>
            <w:pPr>
              <w:jc w:val="right"/>
              <w:spacing w:after="0" w:line="169" w:lineRule="exact"/>
              <w:rPr>
                <w:sz w:val="20"/>
                <w:szCs w:val="20"/>
                <w:color w:val="auto"/>
              </w:rPr>
            </w:pPr>
            <w:r>
              <w:rPr>
                <w:rFonts w:ascii="Calibri" w:cs="Calibri" w:eastAsia="Calibri" w:hAnsi="Calibri"/>
                <w:sz w:val="14"/>
                <w:szCs w:val="14"/>
                <w:color w:val="666666"/>
              </w:rPr>
              <w:t>1,208</w:t>
            </w:r>
          </w:p>
        </w:tc>
      </w:tr>
      <w:tr>
        <w:trPr>
          <w:trHeight w:val="31"/>
        </w:trPr>
        <w:tc>
          <w:tcPr>
            <w:tcW w:w="2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179"/>
        </w:trPr>
        <w:tc>
          <w:tcPr>
            <w:tcW w:w="3060" w:type="dxa"/>
            <w:vAlign w:val="bottom"/>
            <w:tcBorders>
              <w:bottom w:val="single" w:sz="8" w:color="CCEEFF"/>
            </w:tcBorders>
            <w:gridSpan w:val="2"/>
            <w:shd w:val="clear" w:color="auto" w:fill="CCEEFF"/>
          </w:tcPr>
          <w:p>
            <w:pPr>
              <w:ind w:left="20"/>
              <w:spacing w:after="0" w:line="169" w:lineRule="exact"/>
              <w:rPr>
                <w:sz w:val="20"/>
                <w:szCs w:val="20"/>
                <w:color w:val="auto"/>
              </w:rPr>
            </w:pPr>
            <w:r>
              <w:rPr>
                <w:rFonts w:ascii="Calibri" w:cs="Calibri" w:eastAsia="Calibri" w:hAnsi="Calibri"/>
                <w:sz w:val="14"/>
                <w:szCs w:val="14"/>
                <w:color w:val="666666"/>
              </w:rPr>
              <w:t>Ian Fujiyama</w:t>
            </w:r>
          </w:p>
        </w:tc>
        <w:tc>
          <w:tcPr>
            <w:tcW w:w="1860" w:type="dxa"/>
            <w:vAlign w:val="bottom"/>
            <w:tcBorders>
              <w:bottom w:val="single" w:sz="8" w:color="CCEEFF"/>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666666"/>
              </w:rPr>
              <w:t>2,024</w:t>
            </w:r>
          </w:p>
        </w:tc>
      </w:tr>
      <w:tr>
        <w:trPr>
          <w:trHeight w:val="168"/>
        </w:trPr>
        <w:tc>
          <w:tcPr>
            <w:tcW w:w="3060" w:type="dxa"/>
            <w:vAlign w:val="bottom"/>
            <w:gridSpan w:val="2"/>
          </w:tcPr>
          <w:p>
            <w:pPr>
              <w:ind w:left="20"/>
              <w:spacing w:after="0" w:line="169" w:lineRule="exact"/>
              <w:rPr>
                <w:sz w:val="20"/>
                <w:szCs w:val="20"/>
                <w:color w:val="auto"/>
              </w:rPr>
            </w:pPr>
            <w:r>
              <w:rPr>
                <w:rFonts w:ascii="Calibri" w:cs="Calibri" w:eastAsia="Calibri" w:hAnsi="Calibri"/>
                <w:sz w:val="14"/>
                <w:szCs w:val="14"/>
                <w:color w:val="666666"/>
              </w:rPr>
              <w:t>Mark E. Gaumond</w:t>
            </w:r>
          </w:p>
        </w:tc>
        <w:tc>
          <w:tcPr>
            <w:tcW w:w="1860" w:type="dxa"/>
            <w:vAlign w:val="bottom"/>
          </w:tcPr>
          <w:p>
            <w:pPr>
              <w:jc w:val="right"/>
              <w:spacing w:after="0" w:line="169" w:lineRule="exact"/>
              <w:rPr>
                <w:sz w:val="20"/>
                <w:szCs w:val="20"/>
                <w:color w:val="auto"/>
              </w:rPr>
            </w:pPr>
            <w:r>
              <w:rPr>
                <w:rFonts w:ascii="Calibri" w:cs="Calibri" w:eastAsia="Calibri" w:hAnsi="Calibri"/>
                <w:sz w:val="14"/>
                <w:szCs w:val="14"/>
                <w:color w:val="666666"/>
              </w:rPr>
              <w:t>1,390</w:t>
            </w:r>
          </w:p>
        </w:tc>
      </w:tr>
      <w:tr>
        <w:trPr>
          <w:trHeight w:val="31"/>
        </w:trPr>
        <w:tc>
          <w:tcPr>
            <w:tcW w:w="2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179"/>
        </w:trPr>
        <w:tc>
          <w:tcPr>
            <w:tcW w:w="3060" w:type="dxa"/>
            <w:vAlign w:val="bottom"/>
            <w:tcBorders>
              <w:bottom w:val="single" w:sz="8" w:color="CCEEFF"/>
            </w:tcBorders>
            <w:gridSpan w:val="2"/>
            <w:shd w:val="clear" w:color="auto" w:fill="CCEEFF"/>
          </w:tcPr>
          <w:p>
            <w:pPr>
              <w:ind w:left="20"/>
              <w:spacing w:after="0" w:line="169" w:lineRule="exact"/>
              <w:rPr>
                <w:sz w:val="20"/>
                <w:szCs w:val="20"/>
                <w:color w:val="auto"/>
              </w:rPr>
            </w:pPr>
            <w:r>
              <w:rPr>
                <w:rFonts w:ascii="Calibri" w:cs="Calibri" w:eastAsia="Calibri" w:hAnsi="Calibri"/>
                <w:sz w:val="14"/>
                <w:szCs w:val="14"/>
                <w:color w:val="666666"/>
              </w:rPr>
              <w:t>Ellen Jewet</w:t>
            </w:r>
          </w:p>
        </w:tc>
        <w:tc>
          <w:tcPr>
            <w:tcW w:w="1860" w:type="dxa"/>
            <w:vAlign w:val="bottom"/>
            <w:tcBorders>
              <w:bottom w:val="single" w:sz="8" w:color="CCEEFF"/>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666666"/>
              </w:rPr>
              <w:t>1,208</w:t>
            </w:r>
          </w:p>
        </w:tc>
      </w:tr>
      <w:tr>
        <w:trPr>
          <w:trHeight w:val="168"/>
        </w:trPr>
        <w:tc>
          <w:tcPr>
            <w:tcW w:w="3060" w:type="dxa"/>
            <w:vAlign w:val="bottom"/>
            <w:gridSpan w:val="2"/>
          </w:tcPr>
          <w:p>
            <w:pPr>
              <w:ind w:left="20"/>
              <w:spacing w:after="0" w:line="169" w:lineRule="exact"/>
              <w:rPr>
                <w:sz w:val="20"/>
                <w:szCs w:val="20"/>
                <w:color w:val="auto"/>
              </w:rPr>
            </w:pPr>
            <w:r>
              <w:rPr>
                <w:rFonts w:ascii="Calibri" w:cs="Calibri" w:eastAsia="Calibri" w:hAnsi="Calibri"/>
                <w:sz w:val="14"/>
                <w:szCs w:val="14"/>
                <w:color w:val="666666"/>
              </w:rPr>
              <w:t>Arthur E. Johnson</w:t>
            </w:r>
          </w:p>
        </w:tc>
        <w:tc>
          <w:tcPr>
            <w:tcW w:w="1860" w:type="dxa"/>
            <w:vAlign w:val="bottom"/>
          </w:tcPr>
          <w:p>
            <w:pPr>
              <w:jc w:val="right"/>
              <w:spacing w:after="0" w:line="169" w:lineRule="exact"/>
              <w:rPr>
                <w:sz w:val="20"/>
                <w:szCs w:val="20"/>
                <w:color w:val="auto"/>
              </w:rPr>
            </w:pPr>
            <w:r>
              <w:rPr>
                <w:rFonts w:ascii="Calibri" w:cs="Calibri" w:eastAsia="Calibri" w:hAnsi="Calibri"/>
                <w:sz w:val="14"/>
                <w:szCs w:val="14"/>
                <w:color w:val="666666"/>
              </w:rPr>
              <w:t>1,208</w:t>
            </w:r>
          </w:p>
        </w:tc>
      </w:tr>
      <w:tr>
        <w:trPr>
          <w:trHeight w:val="31"/>
        </w:trPr>
        <w:tc>
          <w:tcPr>
            <w:tcW w:w="2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179"/>
        </w:trPr>
        <w:tc>
          <w:tcPr>
            <w:tcW w:w="3060" w:type="dxa"/>
            <w:vAlign w:val="bottom"/>
            <w:tcBorders>
              <w:bottom w:val="single" w:sz="8" w:color="CCEEFF"/>
            </w:tcBorders>
            <w:gridSpan w:val="2"/>
            <w:shd w:val="clear" w:color="auto" w:fill="CCEEFF"/>
          </w:tcPr>
          <w:p>
            <w:pPr>
              <w:ind w:left="20"/>
              <w:spacing w:after="0" w:line="169" w:lineRule="exact"/>
              <w:rPr>
                <w:sz w:val="20"/>
                <w:szCs w:val="20"/>
                <w:color w:val="auto"/>
              </w:rPr>
            </w:pPr>
            <w:r>
              <w:rPr>
                <w:rFonts w:ascii="Calibri" w:cs="Calibri" w:eastAsia="Calibri" w:hAnsi="Calibri"/>
                <w:sz w:val="14"/>
                <w:szCs w:val="14"/>
                <w:color w:val="666666"/>
              </w:rPr>
              <w:t>Gretchen W. McClain</w:t>
            </w:r>
          </w:p>
        </w:tc>
        <w:tc>
          <w:tcPr>
            <w:tcW w:w="1860" w:type="dxa"/>
            <w:vAlign w:val="bottom"/>
            <w:tcBorders>
              <w:bottom w:val="single" w:sz="8" w:color="CCEEFF"/>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666666"/>
              </w:rPr>
              <w:t>1,329</w:t>
            </w:r>
          </w:p>
        </w:tc>
      </w:tr>
      <w:tr>
        <w:trPr>
          <w:trHeight w:val="168"/>
        </w:trPr>
        <w:tc>
          <w:tcPr>
            <w:tcW w:w="3060" w:type="dxa"/>
            <w:vAlign w:val="bottom"/>
            <w:gridSpan w:val="2"/>
          </w:tcPr>
          <w:p>
            <w:pPr>
              <w:ind w:left="20"/>
              <w:spacing w:after="0" w:line="169" w:lineRule="exact"/>
              <w:rPr>
                <w:sz w:val="20"/>
                <w:szCs w:val="20"/>
                <w:color w:val="auto"/>
              </w:rPr>
            </w:pPr>
            <w:r>
              <w:rPr>
                <w:rFonts w:ascii="Calibri" w:cs="Calibri" w:eastAsia="Calibri" w:hAnsi="Calibri"/>
                <w:sz w:val="14"/>
                <w:szCs w:val="14"/>
                <w:color w:val="666666"/>
              </w:rPr>
              <w:t>Charles O. Rossot</w:t>
            </w:r>
          </w:p>
        </w:tc>
        <w:tc>
          <w:tcPr>
            <w:tcW w:w="1860" w:type="dxa"/>
            <w:vAlign w:val="bottom"/>
          </w:tcPr>
          <w:p>
            <w:pPr>
              <w:jc w:val="right"/>
              <w:spacing w:after="0" w:line="169" w:lineRule="exact"/>
              <w:rPr>
                <w:sz w:val="20"/>
                <w:szCs w:val="20"/>
                <w:color w:val="auto"/>
              </w:rPr>
            </w:pPr>
            <w:r>
              <w:rPr>
                <w:rFonts w:ascii="Calibri" w:cs="Calibri" w:eastAsia="Calibri" w:hAnsi="Calibri"/>
                <w:sz w:val="14"/>
                <w:szCs w:val="14"/>
                <w:color w:val="666666"/>
              </w:rPr>
              <w:t>1,933</w:t>
            </w:r>
          </w:p>
        </w:tc>
      </w:tr>
      <w:tr>
        <w:trPr>
          <w:trHeight w:val="31"/>
        </w:trPr>
        <w:tc>
          <w:tcPr>
            <w:tcW w:w="2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168"/>
        </w:trPr>
        <w:tc>
          <w:tcPr>
            <w:tcW w:w="3060" w:type="dxa"/>
            <w:vAlign w:val="bottom"/>
            <w:gridSpan w:val="2"/>
            <w:shd w:val="clear" w:color="auto" w:fill="CCEEFF"/>
          </w:tcPr>
          <w:p>
            <w:pPr>
              <w:ind w:left="20"/>
              <w:spacing w:after="0" w:line="169" w:lineRule="exact"/>
              <w:rPr>
                <w:sz w:val="20"/>
                <w:szCs w:val="20"/>
                <w:color w:val="auto"/>
              </w:rPr>
            </w:pPr>
            <w:r>
              <w:rPr>
                <w:rFonts w:ascii="Calibri" w:cs="Calibri" w:eastAsia="Calibri" w:hAnsi="Calibri"/>
                <w:sz w:val="14"/>
                <w:szCs w:val="14"/>
                <w:color w:val="666666"/>
              </w:rPr>
              <w:t>Ralph W. Shrader</w:t>
            </w:r>
          </w:p>
        </w:tc>
        <w:tc>
          <w:tcPr>
            <w:tcW w:w="186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666666"/>
              </w:rPr>
              <w:t>1,208</w:t>
            </w:r>
          </w:p>
        </w:tc>
      </w:tr>
      <w:tr>
        <w:trPr>
          <w:trHeight w:val="31"/>
        </w:trPr>
        <w:tc>
          <w:tcPr>
            <w:tcW w:w="2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222" w:lineRule="exact"/>
        <w:rPr>
          <w:sz w:val="20"/>
          <w:szCs w:val="20"/>
          <w:color w:val="auto"/>
        </w:rPr>
      </w:pPr>
    </w:p>
    <w:p>
      <w:pPr>
        <w:ind w:left="640" w:hanging="395"/>
        <w:spacing w:after="0"/>
        <w:tabs>
          <w:tab w:leader="none" w:pos="640" w:val="left"/>
        </w:tabs>
        <w:numPr>
          <w:ilvl w:val="0"/>
          <w:numId w:val="31"/>
        </w:numPr>
        <w:rPr>
          <w:rFonts w:ascii="Calibri" w:cs="Calibri" w:eastAsia="Calibri" w:hAnsi="Calibri"/>
          <w:sz w:val="14"/>
          <w:szCs w:val="14"/>
          <w:color w:val="666666"/>
        </w:rPr>
      </w:pPr>
      <w:r>
        <w:rPr>
          <w:rFonts w:ascii="Calibri" w:cs="Calibri" w:eastAsia="Calibri" w:hAnsi="Calibri"/>
          <w:sz w:val="14"/>
          <w:szCs w:val="14"/>
          <w:color w:val="666666"/>
        </w:rPr>
        <w:t>The shares of restricted stock reported in this column vest on July 31, 2022.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23</w:t>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Director Ownership Guidelines</w:t>
      </w:r>
    </w:p>
    <w:p>
      <w:pPr>
        <w:spacing w:after="0" w:line="166"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Equity ownership guidelines for all of our non-employee directors are in place to further align their interests to those of our stockholders. Each of our non-employee directors has fve years from the date of commencement of his/her service on the Board to achieve equity ownership with a value equivalent to fve tmes his/her annual retainer. In calculatng a director’s ownership, Class A common stock, vested in-the-money optons, and vested and unvested restricted stock issued under the Equity Incentve Plan will be considered owned by the non-employee director. Each of our directors who has served on the Board for fve years or more has regularly exceeded and currently exceeds the equity ownership guidelines. For a descripton of the guidelines applicable to executve ofcers, see our CD&amp;A beginning on page 30.</w:t>
      </w:r>
    </w:p>
    <w:p>
      <w:pPr>
        <w:spacing w:after="0" w:line="154"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Policy on Hedging, Short Sales, and Speculatve Transactons</w:t>
      </w:r>
    </w:p>
    <w:p>
      <w:pPr>
        <w:spacing w:after="0" w:line="166"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Company’s personnel, including directors, ofcers, and employees, and their immediate family members and other persons living in their households are prohibited under the Company's Insider Trading Policy from engaging in (i) short sales of securites of the Company, (ii) transactons in puts, calls, or other derivatve securites with respect to securites of the Company, (iii) hedging transactons with respect to securites of the Company, (iv) holding securites of the Company in a margin account, and (v) pledging securites of the Company as collateral for a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24</w:t>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Calibri" w:cs="Calibri" w:eastAsia="Calibri" w:hAnsi="Calibri"/>
          <w:sz w:val="28"/>
          <w:szCs w:val="28"/>
          <w:b w:val="1"/>
          <w:bCs w:val="1"/>
          <w:color w:val="547BCC"/>
        </w:rPr>
        <w:t>COMPENSATION COMMITTEE INTERLOCKS</w:t>
      </w:r>
    </w:p>
    <w:p>
      <w:pPr>
        <w:spacing w:after="0" w:line="4" w:lineRule="exact"/>
        <w:rPr>
          <w:sz w:val="20"/>
          <w:szCs w:val="20"/>
          <w:color w:val="auto"/>
        </w:rPr>
      </w:pPr>
    </w:p>
    <w:p>
      <w:pPr>
        <w:jc w:val="center"/>
        <w:spacing w:after="0"/>
        <w:rPr>
          <w:sz w:val="20"/>
          <w:szCs w:val="20"/>
          <w:color w:val="auto"/>
        </w:rPr>
      </w:pPr>
      <w:r>
        <w:rPr>
          <w:rFonts w:ascii="Calibri" w:cs="Calibri" w:eastAsia="Calibri" w:hAnsi="Calibri"/>
          <w:sz w:val="28"/>
          <w:szCs w:val="28"/>
          <w:b w:val="1"/>
          <w:bCs w:val="1"/>
          <w:color w:val="547BCC"/>
        </w:rPr>
        <w:t>AND INSIDER PARTICIPATION</w:t>
      </w:r>
    </w:p>
    <w:p>
      <w:pPr>
        <w:spacing w:after="0" w:line="162"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current members of our Compensaton, Culture and People Commitee are Mr. Fujiyama, and Mses. Barnes, Flournoy, and McClain. No member of our Compensaton, Culture and People Commitee serves as a member of the Board or compensaton commitee of any other entty that has one or more executve ofcers serving as a member of our Board or Compensaton, Culture and People Commitee.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25</w:t>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0"/>
        <w:spacing w:after="0"/>
        <w:rPr>
          <w:sz w:val="20"/>
          <w:szCs w:val="20"/>
          <w:color w:val="auto"/>
        </w:rPr>
      </w:pPr>
      <w:r>
        <w:rPr>
          <w:rFonts w:ascii="Calibri" w:cs="Calibri" w:eastAsia="Calibri" w:hAnsi="Calibri"/>
          <w:sz w:val="28"/>
          <w:szCs w:val="28"/>
          <w:b w:val="1"/>
          <w:bCs w:val="1"/>
          <w:color w:val="547BCC"/>
        </w:rPr>
        <w:t>SECURITY OWNERSHIP INFORMATION</w:t>
      </w:r>
    </w:p>
    <w:p>
      <w:pPr>
        <w:spacing w:after="0" w:line="164"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Security Ownership of Directors and Executve Ofcers</w:t>
      </w:r>
    </w:p>
    <w:p>
      <w:pPr>
        <w:spacing w:after="0" w:line="166" w:lineRule="exact"/>
        <w:rPr>
          <w:sz w:val="20"/>
          <w:szCs w:val="20"/>
          <w:color w:val="auto"/>
        </w:rPr>
      </w:pPr>
    </w:p>
    <w:p>
      <w:pPr>
        <w:jc w:val="both"/>
        <w:ind w:firstLine="438"/>
        <w:spacing w:after="0" w:line="231" w:lineRule="auto"/>
        <w:rPr>
          <w:sz w:val="20"/>
          <w:szCs w:val="20"/>
          <w:color w:val="auto"/>
        </w:rPr>
      </w:pPr>
      <w:r>
        <w:rPr>
          <w:rFonts w:ascii="Calibri" w:cs="Calibri" w:eastAsia="Calibri" w:hAnsi="Calibri"/>
          <w:sz w:val="18"/>
          <w:szCs w:val="18"/>
          <w:color w:val="666666"/>
        </w:rPr>
        <w:t>The following table indicates informaton as of May 23, 2022 regarding the benefcial ownership of our Class A common stock by each of our directors, each of the named executve ofcers, and all of our directors and executve ofcers as a group.</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percentages shown are based on 132,296,220 shares of Class A common stock outstanding as of May 23, 2022. Class A common stock is enttled to one vote per share on all maters voted on by our stockholders.</w:t>
      </w:r>
    </w:p>
    <w:p>
      <w:pPr>
        <w:spacing w:after="0" w:line="161" w:lineRule="exact"/>
        <w:rPr>
          <w:sz w:val="20"/>
          <w:szCs w:val="20"/>
          <w:color w:val="auto"/>
        </w:rPr>
      </w:pPr>
    </w:p>
    <w:p>
      <w:pPr>
        <w:jc w:val="both"/>
        <w:ind w:firstLine="319"/>
        <w:spacing w:after="0" w:line="246" w:lineRule="auto"/>
        <w:rPr>
          <w:sz w:val="20"/>
          <w:szCs w:val="20"/>
          <w:color w:val="auto"/>
        </w:rPr>
      </w:pPr>
      <w:r>
        <w:rPr>
          <w:rFonts w:ascii="Calibri" w:cs="Calibri" w:eastAsia="Calibri" w:hAnsi="Calibri"/>
          <w:sz w:val="17"/>
          <w:szCs w:val="17"/>
          <w:color w:val="666666"/>
        </w:rPr>
        <w:t>The amounts and percentages owned are reported on the basis of the SEC’s rules governing the determinaton of benefcial ownership of securites. The SEC’s rules generally atribute benefcial ownership of securites to each person who possesses, either solely or shared with others, the votng power or investment power, which includes the power to dispose of those securites. The rules also treat as outstanding all shares of capital stock that a person would receive upon exercise of stock optons or warrants held by that person that are immediately exercisable or exercisable within 60 days. These shares are deemed to be outstanding and to be benefcially owned by the person holding those optons for the purpose of computng the number of shares benefcially owned and the percentage ownership of that person, but they are not treated as outstanding for the purpose of computng the percentage ownership of any other person. Under these rules, one or more persons may be a deemed benefcial owner of the same securites and a person may be deemed a benefcial owner of securites to which such person has no economic interest. Unless otherwise indicated, the persons or enttes identfed in this table have sole votng and investment power with respect to all shares shown as benefcially owned by them, subject to applicable community property laws.</w:t>
      </w:r>
    </w:p>
    <w:p>
      <w:pPr>
        <w:spacing w:after="0" w:line="193" w:lineRule="exact"/>
        <w:rPr>
          <w:sz w:val="20"/>
          <w:szCs w:val="20"/>
          <w:color w:val="auto"/>
        </w:rPr>
      </w:pPr>
    </w:p>
    <w:tbl>
      <w:tblPr>
        <w:tblLayout w:type="fixed"/>
        <w:tblInd w:w="2440" w:type="dxa"/>
        <w:tblCellMar>
          <w:top w:w="0" w:type="dxa"/>
          <w:left w:w="0" w:type="dxa"/>
          <w:bottom w:w="0" w:type="dxa"/>
          <w:right w:w="0" w:type="dxa"/>
        </w:tblCellMar>
      </w:tblPr>
      <w:tr>
        <w:trPr>
          <w:trHeight w:val="171"/>
        </w:trPr>
        <w:tc>
          <w:tcPr>
            <w:tcW w:w="20" w:type="dxa"/>
            <w:vAlign w:val="bottom"/>
            <w:shd w:val="clear" w:color="auto" w:fill="CCEEFF"/>
          </w:tcPr>
          <w:p>
            <w:pPr>
              <w:spacing w:after="0"/>
              <w:rPr>
                <w:sz w:val="14"/>
                <w:szCs w:val="14"/>
                <w:color w:val="auto"/>
              </w:rPr>
            </w:pPr>
          </w:p>
        </w:tc>
        <w:tc>
          <w:tcPr>
            <w:tcW w:w="3260" w:type="dxa"/>
            <w:vAlign w:val="bottom"/>
            <w:gridSpan w:val="3"/>
            <w:vMerge w:val="restart"/>
            <w:shd w:val="clear" w:color="auto" w:fill="CCEEFF"/>
          </w:tcPr>
          <w:p>
            <w:pPr>
              <w:spacing w:after="0"/>
              <w:rPr>
                <w:sz w:val="20"/>
                <w:szCs w:val="20"/>
                <w:color w:val="auto"/>
              </w:rPr>
            </w:pPr>
            <w:r>
              <w:rPr>
                <w:rFonts w:ascii="Calibri" w:cs="Calibri" w:eastAsia="Calibri" w:hAnsi="Calibri"/>
                <w:sz w:val="14"/>
                <w:szCs w:val="14"/>
                <w:b w:val="1"/>
                <w:bCs w:val="1"/>
                <w:color w:val="494949"/>
              </w:rPr>
              <w:t>Name</w:t>
            </w:r>
          </w:p>
        </w:tc>
        <w:tc>
          <w:tcPr>
            <w:tcW w:w="1840" w:type="dxa"/>
            <w:vAlign w:val="bottom"/>
            <w:gridSpan w:val="2"/>
            <w:shd w:val="clear" w:color="auto" w:fill="CCEEFF"/>
          </w:tcPr>
          <w:p>
            <w:pPr>
              <w:jc w:val="center"/>
              <w:ind w:right="320"/>
              <w:spacing w:after="0"/>
              <w:rPr>
                <w:sz w:val="20"/>
                <w:szCs w:val="20"/>
                <w:color w:val="auto"/>
              </w:rPr>
            </w:pPr>
            <w:r>
              <w:rPr>
                <w:rFonts w:ascii="Calibri" w:cs="Calibri" w:eastAsia="Calibri" w:hAnsi="Calibri"/>
                <w:sz w:val="14"/>
                <w:szCs w:val="14"/>
                <w:b w:val="1"/>
                <w:bCs w:val="1"/>
                <w:color w:val="494949"/>
              </w:rPr>
              <w:t>Shares Benefcially</w:t>
            </w:r>
          </w:p>
        </w:tc>
        <w:tc>
          <w:tcPr>
            <w:tcW w:w="1580" w:type="dxa"/>
            <w:vAlign w:val="bottom"/>
            <w:vMerge w:val="restart"/>
            <w:shd w:val="clear" w:color="auto" w:fill="CCEEFF"/>
          </w:tcPr>
          <w:p>
            <w:pPr>
              <w:jc w:val="center"/>
              <w:spacing w:after="0"/>
              <w:rPr>
                <w:sz w:val="20"/>
                <w:szCs w:val="20"/>
                <w:color w:val="auto"/>
              </w:rPr>
            </w:pPr>
            <w:r>
              <w:rPr>
                <w:rFonts w:ascii="Calibri" w:cs="Calibri" w:eastAsia="Calibri" w:hAnsi="Calibri"/>
                <w:sz w:val="14"/>
                <w:szCs w:val="14"/>
                <w:b w:val="1"/>
                <w:bCs w:val="1"/>
                <w:color w:val="494949"/>
                <w:w w:val="99"/>
              </w:rPr>
              <w:t>Percentage of Class</w:t>
            </w: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3260" w:type="dxa"/>
            <w:vAlign w:val="bottom"/>
            <w:tcBorders>
              <w:bottom w:val="single" w:sz="8" w:color="CCEEFF"/>
            </w:tcBorders>
            <w:gridSpan w:val="3"/>
            <w:vMerge w:val="continue"/>
            <w:shd w:val="clear" w:color="auto" w:fill="CCEEFF"/>
          </w:tcPr>
          <w:p>
            <w:pPr>
              <w:spacing w:after="0"/>
              <w:rPr>
                <w:sz w:val="18"/>
                <w:szCs w:val="18"/>
                <w:color w:val="auto"/>
              </w:rPr>
            </w:pPr>
          </w:p>
        </w:tc>
        <w:tc>
          <w:tcPr>
            <w:tcW w:w="1840" w:type="dxa"/>
            <w:vAlign w:val="bottom"/>
            <w:tcBorders>
              <w:bottom w:val="single" w:sz="8" w:color="CCEEFF"/>
            </w:tcBorders>
            <w:gridSpan w:val="2"/>
            <w:shd w:val="clear" w:color="auto" w:fill="CCEEFF"/>
          </w:tcPr>
          <w:p>
            <w:pPr>
              <w:jc w:val="center"/>
              <w:ind w:right="320"/>
              <w:spacing w:after="0" w:line="169" w:lineRule="exact"/>
              <w:rPr>
                <w:sz w:val="20"/>
                <w:szCs w:val="20"/>
                <w:color w:val="auto"/>
              </w:rPr>
            </w:pPr>
            <w:r>
              <w:rPr>
                <w:rFonts w:ascii="Calibri" w:cs="Calibri" w:eastAsia="Calibri" w:hAnsi="Calibri"/>
                <w:sz w:val="14"/>
                <w:szCs w:val="14"/>
                <w:b w:val="1"/>
                <w:bCs w:val="1"/>
                <w:color w:val="494949"/>
              </w:rPr>
              <w:t>Owned</w:t>
            </w:r>
          </w:p>
        </w:tc>
        <w:tc>
          <w:tcPr>
            <w:tcW w:w="158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Borders>
              <w:top w:val="single" w:sz="8" w:color="auto"/>
            </w:tcBorders>
          </w:tcPr>
          <w:p>
            <w:pPr>
              <w:spacing w:after="0"/>
              <w:rPr>
                <w:sz w:val="13"/>
                <w:szCs w:val="13"/>
                <w:color w:val="auto"/>
              </w:rPr>
            </w:pPr>
          </w:p>
        </w:tc>
        <w:tc>
          <w:tcPr>
            <w:tcW w:w="2940" w:type="dxa"/>
            <w:vAlign w:val="bottom"/>
            <w:tcBorders>
              <w:top w:val="single" w:sz="8" w:color="auto"/>
            </w:tcBorders>
            <w:gridSpan w:val="2"/>
          </w:tcPr>
          <w:p>
            <w:pPr>
              <w:spacing w:after="0" w:line="153" w:lineRule="exact"/>
              <w:rPr>
                <w:sz w:val="20"/>
                <w:szCs w:val="20"/>
                <w:color w:val="auto"/>
              </w:rPr>
            </w:pPr>
            <w:r>
              <w:rPr>
                <w:rFonts w:ascii="Calibri" w:cs="Calibri" w:eastAsia="Calibri" w:hAnsi="Calibri"/>
                <w:sz w:val="14"/>
                <w:szCs w:val="14"/>
                <w:b w:val="1"/>
                <w:bCs w:val="1"/>
                <w:color w:val="494949"/>
              </w:rPr>
              <w:t>Directors and nominees</w:t>
            </w:r>
          </w:p>
        </w:tc>
        <w:tc>
          <w:tcPr>
            <w:tcW w:w="32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400" w:type="dxa"/>
            <w:vAlign w:val="bottom"/>
            <w:tcBorders>
              <w:top w:val="single" w:sz="8" w:color="494949"/>
            </w:tcBorders>
          </w:tcPr>
          <w:p>
            <w:pPr>
              <w:spacing w:after="0"/>
              <w:rPr>
                <w:sz w:val="6"/>
                <w:szCs w:val="6"/>
                <w:color w:val="auto"/>
              </w:rPr>
            </w:pPr>
          </w:p>
        </w:tc>
        <w:tc>
          <w:tcPr>
            <w:tcW w:w="1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260" w:type="dxa"/>
            <w:vAlign w:val="bottom"/>
            <w:tcBorders>
              <w:bottom w:val="single" w:sz="8" w:color="CCEEFF"/>
            </w:tcBorders>
            <w:gridSpan w:val="3"/>
            <w:shd w:val="clear" w:color="auto" w:fill="CCEEFF"/>
          </w:tcPr>
          <w:p>
            <w:pPr>
              <w:spacing w:after="0" w:line="169" w:lineRule="exact"/>
              <w:rPr>
                <w:sz w:val="20"/>
                <w:szCs w:val="20"/>
                <w:color w:val="auto"/>
              </w:rPr>
            </w:pPr>
            <w:r>
              <w:rPr>
                <w:rFonts w:ascii="Calibri" w:cs="Calibri" w:eastAsia="Calibri" w:hAnsi="Calibri"/>
                <w:sz w:val="14"/>
                <w:szCs w:val="14"/>
                <w:color w:val="494949"/>
              </w:rPr>
              <w:t>Joan Lordi C. Amble</w:t>
            </w:r>
          </w:p>
        </w:tc>
        <w:tc>
          <w:tcPr>
            <w:tcW w:w="1540" w:type="dxa"/>
            <w:vAlign w:val="bottom"/>
            <w:tcBorders>
              <w:bottom w:val="single" w:sz="8" w:color="CCEEFF"/>
            </w:tcBorders>
            <w:shd w:val="clear" w:color="auto" w:fill="CCEEFF"/>
          </w:tcPr>
          <w:p>
            <w:pPr>
              <w:jc w:val="center"/>
              <w:spacing w:after="0" w:line="169" w:lineRule="exact"/>
              <w:rPr>
                <w:sz w:val="20"/>
                <w:szCs w:val="20"/>
                <w:color w:val="auto"/>
              </w:rPr>
            </w:pPr>
            <w:r>
              <w:rPr>
                <w:rFonts w:ascii="Calibri" w:cs="Calibri" w:eastAsia="Calibri" w:hAnsi="Calibri"/>
                <w:sz w:val="14"/>
                <w:szCs w:val="14"/>
                <w:color w:val="494949"/>
              </w:rPr>
              <w:t>45,582</w:t>
            </w:r>
          </w:p>
        </w:tc>
        <w:tc>
          <w:tcPr>
            <w:tcW w:w="3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center"/>
              <w:spacing w:after="0" w:line="169" w:lineRule="exact"/>
              <w:rPr>
                <w:sz w:val="20"/>
                <w:szCs w:val="20"/>
                <w:color w:val="auto"/>
              </w:rPr>
            </w:pPr>
            <w:r>
              <w:rPr>
                <w:rFonts w:ascii="Calibri" w:cs="Calibri" w:eastAsia="Calibri" w:hAnsi="Calibri"/>
                <w:sz w:val="14"/>
                <w:szCs w:val="14"/>
                <w:color w:val="494949"/>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60" w:type="dxa"/>
            <w:vAlign w:val="bottom"/>
            <w:gridSpan w:val="3"/>
          </w:tcPr>
          <w:p>
            <w:pPr>
              <w:spacing w:after="0" w:line="169" w:lineRule="exact"/>
              <w:rPr>
                <w:sz w:val="20"/>
                <w:szCs w:val="20"/>
                <w:color w:val="auto"/>
              </w:rPr>
            </w:pPr>
            <w:r>
              <w:rPr>
                <w:rFonts w:ascii="Calibri" w:cs="Calibri" w:eastAsia="Calibri" w:hAnsi="Calibri"/>
                <w:sz w:val="14"/>
                <w:szCs w:val="14"/>
                <w:color w:val="494949"/>
              </w:rPr>
              <w:t>Melody C. Barnes</w:t>
            </w:r>
          </w:p>
        </w:tc>
        <w:tc>
          <w:tcPr>
            <w:tcW w:w="1540" w:type="dxa"/>
            <w:vAlign w:val="bottom"/>
          </w:tcPr>
          <w:p>
            <w:pPr>
              <w:jc w:val="center"/>
              <w:spacing w:after="0" w:line="169" w:lineRule="exact"/>
              <w:rPr>
                <w:sz w:val="20"/>
                <w:szCs w:val="20"/>
                <w:color w:val="auto"/>
              </w:rPr>
            </w:pPr>
            <w:r>
              <w:rPr>
                <w:rFonts w:ascii="Calibri" w:cs="Calibri" w:eastAsia="Calibri" w:hAnsi="Calibri"/>
                <w:sz w:val="14"/>
                <w:szCs w:val="14"/>
                <w:color w:val="494949"/>
              </w:rPr>
              <w:t>16,515</w:t>
            </w:r>
          </w:p>
        </w:tc>
        <w:tc>
          <w:tcPr>
            <w:tcW w:w="300" w:type="dxa"/>
            <w:vAlign w:val="bottom"/>
          </w:tcPr>
          <w:p>
            <w:pPr>
              <w:spacing w:after="0"/>
              <w:rPr>
                <w:sz w:val="14"/>
                <w:szCs w:val="14"/>
                <w:color w:val="auto"/>
              </w:rPr>
            </w:pPr>
          </w:p>
        </w:tc>
        <w:tc>
          <w:tcPr>
            <w:tcW w:w="1580" w:type="dxa"/>
            <w:vAlign w:val="bottom"/>
          </w:tcPr>
          <w:p>
            <w:pPr>
              <w:jc w:val="center"/>
              <w:spacing w:after="0" w:line="169" w:lineRule="exact"/>
              <w:rPr>
                <w:sz w:val="20"/>
                <w:szCs w:val="20"/>
                <w:color w:val="auto"/>
              </w:rPr>
            </w:pPr>
            <w:r>
              <w:rPr>
                <w:rFonts w:ascii="Calibri" w:cs="Calibri" w:eastAsia="Calibri" w:hAnsi="Calibri"/>
                <w:sz w:val="14"/>
                <w:szCs w:val="14"/>
                <w:color w:val="494949"/>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260" w:type="dxa"/>
            <w:vAlign w:val="bottom"/>
            <w:tcBorders>
              <w:bottom w:val="single" w:sz="8" w:color="CCEEFF"/>
            </w:tcBorders>
            <w:gridSpan w:val="3"/>
            <w:shd w:val="clear" w:color="auto" w:fill="CCEEFF"/>
          </w:tcPr>
          <w:p>
            <w:pPr>
              <w:spacing w:after="0" w:line="169" w:lineRule="exact"/>
              <w:rPr>
                <w:sz w:val="20"/>
                <w:szCs w:val="20"/>
                <w:color w:val="auto"/>
              </w:rPr>
            </w:pPr>
            <w:r>
              <w:rPr>
                <w:rFonts w:ascii="Calibri" w:cs="Calibri" w:eastAsia="Calibri" w:hAnsi="Calibri"/>
                <w:sz w:val="14"/>
                <w:szCs w:val="14"/>
                <w:color w:val="494949"/>
              </w:rPr>
              <w:t>Michèle A. Flournoy</w:t>
            </w:r>
          </w:p>
        </w:tc>
        <w:tc>
          <w:tcPr>
            <w:tcW w:w="1540" w:type="dxa"/>
            <w:vAlign w:val="bottom"/>
            <w:tcBorders>
              <w:bottom w:val="single" w:sz="8" w:color="CCEEFF"/>
            </w:tcBorders>
            <w:shd w:val="clear" w:color="auto" w:fill="CCEEFF"/>
          </w:tcPr>
          <w:p>
            <w:pPr>
              <w:jc w:val="center"/>
              <w:spacing w:after="0" w:line="169" w:lineRule="exact"/>
              <w:rPr>
                <w:sz w:val="20"/>
                <w:szCs w:val="20"/>
                <w:color w:val="auto"/>
              </w:rPr>
            </w:pPr>
            <w:r>
              <w:rPr>
                <w:rFonts w:ascii="Calibri" w:cs="Calibri" w:eastAsia="Calibri" w:hAnsi="Calibri"/>
                <w:sz w:val="14"/>
                <w:szCs w:val="14"/>
                <w:color w:val="494949"/>
              </w:rPr>
              <w:t>8,800</w:t>
            </w:r>
          </w:p>
        </w:tc>
        <w:tc>
          <w:tcPr>
            <w:tcW w:w="3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center"/>
              <w:spacing w:after="0" w:line="169" w:lineRule="exact"/>
              <w:rPr>
                <w:sz w:val="20"/>
                <w:szCs w:val="20"/>
                <w:color w:val="auto"/>
              </w:rPr>
            </w:pPr>
            <w:r>
              <w:rPr>
                <w:rFonts w:ascii="Calibri" w:cs="Calibri" w:eastAsia="Calibri" w:hAnsi="Calibri"/>
                <w:sz w:val="14"/>
                <w:szCs w:val="14"/>
                <w:color w:val="494949"/>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60" w:type="dxa"/>
            <w:vAlign w:val="bottom"/>
            <w:gridSpan w:val="3"/>
          </w:tcPr>
          <w:p>
            <w:pPr>
              <w:spacing w:after="0" w:line="169" w:lineRule="exact"/>
              <w:rPr>
                <w:sz w:val="20"/>
                <w:szCs w:val="20"/>
                <w:color w:val="auto"/>
              </w:rPr>
            </w:pPr>
            <w:r>
              <w:rPr>
                <w:rFonts w:ascii="Calibri" w:cs="Calibri" w:eastAsia="Calibri" w:hAnsi="Calibri"/>
                <w:sz w:val="14"/>
                <w:szCs w:val="14"/>
                <w:color w:val="494949"/>
              </w:rPr>
              <w:t>Ian Fujiyama</w:t>
            </w:r>
          </w:p>
        </w:tc>
        <w:tc>
          <w:tcPr>
            <w:tcW w:w="1540" w:type="dxa"/>
            <w:vAlign w:val="bottom"/>
          </w:tcPr>
          <w:p>
            <w:pPr>
              <w:jc w:val="center"/>
              <w:spacing w:after="0" w:line="169" w:lineRule="exact"/>
              <w:rPr>
                <w:sz w:val="20"/>
                <w:szCs w:val="20"/>
                <w:color w:val="auto"/>
              </w:rPr>
            </w:pPr>
            <w:r>
              <w:rPr>
                <w:rFonts w:ascii="Calibri" w:cs="Calibri" w:eastAsia="Calibri" w:hAnsi="Calibri"/>
                <w:sz w:val="14"/>
                <w:szCs w:val="14"/>
                <w:color w:val="494949"/>
              </w:rPr>
              <w:t>39,601</w:t>
            </w:r>
          </w:p>
        </w:tc>
        <w:tc>
          <w:tcPr>
            <w:tcW w:w="300" w:type="dxa"/>
            <w:vAlign w:val="bottom"/>
          </w:tcPr>
          <w:p>
            <w:pPr>
              <w:spacing w:after="0"/>
              <w:rPr>
                <w:sz w:val="14"/>
                <w:szCs w:val="14"/>
                <w:color w:val="auto"/>
              </w:rPr>
            </w:pPr>
          </w:p>
        </w:tc>
        <w:tc>
          <w:tcPr>
            <w:tcW w:w="1580" w:type="dxa"/>
            <w:vAlign w:val="bottom"/>
          </w:tcPr>
          <w:p>
            <w:pPr>
              <w:jc w:val="center"/>
              <w:spacing w:after="0" w:line="169" w:lineRule="exact"/>
              <w:rPr>
                <w:sz w:val="20"/>
                <w:szCs w:val="20"/>
                <w:color w:val="auto"/>
              </w:rPr>
            </w:pPr>
            <w:r>
              <w:rPr>
                <w:rFonts w:ascii="Calibri" w:cs="Calibri" w:eastAsia="Calibri" w:hAnsi="Calibri"/>
                <w:sz w:val="14"/>
                <w:szCs w:val="14"/>
                <w:color w:val="494949"/>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260" w:type="dxa"/>
            <w:vAlign w:val="bottom"/>
            <w:tcBorders>
              <w:bottom w:val="single" w:sz="8" w:color="CCEEFF"/>
            </w:tcBorders>
            <w:gridSpan w:val="3"/>
            <w:shd w:val="clear" w:color="auto" w:fill="CCEEFF"/>
          </w:tcPr>
          <w:p>
            <w:pPr>
              <w:spacing w:after="0" w:line="169" w:lineRule="exact"/>
              <w:rPr>
                <w:sz w:val="20"/>
                <w:szCs w:val="20"/>
                <w:color w:val="auto"/>
              </w:rPr>
            </w:pPr>
            <w:r>
              <w:rPr>
                <w:rFonts w:ascii="Calibri" w:cs="Calibri" w:eastAsia="Calibri" w:hAnsi="Calibri"/>
                <w:sz w:val="14"/>
                <w:szCs w:val="14"/>
                <w:color w:val="494949"/>
              </w:rPr>
              <w:t>Mark E. Gaumond</w:t>
            </w:r>
          </w:p>
        </w:tc>
        <w:tc>
          <w:tcPr>
            <w:tcW w:w="1540" w:type="dxa"/>
            <w:vAlign w:val="bottom"/>
            <w:tcBorders>
              <w:bottom w:val="single" w:sz="8" w:color="CCEEFF"/>
            </w:tcBorders>
            <w:shd w:val="clear" w:color="auto" w:fill="CCEEFF"/>
          </w:tcPr>
          <w:p>
            <w:pPr>
              <w:jc w:val="center"/>
              <w:spacing w:after="0" w:line="169" w:lineRule="exact"/>
              <w:rPr>
                <w:sz w:val="20"/>
                <w:szCs w:val="20"/>
                <w:color w:val="auto"/>
              </w:rPr>
            </w:pPr>
            <w:r>
              <w:rPr>
                <w:rFonts w:ascii="Calibri" w:cs="Calibri" w:eastAsia="Calibri" w:hAnsi="Calibri"/>
                <w:sz w:val="14"/>
                <w:szCs w:val="14"/>
                <w:color w:val="494949"/>
              </w:rPr>
              <w:t>54,322</w:t>
            </w:r>
          </w:p>
        </w:tc>
        <w:tc>
          <w:tcPr>
            <w:tcW w:w="3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center"/>
              <w:spacing w:after="0" w:line="169" w:lineRule="exact"/>
              <w:rPr>
                <w:sz w:val="20"/>
                <w:szCs w:val="20"/>
                <w:color w:val="auto"/>
              </w:rPr>
            </w:pPr>
            <w:r>
              <w:rPr>
                <w:rFonts w:ascii="Calibri" w:cs="Calibri" w:eastAsia="Calibri" w:hAnsi="Calibri"/>
                <w:sz w:val="14"/>
                <w:szCs w:val="14"/>
                <w:color w:val="494949"/>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60" w:type="dxa"/>
            <w:vAlign w:val="bottom"/>
            <w:gridSpan w:val="3"/>
          </w:tcPr>
          <w:p>
            <w:pPr>
              <w:spacing w:after="0" w:line="169" w:lineRule="exact"/>
              <w:rPr>
                <w:sz w:val="20"/>
                <w:szCs w:val="20"/>
                <w:color w:val="auto"/>
              </w:rPr>
            </w:pPr>
            <w:r>
              <w:rPr>
                <w:rFonts w:ascii="Calibri" w:cs="Calibri" w:eastAsia="Calibri" w:hAnsi="Calibri"/>
                <w:sz w:val="14"/>
                <w:szCs w:val="14"/>
                <w:color w:val="494949"/>
              </w:rPr>
              <w:t>Ellen Jewet</w:t>
            </w:r>
          </w:p>
        </w:tc>
        <w:tc>
          <w:tcPr>
            <w:tcW w:w="1540" w:type="dxa"/>
            <w:vAlign w:val="bottom"/>
          </w:tcPr>
          <w:p>
            <w:pPr>
              <w:jc w:val="center"/>
              <w:spacing w:after="0" w:line="169" w:lineRule="exact"/>
              <w:rPr>
                <w:sz w:val="20"/>
                <w:szCs w:val="20"/>
                <w:color w:val="auto"/>
              </w:rPr>
            </w:pPr>
            <w:r>
              <w:rPr>
                <w:rFonts w:ascii="Calibri" w:cs="Calibri" w:eastAsia="Calibri" w:hAnsi="Calibri"/>
                <w:sz w:val="14"/>
                <w:szCs w:val="14"/>
                <w:color w:val="494949"/>
              </w:rPr>
              <w:t>8,792</w:t>
            </w:r>
          </w:p>
        </w:tc>
        <w:tc>
          <w:tcPr>
            <w:tcW w:w="300" w:type="dxa"/>
            <w:vAlign w:val="bottom"/>
          </w:tcPr>
          <w:p>
            <w:pPr>
              <w:spacing w:after="0"/>
              <w:rPr>
                <w:sz w:val="14"/>
                <w:szCs w:val="14"/>
                <w:color w:val="auto"/>
              </w:rPr>
            </w:pPr>
          </w:p>
        </w:tc>
        <w:tc>
          <w:tcPr>
            <w:tcW w:w="1580" w:type="dxa"/>
            <w:vAlign w:val="bottom"/>
          </w:tcPr>
          <w:p>
            <w:pPr>
              <w:jc w:val="center"/>
              <w:spacing w:after="0" w:line="169" w:lineRule="exact"/>
              <w:rPr>
                <w:sz w:val="20"/>
                <w:szCs w:val="20"/>
                <w:color w:val="auto"/>
              </w:rPr>
            </w:pPr>
            <w:r>
              <w:rPr>
                <w:rFonts w:ascii="Calibri" w:cs="Calibri" w:eastAsia="Calibri" w:hAnsi="Calibri"/>
                <w:sz w:val="14"/>
                <w:szCs w:val="14"/>
                <w:color w:val="494949"/>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260" w:type="dxa"/>
            <w:vAlign w:val="bottom"/>
            <w:tcBorders>
              <w:bottom w:val="single" w:sz="8" w:color="CCEEFF"/>
            </w:tcBorders>
            <w:gridSpan w:val="3"/>
            <w:shd w:val="clear" w:color="auto" w:fill="CCEEFF"/>
          </w:tcPr>
          <w:p>
            <w:pPr>
              <w:spacing w:after="0" w:line="169" w:lineRule="exact"/>
              <w:rPr>
                <w:sz w:val="20"/>
                <w:szCs w:val="20"/>
                <w:color w:val="auto"/>
              </w:rPr>
            </w:pPr>
            <w:r>
              <w:rPr>
                <w:rFonts w:ascii="Calibri" w:cs="Calibri" w:eastAsia="Calibri" w:hAnsi="Calibri"/>
                <w:sz w:val="14"/>
                <w:szCs w:val="14"/>
                <w:color w:val="494949"/>
              </w:rPr>
              <w:t>Arthur E. Johnson</w:t>
            </w:r>
          </w:p>
        </w:tc>
        <w:tc>
          <w:tcPr>
            <w:tcW w:w="1540" w:type="dxa"/>
            <w:vAlign w:val="bottom"/>
            <w:tcBorders>
              <w:bottom w:val="single" w:sz="8" w:color="CCEEFF"/>
            </w:tcBorders>
            <w:shd w:val="clear" w:color="auto" w:fill="CCEEFF"/>
          </w:tcPr>
          <w:p>
            <w:pPr>
              <w:jc w:val="center"/>
              <w:spacing w:after="0" w:line="169" w:lineRule="exact"/>
              <w:rPr>
                <w:sz w:val="20"/>
                <w:szCs w:val="20"/>
                <w:color w:val="auto"/>
              </w:rPr>
            </w:pPr>
            <w:r>
              <w:rPr>
                <w:rFonts w:ascii="Calibri" w:cs="Calibri" w:eastAsia="Calibri" w:hAnsi="Calibri"/>
                <w:sz w:val="14"/>
                <w:szCs w:val="14"/>
                <w:color w:val="494949"/>
              </w:rPr>
              <w:t>34,082</w:t>
            </w:r>
          </w:p>
        </w:tc>
        <w:tc>
          <w:tcPr>
            <w:tcW w:w="3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center"/>
              <w:spacing w:after="0" w:line="169" w:lineRule="exact"/>
              <w:rPr>
                <w:sz w:val="20"/>
                <w:szCs w:val="20"/>
                <w:color w:val="auto"/>
              </w:rPr>
            </w:pPr>
            <w:r>
              <w:rPr>
                <w:rFonts w:ascii="Calibri" w:cs="Calibri" w:eastAsia="Calibri" w:hAnsi="Calibri"/>
                <w:sz w:val="14"/>
                <w:szCs w:val="14"/>
                <w:color w:val="494949"/>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60" w:type="dxa"/>
            <w:vAlign w:val="bottom"/>
            <w:gridSpan w:val="3"/>
          </w:tcPr>
          <w:p>
            <w:pPr>
              <w:spacing w:after="0" w:line="169" w:lineRule="exact"/>
              <w:rPr>
                <w:sz w:val="20"/>
                <w:szCs w:val="20"/>
                <w:color w:val="auto"/>
              </w:rPr>
            </w:pPr>
            <w:r>
              <w:rPr>
                <w:rFonts w:ascii="Calibri" w:cs="Calibri" w:eastAsia="Calibri" w:hAnsi="Calibri"/>
                <w:sz w:val="14"/>
                <w:szCs w:val="14"/>
                <w:color w:val="494949"/>
              </w:rPr>
              <w:t>Gretchen W. McClain</w:t>
            </w:r>
          </w:p>
        </w:tc>
        <w:tc>
          <w:tcPr>
            <w:tcW w:w="1540" w:type="dxa"/>
            <w:vAlign w:val="bottom"/>
          </w:tcPr>
          <w:p>
            <w:pPr>
              <w:jc w:val="center"/>
              <w:spacing w:after="0" w:line="169" w:lineRule="exact"/>
              <w:rPr>
                <w:sz w:val="20"/>
                <w:szCs w:val="20"/>
                <w:color w:val="auto"/>
              </w:rPr>
            </w:pPr>
            <w:r>
              <w:rPr>
                <w:rFonts w:ascii="Calibri" w:cs="Calibri" w:eastAsia="Calibri" w:hAnsi="Calibri"/>
                <w:sz w:val="14"/>
                <w:szCs w:val="14"/>
                <w:color w:val="494949"/>
              </w:rPr>
              <w:t>24,131</w:t>
            </w:r>
          </w:p>
        </w:tc>
        <w:tc>
          <w:tcPr>
            <w:tcW w:w="300" w:type="dxa"/>
            <w:vAlign w:val="bottom"/>
          </w:tcPr>
          <w:p>
            <w:pPr>
              <w:spacing w:after="0"/>
              <w:rPr>
                <w:sz w:val="14"/>
                <w:szCs w:val="14"/>
                <w:color w:val="auto"/>
              </w:rPr>
            </w:pPr>
          </w:p>
        </w:tc>
        <w:tc>
          <w:tcPr>
            <w:tcW w:w="1580" w:type="dxa"/>
            <w:vAlign w:val="bottom"/>
          </w:tcPr>
          <w:p>
            <w:pPr>
              <w:jc w:val="center"/>
              <w:spacing w:after="0" w:line="169" w:lineRule="exact"/>
              <w:rPr>
                <w:sz w:val="20"/>
                <w:szCs w:val="20"/>
                <w:color w:val="auto"/>
              </w:rPr>
            </w:pPr>
            <w:r>
              <w:rPr>
                <w:rFonts w:ascii="Calibri" w:cs="Calibri" w:eastAsia="Calibri" w:hAnsi="Calibri"/>
                <w:sz w:val="14"/>
                <w:szCs w:val="14"/>
                <w:color w:val="494949"/>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260" w:type="dxa"/>
            <w:vAlign w:val="bottom"/>
            <w:tcBorders>
              <w:bottom w:val="single" w:sz="8" w:color="CCEEFF"/>
            </w:tcBorders>
            <w:gridSpan w:val="3"/>
            <w:shd w:val="clear" w:color="auto" w:fill="CCEEFF"/>
          </w:tcPr>
          <w:p>
            <w:pPr>
              <w:spacing w:after="0" w:line="169" w:lineRule="exact"/>
              <w:rPr>
                <w:sz w:val="20"/>
                <w:szCs w:val="20"/>
                <w:color w:val="auto"/>
              </w:rPr>
            </w:pPr>
            <w:r>
              <w:rPr>
                <w:rFonts w:ascii="Calibri" w:cs="Calibri" w:eastAsia="Calibri" w:hAnsi="Calibri"/>
                <w:sz w:val="14"/>
                <w:szCs w:val="14"/>
                <w:color w:val="494949"/>
              </w:rPr>
              <w:t>Charles O. Rossot</w:t>
            </w:r>
          </w:p>
        </w:tc>
        <w:tc>
          <w:tcPr>
            <w:tcW w:w="1540" w:type="dxa"/>
            <w:vAlign w:val="bottom"/>
            <w:tcBorders>
              <w:bottom w:val="single" w:sz="8" w:color="CCEEFF"/>
            </w:tcBorders>
            <w:shd w:val="clear" w:color="auto" w:fill="CCEEFF"/>
          </w:tcPr>
          <w:p>
            <w:pPr>
              <w:jc w:val="center"/>
              <w:spacing w:after="0" w:line="169" w:lineRule="exact"/>
              <w:rPr>
                <w:sz w:val="20"/>
                <w:szCs w:val="20"/>
                <w:color w:val="auto"/>
              </w:rPr>
            </w:pPr>
            <w:r>
              <w:rPr>
                <w:rFonts w:ascii="Calibri" w:cs="Calibri" w:eastAsia="Calibri" w:hAnsi="Calibri"/>
                <w:sz w:val="14"/>
                <w:szCs w:val="14"/>
                <w:color w:val="494949"/>
              </w:rPr>
              <w:t>69,955</w:t>
            </w:r>
          </w:p>
        </w:tc>
        <w:tc>
          <w:tcPr>
            <w:tcW w:w="3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center"/>
              <w:spacing w:after="0" w:line="169" w:lineRule="exact"/>
              <w:rPr>
                <w:sz w:val="20"/>
                <w:szCs w:val="20"/>
                <w:color w:val="auto"/>
              </w:rPr>
            </w:pPr>
            <w:r>
              <w:rPr>
                <w:rFonts w:ascii="Calibri" w:cs="Calibri" w:eastAsia="Calibri" w:hAnsi="Calibri"/>
                <w:sz w:val="14"/>
                <w:szCs w:val="14"/>
                <w:color w:val="494949"/>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60" w:type="dxa"/>
            <w:vAlign w:val="bottom"/>
            <w:gridSpan w:val="3"/>
          </w:tcPr>
          <w:p>
            <w:pPr>
              <w:spacing w:after="0" w:line="169" w:lineRule="exact"/>
              <w:rPr>
                <w:sz w:val="20"/>
                <w:szCs w:val="20"/>
                <w:color w:val="auto"/>
              </w:rPr>
            </w:pPr>
            <w:r>
              <w:rPr>
                <w:rFonts w:ascii="Calibri" w:cs="Calibri" w:eastAsia="Calibri" w:hAnsi="Calibri"/>
                <w:sz w:val="14"/>
                <w:szCs w:val="14"/>
                <w:color w:val="494949"/>
              </w:rPr>
              <w:t>Horacio D. Rozanski</w:t>
            </w:r>
          </w:p>
        </w:tc>
        <w:tc>
          <w:tcPr>
            <w:tcW w:w="1540" w:type="dxa"/>
            <w:vAlign w:val="bottom"/>
          </w:tcPr>
          <w:p>
            <w:pPr>
              <w:jc w:val="center"/>
              <w:spacing w:after="0" w:line="213" w:lineRule="exact"/>
              <w:rPr>
                <w:sz w:val="20"/>
                <w:szCs w:val="20"/>
                <w:color w:val="auto"/>
              </w:rPr>
            </w:pPr>
            <w:r>
              <w:rPr>
                <w:rFonts w:ascii="Calibri" w:cs="Calibri" w:eastAsia="Calibri" w:hAnsi="Calibri"/>
                <w:sz w:val="14"/>
                <w:szCs w:val="14"/>
                <w:color w:val="494949"/>
                <w:w w:val="94"/>
              </w:rPr>
              <w:t>735,132</w:t>
            </w:r>
            <w:r>
              <w:rPr>
                <w:rFonts w:ascii="Calibri" w:cs="Calibri" w:eastAsia="Calibri" w:hAnsi="Calibri"/>
                <w:sz w:val="18"/>
                <w:szCs w:val="18"/>
                <w:color w:val="494949"/>
                <w:w w:val="94"/>
                <w:vertAlign w:val="superscript"/>
              </w:rPr>
              <w:t>(1)</w:t>
            </w:r>
          </w:p>
        </w:tc>
        <w:tc>
          <w:tcPr>
            <w:tcW w:w="300" w:type="dxa"/>
            <w:vAlign w:val="bottom"/>
          </w:tcPr>
          <w:p>
            <w:pPr>
              <w:spacing w:after="0"/>
              <w:rPr>
                <w:sz w:val="18"/>
                <w:szCs w:val="18"/>
                <w:color w:val="auto"/>
              </w:rPr>
            </w:pPr>
          </w:p>
        </w:tc>
        <w:tc>
          <w:tcPr>
            <w:tcW w:w="1580" w:type="dxa"/>
            <w:vAlign w:val="bottom"/>
          </w:tcPr>
          <w:p>
            <w:pPr>
              <w:jc w:val="center"/>
              <w:spacing w:after="0" w:line="169" w:lineRule="exact"/>
              <w:rPr>
                <w:sz w:val="20"/>
                <w:szCs w:val="20"/>
                <w:color w:val="auto"/>
              </w:rPr>
            </w:pPr>
            <w:r>
              <w:rPr>
                <w:rFonts w:ascii="Calibri" w:cs="Calibri" w:eastAsia="Calibri" w:hAnsi="Calibri"/>
                <w:sz w:val="14"/>
                <w:szCs w:val="14"/>
                <w:color w:val="494949"/>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spacing w:after="0" w:line="169" w:lineRule="exact"/>
              <w:rPr>
                <w:sz w:val="20"/>
                <w:szCs w:val="20"/>
                <w:color w:val="auto"/>
              </w:rPr>
            </w:pPr>
            <w:r>
              <w:rPr>
                <w:rFonts w:ascii="Calibri" w:cs="Calibri" w:eastAsia="Calibri" w:hAnsi="Calibri"/>
                <w:sz w:val="14"/>
                <w:szCs w:val="14"/>
                <w:color w:val="494949"/>
              </w:rPr>
              <w:t>Dr. Ralph W. Shrader</w:t>
            </w:r>
          </w:p>
        </w:tc>
        <w:tc>
          <w:tcPr>
            <w:tcW w:w="1540" w:type="dxa"/>
            <w:vAlign w:val="bottom"/>
            <w:shd w:val="clear" w:color="auto" w:fill="CCEEFF"/>
          </w:tcPr>
          <w:p>
            <w:pPr>
              <w:jc w:val="center"/>
              <w:spacing w:after="0" w:line="213" w:lineRule="exact"/>
              <w:rPr>
                <w:sz w:val="20"/>
                <w:szCs w:val="20"/>
                <w:color w:val="auto"/>
              </w:rPr>
            </w:pPr>
            <w:r>
              <w:rPr>
                <w:rFonts w:ascii="Calibri" w:cs="Calibri" w:eastAsia="Calibri" w:hAnsi="Calibri"/>
                <w:sz w:val="14"/>
                <w:szCs w:val="14"/>
                <w:color w:val="494949"/>
                <w:w w:val="97"/>
              </w:rPr>
              <w:t>1,022,488</w:t>
            </w:r>
            <w:r>
              <w:rPr>
                <w:rFonts w:ascii="Calibri" w:cs="Calibri" w:eastAsia="Calibri" w:hAnsi="Calibri"/>
                <w:sz w:val="18"/>
                <w:szCs w:val="18"/>
                <w:color w:val="494949"/>
                <w:w w:val="97"/>
                <w:vertAlign w:val="superscript"/>
              </w:rPr>
              <w:t>(2)</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line="169" w:lineRule="exact"/>
              <w:rPr>
                <w:sz w:val="20"/>
                <w:szCs w:val="20"/>
                <w:color w:val="auto"/>
              </w:rPr>
            </w:pPr>
            <w:r>
              <w:rPr>
                <w:rFonts w:ascii="Calibri" w:cs="Calibri" w:eastAsia="Calibri" w:hAnsi="Calibri"/>
                <w:sz w:val="14"/>
                <w:szCs w:val="14"/>
                <w:color w:val="494949"/>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460"/>
        <w:spacing w:after="0"/>
        <w:rPr>
          <w:sz w:val="20"/>
          <w:szCs w:val="20"/>
          <w:color w:val="auto"/>
        </w:rPr>
      </w:pPr>
      <w:r>
        <w:rPr>
          <w:rFonts w:ascii="Calibri" w:cs="Calibri" w:eastAsia="Calibri" w:hAnsi="Calibri"/>
          <w:sz w:val="14"/>
          <w:szCs w:val="14"/>
          <w:b w:val="1"/>
          <w:bCs w:val="1"/>
          <w:u w:val="single" w:color="auto"/>
          <w:color w:val="494949"/>
        </w:rPr>
        <w:t>Other named executve ofcers</w:t>
      </w:r>
    </w:p>
    <w:p>
      <w:pPr>
        <w:sectPr>
          <w:pgSz w:w="11900" w:h="16838" w:orient="portrait"/>
          <w:cols w:equalWidth="0" w:num="1">
            <w:col w:w="11240"/>
          </w:cols>
          <w:pgMar w:left="320" w:top="118" w:right="339" w:bottom="1440" w:gutter="0" w:footer="0" w:header="0"/>
        </w:sectPr>
      </w:pPr>
    </w:p>
    <w:p>
      <w:pPr>
        <w:spacing w:after="0" w:line="28" w:lineRule="exact"/>
        <w:rPr>
          <w:sz w:val="20"/>
          <w:szCs w:val="20"/>
          <w:color w:val="auto"/>
        </w:rPr>
      </w:pPr>
    </w:p>
    <w:p>
      <w:pPr>
        <w:ind w:left="2460"/>
        <w:spacing w:after="0"/>
        <w:rPr>
          <w:sz w:val="20"/>
          <w:szCs w:val="20"/>
          <w:color w:val="auto"/>
        </w:rPr>
      </w:pPr>
      <w:r>
        <w:rPr>
          <w:rFonts w:ascii="Calibri" w:cs="Calibri" w:eastAsia="Calibri" w:hAnsi="Calibri"/>
          <w:sz w:val="14"/>
          <w:szCs w:val="14"/>
          <w:color w:val="494949"/>
        </w:rPr>
        <w:t>Karen M. Dahut</w:t>
      </w:r>
    </w:p>
    <w:p>
      <w:pPr>
        <w:spacing w:after="0" w:line="42" w:lineRule="exact"/>
        <w:rPr>
          <w:sz w:val="20"/>
          <w:szCs w:val="20"/>
          <w:color w:val="auto"/>
        </w:rPr>
      </w:pPr>
    </w:p>
    <w:p>
      <w:pPr>
        <w:ind w:left="2460"/>
        <w:spacing w:after="0"/>
        <w:rPr>
          <w:sz w:val="20"/>
          <w:szCs w:val="20"/>
          <w:color w:val="auto"/>
        </w:rPr>
      </w:pPr>
      <w:r>
        <w:rPr>
          <w:rFonts w:ascii="Calibri" w:cs="Calibri" w:eastAsia="Calibri" w:hAnsi="Calibri"/>
          <w:sz w:val="14"/>
          <w:szCs w:val="14"/>
          <w:color w:val="494949"/>
        </w:rPr>
        <w:t>Lloyd W. Howell, Jr.</w:t>
      </w:r>
    </w:p>
    <w:p>
      <w:pPr>
        <w:spacing w:after="0" w:line="42" w:lineRule="exact"/>
        <w:rPr>
          <w:sz w:val="20"/>
          <w:szCs w:val="20"/>
          <w:color w:val="auto"/>
        </w:rPr>
      </w:pPr>
    </w:p>
    <w:p>
      <w:pPr>
        <w:ind w:left="2460"/>
        <w:spacing w:after="0"/>
        <w:rPr>
          <w:sz w:val="20"/>
          <w:szCs w:val="20"/>
          <w:color w:val="auto"/>
        </w:rPr>
      </w:pPr>
      <w:r>
        <w:rPr>
          <w:rFonts w:ascii="Calibri" w:cs="Calibri" w:eastAsia="Calibri" w:hAnsi="Calibri"/>
          <w:sz w:val="14"/>
          <w:szCs w:val="14"/>
          <w:color w:val="494949"/>
        </w:rPr>
        <w:t>Nancy J. Laben</w:t>
      </w:r>
    </w:p>
    <w:p>
      <w:pPr>
        <w:spacing w:after="0" w:line="42" w:lineRule="exact"/>
        <w:rPr>
          <w:sz w:val="20"/>
          <w:szCs w:val="20"/>
          <w:color w:val="auto"/>
        </w:rPr>
      </w:pPr>
    </w:p>
    <w:p>
      <w:pPr>
        <w:ind w:left="2460"/>
        <w:spacing w:after="0"/>
        <w:rPr>
          <w:sz w:val="20"/>
          <w:szCs w:val="20"/>
          <w:color w:val="auto"/>
        </w:rPr>
      </w:pPr>
      <w:r>
        <w:rPr>
          <w:rFonts w:ascii="Calibri" w:cs="Calibri" w:eastAsia="Calibri" w:hAnsi="Calibri"/>
          <w:sz w:val="14"/>
          <w:szCs w:val="14"/>
          <w:color w:val="494949"/>
        </w:rPr>
        <w:t>Susan L. Penfeld</w:t>
      </w:r>
    </w:p>
    <w:p>
      <w:pPr>
        <w:spacing w:after="0" w:line="45" w:lineRule="exact"/>
        <w:rPr>
          <w:sz w:val="20"/>
          <w:szCs w:val="20"/>
          <w:color w:val="auto"/>
        </w:rPr>
      </w:pPr>
    </w:p>
    <w:p>
      <w:pPr>
        <w:ind w:left="2460"/>
        <w:spacing w:after="0"/>
        <w:rPr>
          <w:sz w:val="20"/>
          <w:szCs w:val="20"/>
          <w:color w:val="auto"/>
        </w:rPr>
      </w:pPr>
      <w:r>
        <w:rPr>
          <w:rFonts w:ascii="Calibri" w:cs="Calibri" w:eastAsia="Calibri" w:hAnsi="Calibri"/>
          <w:sz w:val="14"/>
          <w:szCs w:val="14"/>
          <w:color w:val="494949"/>
        </w:rPr>
        <w:t>All directors and executve ofcers as a group</w:t>
      </w:r>
    </w:p>
    <w:p>
      <w:pPr>
        <w:ind w:left="2460"/>
        <w:spacing w:after="0" w:line="212" w:lineRule="auto"/>
        <w:rPr>
          <w:sz w:val="20"/>
          <w:szCs w:val="20"/>
          <w:color w:val="auto"/>
        </w:rPr>
      </w:pPr>
      <w:r>
        <w:rPr>
          <w:rFonts w:ascii="Calibri" w:cs="Calibri" w:eastAsia="Calibri" w:hAnsi="Calibri"/>
          <w:sz w:val="14"/>
          <w:szCs w:val="14"/>
          <w:color w:val="494949"/>
        </w:rPr>
        <w:t>(19 persons)</w:t>
      </w:r>
      <w:r>
        <w:rPr>
          <w:rFonts w:ascii="Calibri" w:cs="Calibri" w:eastAsia="Calibri" w:hAnsi="Calibri"/>
          <w:sz w:val="18"/>
          <w:szCs w:val="18"/>
          <w:color w:val="494949"/>
          <w:vertAlign w:val="superscript"/>
        </w:rPr>
        <w:t>(7)</w:t>
      </w:r>
    </w:p>
    <w:p>
      <w:pPr>
        <w:spacing w:after="0" w:line="83" w:lineRule="exact"/>
        <w:rPr>
          <w:sz w:val="20"/>
          <w:szCs w:val="20"/>
          <w:color w:val="auto"/>
        </w:rPr>
      </w:pPr>
    </w:p>
    <w:p>
      <w:pPr>
        <w:ind w:left="360"/>
        <w:spacing w:after="0"/>
        <w:tabs>
          <w:tab w:leader="none" w:pos="540" w:val="left"/>
        </w:tabs>
        <w:rPr>
          <w:sz w:val="20"/>
          <w:szCs w:val="20"/>
          <w:color w:val="auto"/>
        </w:rPr>
      </w:pPr>
      <w:r>
        <w:rPr>
          <w:rFonts w:ascii="Calibri" w:cs="Calibri" w:eastAsia="Calibri" w:hAnsi="Calibri"/>
          <w:sz w:val="14"/>
          <w:szCs w:val="14"/>
          <w:color w:val="666666"/>
        </w:rPr>
        <w:t>*</w:t>
        <w:tab/>
        <w:t>Represents benefcial ownership of less than 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260" w:type="dxa"/>
            <w:vAlign w:val="bottom"/>
          </w:tcPr>
          <w:p>
            <w:pPr>
              <w:jc w:val="center"/>
              <w:ind w:right="629"/>
              <w:spacing w:after="0"/>
              <w:rPr>
                <w:sz w:val="20"/>
                <w:szCs w:val="20"/>
                <w:color w:val="auto"/>
              </w:rPr>
            </w:pPr>
            <w:r>
              <w:rPr>
                <w:rFonts w:ascii="Calibri" w:cs="Calibri" w:eastAsia="Calibri" w:hAnsi="Calibri"/>
                <w:sz w:val="14"/>
                <w:szCs w:val="14"/>
                <w:color w:val="494949"/>
                <w:w w:val="94"/>
              </w:rPr>
              <w:t>292,597</w:t>
            </w:r>
            <w:r>
              <w:rPr>
                <w:rFonts w:ascii="Calibri" w:cs="Calibri" w:eastAsia="Calibri" w:hAnsi="Calibri"/>
                <w:sz w:val="18"/>
                <w:szCs w:val="18"/>
                <w:color w:val="494949"/>
                <w:w w:val="94"/>
                <w:vertAlign w:val="superscript"/>
              </w:rPr>
              <w:t>(3)</w:t>
            </w:r>
          </w:p>
        </w:tc>
        <w:tc>
          <w:tcPr>
            <w:tcW w:w="1060" w:type="dxa"/>
            <w:vAlign w:val="bottom"/>
          </w:tcPr>
          <w:p>
            <w:pPr>
              <w:jc w:val="center"/>
              <w:ind w:left="629"/>
              <w:spacing w:after="0"/>
              <w:rPr>
                <w:sz w:val="20"/>
                <w:szCs w:val="20"/>
                <w:color w:val="auto"/>
              </w:rPr>
            </w:pPr>
            <w:r>
              <w:rPr>
                <w:rFonts w:ascii="Calibri" w:cs="Calibri" w:eastAsia="Calibri" w:hAnsi="Calibri"/>
                <w:sz w:val="14"/>
                <w:szCs w:val="14"/>
                <w:color w:val="494949"/>
              </w:rPr>
              <w:t>*</w:t>
            </w:r>
          </w:p>
        </w:tc>
      </w:tr>
      <w:tr>
        <w:trPr>
          <w:trHeight w:val="213"/>
        </w:trPr>
        <w:tc>
          <w:tcPr>
            <w:tcW w:w="1260" w:type="dxa"/>
            <w:vAlign w:val="bottom"/>
          </w:tcPr>
          <w:p>
            <w:pPr>
              <w:jc w:val="center"/>
              <w:ind w:right="629"/>
              <w:spacing w:after="0" w:line="213" w:lineRule="exact"/>
              <w:rPr>
                <w:sz w:val="20"/>
                <w:szCs w:val="20"/>
                <w:color w:val="auto"/>
              </w:rPr>
            </w:pPr>
            <w:r>
              <w:rPr>
                <w:rFonts w:ascii="Calibri" w:cs="Calibri" w:eastAsia="Calibri" w:hAnsi="Calibri"/>
                <w:sz w:val="14"/>
                <w:szCs w:val="14"/>
                <w:color w:val="494949"/>
                <w:w w:val="94"/>
              </w:rPr>
              <w:t>211,734</w:t>
            </w:r>
            <w:r>
              <w:rPr>
                <w:rFonts w:ascii="Calibri" w:cs="Calibri" w:eastAsia="Calibri" w:hAnsi="Calibri"/>
                <w:sz w:val="18"/>
                <w:szCs w:val="18"/>
                <w:color w:val="494949"/>
                <w:w w:val="94"/>
                <w:vertAlign w:val="superscript"/>
              </w:rPr>
              <w:t>(4)</w:t>
            </w:r>
          </w:p>
        </w:tc>
        <w:tc>
          <w:tcPr>
            <w:tcW w:w="1060" w:type="dxa"/>
            <w:vAlign w:val="bottom"/>
          </w:tcPr>
          <w:p>
            <w:pPr>
              <w:jc w:val="center"/>
              <w:ind w:left="629"/>
              <w:spacing w:after="0"/>
              <w:rPr>
                <w:sz w:val="20"/>
                <w:szCs w:val="20"/>
                <w:color w:val="auto"/>
              </w:rPr>
            </w:pPr>
            <w:r>
              <w:rPr>
                <w:rFonts w:ascii="Calibri" w:cs="Calibri" w:eastAsia="Calibri" w:hAnsi="Calibri"/>
                <w:sz w:val="14"/>
                <w:szCs w:val="14"/>
                <w:color w:val="494949"/>
              </w:rPr>
              <w:t>*</w:t>
            </w:r>
          </w:p>
        </w:tc>
      </w:tr>
      <w:tr>
        <w:trPr>
          <w:trHeight w:val="212"/>
        </w:trPr>
        <w:tc>
          <w:tcPr>
            <w:tcW w:w="1260" w:type="dxa"/>
            <w:vAlign w:val="bottom"/>
          </w:tcPr>
          <w:p>
            <w:pPr>
              <w:jc w:val="center"/>
              <w:ind w:right="629"/>
              <w:spacing w:after="0" w:line="213" w:lineRule="exact"/>
              <w:rPr>
                <w:sz w:val="20"/>
                <w:szCs w:val="20"/>
                <w:color w:val="auto"/>
              </w:rPr>
            </w:pPr>
            <w:r>
              <w:rPr>
                <w:rFonts w:ascii="Calibri" w:cs="Calibri" w:eastAsia="Calibri" w:hAnsi="Calibri"/>
                <w:sz w:val="14"/>
                <w:szCs w:val="14"/>
                <w:color w:val="494949"/>
                <w:w w:val="91"/>
              </w:rPr>
              <w:t>58,084</w:t>
            </w:r>
            <w:r>
              <w:rPr>
                <w:rFonts w:ascii="Calibri" w:cs="Calibri" w:eastAsia="Calibri" w:hAnsi="Calibri"/>
                <w:sz w:val="18"/>
                <w:szCs w:val="18"/>
                <w:color w:val="494949"/>
                <w:w w:val="91"/>
                <w:vertAlign w:val="superscript"/>
              </w:rPr>
              <w:t>(5)</w:t>
            </w:r>
          </w:p>
        </w:tc>
        <w:tc>
          <w:tcPr>
            <w:tcW w:w="1060" w:type="dxa"/>
            <w:vAlign w:val="bottom"/>
          </w:tcPr>
          <w:p>
            <w:pPr>
              <w:jc w:val="center"/>
              <w:ind w:left="629"/>
              <w:spacing w:after="0"/>
              <w:rPr>
                <w:sz w:val="20"/>
                <w:szCs w:val="20"/>
                <w:color w:val="auto"/>
              </w:rPr>
            </w:pPr>
            <w:r>
              <w:rPr>
                <w:rFonts w:ascii="Calibri" w:cs="Calibri" w:eastAsia="Calibri" w:hAnsi="Calibri"/>
                <w:sz w:val="14"/>
                <w:szCs w:val="14"/>
                <w:color w:val="494949"/>
              </w:rPr>
              <w:t>*</w:t>
            </w:r>
          </w:p>
        </w:tc>
      </w:tr>
      <w:tr>
        <w:trPr>
          <w:trHeight w:val="213"/>
        </w:trPr>
        <w:tc>
          <w:tcPr>
            <w:tcW w:w="1260" w:type="dxa"/>
            <w:vAlign w:val="bottom"/>
          </w:tcPr>
          <w:p>
            <w:pPr>
              <w:jc w:val="center"/>
              <w:ind w:right="629"/>
              <w:spacing w:after="0" w:line="213" w:lineRule="exact"/>
              <w:rPr>
                <w:sz w:val="20"/>
                <w:szCs w:val="20"/>
                <w:color w:val="auto"/>
              </w:rPr>
            </w:pPr>
            <w:r>
              <w:rPr>
                <w:rFonts w:ascii="Calibri" w:cs="Calibri" w:eastAsia="Calibri" w:hAnsi="Calibri"/>
                <w:sz w:val="14"/>
                <w:szCs w:val="14"/>
                <w:color w:val="494949"/>
                <w:w w:val="91"/>
              </w:rPr>
              <w:t>74,939</w:t>
            </w:r>
            <w:r>
              <w:rPr>
                <w:rFonts w:ascii="Calibri" w:cs="Calibri" w:eastAsia="Calibri" w:hAnsi="Calibri"/>
                <w:sz w:val="18"/>
                <w:szCs w:val="18"/>
                <w:color w:val="494949"/>
                <w:w w:val="91"/>
                <w:vertAlign w:val="superscript"/>
              </w:rPr>
              <w:t>(6)</w:t>
            </w:r>
          </w:p>
        </w:tc>
        <w:tc>
          <w:tcPr>
            <w:tcW w:w="1060" w:type="dxa"/>
            <w:vAlign w:val="bottom"/>
          </w:tcPr>
          <w:p>
            <w:pPr>
              <w:jc w:val="center"/>
              <w:ind w:left="629"/>
              <w:spacing w:after="0"/>
              <w:rPr>
                <w:sz w:val="20"/>
                <w:szCs w:val="20"/>
                <w:color w:val="auto"/>
              </w:rPr>
            </w:pPr>
            <w:r>
              <w:rPr>
                <w:rFonts w:ascii="Calibri" w:cs="Calibri" w:eastAsia="Calibri" w:hAnsi="Calibri"/>
                <w:sz w:val="14"/>
                <w:szCs w:val="14"/>
                <w:color w:val="494949"/>
              </w:rPr>
              <w:t>*</w:t>
            </w:r>
          </w:p>
        </w:tc>
      </w:tr>
      <w:tr>
        <w:trPr>
          <w:trHeight w:val="333"/>
        </w:trPr>
        <w:tc>
          <w:tcPr>
            <w:tcW w:w="1260" w:type="dxa"/>
            <w:vAlign w:val="bottom"/>
          </w:tcPr>
          <w:p>
            <w:pPr>
              <w:jc w:val="center"/>
              <w:ind w:right="629"/>
              <w:spacing w:after="0"/>
              <w:rPr>
                <w:sz w:val="20"/>
                <w:szCs w:val="20"/>
                <w:color w:val="auto"/>
              </w:rPr>
            </w:pPr>
            <w:r>
              <w:rPr>
                <w:rFonts w:ascii="Calibri" w:cs="Calibri" w:eastAsia="Calibri" w:hAnsi="Calibri"/>
                <w:sz w:val="14"/>
                <w:szCs w:val="14"/>
                <w:color w:val="494949"/>
                <w:w w:val="98"/>
              </w:rPr>
              <w:t>2,943,660</w:t>
            </w:r>
          </w:p>
        </w:tc>
        <w:tc>
          <w:tcPr>
            <w:tcW w:w="1060" w:type="dxa"/>
            <w:vAlign w:val="bottom"/>
          </w:tcPr>
          <w:p>
            <w:pPr>
              <w:jc w:val="center"/>
              <w:ind w:left="629"/>
              <w:spacing w:after="0"/>
              <w:rPr>
                <w:sz w:val="20"/>
                <w:szCs w:val="20"/>
                <w:color w:val="auto"/>
              </w:rPr>
            </w:pPr>
            <w:r>
              <w:rPr>
                <w:rFonts w:ascii="Calibri" w:cs="Calibri" w:eastAsia="Calibri" w:hAnsi="Calibri"/>
                <w:sz w:val="14"/>
                <w:szCs w:val="14"/>
                <w:color w:val="494949"/>
              </w:rPr>
              <w:t>2.23%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-737870</wp:posOffset>
            </wp:positionV>
            <wp:extent cx="4241800" cy="134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41800" cy="134620"/>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-467995</wp:posOffset>
            </wp:positionV>
            <wp:extent cx="4241800" cy="134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41800" cy="134620"/>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-198120</wp:posOffset>
            </wp:positionV>
            <wp:extent cx="4241800" cy="2279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41800" cy="227965"/>
                    </a:xfrm>
                    <a:prstGeom prst="rect">
                      <a:avLst/>
                    </a:prstGeom>
                    <a:noFill/>
                  </pic:spPr>
                </pic:pic>
              </a:graphicData>
            </a:graphic>
          </wp:anchor>
        </w:drawing>
      </w:r>
    </w:p>
    <w:p>
      <w:pPr>
        <w:spacing w:after="0" w:line="453" w:lineRule="exact"/>
        <w:rPr>
          <w:sz w:val="20"/>
          <w:szCs w:val="20"/>
          <w:color w:val="auto"/>
        </w:rPr>
      </w:pPr>
    </w:p>
    <w:p>
      <w:pPr>
        <w:sectPr>
          <w:pgSz w:w="11900" w:h="16838" w:orient="portrait"/>
          <w:cols w:equalWidth="0" w:num="2">
            <w:col w:w="5480" w:space="720"/>
            <w:col w:w="5040"/>
          </w:cols>
          <w:pgMar w:left="320" w:top="118" w:right="339" w:bottom="1440" w:gutter="0" w:footer="0" w:header="0"/>
          <w:type w:val="continuous"/>
        </w:sectPr>
      </w:pPr>
    </w:p>
    <w:p>
      <w:pPr>
        <w:ind w:left="640" w:hanging="395"/>
        <w:spacing w:after="0"/>
        <w:tabs>
          <w:tab w:leader="none" w:pos="640" w:val="left"/>
        </w:tabs>
        <w:numPr>
          <w:ilvl w:val="0"/>
          <w:numId w:val="32"/>
        </w:numPr>
        <w:rPr>
          <w:rFonts w:ascii="Calibri" w:cs="Calibri" w:eastAsia="Calibri" w:hAnsi="Calibri"/>
          <w:sz w:val="14"/>
          <w:szCs w:val="14"/>
          <w:color w:val="666666"/>
        </w:rPr>
      </w:pPr>
      <w:r>
        <w:rPr>
          <w:rFonts w:ascii="Calibri" w:cs="Calibri" w:eastAsia="Calibri" w:hAnsi="Calibri"/>
          <w:sz w:val="14"/>
          <w:szCs w:val="14"/>
          <w:color w:val="666666"/>
        </w:rPr>
        <w:t>Includes 89,380 shares that Mr. Rozanski has the right to acquire through the exercise of optons.</w:t>
      </w:r>
    </w:p>
    <w:p>
      <w:pPr>
        <w:spacing w:after="0" w:line="107" w:lineRule="exact"/>
        <w:rPr>
          <w:rFonts w:ascii="Calibri" w:cs="Calibri" w:eastAsia="Calibri" w:hAnsi="Calibri"/>
          <w:sz w:val="14"/>
          <w:szCs w:val="14"/>
          <w:color w:val="666666"/>
        </w:rPr>
      </w:pPr>
    </w:p>
    <w:p>
      <w:pPr>
        <w:ind w:left="640" w:hanging="395"/>
        <w:spacing w:after="0"/>
        <w:tabs>
          <w:tab w:leader="none" w:pos="640" w:val="left"/>
        </w:tabs>
        <w:numPr>
          <w:ilvl w:val="0"/>
          <w:numId w:val="32"/>
        </w:numPr>
        <w:rPr>
          <w:rFonts w:ascii="Calibri" w:cs="Calibri" w:eastAsia="Calibri" w:hAnsi="Calibri"/>
          <w:sz w:val="14"/>
          <w:szCs w:val="14"/>
          <w:color w:val="666666"/>
        </w:rPr>
      </w:pPr>
      <w:r>
        <w:rPr>
          <w:rFonts w:ascii="Calibri" w:cs="Calibri" w:eastAsia="Calibri" w:hAnsi="Calibri"/>
          <w:sz w:val="14"/>
          <w:szCs w:val="14"/>
          <w:color w:val="666666"/>
        </w:rPr>
        <w:t>Dr. Shrader shares investment power and votng power with his wife, Mrs. Janice W. Shrader, for 1,011,090 shares in the Ralph W. Shrader Revocable Trust.</w:t>
      </w:r>
    </w:p>
    <w:p>
      <w:pPr>
        <w:spacing w:after="0" w:line="107" w:lineRule="exact"/>
        <w:rPr>
          <w:rFonts w:ascii="Calibri" w:cs="Calibri" w:eastAsia="Calibri" w:hAnsi="Calibri"/>
          <w:sz w:val="14"/>
          <w:szCs w:val="14"/>
          <w:color w:val="666666"/>
        </w:rPr>
      </w:pPr>
    </w:p>
    <w:p>
      <w:pPr>
        <w:ind w:left="640" w:hanging="395"/>
        <w:spacing w:after="0"/>
        <w:tabs>
          <w:tab w:leader="none" w:pos="640" w:val="left"/>
        </w:tabs>
        <w:numPr>
          <w:ilvl w:val="0"/>
          <w:numId w:val="32"/>
        </w:numPr>
        <w:rPr>
          <w:rFonts w:ascii="Calibri" w:cs="Calibri" w:eastAsia="Calibri" w:hAnsi="Calibri"/>
          <w:sz w:val="14"/>
          <w:szCs w:val="14"/>
          <w:color w:val="666666"/>
        </w:rPr>
      </w:pPr>
      <w:r>
        <w:rPr>
          <w:rFonts w:ascii="Calibri" w:cs="Calibri" w:eastAsia="Calibri" w:hAnsi="Calibri"/>
          <w:sz w:val="14"/>
          <w:szCs w:val="14"/>
          <w:color w:val="666666"/>
        </w:rPr>
        <w:t>Includes 97,761 shares that Ms. Dahut has the right to acquire through the exercise of optons.</w:t>
      </w:r>
    </w:p>
    <w:p>
      <w:pPr>
        <w:spacing w:after="0" w:line="107" w:lineRule="exact"/>
        <w:rPr>
          <w:rFonts w:ascii="Calibri" w:cs="Calibri" w:eastAsia="Calibri" w:hAnsi="Calibri"/>
          <w:sz w:val="14"/>
          <w:szCs w:val="14"/>
          <w:color w:val="666666"/>
        </w:rPr>
      </w:pPr>
    </w:p>
    <w:p>
      <w:pPr>
        <w:ind w:left="640" w:hanging="395"/>
        <w:spacing w:after="0"/>
        <w:tabs>
          <w:tab w:leader="none" w:pos="640" w:val="left"/>
        </w:tabs>
        <w:numPr>
          <w:ilvl w:val="0"/>
          <w:numId w:val="32"/>
        </w:numPr>
        <w:rPr>
          <w:rFonts w:ascii="Calibri" w:cs="Calibri" w:eastAsia="Calibri" w:hAnsi="Calibri"/>
          <w:sz w:val="14"/>
          <w:szCs w:val="14"/>
          <w:color w:val="666666"/>
        </w:rPr>
      </w:pPr>
      <w:r>
        <w:rPr>
          <w:rFonts w:ascii="Calibri" w:cs="Calibri" w:eastAsia="Calibri" w:hAnsi="Calibri"/>
          <w:sz w:val="14"/>
          <w:szCs w:val="14"/>
          <w:color w:val="666666"/>
        </w:rPr>
        <w:t>Includes 21,105 shares that Mr. Howell has the right to acquire through the exercise of optons.</w:t>
      </w:r>
    </w:p>
    <w:p>
      <w:pPr>
        <w:spacing w:after="0" w:line="94" w:lineRule="exact"/>
        <w:rPr>
          <w:rFonts w:ascii="Calibri" w:cs="Calibri" w:eastAsia="Calibri" w:hAnsi="Calibri"/>
          <w:sz w:val="14"/>
          <w:szCs w:val="14"/>
          <w:color w:val="666666"/>
        </w:rPr>
      </w:pPr>
    </w:p>
    <w:p>
      <w:pPr>
        <w:ind w:left="640" w:hanging="395"/>
        <w:spacing w:after="0"/>
        <w:tabs>
          <w:tab w:leader="none" w:pos="640" w:val="left"/>
        </w:tabs>
        <w:numPr>
          <w:ilvl w:val="0"/>
          <w:numId w:val="32"/>
        </w:numPr>
        <w:rPr>
          <w:rFonts w:ascii="Calibri" w:cs="Calibri" w:eastAsia="Calibri" w:hAnsi="Calibri"/>
          <w:sz w:val="14"/>
          <w:szCs w:val="14"/>
          <w:color w:val="666666"/>
        </w:rPr>
      </w:pPr>
      <w:r>
        <w:rPr>
          <w:rFonts w:ascii="Calibri" w:cs="Calibri" w:eastAsia="Calibri" w:hAnsi="Calibri"/>
          <w:sz w:val="14"/>
          <w:szCs w:val="14"/>
          <w:color w:val="666666"/>
        </w:rPr>
        <w:t>Includes 34,642 shares that Ms. Laben has the right to acquire through the exercise of optons.</w:t>
      </w:r>
    </w:p>
    <w:p>
      <w:pPr>
        <w:spacing w:after="0" w:line="107" w:lineRule="exact"/>
        <w:rPr>
          <w:rFonts w:ascii="Calibri" w:cs="Calibri" w:eastAsia="Calibri" w:hAnsi="Calibri"/>
          <w:sz w:val="14"/>
          <w:szCs w:val="14"/>
          <w:color w:val="666666"/>
        </w:rPr>
      </w:pPr>
    </w:p>
    <w:p>
      <w:pPr>
        <w:ind w:left="640" w:hanging="395"/>
        <w:spacing w:after="0"/>
        <w:tabs>
          <w:tab w:leader="none" w:pos="640" w:val="left"/>
        </w:tabs>
        <w:numPr>
          <w:ilvl w:val="0"/>
          <w:numId w:val="32"/>
        </w:numPr>
        <w:rPr>
          <w:rFonts w:ascii="Calibri" w:cs="Calibri" w:eastAsia="Calibri" w:hAnsi="Calibri"/>
          <w:sz w:val="14"/>
          <w:szCs w:val="14"/>
          <w:color w:val="666666"/>
        </w:rPr>
      </w:pPr>
      <w:r>
        <w:rPr>
          <w:rFonts w:ascii="Calibri" w:cs="Calibri" w:eastAsia="Calibri" w:hAnsi="Calibri"/>
          <w:sz w:val="14"/>
          <w:szCs w:val="14"/>
          <w:color w:val="666666"/>
        </w:rPr>
        <w:t>Includes 52,761 shares that Ms. Penfeld has the right to acquire through the exercise of optons.</w:t>
      </w:r>
    </w:p>
    <w:p>
      <w:pPr>
        <w:spacing w:after="0" w:line="107" w:lineRule="exact"/>
        <w:rPr>
          <w:rFonts w:ascii="Calibri" w:cs="Calibri" w:eastAsia="Calibri" w:hAnsi="Calibri"/>
          <w:sz w:val="14"/>
          <w:szCs w:val="14"/>
          <w:color w:val="666666"/>
        </w:rPr>
      </w:pPr>
    </w:p>
    <w:p>
      <w:pPr>
        <w:ind w:left="640" w:hanging="395"/>
        <w:spacing w:after="0"/>
        <w:tabs>
          <w:tab w:leader="none" w:pos="640" w:val="left"/>
        </w:tabs>
        <w:numPr>
          <w:ilvl w:val="0"/>
          <w:numId w:val="32"/>
        </w:numPr>
        <w:rPr>
          <w:rFonts w:ascii="Calibri" w:cs="Calibri" w:eastAsia="Calibri" w:hAnsi="Calibri"/>
          <w:sz w:val="14"/>
          <w:szCs w:val="14"/>
          <w:color w:val="666666"/>
        </w:rPr>
      </w:pPr>
      <w:r>
        <w:rPr>
          <w:rFonts w:ascii="Calibri" w:cs="Calibri" w:eastAsia="Calibri" w:hAnsi="Calibri"/>
          <w:sz w:val="14"/>
          <w:szCs w:val="14"/>
          <w:color w:val="666666"/>
        </w:rPr>
        <w:t>Includes 435,761 shares that the directors and executve ofcers, in aggregate, have the right to acquire through the exercise of optons.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666666"/>
        </w:rPr>
        <w:t>26</w:t>
      </w:r>
    </w:p>
    <w:p>
      <w:pPr>
        <w:sectPr>
          <w:pgSz w:w="11900" w:h="16838" w:orient="portrait"/>
          <w:cols w:equalWidth="0" w:num="1">
            <w:col w:w="11240"/>
          </w:cols>
          <w:pgMar w:left="320" w:top="118"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Security Ownership of Certain Benefcial Owners</w:t>
      </w:r>
    </w:p>
    <w:p>
      <w:pPr>
        <w:spacing w:after="0" w:line="157" w:lineRule="exact"/>
        <w:rPr>
          <w:sz w:val="20"/>
          <w:szCs w:val="20"/>
          <w:color w:val="auto"/>
        </w:rPr>
      </w:pPr>
    </w:p>
    <w:p>
      <w:pPr>
        <w:ind w:left="440"/>
        <w:spacing w:after="0"/>
        <w:rPr>
          <w:sz w:val="20"/>
          <w:szCs w:val="20"/>
          <w:color w:val="auto"/>
        </w:rPr>
      </w:pPr>
      <w:r>
        <w:rPr>
          <w:rFonts w:ascii="Calibri" w:cs="Calibri" w:eastAsia="Calibri" w:hAnsi="Calibri"/>
          <w:sz w:val="18"/>
          <w:szCs w:val="18"/>
          <w:color w:val="666666"/>
        </w:rPr>
        <w:t>The following table sets forth informaton as to any person known to us to be the benefcial owner of more than 5%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132080</wp:posOffset>
            </wp:positionV>
            <wp:extent cx="4907915" cy="2362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07915" cy="236220"/>
                    </a:xfrm>
                    <a:prstGeom prst="rect">
                      <a:avLst/>
                    </a:prstGeom>
                    <a:noFill/>
                  </pic:spPr>
                </pic:pic>
              </a:graphicData>
            </a:graphic>
          </wp:anchor>
        </w:drawing>
      </w:r>
    </w:p>
    <w:p>
      <w:pPr>
        <w:spacing w:after="0" w:line="344" w:lineRule="exact"/>
        <w:rPr>
          <w:sz w:val="20"/>
          <w:szCs w:val="20"/>
          <w:color w:val="auto"/>
        </w:rPr>
      </w:pPr>
    </w:p>
    <w:p>
      <w:pPr>
        <w:ind w:left="1780"/>
        <w:spacing w:after="0"/>
        <w:tabs>
          <w:tab w:leader="none" w:pos="5940" w:val="left"/>
          <w:tab w:leader="none" w:pos="8100" w:val="left"/>
        </w:tabs>
        <w:rPr>
          <w:sz w:val="20"/>
          <w:szCs w:val="20"/>
          <w:color w:val="auto"/>
        </w:rPr>
      </w:pPr>
      <w:r>
        <w:rPr>
          <w:rFonts w:ascii="Calibri" w:cs="Calibri" w:eastAsia="Calibri" w:hAnsi="Calibri"/>
          <w:sz w:val="14"/>
          <w:szCs w:val="14"/>
          <w:b w:val="1"/>
          <w:bCs w:val="1"/>
          <w:color w:val="494949"/>
        </w:rPr>
        <w:t>Name and Address</w:t>
      </w:r>
      <w:r>
        <w:rPr>
          <w:sz w:val="20"/>
          <w:szCs w:val="20"/>
          <w:color w:val="auto"/>
        </w:rPr>
        <w:tab/>
      </w:r>
      <w:r>
        <w:rPr>
          <w:rFonts w:ascii="Calibri" w:cs="Calibri" w:eastAsia="Calibri" w:hAnsi="Calibri"/>
          <w:sz w:val="14"/>
          <w:szCs w:val="14"/>
          <w:b w:val="1"/>
          <w:bCs w:val="1"/>
          <w:color w:val="494949"/>
        </w:rPr>
        <w:t>Shares Benefcially Owned</w:t>
      </w:r>
      <w:r>
        <w:rPr>
          <w:sz w:val="20"/>
          <w:szCs w:val="20"/>
          <w:color w:val="auto"/>
        </w:rPr>
        <w:tab/>
      </w:r>
      <w:r>
        <w:rPr>
          <w:rFonts w:ascii="Calibri" w:cs="Calibri" w:eastAsia="Calibri" w:hAnsi="Calibri"/>
          <w:sz w:val="13"/>
          <w:szCs w:val="13"/>
          <w:b w:val="1"/>
          <w:bCs w:val="1"/>
          <w:color w:val="494949"/>
        </w:rPr>
        <w:t>Percentage of Class</w:t>
      </w:r>
    </w:p>
    <w:p>
      <w:pPr>
        <w:ind w:left="1780"/>
        <w:spacing w:after="0" w:line="209" w:lineRule="auto"/>
        <w:rPr>
          <w:sz w:val="20"/>
          <w:szCs w:val="20"/>
          <w:color w:val="auto"/>
        </w:rPr>
      </w:pPr>
      <w:r>
        <w:rPr>
          <w:rFonts w:ascii="Calibri" w:cs="Calibri" w:eastAsia="Calibri" w:hAnsi="Calibri"/>
          <w:sz w:val="14"/>
          <w:szCs w:val="14"/>
          <w:b w:val="1"/>
          <w:bCs w:val="1"/>
          <w:color w:val="494949"/>
        </w:rPr>
        <w:t xml:space="preserve">T. Rowe Price Associates, Inc. </w:t>
      </w:r>
      <w:r>
        <w:rPr>
          <w:rFonts w:ascii="Calibri" w:cs="Calibri" w:eastAsia="Calibri" w:hAnsi="Calibri"/>
          <w:sz w:val="18"/>
          <w:szCs w:val="18"/>
          <w:color w:val="494949"/>
          <w:vertAlign w:val="superscript"/>
        </w:rPr>
        <w:t>(1)</w:t>
      </w:r>
    </w:p>
    <w:p>
      <w:pPr>
        <w:ind w:left="1780"/>
        <w:spacing w:after="0" w:line="197" w:lineRule="auto"/>
        <w:tabs>
          <w:tab w:leader="none" w:pos="6400" w:val="left"/>
          <w:tab w:leader="none" w:pos="8440" w:val="left"/>
        </w:tabs>
        <w:rPr>
          <w:sz w:val="20"/>
          <w:szCs w:val="20"/>
          <w:color w:val="auto"/>
        </w:rPr>
      </w:pPr>
      <w:r>
        <w:rPr>
          <w:rFonts w:ascii="Calibri" w:cs="Calibri" w:eastAsia="Calibri" w:hAnsi="Calibri"/>
          <w:sz w:val="14"/>
          <w:szCs w:val="14"/>
          <w:color w:val="494949"/>
        </w:rPr>
        <w:t>100 E. Prat Street</w:t>
      </w:r>
      <w:r>
        <w:rPr>
          <w:sz w:val="20"/>
          <w:szCs w:val="20"/>
          <w:color w:val="auto"/>
        </w:rPr>
        <w:tab/>
      </w:r>
      <w:r>
        <w:rPr>
          <w:rFonts w:ascii="Calibri" w:cs="Calibri" w:eastAsia="Calibri" w:hAnsi="Calibri"/>
          <w:sz w:val="14"/>
          <w:szCs w:val="14"/>
          <w:color w:val="494949"/>
        </w:rPr>
        <w:t>18,092,670</w:t>
      </w:r>
      <w:r>
        <w:rPr>
          <w:sz w:val="20"/>
          <w:szCs w:val="20"/>
          <w:color w:val="auto"/>
        </w:rPr>
        <w:tab/>
      </w:r>
      <w:r>
        <w:rPr>
          <w:rFonts w:ascii="Calibri" w:cs="Calibri" w:eastAsia="Calibri" w:hAnsi="Calibri"/>
          <w:sz w:val="14"/>
          <w:szCs w:val="14"/>
          <w:color w:val="494949"/>
        </w:rPr>
        <w:t>13.68%</w:t>
      </w:r>
    </w:p>
    <w:p>
      <w:pPr>
        <w:ind w:left="1780"/>
        <w:spacing w:after="0" w:line="205" w:lineRule="auto"/>
        <w:rPr>
          <w:sz w:val="20"/>
          <w:szCs w:val="20"/>
          <w:color w:val="auto"/>
        </w:rPr>
      </w:pPr>
      <w:r>
        <w:rPr>
          <w:rFonts w:ascii="Calibri" w:cs="Calibri" w:eastAsia="Calibri" w:hAnsi="Calibri"/>
          <w:sz w:val="14"/>
          <w:szCs w:val="14"/>
          <w:color w:val="494949"/>
        </w:rPr>
        <w:t>Baltmore, Maryland 21202</w:t>
      </w:r>
    </w:p>
    <w:p>
      <w:pPr>
        <w:ind w:left="1780"/>
        <w:spacing w:after="0" w:line="195" w:lineRule="auto"/>
        <w:rPr>
          <w:sz w:val="20"/>
          <w:szCs w:val="20"/>
          <w:color w:val="auto"/>
        </w:rPr>
      </w:pPr>
      <w:r>
        <w:rPr>
          <w:rFonts w:ascii="Calibri" w:cs="Calibri" w:eastAsia="Calibri" w:hAnsi="Calibri"/>
          <w:sz w:val="14"/>
          <w:szCs w:val="14"/>
          <w:b w:val="1"/>
          <w:bCs w:val="1"/>
          <w:color w:val="494949"/>
        </w:rPr>
        <w:t xml:space="preserve">The Vanguard Group </w:t>
      </w:r>
      <w:r>
        <w:rPr>
          <w:rFonts w:ascii="Calibri" w:cs="Calibri" w:eastAsia="Calibri" w:hAnsi="Calibri"/>
          <w:sz w:val="18"/>
          <w:szCs w:val="18"/>
          <w:color w:val="494949"/>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-92075</wp:posOffset>
            </wp:positionV>
            <wp:extent cx="4907915" cy="3035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07915" cy="303530"/>
                    </a:xfrm>
                    <a:prstGeom prst="rect">
                      <a:avLst/>
                    </a:prstGeom>
                    <a:noFill/>
                  </pic:spPr>
                </pic:pic>
              </a:graphicData>
            </a:graphic>
          </wp:anchor>
        </w:drawing>
      </w:r>
    </w:p>
    <w:p>
      <w:pPr>
        <w:ind w:left="1780"/>
        <w:spacing w:after="0" w:line="197" w:lineRule="auto"/>
        <w:tabs>
          <w:tab w:leader="none" w:pos="6400" w:val="left"/>
          <w:tab w:leader="none" w:pos="8480" w:val="left"/>
        </w:tabs>
        <w:rPr>
          <w:sz w:val="20"/>
          <w:szCs w:val="20"/>
          <w:color w:val="auto"/>
        </w:rPr>
      </w:pPr>
      <w:r>
        <w:rPr>
          <w:rFonts w:ascii="Calibri" w:cs="Calibri" w:eastAsia="Calibri" w:hAnsi="Calibri"/>
          <w:sz w:val="14"/>
          <w:szCs w:val="14"/>
          <w:color w:val="494949"/>
        </w:rPr>
        <w:t>100 Vanguard Boulevard</w:t>
      </w:r>
      <w:r>
        <w:rPr>
          <w:sz w:val="20"/>
          <w:szCs w:val="20"/>
          <w:color w:val="auto"/>
        </w:rPr>
        <w:tab/>
      </w:r>
      <w:r>
        <w:rPr>
          <w:rFonts w:ascii="Calibri" w:cs="Calibri" w:eastAsia="Calibri" w:hAnsi="Calibri"/>
          <w:sz w:val="14"/>
          <w:szCs w:val="14"/>
          <w:color w:val="494949"/>
        </w:rPr>
        <w:t>12,940,621</w:t>
      </w:r>
      <w:r>
        <w:rPr>
          <w:sz w:val="20"/>
          <w:szCs w:val="20"/>
          <w:color w:val="auto"/>
        </w:rPr>
        <w:tab/>
      </w:r>
      <w:r>
        <w:rPr>
          <w:rFonts w:ascii="Calibri" w:cs="Calibri" w:eastAsia="Calibri" w:hAnsi="Calibri"/>
          <w:sz w:val="14"/>
          <w:szCs w:val="14"/>
          <w:color w:val="494949"/>
        </w:rPr>
        <w:t>9.78%</w:t>
      </w:r>
    </w:p>
    <w:p>
      <w:pPr>
        <w:ind w:left="1780"/>
        <w:spacing w:after="0" w:line="206" w:lineRule="auto"/>
        <w:rPr>
          <w:sz w:val="20"/>
          <w:szCs w:val="20"/>
          <w:color w:val="auto"/>
        </w:rPr>
      </w:pPr>
      <w:r>
        <w:rPr>
          <w:rFonts w:ascii="Calibri" w:cs="Calibri" w:eastAsia="Calibri" w:hAnsi="Calibri"/>
          <w:sz w:val="14"/>
          <w:szCs w:val="14"/>
          <w:color w:val="494949"/>
        </w:rPr>
        <w:t>Malvern, Pennsylvania 19355</w:t>
      </w:r>
    </w:p>
    <w:p>
      <w:pPr>
        <w:ind w:left="1780"/>
        <w:spacing w:after="0" w:line="195" w:lineRule="auto"/>
        <w:rPr>
          <w:sz w:val="20"/>
          <w:szCs w:val="20"/>
          <w:color w:val="auto"/>
        </w:rPr>
      </w:pPr>
      <w:r>
        <w:rPr>
          <w:rFonts w:ascii="Calibri" w:cs="Calibri" w:eastAsia="Calibri" w:hAnsi="Calibri"/>
          <w:sz w:val="14"/>
          <w:szCs w:val="14"/>
          <w:b w:val="1"/>
          <w:bCs w:val="1"/>
          <w:color w:val="494949"/>
        </w:rPr>
        <w:t xml:space="preserve">Blackrock, Inc. </w:t>
      </w:r>
      <w:r>
        <w:rPr>
          <w:rFonts w:ascii="Calibri" w:cs="Calibri" w:eastAsia="Calibri" w:hAnsi="Calibri"/>
          <w:sz w:val="18"/>
          <w:szCs w:val="18"/>
          <w:color w:val="494949"/>
          <w:vertAlign w:val="superscript"/>
        </w:rPr>
        <w:t>(3)</w:t>
      </w:r>
    </w:p>
    <w:p>
      <w:pPr>
        <w:ind w:left="1780"/>
        <w:spacing w:after="0" w:line="196" w:lineRule="auto"/>
        <w:tabs>
          <w:tab w:leader="none" w:pos="6400" w:val="left"/>
          <w:tab w:leader="none" w:pos="8480" w:val="left"/>
        </w:tabs>
        <w:rPr>
          <w:sz w:val="20"/>
          <w:szCs w:val="20"/>
          <w:color w:val="auto"/>
        </w:rPr>
      </w:pPr>
      <w:r>
        <w:rPr>
          <w:rFonts w:ascii="Calibri" w:cs="Calibri" w:eastAsia="Calibri" w:hAnsi="Calibri"/>
          <w:sz w:val="14"/>
          <w:szCs w:val="14"/>
          <w:color w:val="494949"/>
        </w:rPr>
        <w:t>55 East 52nd Street</w:t>
      </w:r>
      <w:r>
        <w:rPr>
          <w:sz w:val="20"/>
          <w:szCs w:val="20"/>
          <w:color w:val="auto"/>
        </w:rPr>
        <w:tab/>
      </w:r>
      <w:r>
        <w:rPr>
          <w:rFonts w:ascii="Calibri" w:cs="Calibri" w:eastAsia="Calibri" w:hAnsi="Calibri"/>
          <w:sz w:val="14"/>
          <w:szCs w:val="14"/>
          <w:color w:val="494949"/>
        </w:rPr>
        <w:t>10,038,798</w:t>
      </w:r>
      <w:r>
        <w:rPr>
          <w:sz w:val="20"/>
          <w:szCs w:val="20"/>
          <w:color w:val="auto"/>
        </w:rPr>
        <w:tab/>
      </w:r>
      <w:r>
        <w:rPr>
          <w:rFonts w:ascii="Calibri" w:cs="Calibri" w:eastAsia="Calibri" w:hAnsi="Calibri"/>
          <w:sz w:val="14"/>
          <w:szCs w:val="14"/>
          <w:color w:val="494949"/>
        </w:rPr>
        <w:t>7.59%</w:t>
      </w:r>
    </w:p>
    <w:p>
      <w:pPr>
        <w:ind w:left="1780"/>
        <w:spacing w:after="0" w:line="205" w:lineRule="auto"/>
        <w:rPr>
          <w:sz w:val="20"/>
          <w:szCs w:val="20"/>
          <w:color w:val="auto"/>
        </w:rPr>
      </w:pPr>
      <w:r>
        <w:rPr>
          <w:rFonts w:ascii="Calibri" w:cs="Calibri" w:eastAsia="Calibri" w:hAnsi="Calibri"/>
          <w:sz w:val="14"/>
          <w:szCs w:val="14"/>
          <w:color w:val="494949"/>
        </w:rPr>
        <w:t>New York, NY 10055</w:t>
      </w:r>
    </w:p>
    <w:p>
      <w:pPr>
        <w:spacing w:after="0" w:line="257" w:lineRule="exact"/>
        <w:rPr>
          <w:sz w:val="20"/>
          <w:szCs w:val="20"/>
          <w:color w:val="auto"/>
        </w:rPr>
      </w:pPr>
    </w:p>
    <w:p>
      <w:pPr>
        <w:jc w:val="both"/>
        <w:ind w:left="640" w:hanging="395"/>
        <w:spacing w:after="0" w:line="236" w:lineRule="auto"/>
        <w:tabs>
          <w:tab w:leader="none" w:pos="638" w:val="left"/>
        </w:tabs>
        <w:numPr>
          <w:ilvl w:val="0"/>
          <w:numId w:val="33"/>
        </w:numPr>
        <w:rPr>
          <w:rFonts w:ascii="Calibri" w:cs="Calibri" w:eastAsia="Calibri" w:hAnsi="Calibri"/>
          <w:sz w:val="14"/>
          <w:szCs w:val="14"/>
          <w:color w:val="666666"/>
        </w:rPr>
      </w:pPr>
      <w:r>
        <w:rPr>
          <w:rFonts w:ascii="Calibri" w:cs="Calibri" w:eastAsia="Calibri" w:hAnsi="Calibri"/>
          <w:sz w:val="14"/>
          <w:szCs w:val="14"/>
          <w:color w:val="666666"/>
        </w:rPr>
        <w:t>T. Rowe Price Associates, Inc. has fled with the SEC a Schedule 13G/A dated February 14, 2022, which reports the benefcial ownership of 18,092,670 shares of Class A common stock by it as of December 31, 2021. As reported in the Schedule 13G/A, (i) T. Rowe Price Associates, Inc. had sole votng power with respect to 3,125,828 shares of our Class A common stock and T. Rowe Price New Horizons Fund, Inc. had sole votng power with respect to 13,098,221 shares of our Class A common stock, and (ii) T. Rowe Price Associates, Inc. had sole dispositve power with respect to 18,092,670 shares of our Class A common stock.</w:t>
      </w:r>
    </w:p>
    <w:p>
      <w:pPr>
        <w:spacing w:after="0" w:line="111" w:lineRule="exact"/>
        <w:rPr>
          <w:rFonts w:ascii="Calibri" w:cs="Calibri" w:eastAsia="Calibri" w:hAnsi="Calibri"/>
          <w:sz w:val="14"/>
          <w:szCs w:val="14"/>
          <w:color w:val="666666"/>
        </w:rPr>
      </w:pPr>
    </w:p>
    <w:p>
      <w:pPr>
        <w:jc w:val="both"/>
        <w:ind w:left="640" w:hanging="395"/>
        <w:spacing w:after="0" w:line="236" w:lineRule="auto"/>
        <w:tabs>
          <w:tab w:leader="none" w:pos="638" w:val="left"/>
        </w:tabs>
        <w:numPr>
          <w:ilvl w:val="0"/>
          <w:numId w:val="33"/>
        </w:numPr>
        <w:rPr>
          <w:rFonts w:ascii="Calibri" w:cs="Calibri" w:eastAsia="Calibri" w:hAnsi="Calibri"/>
          <w:sz w:val="14"/>
          <w:szCs w:val="14"/>
          <w:color w:val="666666"/>
        </w:rPr>
      </w:pPr>
      <w:r>
        <w:rPr>
          <w:rFonts w:ascii="Calibri" w:cs="Calibri" w:eastAsia="Calibri" w:hAnsi="Calibri"/>
          <w:sz w:val="14"/>
          <w:szCs w:val="14"/>
          <w:color w:val="666666"/>
        </w:rPr>
        <w:t>The Vanguard Group has fled with the SEC a Schedule 13G/A dated February 9, 2022, which reports the benefcial ownership of 12,940,621 shares of Class A common stock by it as of December 31, 2021. As reported in the Schedule 13G/A, The Vanguard Group had sole votng power with respect to 0 shares of our Class A common stock, sole dispositve power with respect to 12,748,807 shares of our Class A common stock, shared votng power with respect to 108,645 shares of our Class A common stock, and shared dispositve power with respect to 191,814 shares of our Class A common stock.</w:t>
      </w:r>
    </w:p>
    <w:p>
      <w:pPr>
        <w:spacing w:after="0" w:line="111" w:lineRule="exact"/>
        <w:rPr>
          <w:rFonts w:ascii="Calibri" w:cs="Calibri" w:eastAsia="Calibri" w:hAnsi="Calibri"/>
          <w:sz w:val="14"/>
          <w:szCs w:val="14"/>
          <w:color w:val="666666"/>
        </w:rPr>
      </w:pPr>
    </w:p>
    <w:p>
      <w:pPr>
        <w:jc w:val="both"/>
        <w:ind w:left="640" w:hanging="395"/>
        <w:spacing w:after="0"/>
        <w:tabs>
          <w:tab w:leader="none" w:pos="638" w:val="left"/>
        </w:tabs>
        <w:numPr>
          <w:ilvl w:val="0"/>
          <w:numId w:val="33"/>
        </w:numPr>
        <w:rPr>
          <w:rFonts w:ascii="Calibri" w:cs="Calibri" w:eastAsia="Calibri" w:hAnsi="Calibri"/>
          <w:sz w:val="14"/>
          <w:szCs w:val="14"/>
          <w:color w:val="666666"/>
        </w:rPr>
      </w:pPr>
      <w:r>
        <w:rPr>
          <w:rFonts w:ascii="Calibri" w:cs="Calibri" w:eastAsia="Calibri" w:hAnsi="Calibri"/>
          <w:sz w:val="14"/>
          <w:szCs w:val="14"/>
          <w:color w:val="666666"/>
        </w:rPr>
        <w:t>Blackrock, Inc. has fled with the SEC a Schedule 13G/A dated February 2, 2022, which reports the benefcial ownership of 10,038,798 shares of Class A common stock by it as of December 31, 2021. As reported in the Schedule 13G/A, Blackrock, Inc. had sole votng power with respect to 9,206,188 shares of our Class A common stock, and sole dispositve power with respect to 10,038,798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27</w:t>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385" w:lineRule="exact"/>
        <w:rPr>
          <w:sz w:val="20"/>
          <w:szCs w:val="20"/>
          <w:color w:val="auto"/>
        </w:rPr>
      </w:pPr>
    </w:p>
    <w:p>
      <w:pPr>
        <w:ind w:left="1980"/>
        <w:spacing w:after="0"/>
        <w:rPr>
          <w:sz w:val="20"/>
          <w:szCs w:val="20"/>
          <w:color w:val="auto"/>
        </w:rPr>
      </w:pPr>
      <w:r>
        <w:rPr>
          <w:rFonts w:ascii="Calibri" w:cs="Calibri" w:eastAsia="Calibri" w:hAnsi="Calibri"/>
          <w:sz w:val="28"/>
          <w:szCs w:val="28"/>
          <w:b w:val="1"/>
          <w:bCs w:val="1"/>
          <w:color w:val="547BCC"/>
        </w:rPr>
        <w:t>CERTAIN RELATIONSHIPS AND RELATED PARTY TRANSACTIONS</w:t>
      </w:r>
    </w:p>
    <w:p>
      <w:pPr>
        <w:spacing w:after="0" w:line="164"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Policies and Procedures for Related Person Transactons</w:t>
      </w:r>
    </w:p>
    <w:p>
      <w:pPr>
        <w:spacing w:after="0" w:line="166"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We adopted a writen related person transactons policy pursuant to which related persons, namely our executve ofcers, directors, and principal stockholders, and their immediate family members, are not permited to enter into certain transactons, or materially modify or amend an ongoing transacton, with us, in which the amount involved exceeds $120,000, without the consent of our Audit Commitee or any other body of the Board of Directors comprised solely of independent directors. Any request for us to enter into or materially modify or amend certain such transactons is required to be presented to our Audit Commitee for review, consideraton, and approval. All of our directors and executve ofcers are required to report to our Secretary any such proposed related person transacton, who is required to provide notce of such proposed related person transacton to the Audit Commitee. In approving or rejectng the proposed transacton, our Audit Commitee will take into account, among other factors it deems appropriate, whether the proposed related person transacton is on terms at least as favorable as terms generally available to an unafliated third party under the same or similar circumstances, the extent of the related person’s interest in the transacton and, if applicable, the impact on a director’s independence. Under the policy, if we should discover related person transactons that have not been approved, our Audit Commitee will be notfed and will determine the appropriate acton, including ratfcaton, rescission, or amendment of the transacton.</w:t>
      </w:r>
    </w:p>
    <w:p>
      <w:pPr>
        <w:spacing w:after="0" w:line="159"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Related Person Transactons</w:t>
      </w:r>
    </w:p>
    <w:p>
      <w:pPr>
        <w:spacing w:after="0" w:line="162" w:lineRule="exact"/>
        <w:rPr>
          <w:sz w:val="20"/>
          <w:szCs w:val="20"/>
          <w:color w:val="auto"/>
        </w:rPr>
      </w:pPr>
    </w:p>
    <w:p>
      <w:pPr>
        <w:ind w:left="320"/>
        <w:spacing w:after="0"/>
        <w:rPr>
          <w:sz w:val="20"/>
          <w:szCs w:val="20"/>
          <w:color w:val="auto"/>
        </w:rPr>
      </w:pPr>
      <w:r>
        <w:rPr>
          <w:rFonts w:ascii="Calibri" w:cs="Calibri" w:eastAsia="Calibri" w:hAnsi="Calibri"/>
          <w:sz w:val="19"/>
          <w:szCs w:val="19"/>
          <w:i w:val="1"/>
          <w:iCs w:val="1"/>
          <w:color w:val="547BCC"/>
        </w:rPr>
        <w:t>Indemnifcaton Agreements</w:t>
      </w:r>
    </w:p>
    <w:p>
      <w:pPr>
        <w:spacing w:after="0" w:line="170"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We have entered into indemnifcaton agreements with each of our directors and executve ofcers pursuant to which we have agreed to indemnify such individuals against certain liabilites arising out of service as a director or ofcer of the Company and its subsidiaries. The indemnifcaton agreements provide our directors and executve ofcers with contractual rights to the indemnifcaton and expense advancement rights provided under our Fifh Amended and Restated Bylaws, as well as contractual rights to additonal indemnifcaton as provided in the indemnifcaton agreements.</w:t>
      </w:r>
    </w:p>
    <w:p>
      <w:pPr>
        <w:spacing w:after="0" w:line="159" w:lineRule="exact"/>
        <w:rPr>
          <w:sz w:val="20"/>
          <w:szCs w:val="20"/>
          <w:color w:val="auto"/>
        </w:rPr>
      </w:pPr>
    </w:p>
    <w:p>
      <w:pPr>
        <w:ind w:left="320"/>
        <w:spacing w:after="0"/>
        <w:rPr>
          <w:sz w:val="20"/>
          <w:szCs w:val="20"/>
          <w:color w:val="auto"/>
        </w:rPr>
      </w:pPr>
      <w:r>
        <w:rPr>
          <w:rFonts w:ascii="Calibri" w:cs="Calibri" w:eastAsia="Calibri" w:hAnsi="Calibri"/>
          <w:sz w:val="19"/>
          <w:szCs w:val="19"/>
          <w:i w:val="1"/>
          <w:iCs w:val="1"/>
          <w:color w:val="547BCC"/>
        </w:rPr>
        <w:t>Other Relatonships</w:t>
      </w:r>
    </w:p>
    <w:p>
      <w:pPr>
        <w:spacing w:after="0" w:line="157"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Bryan E. Shrader, a Senior Vice President at the Company, is the son of Dr. Ralph Shrader, our former Chief Executve Ofcer and current Chair of the Board. In fscal year 2022, Mr. Shrader received a base salary of $275,000, a cash bonus of $225,000, and retrement contributons of $36,000. He received a grant of 972 tme-based restricted stock units with a grant date fair value of $80,054. Mr. Shrader also partcipates in the Company’s other beneft programs on the same basis as other employees at the same level.</w:t>
      </w:r>
    </w:p>
    <w:p>
      <w:pPr>
        <w:spacing w:after="0" w:line="163" w:lineRule="exact"/>
        <w:rPr>
          <w:sz w:val="20"/>
          <w:szCs w:val="20"/>
          <w:color w:val="auto"/>
        </w:rPr>
      </w:pPr>
    </w:p>
    <w:p>
      <w:pPr>
        <w:jc w:val="both"/>
        <w:ind w:firstLine="319"/>
        <w:spacing w:after="0" w:line="247" w:lineRule="auto"/>
        <w:rPr>
          <w:sz w:val="20"/>
          <w:szCs w:val="20"/>
          <w:color w:val="auto"/>
        </w:rPr>
      </w:pPr>
      <w:r>
        <w:rPr>
          <w:rFonts w:ascii="Calibri" w:cs="Calibri" w:eastAsia="Calibri" w:hAnsi="Calibri"/>
          <w:sz w:val="17"/>
          <w:szCs w:val="17"/>
          <w:color w:val="666666"/>
        </w:rPr>
        <w:t>Ian Penfeld, a Lead Associate at the Company, is the nephew of Susan L. Penfeld, an Executve Vice President and our Chief Technology Ofcer. His annual base salary is $146,020. In fscal year 2022, Mr. Penfeld received $142,039 in base salary, retrement contributons of $8,443, and $4,059 through our paid tme of (PTO) sell program. Mr. Penfeld also partcipates in the Company’s other beneft programs on the same basis as other employees at the same level.</w:t>
      </w:r>
    </w:p>
    <w:p>
      <w:pPr>
        <w:spacing w:after="0" w:line="156"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Jeremy Penfeld, a Lead Associate at the Company, is the nephew of Susan L. Penfeld, an Executve Vice President and our Chief Technology Ofcer. His annual base salary is $147,321. In fscal year 2022, Mr. Penfeld received $141,276 in base salary, retrement contributons of $8,356, and an award of $100. Mr. Penfeld also partcipates in the Company’s other beneft programs on the same basis as other employees at the same level.</w:t>
      </w:r>
    </w:p>
    <w:p>
      <w:pPr>
        <w:spacing w:after="0" w:line="162"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Leslie Melton, an Associate at the Company, is the sister-in-law of Lloyd W. Howell, Jr., an Executve Vice President and our Chief Financial Ofcer. Her annual base salary is $124,157. In fscal year 2022, Ms. Melton received $120,772 in base salary, retrement contributons of $7,179, and $4,602 through our PTO sell program. Ms. Melton also partcipates in the Company’s other beneft programs on the same basis as other employees at the same level.</w:t>
      </w:r>
    </w:p>
    <w:p>
      <w:pPr>
        <w:spacing w:after="0" w:line="162" w:lineRule="exact"/>
        <w:rPr>
          <w:sz w:val="20"/>
          <w:szCs w:val="20"/>
          <w:color w:val="auto"/>
        </w:rPr>
      </w:pPr>
    </w:p>
    <w:p>
      <w:pPr>
        <w:jc w:val="both"/>
        <w:ind w:firstLine="319"/>
        <w:spacing w:after="0" w:line="247" w:lineRule="auto"/>
        <w:rPr>
          <w:sz w:val="20"/>
          <w:szCs w:val="20"/>
          <w:color w:val="auto"/>
        </w:rPr>
      </w:pPr>
      <w:r>
        <w:rPr>
          <w:rFonts w:ascii="Calibri" w:cs="Calibri" w:eastAsia="Calibri" w:hAnsi="Calibri"/>
          <w:sz w:val="17"/>
          <w:szCs w:val="17"/>
          <w:color w:val="666666"/>
        </w:rPr>
        <w:t>Bradley Dotson, an Associate at the Company during fscal year 2022, is the son of Judi Dotson, an Executve Vice President and President of the Company's Natonal Security sector. His annual base salary was $112,790. In fscal year 2022, Mr. Dotson received $104,642 in base salary, retrement contributons of $5,977, and an award of $200. Mr. Dotson also partcipated in the Company’s other beneft programs on the same basis as other employees at the same level.</w:t>
      </w:r>
    </w:p>
    <w:p>
      <w:pPr>
        <w:spacing w:after="0" w:line="143" w:lineRule="exact"/>
        <w:rPr>
          <w:sz w:val="20"/>
          <w:szCs w:val="20"/>
          <w:color w:val="auto"/>
        </w:rPr>
      </w:pPr>
    </w:p>
    <w:p>
      <w:pPr>
        <w:jc w:val="both"/>
        <w:ind w:firstLine="319"/>
        <w:spacing w:after="0" w:line="221" w:lineRule="auto"/>
        <w:rPr>
          <w:sz w:val="20"/>
          <w:szCs w:val="20"/>
          <w:color w:val="auto"/>
        </w:rPr>
      </w:pPr>
      <w:r>
        <w:rPr>
          <w:rFonts w:ascii="Calibri" w:cs="Calibri" w:eastAsia="Calibri" w:hAnsi="Calibri"/>
          <w:sz w:val="18"/>
          <w:szCs w:val="18"/>
          <w:color w:val="666666"/>
        </w:rPr>
        <w:t>Mitchell Thompson, an Associate at the Company, is the son of Elizabeth Thompson, an Executve Vice President and our Chief People Ofcer. His annual base salary is $107,145. In fscal year 2022, Mr. Thompson received $104,036 in base salary, and retrement contributons of $6,180. Mr. Thompson also partcipates in the Company’s other beneft programs on the same basis as other employees at the same level.</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28</w:t>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Megen Jackson, an Associate at the Company, is the niece of Judi Dotson, Executve Vice President and President of the Company's Natonal Security sector. Her annual base salary is $116,374. In fscal year 2022, Ms. Jackson received $103,831 in base salary, retrement contributons of $5,846, and an award of $2,000. Ms. Jackson also partcipates in the Company’s other beneft programs on the same basis as other employees at the same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29</w:t>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Calibri" w:cs="Calibri" w:eastAsia="Calibri" w:hAnsi="Calibri"/>
          <w:sz w:val="28"/>
          <w:szCs w:val="28"/>
          <w:b w:val="1"/>
          <w:bCs w:val="1"/>
          <w:color w:val="547BCC"/>
        </w:rPr>
        <w:t>COMPENSATION DISCUSSION AND ANALYSIS</w:t>
      </w:r>
    </w:p>
    <w:p>
      <w:pPr>
        <w:spacing w:after="0" w:line="175" w:lineRule="exact"/>
        <w:rPr>
          <w:sz w:val="20"/>
          <w:szCs w:val="20"/>
          <w:color w:val="auto"/>
        </w:rPr>
      </w:pPr>
    </w:p>
    <w:p>
      <w:pPr>
        <w:ind w:firstLine="319"/>
        <w:spacing w:after="0" w:line="249" w:lineRule="auto"/>
        <w:rPr>
          <w:sz w:val="20"/>
          <w:szCs w:val="20"/>
          <w:color w:val="auto"/>
        </w:rPr>
      </w:pPr>
      <w:r>
        <w:rPr>
          <w:rFonts w:ascii="Calibri" w:cs="Calibri" w:eastAsia="Calibri" w:hAnsi="Calibri"/>
          <w:sz w:val="17"/>
          <w:szCs w:val="17"/>
          <w:color w:val="666666"/>
        </w:rPr>
        <w:t>The Compensaton Discussion and Analysis (CD&amp;A), together with the compensaton tables and related disclosures, provides a narratve of our executve compensaton philosophy and programs as reviewed and determined by the Compensaton, Culture and People Commitee of the Board of Directors.</w:t>
      </w:r>
    </w:p>
    <w:p>
      <w:pPr>
        <w:spacing w:after="0" w:line="154" w:lineRule="exact"/>
        <w:rPr>
          <w:sz w:val="20"/>
          <w:szCs w:val="20"/>
          <w:color w:val="auto"/>
        </w:rPr>
      </w:pPr>
    </w:p>
    <w:p>
      <w:pPr>
        <w:ind w:firstLine="319"/>
        <w:spacing w:after="0" w:line="231" w:lineRule="auto"/>
        <w:rPr>
          <w:sz w:val="20"/>
          <w:szCs w:val="20"/>
          <w:color w:val="auto"/>
        </w:rPr>
      </w:pPr>
      <w:r>
        <w:rPr>
          <w:rFonts w:ascii="Calibri" w:cs="Calibri" w:eastAsia="Calibri" w:hAnsi="Calibri"/>
          <w:sz w:val="18"/>
          <w:szCs w:val="18"/>
          <w:color w:val="666666"/>
        </w:rPr>
        <w:t>At Booz Allen, our purpose is to empower people to change the world. Our leadership philosophy and partnership culture are foundatonal to how we drive transformaton and guide our people to solve our client's toughest challenges.</w:t>
      </w:r>
    </w:p>
    <w:p>
      <w:pPr>
        <w:spacing w:after="0" w:line="152" w:lineRule="exact"/>
        <w:rPr>
          <w:sz w:val="20"/>
          <w:szCs w:val="20"/>
          <w:color w:val="auto"/>
        </w:rPr>
      </w:pPr>
    </w:p>
    <w:p>
      <w:pPr>
        <w:ind w:left="320"/>
        <w:spacing w:after="0"/>
        <w:rPr>
          <w:sz w:val="20"/>
          <w:szCs w:val="20"/>
          <w:color w:val="auto"/>
        </w:rPr>
      </w:pPr>
      <w:r>
        <w:rPr>
          <w:rFonts w:ascii="Calibri" w:cs="Calibri" w:eastAsia="Calibri" w:hAnsi="Calibri"/>
          <w:sz w:val="18"/>
          <w:szCs w:val="18"/>
          <w:color w:val="666666"/>
        </w:rPr>
        <w:t>Our executve compensaton strategy is uniquely designed to:</w:t>
      </w:r>
    </w:p>
    <w:p>
      <w:pPr>
        <w:spacing w:after="0" w:line="152" w:lineRule="exact"/>
        <w:rPr>
          <w:sz w:val="20"/>
          <w:szCs w:val="20"/>
          <w:color w:val="auto"/>
        </w:rPr>
      </w:pPr>
    </w:p>
    <w:p>
      <w:pPr>
        <w:ind w:left="960" w:hanging="237"/>
        <w:spacing w:after="0"/>
        <w:tabs>
          <w:tab w:leader="none" w:pos="960" w:val="left"/>
        </w:tabs>
        <w:numPr>
          <w:ilvl w:val="0"/>
          <w:numId w:val="34"/>
        </w:numPr>
        <w:rPr>
          <w:rFonts w:ascii="Calibri" w:cs="Calibri" w:eastAsia="Calibri" w:hAnsi="Calibri"/>
          <w:sz w:val="18"/>
          <w:szCs w:val="18"/>
          <w:color w:val="666666"/>
        </w:rPr>
      </w:pPr>
      <w:r>
        <w:rPr>
          <w:rFonts w:ascii="Calibri" w:cs="Calibri" w:eastAsia="Calibri" w:hAnsi="Calibri"/>
          <w:sz w:val="18"/>
          <w:szCs w:val="18"/>
          <w:color w:val="666666"/>
        </w:rPr>
        <w:t>Deliver compettve compensaton ted to long-term stockholder value creaton;</w:t>
      </w:r>
    </w:p>
    <w:p>
      <w:pPr>
        <w:spacing w:after="0" w:line="152" w:lineRule="exact"/>
        <w:rPr>
          <w:rFonts w:ascii="Calibri" w:cs="Calibri" w:eastAsia="Calibri" w:hAnsi="Calibri"/>
          <w:sz w:val="18"/>
          <w:szCs w:val="18"/>
          <w:color w:val="666666"/>
        </w:rPr>
      </w:pPr>
    </w:p>
    <w:p>
      <w:pPr>
        <w:ind w:left="960" w:hanging="237"/>
        <w:spacing w:after="0"/>
        <w:tabs>
          <w:tab w:leader="none" w:pos="960" w:val="left"/>
        </w:tabs>
        <w:numPr>
          <w:ilvl w:val="0"/>
          <w:numId w:val="34"/>
        </w:numPr>
        <w:rPr>
          <w:rFonts w:ascii="Calibri" w:cs="Calibri" w:eastAsia="Calibri" w:hAnsi="Calibri"/>
          <w:sz w:val="18"/>
          <w:szCs w:val="18"/>
          <w:color w:val="666666"/>
        </w:rPr>
      </w:pPr>
      <w:r>
        <w:rPr>
          <w:rFonts w:ascii="Calibri" w:cs="Calibri" w:eastAsia="Calibri" w:hAnsi="Calibri"/>
          <w:sz w:val="18"/>
          <w:szCs w:val="18"/>
          <w:color w:val="666666"/>
        </w:rPr>
        <w:t>Atract and retain top talent from across the global marketplace who will contnue to propel us forward for the future;</w:t>
      </w:r>
    </w:p>
    <w:p>
      <w:pPr>
        <w:spacing w:after="0" w:line="152" w:lineRule="exact"/>
        <w:rPr>
          <w:rFonts w:ascii="Calibri" w:cs="Calibri" w:eastAsia="Calibri" w:hAnsi="Calibri"/>
          <w:sz w:val="18"/>
          <w:szCs w:val="18"/>
          <w:color w:val="666666"/>
        </w:rPr>
      </w:pPr>
    </w:p>
    <w:p>
      <w:pPr>
        <w:ind w:left="960" w:hanging="237"/>
        <w:spacing w:after="0"/>
        <w:tabs>
          <w:tab w:leader="none" w:pos="960" w:val="left"/>
        </w:tabs>
        <w:numPr>
          <w:ilvl w:val="0"/>
          <w:numId w:val="34"/>
        </w:numPr>
        <w:rPr>
          <w:rFonts w:ascii="Calibri" w:cs="Calibri" w:eastAsia="Calibri" w:hAnsi="Calibri"/>
          <w:sz w:val="18"/>
          <w:szCs w:val="18"/>
          <w:color w:val="666666"/>
        </w:rPr>
      </w:pPr>
      <w:r>
        <w:rPr>
          <w:rFonts w:ascii="Calibri" w:cs="Calibri" w:eastAsia="Calibri" w:hAnsi="Calibri"/>
          <w:sz w:val="18"/>
          <w:szCs w:val="18"/>
          <w:color w:val="666666"/>
        </w:rPr>
        <w:t>Motvate and reward executves with exceptonal ability to meet and exceed the demands of our clients;</w:t>
      </w:r>
    </w:p>
    <w:p>
      <w:pPr>
        <w:spacing w:after="0" w:line="152" w:lineRule="exact"/>
        <w:rPr>
          <w:rFonts w:ascii="Calibri" w:cs="Calibri" w:eastAsia="Calibri" w:hAnsi="Calibri"/>
          <w:sz w:val="18"/>
          <w:szCs w:val="18"/>
          <w:color w:val="666666"/>
        </w:rPr>
      </w:pPr>
    </w:p>
    <w:p>
      <w:pPr>
        <w:ind w:left="960" w:hanging="237"/>
        <w:spacing w:after="0"/>
        <w:tabs>
          <w:tab w:leader="none" w:pos="960" w:val="left"/>
        </w:tabs>
        <w:numPr>
          <w:ilvl w:val="0"/>
          <w:numId w:val="34"/>
        </w:numPr>
        <w:rPr>
          <w:rFonts w:ascii="Calibri" w:cs="Calibri" w:eastAsia="Calibri" w:hAnsi="Calibri"/>
          <w:sz w:val="18"/>
          <w:szCs w:val="18"/>
          <w:color w:val="666666"/>
        </w:rPr>
      </w:pPr>
      <w:r>
        <w:rPr>
          <w:rFonts w:ascii="Calibri" w:cs="Calibri" w:eastAsia="Calibri" w:hAnsi="Calibri"/>
          <w:sz w:val="18"/>
          <w:szCs w:val="18"/>
          <w:color w:val="666666"/>
        </w:rPr>
        <w:t>Infuse an ownership mindset to build sustainable growth and value; and</w:t>
      </w:r>
    </w:p>
    <w:p>
      <w:pPr>
        <w:spacing w:after="0" w:line="161" w:lineRule="exact"/>
        <w:rPr>
          <w:rFonts w:ascii="Calibri" w:cs="Calibri" w:eastAsia="Calibri" w:hAnsi="Calibri"/>
          <w:sz w:val="18"/>
          <w:szCs w:val="18"/>
          <w:color w:val="666666"/>
        </w:rPr>
      </w:pPr>
    </w:p>
    <w:p>
      <w:pPr>
        <w:ind w:left="960" w:hanging="237"/>
        <w:spacing w:after="0" w:line="231" w:lineRule="auto"/>
        <w:tabs>
          <w:tab w:leader="none" w:pos="953" w:val="left"/>
        </w:tabs>
        <w:numPr>
          <w:ilvl w:val="0"/>
          <w:numId w:val="34"/>
        </w:numPr>
        <w:rPr>
          <w:rFonts w:ascii="Calibri" w:cs="Calibri" w:eastAsia="Calibri" w:hAnsi="Calibri"/>
          <w:sz w:val="18"/>
          <w:szCs w:val="18"/>
          <w:color w:val="666666"/>
        </w:rPr>
      </w:pPr>
      <w:r>
        <w:rPr>
          <w:rFonts w:ascii="Calibri" w:cs="Calibri" w:eastAsia="Calibri" w:hAnsi="Calibri"/>
          <w:sz w:val="18"/>
          <w:szCs w:val="18"/>
          <w:color w:val="666666"/>
        </w:rPr>
        <w:t>Reinforce our partnership-style culture which diferentates our ability to come to market as an insttuton rather than as individuals, foster a culture of collaboraton among our leaders, and encourage rapid and efcient deployment of our people across clients and opportunites.</w:t>
      </w:r>
    </w:p>
    <w:p>
      <w:pPr>
        <w:spacing w:after="0" w:line="161" w:lineRule="exact"/>
        <w:rPr>
          <w:sz w:val="20"/>
          <w:szCs w:val="20"/>
          <w:color w:val="auto"/>
        </w:rPr>
      </w:pPr>
    </w:p>
    <w:p>
      <w:pPr>
        <w:ind w:firstLine="319"/>
        <w:spacing w:after="0" w:line="231" w:lineRule="auto"/>
        <w:rPr>
          <w:sz w:val="20"/>
          <w:szCs w:val="20"/>
          <w:color w:val="auto"/>
        </w:rPr>
      </w:pPr>
      <w:r>
        <w:rPr>
          <w:rFonts w:ascii="Calibri" w:cs="Calibri" w:eastAsia="Calibri" w:hAnsi="Calibri"/>
          <w:sz w:val="18"/>
          <w:szCs w:val="18"/>
          <w:color w:val="666666"/>
        </w:rPr>
        <w:t>The tenure of our executves is a testament to the team's long-standing commitment to the Company and its long-term business goals. Our named executve ofcers for fscal year 2022 were:</w:t>
      </w:r>
    </w:p>
    <w:p>
      <w:pPr>
        <w:spacing w:after="0" w:line="189" w:lineRule="exact"/>
        <w:rPr>
          <w:sz w:val="20"/>
          <w:szCs w:val="20"/>
          <w:color w:val="auto"/>
        </w:rPr>
      </w:pPr>
    </w:p>
    <w:tbl>
      <w:tblPr>
        <w:tblLayout w:type="fixed"/>
        <w:tblInd w:w="50" w:type="dxa"/>
        <w:tblCellMar>
          <w:top w:w="0" w:type="dxa"/>
          <w:left w:w="0" w:type="dxa"/>
          <w:bottom w:w="0" w:type="dxa"/>
          <w:right w:w="0" w:type="dxa"/>
        </w:tblCellMar>
      </w:tblPr>
      <w:tr>
        <w:trPr>
          <w:trHeight w:val="1804"/>
        </w:trPr>
        <w:tc>
          <w:tcPr>
            <w:tcW w:w="2280" w:type="dxa"/>
            <w:vAlign w:val="bottom"/>
            <w:tcBorders>
              <w:top w:val="single" w:sz="8" w:color="auto"/>
              <w:left w:val="single" w:sz="8" w:color="auto"/>
              <w:right w:val="single" w:sz="8" w:color="auto"/>
            </w:tcBorders>
          </w:tcPr>
          <w:p>
            <w:pPr>
              <w:jc w:val="center"/>
              <w:spacing w:after="0"/>
              <w:rPr>
                <w:sz w:val="20"/>
                <w:szCs w:val="20"/>
                <w:color w:val="auto"/>
              </w:rPr>
            </w:pPr>
            <w:r>
              <w:rPr>
                <w:rFonts w:ascii="Calibri" w:cs="Calibri" w:eastAsia="Calibri" w:hAnsi="Calibri"/>
                <w:sz w:val="16"/>
                <w:szCs w:val="16"/>
                <w:b w:val="1"/>
                <w:bCs w:val="1"/>
                <w:color w:val="494949"/>
                <w:w w:val="98"/>
              </w:rPr>
              <w:t>Horacio D. Rozanski</w:t>
            </w:r>
          </w:p>
        </w:tc>
        <w:tc>
          <w:tcPr>
            <w:tcW w:w="222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6"/>
                <w:szCs w:val="16"/>
                <w:b w:val="1"/>
                <w:bCs w:val="1"/>
                <w:color w:val="494949"/>
                <w:w w:val="97"/>
              </w:rPr>
              <w:t>Lloyd W. Howell, Jr.</w:t>
            </w:r>
          </w:p>
        </w:tc>
        <w:tc>
          <w:tcPr>
            <w:tcW w:w="22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6"/>
                <w:szCs w:val="16"/>
                <w:b w:val="1"/>
                <w:bCs w:val="1"/>
                <w:color w:val="494949"/>
                <w:w w:val="98"/>
              </w:rPr>
              <w:t>Karen M. Dahut</w:t>
            </w:r>
          </w:p>
        </w:tc>
        <w:tc>
          <w:tcPr>
            <w:tcW w:w="222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6"/>
                <w:szCs w:val="16"/>
                <w:b w:val="1"/>
                <w:bCs w:val="1"/>
                <w:color w:val="494949"/>
                <w:w w:val="99"/>
              </w:rPr>
              <w:t>Nancy J. Laben</w:t>
            </w:r>
          </w:p>
        </w:tc>
        <w:tc>
          <w:tcPr>
            <w:tcW w:w="222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6"/>
                <w:szCs w:val="16"/>
                <w:b w:val="1"/>
                <w:bCs w:val="1"/>
                <w:color w:val="494949"/>
              </w:rPr>
              <w:t>Susan L. Penfeld</w:t>
            </w:r>
          </w:p>
        </w:tc>
      </w:tr>
      <w:tr>
        <w:trPr>
          <w:trHeight w:val="148"/>
        </w:trPr>
        <w:tc>
          <w:tcPr>
            <w:tcW w:w="2280" w:type="dxa"/>
            <w:vAlign w:val="bottom"/>
            <w:tcBorders>
              <w:left w:val="single" w:sz="8" w:color="auto"/>
              <w:right w:val="single" w:sz="8" w:color="auto"/>
            </w:tcBorders>
          </w:tcPr>
          <w:p>
            <w:pPr>
              <w:jc w:val="center"/>
              <w:spacing w:after="0" w:line="148" w:lineRule="exact"/>
              <w:rPr>
                <w:sz w:val="20"/>
                <w:szCs w:val="20"/>
                <w:color w:val="auto"/>
              </w:rPr>
            </w:pPr>
            <w:r>
              <w:rPr>
                <w:rFonts w:ascii="Calibri" w:cs="Calibri" w:eastAsia="Calibri" w:hAnsi="Calibri"/>
                <w:sz w:val="14"/>
                <w:szCs w:val="14"/>
                <w:color w:val="494949"/>
                <w:w w:val="99"/>
              </w:rPr>
              <w:t>President and</w:t>
            </w:r>
          </w:p>
        </w:tc>
        <w:tc>
          <w:tcPr>
            <w:tcW w:w="2220" w:type="dxa"/>
            <w:vAlign w:val="bottom"/>
            <w:tcBorders>
              <w:right w:val="single" w:sz="8" w:color="auto"/>
            </w:tcBorders>
          </w:tcPr>
          <w:p>
            <w:pPr>
              <w:jc w:val="center"/>
              <w:spacing w:after="0" w:line="148" w:lineRule="exact"/>
              <w:rPr>
                <w:sz w:val="20"/>
                <w:szCs w:val="20"/>
                <w:color w:val="auto"/>
              </w:rPr>
            </w:pPr>
            <w:r>
              <w:rPr>
                <w:rFonts w:ascii="Calibri" w:cs="Calibri" w:eastAsia="Calibri" w:hAnsi="Calibri"/>
                <w:sz w:val="14"/>
                <w:szCs w:val="14"/>
                <w:color w:val="494949"/>
              </w:rPr>
              <w:t>Executve Vice President, Chief</w:t>
            </w:r>
          </w:p>
        </w:tc>
        <w:tc>
          <w:tcPr>
            <w:tcW w:w="2240" w:type="dxa"/>
            <w:vAlign w:val="bottom"/>
            <w:tcBorders>
              <w:right w:val="single" w:sz="8" w:color="auto"/>
            </w:tcBorders>
          </w:tcPr>
          <w:p>
            <w:pPr>
              <w:jc w:val="center"/>
              <w:spacing w:after="0" w:line="148" w:lineRule="exact"/>
              <w:rPr>
                <w:sz w:val="20"/>
                <w:szCs w:val="20"/>
                <w:color w:val="auto"/>
              </w:rPr>
            </w:pPr>
            <w:r>
              <w:rPr>
                <w:rFonts w:ascii="Calibri" w:cs="Calibri" w:eastAsia="Calibri" w:hAnsi="Calibri"/>
                <w:sz w:val="14"/>
                <w:szCs w:val="14"/>
                <w:color w:val="494949"/>
              </w:rPr>
              <w:t>Executve Vice President, President of</w:t>
            </w:r>
          </w:p>
        </w:tc>
        <w:tc>
          <w:tcPr>
            <w:tcW w:w="2220" w:type="dxa"/>
            <w:vAlign w:val="bottom"/>
            <w:tcBorders>
              <w:right w:val="single" w:sz="8" w:color="auto"/>
            </w:tcBorders>
          </w:tcPr>
          <w:p>
            <w:pPr>
              <w:jc w:val="center"/>
              <w:spacing w:after="0" w:line="148" w:lineRule="exact"/>
              <w:rPr>
                <w:sz w:val="20"/>
                <w:szCs w:val="20"/>
                <w:color w:val="auto"/>
              </w:rPr>
            </w:pPr>
            <w:r>
              <w:rPr>
                <w:rFonts w:ascii="Calibri" w:cs="Calibri" w:eastAsia="Calibri" w:hAnsi="Calibri"/>
                <w:sz w:val="14"/>
                <w:szCs w:val="14"/>
                <w:color w:val="494949"/>
              </w:rPr>
              <w:t>Executve Vice President,</w:t>
            </w:r>
          </w:p>
        </w:tc>
        <w:tc>
          <w:tcPr>
            <w:tcW w:w="2220" w:type="dxa"/>
            <w:vAlign w:val="bottom"/>
            <w:tcBorders>
              <w:right w:val="single" w:sz="8" w:color="auto"/>
            </w:tcBorders>
          </w:tcPr>
          <w:p>
            <w:pPr>
              <w:jc w:val="center"/>
              <w:spacing w:after="0" w:line="148" w:lineRule="exact"/>
              <w:rPr>
                <w:sz w:val="20"/>
                <w:szCs w:val="20"/>
                <w:color w:val="auto"/>
              </w:rPr>
            </w:pPr>
            <w:r>
              <w:rPr>
                <w:rFonts w:ascii="Calibri" w:cs="Calibri" w:eastAsia="Calibri" w:hAnsi="Calibri"/>
                <w:sz w:val="14"/>
                <w:szCs w:val="14"/>
                <w:color w:val="494949"/>
              </w:rPr>
              <w:t>Executve Vice President, Chief</w:t>
            </w:r>
          </w:p>
        </w:tc>
      </w:tr>
      <w:tr>
        <w:trPr>
          <w:trHeight w:val="168"/>
        </w:trPr>
        <w:tc>
          <w:tcPr>
            <w:tcW w:w="2280" w:type="dxa"/>
            <w:vAlign w:val="bottom"/>
            <w:tcBorders>
              <w:left w:val="single" w:sz="8" w:color="auto"/>
              <w:right w:val="single" w:sz="8" w:color="auto"/>
            </w:tcBorders>
          </w:tcPr>
          <w:p>
            <w:pPr>
              <w:jc w:val="center"/>
              <w:spacing w:after="0" w:line="169" w:lineRule="exact"/>
              <w:rPr>
                <w:sz w:val="20"/>
                <w:szCs w:val="20"/>
                <w:color w:val="auto"/>
              </w:rPr>
            </w:pPr>
            <w:r>
              <w:rPr>
                <w:rFonts w:ascii="Calibri" w:cs="Calibri" w:eastAsia="Calibri" w:hAnsi="Calibri"/>
                <w:sz w:val="14"/>
                <w:szCs w:val="14"/>
                <w:color w:val="494949"/>
              </w:rPr>
              <w:t>Chief Executve Ofcer</w:t>
            </w:r>
          </w:p>
        </w:tc>
        <w:tc>
          <w:tcPr>
            <w:tcW w:w="22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494949"/>
              </w:rPr>
              <w:t>Financial Ofcer</w:t>
            </w:r>
          </w:p>
        </w:tc>
        <w:tc>
          <w:tcPr>
            <w:tcW w:w="224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494949"/>
              </w:rPr>
              <w:t>Global Defense Sector</w:t>
            </w:r>
          </w:p>
        </w:tc>
        <w:tc>
          <w:tcPr>
            <w:tcW w:w="22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494949"/>
              </w:rPr>
              <w:t>Chief Legal Ofcer</w:t>
            </w:r>
          </w:p>
        </w:tc>
        <w:tc>
          <w:tcPr>
            <w:tcW w:w="22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494949"/>
              </w:rPr>
              <w:t>Technology Ofcer</w:t>
            </w:r>
          </w:p>
        </w:tc>
      </w:tr>
      <w:tr>
        <w:trPr>
          <w:trHeight w:val="164"/>
        </w:trPr>
        <w:tc>
          <w:tcPr>
            <w:tcW w:w="2280" w:type="dxa"/>
            <w:vAlign w:val="bottom"/>
            <w:tcBorders>
              <w:left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color w:val="494949"/>
              </w:rPr>
              <w:t>Executve Tenure: 22 years</w:t>
            </w:r>
          </w:p>
        </w:tc>
        <w:tc>
          <w:tcPr>
            <w:tcW w:w="2220" w:type="dxa"/>
            <w:vAlign w:val="bottom"/>
            <w:tcBorders>
              <w:right w:val="single" w:sz="8" w:color="auto"/>
            </w:tcBorders>
          </w:tcPr>
          <w:p>
            <w:pPr>
              <w:jc w:val="center"/>
              <w:ind w:right="7"/>
              <w:spacing w:after="0" w:line="164" w:lineRule="exact"/>
              <w:rPr>
                <w:sz w:val="20"/>
                <w:szCs w:val="20"/>
                <w:color w:val="auto"/>
              </w:rPr>
            </w:pPr>
            <w:r>
              <w:rPr>
                <w:rFonts w:ascii="Calibri" w:cs="Calibri" w:eastAsia="Calibri" w:hAnsi="Calibri"/>
                <w:sz w:val="14"/>
                <w:szCs w:val="14"/>
                <w:color w:val="494949"/>
              </w:rPr>
              <w:t>Executve Tenure: 21 years</w:t>
            </w:r>
          </w:p>
        </w:tc>
        <w:tc>
          <w:tcPr>
            <w:tcW w:w="2240" w:type="dxa"/>
            <w:vAlign w:val="bottom"/>
            <w:tcBorders>
              <w:right w:val="single" w:sz="8" w:color="auto"/>
            </w:tcBorders>
          </w:tcPr>
          <w:p>
            <w:pPr>
              <w:jc w:val="center"/>
              <w:ind w:right="7"/>
              <w:spacing w:after="0" w:line="164" w:lineRule="exact"/>
              <w:rPr>
                <w:sz w:val="20"/>
                <w:szCs w:val="20"/>
                <w:color w:val="auto"/>
              </w:rPr>
            </w:pPr>
            <w:r>
              <w:rPr>
                <w:rFonts w:ascii="Calibri" w:cs="Calibri" w:eastAsia="Calibri" w:hAnsi="Calibri"/>
                <w:sz w:val="14"/>
                <w:szCs w:val="14"/>
                <w:color w:val="494949"/>
              </w:rPr>
              <w:t>Executve Tenure: 17 years</w:t>
            </w:r>
          </w:p>
        </w:tc>
        <w:tc>
          <w:tcPr>
            <w:tcW w:w="222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494949"/>
              </w:rPr>
              <w:t>Executve Tenure: 8 years</w:t>
            </w:r>
          </w:p>
        </w:tc>
        <w:tc>
          <w:tcPr>
            <w:tcW w:w="222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4"/>
                <w:szCs w:val="14"/>
                <w:color w:val="494949"/>
              </w:rPr>
              <w:t>Executve Tenure: 19 years</w:t>
            </w:r>
          </w:p>
        </w:tc>
      </w:tr>
      <w:tr>
        <w:trPr>
          <w:trHeight w:val="168"/>
        </w:trPr>
        <w:tc>
          <w:tcPr>
            <w:tcW w:w="2280" w:type="dxa"/>
            <w:vAlign w:val="bottom"/>
            <w:tcBorders>
              <w:left w:val="single" w:sz="8" w:color="auto"/>
              <w:right w:val="single" w:sz="8" w:color="auto"/>
            </w:tcBorders>
          </w:tcPr>
          <w:p>
            <w:pPr>
              <w:jc w:val="center"/>
              <w:spacing w:after="0" w:line="169" w:lineRule="exact"/>
              <w:rPr>
                <w:sz w:val="20"/>
                <w:szCs w:val="20"/>
                <w:color w:val="auto"/>
              </w:rPr>
            </w:pPr>
            <w:r>
              <w:rPr>
                <w:rFonts w:ascii="Calibri" w:cs="Calibri" w:eastAsia="Calibri" w:hAnsi="Calibri"/>
                <w:sz w:val="14"/>
                <w:szCs w:val="14"/>
                <w:color w:val="494949"/>
                <w:w w:val="99"/>
              </w:rPr>
              <w:t>Total Tenure: 29 years</w:t>
            </w:r>
          </w:p>
        </w:tc>
        <w:tc>
          <w:tcPr>
            <w:tcW w:w="22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494949"/>
                <w:w w:val="99"/>
              </w:rPr>
              <w:t>Total Tenure: 33 years</w:t>
            </w:r>
          </w:p>
        </w:tc>
        <w:tc>
          <w:tcPr>
            <w:tcW w:w="224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494949"/>
                <w:w w:val="97"/>
              </w:rPr>
              <w:t>Total Tenure: 19 years</w:t>
            </w:r>
          </w:p>
        </w:tc>
        <w:tc>
          <w:tcPr>
            <w:tcW w:w="22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494949"/>
                <w:w w:val="98"/>
              </w:rPr>
              <w:t>Total Tenure: 8 years</w:t>
            </w:r>
          </w:p>
        </w:tc>
        <w:tc>
          <w:tcPr>
            <w:tcW w:w="22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494949"/>
                <w:w w:val="99"/>
              </w:rPr>
              <w:t>Total Tenure: 27 years</w:t>
            </w:r>
          </w:p>
        </w:tc>
      </w:tr>
      <w:tr>
        <w:trPr>
          <w:trHeight w:val="44"/>
        </w:trPr>
        <w:tc>
          <w:tcPr>
            <w:tcW w:w="2280" w:type="dxa"/>
            <w:vAlign w:val="bottom"/>
            <w:tcBorders>
              <w:left w:val="single" w:sz="8" w:color="auto"/>
              <w:bottom w:val="single" w:sz="8" w:color="auto"/>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-1576705</wp:posOffset>
            </wp:positionV>
            <wp:extent cx="6619875" cy="9531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19875" cy="953135"/>
                    </a:xfrm>
                    <a:prstGeom prst="rect">
                      <a:avLst/>
                    </a:prstGeom>
                    <a:noFill/>
                  </pic:spPr>
                </pic:pic>
              </a:graphicData>
            </a:graphic>
          </wp:anchor>
        </w:drawing>
      </w:r>
    </w:p>
    <w:p>
      <w:pPr>
        <w:spacing w:after="0" w:line="175" w:lineRule="exact"/>
        <w:rPr>
          <w:sz w:val="20"/>
          <w:szCs w:val="20"/>
          <w:color w:val="auto"/>
        </w:rPr>
      </w:pPr>
    </w:p>
    <w:p>
      <w:pPr>
        <w:ind w:left="240"/>
        <w:spacing w:after="0"/>
        <w:rPr>
          <w:sz w:val="20"/>
          <w:szCs w:val="20"/>
          <w:color w:val="auto"/>
        </w:rPr>
      </w:pPr>
      <w:r>
        <w:rPr>
          <w:rFonts w:ascii="Calibri" w:cs="Calibri" w:eastAsia="Calibri" w:hAnsi="Calibri"/>
          <w:sz w:val="14"/>
          <w:szCs w:val="14"/>
          <w:color w:val="666666"/>
        </w:rPr>
        <w:t>(Tenure as executve and total tenure calculated as number of full years completed as of the last day of fscal year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30</w:t>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4F7CBA"/>
        </w:rPr>
        <w:t>Executve Summary</w:t>
      </w:r>
    </w:p>
    <w:p>
      <w:pPr>
        <w:spacing w:after="0" w:line="162"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547BCC"/>
        </w:rPr>
        <w:t>Company Performance and Highlights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47BCC"/>
        </w:rPr>
        <w:t>Delivering Signifcant Returns to Stockholders</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Amid the unprecedented environment caused by COVID-19, our leaders contnued to execute upon the Company’s crisis management plan, which included plans to ensure the health and safety of our employees, as well as support our clients and the communites afected. In fscal year 2022, our staf and leaders led the Company to deliver record performance for fscal year revenue and earnings, increased headcount by over fve percent, and generated solid backlog growth. This strong performance has resulted in signifcant returns to our stockholders through appreciaton in our stock price, the payment of regular dividends, and share repurchases.</w:t>
      </w:r>
    </w:p>
    <w:p>
      <w:pPr>
        <w:spacing w:after="0" w:line="161"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494949"/>
        </w:rPr>
        <w:t>Total Stockholder Return</w:t>
      </w:r>
    </w:p>
    <w:p>
      <w:pPr>
        <w:spacing w:after="0" w:line="97" w:lineRule="exact"/>
        <w:rPr>
          <w:sz w:val="20"/>
          <w:szCs w:val="20"/>
          <w:color w:val="auto"/>
        </w:rPr>
      </w:pPr>
    </w:p>
    <w:p>
      <w:pPr>
        <w:jc w:val="center"/>
        <w:spacing w:after="0"/>
        <w:rPr>
          <w:sz w:val="20"/>
          <w:szCs w:val="20"/>
          <w:color w:val="auto"/>
        </w:rPr>
      </w:pPr>
      <w:r>
        <w:rPr>
          <w:rFonts w:ascii="Calibri" w:cs="Calibri" w:eastAsia="Calibri" w:hAnsi="Calibri"/>
          <w:sz w:val="16"/>
          <w:szCs w:val="16"/>
          <w:color w:val="494949"/>
        </w:rPr>
        <w:t>As of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Note: Total stockholder return assumes dividends are reinvested.</w:t>
      </w:r>
    </w:p>
    <w:p>
      <w:pPr>
        <w:spacing w:after="0" w:line="158" w:lineRule="exact"/>
        <w:rPr>
          <w:sz w:val="20"/>
          <w:szCs w:val="20"/>
          <w:color w:val="auto"/>
        </w:rPr>
      </w:pPr>
    </w:p>
    <w:p>
      <w:pPr>
        <w:ind w:left="640" w:hanging="315"/>
        <w:spacing w:after="0"/>
        <w:tabs>
          <w:tab w:leader="none" w:pos="640" w:val="left"/>
        </w:tabs>
        <w:numPr>
          <w:ilvl w:val="0"/>
          <w:numId w:val="35"/>
        </w:numPr>
        <w:rPr>
          <w:rFonts w:ascii="Calibri" w:cs="Calibri" w:eastAsia="Calibri" w:hAnsi="Calibri"/>
          <w:sz w:val="18"/>
          <w:szCs w:val="18"/>
          <w:color w:val="666666"/>
        </w:rPr>
      </w:pPr>
      <w:r>
        <w:rPr>
          <w:rFonts w:ascii="Calibri" w:cs="Calibri" w:eastAsia="Calibri" w:hAnsi="Calibri"/>
          <w:sz w:val="18"/>
          <w:szCs w:val="18"/>
          <w:color w:val="666666"/>
        </w:rPr>
        <w:t>Our stock price increased by approximately 9% and total stockholder return was approximately 11% during fscal year 2022.</w:t>
      </w:r>
    </w:p>
    <w:p>
      <w:pPr>
        <w:spacing w:after="0" w:line="161" w:lineRule="exact"/>
        <w:rPr>
          <w:rFonts w:ascii="Calibri" w:cs="Calibri" w:eastAsia="Calibri" w:hAnsi="Calibri"/>
          <w:sz w:val="18"/>
          <w:szCs w:val="18"/>
          <w:color w:val="666666"/>
        </w:rPr>
      </w:pPr>
    </w:p>
    <w:p>
      <w:pPr>
        <w:ind w:left="640" w:hanging="315"/>
        <w:spacing w:after="0" w:line="231" w:lineRule="auto"/>
        <w:tabs>
          <w:tab w:leader="none" w:pos="633" w:val="left"/>
        </w:tabs>
        <w:numPr>
          <w:ilvl w:val="0"/>
          <w:numId w:val="35"/>
        </w:numPr>
        <w:rPr>
          <w:rFonts w:ascii="Calibri" w:cs="Calibri" w:eastAsia="Calibri" w:hAnsi="Calibri"/>
          <w:sz w:val="18"/>
          <w:szCs w:val="18"/>
          <w:color w:val="666666"/>
        </w:rPr>
      </w:pPr>
      <w:r>
        <w:rPr>
          <w:rFonts w:ascii="Calibri" w:cs="Calibri" w:eastAsia="Calibri" w:hAnsi="Calibri"/>
          <w:sz w:val="18"/>
          <w:szCs w:val="18"/>
          <w:color w:val="666666"/>
        </w:rPr>
        <w:t>During fscal year 2022, we declared and paid $209.1 million in recurring dividends to stockholders—three regular dividends of $0.37 per share and one regular dividend of $0.43 per share.</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35"/>
        </w:numPr>
        <w:rPr>
          <w:rFonts w:ascii="Calibri" w:cs="Calibri" w:eastAsia="Calibri" w:hAnsi="Calibri"/>
          <w:sz w:val="18"/>
          <w:szCs w:val="18"/>
          <w:color w:val="666666"/>
        </w:rPr>
      </w:pPr>
      <w:r>
        <w:rPr>
          <w:rFonts w:ascii="Calibri" w:cs="Calibri" w:eastAsia="Calibri" w:hAnsi="Calibri"/>
          <w:sz w:val="18"/>
          <w:szCs w:val="18"/>
          <w:color w:val="666666"/>
        </w:rPr>
        <w:t>We devoted $865.5 million through strategic minority investments and acquisitons.</w:t>
      </w:r>
    </w:p>
    <w:p>
      <w:pPr>
        <w:spacing w:after="0" w:line="161" w:lineRule="exact"/>
        <w:rPr>
          <w:rFonts w:ascii="Calibri" w:cs="Calibri" w:eastAsia="Calibri" w:hAnsi="Calibri"/>
          <w:sz w:val="18"/>
          <w:szCs w:val="18"/>
          <w:color w:val="666666"/>
        </w:rPr>
      </w:pPr>
    </w:p>
    <w:p>
      <w:pPr>
        <w:ind w:left="640" w:hanging="315"/>
        <w:spacing w:after="0" w:line="231" w:lineRule="auto"/>
        <w:tabs>
          <w:tab w:leader="none" w:pos="633" w:val="left"/>
        </w:tabs>
        <w:numPr>
          <w:ilvl w:val="0"/>
          <w:numId w:val="35"/>
        </w:numPr>
        <w:rPr>
          <w:rFonts w:ascii="Calibri" w:cs="Calibri" w:eastAsia="Calibri" w:hAnsi="Calibri"/>
          <w:sz w:val="18"/>
          <w:szCs w:val="18"/>
          <w:color w:val="666666"/>
        </w:rPr>
      </w:pPr>
      <w:r>
        <w:rPr>
          <w:rFonts w:ascii="Calibri" w:cs="Calibri" w:eastAsia="Calibri" w:hAnsi="Calibri"/>
          <w:sz w:val="18"/>
          <w:szCs w:val="18"/>
          <w:color w:val="666666"/>
        </w:rPr>
        <w:t>The Board increased the quarterly dividend by 16% for performance in the third quarter of fscal year 2022, payable in the fourth quarter of fscal year 2022. The total dividends paid in fscal year 2022 grew 15% compared to fscal year 2021.</w:t>
      </w:r>
    </w:p>
    <w:p>
      <w:pPr>
        <w:spacing w:after="0" w:line="161" w:lineRule="exact"/>
        <w:rPr>
          <w:rFonts w:ascii="Calibri" w:cs="Calibri" w:eastAsia="Calibri" w:hAnsi="Calibri"/>
          <w:sz w:val="18"/>
          <w:szCs w:val="18"/>
          <w:color w:val="666666"/>
        </w:rPr>
      </w:pPr>
    </w:p>
    <w:p>
      <w:pPr>
        <w:jc w:val="both"/>
        <w:ind w:left="640" w:hanging="315"/>
        <w:spacing w:after="0" w:line="231" w:lineRule="auto"/>
        <w:tabs>
          <w:tab w:leader="none" w:pos="633" w:val="left"/>
        </w:tabs>
        <w:numPr>
          <w:ilvl w:val="0"/>
          <w:numId w:val="35"/>
        </w:numPr>
        <w:rPr>
          <w:rFonts w:ascii="Calibri" w:cs="Calibri" w:eastAsia="Calibri" w:hAnsi="Calibri"/>
          <w:sz w:val="18"/>
          <w:szCs w:val="18"/>
          <w:color w:val="666666"/>
        </w:rPr>
      </w:pPr>
      <w:r>
        <w:rPr>
          <w:rFonts w:ascii="Calibri" w:cs="Calibri" w:eastAsia="Calibri" w:hAnsi="Calibri"/>
          <w:sz w:val="18"/>
          <w:szCs w:val="18"/>
          <w:color w:val="666666"/>
        </w:rPr>
        <w:t>We expect to declare and pay regular quarterly cash dividends in the future. However, the actual declaraton of any such future dividends and the establishment of the per share amounts, record dates, and payment dates are subject to the discreton of the Board, which will take into consideraton future earnings, cash fows, fnancial requirements, and other factors.</w:t>
      </w:r>
    </w:p>
    <w:p>
      <w:pPr>
        <w:spacing w:after="0" w:line="162" w:lineRule="exact"/>
        <w:rPr>
          <w:rFonts w:ascii="Calibri" w:cs="Calibri" w:eastAsia="Calibri" w:hAnsi="Calibri"/>
          <w:sz w:val="18"/>
          <w:szCs w:val="18"/>
          <w:color w:val="666666"/>
        </w:rPr>
      </w:pPr>
    </w:p>
    <w:p>
      <w:pPr>
        <w:ind w:left="640" w:hanging="315"/>
        <w:spacing w:after="0" w:line="249" w:lineRule="auto"/>
        <w:tabs>
          <w:tab w:leader="none" w:pos="633" w:val="left"/>
        </w:tabs>
        <w:numPr>
          <w:ilvl w:val="0"/>
          <w:numId w:val="35"/>
        </w:numPr>
        <w:rPr>
          <w:rFonts w:ascii="Calibri" w:cs="Calibri" w:eastAsia="Calibri" w:hAnsi="Calibri"/>
          <w:sz w:val="17"/>
          <w:szCs w:val="17"/>
          <w:color w:val="666666"/>
        </w:rPr>
      </w:pPr>
      <w:r>
        <w:rPr>
          <w:rFonts w:ascii="Calibri" w:cs="Calibri" w:eastAsia="Calibri" w:hAnsi="Calibri"/>
          <w:sz w:val="17"/>
          <w:szCs w:val="17"/>
          <w:color w:val="666666"/>
        </w:rPr>
        <w:t>During fscal year 2022, we repurchased 5.1 million shares for $419.3 million (which includes 4.7 million of open market share repurchases as well as 0.3 million shares to cover the minimum statutory withholding taxes on restricted stock units that vested on various dates during the period).</w:t>
      </w:r>
    </w:p>
    <w:p>
      <w:pPr>
        <w:spacing w:after="0" w:line="153" w:lineRule="exact"/>
        <w:rPr>
          <w:rFonts w:ascii="Calibri" w:cs="Calibri" w:eastAsia="Calibri" w:hAnsi="Calibri"/>
          <w:sz w:val="17"/>
          <w:szCs w:val="17"/>
          <w:color w:val="666666"/>
        </w:rPr>
      </w:pPr>
    </w:p>
    <w:p>
      <w:pPr>
        <w:jc w:val="both"/>
        <w:ind w:left="640" w:hanging="315"/>
        <w:spacing w:after="0" w:line="231" w:lineRule="auto"/>
        <w:tabs>
          <w:tab w:leader="none" w:pos="633" w:val="left"/>
        </w:tabs>
        <w:numPr>
          <w:ilvl w:val="0"/>
          <w:numId w:val="35"/>
        </w:numPr>
        <w:rPr>
          <w:rFonts w:ascii="Calibri" w:cs="Calibri" w:eastAsia="Calibri" w:hAnsi="Calibri"/>
          <w:sz w:val="18"/>
          <w:szCs w:val="18"/>
          <w:color w:val="auto"/>
        </w:rPr>
      </w:pPr>
      <w:r>
        <w:rPr>
          <w:rFonts w:ascii="Calibri" w:cs="Calibri" w:eastAsia="Calibri" w:hAnsi="Calibri"/>
          <w:sz w:val="18"/>
          <w:szCs w:val="18"/>
          <w:color w:val="666666"/>
        </w:rPr>
        <w:t>On January 26, 2022, the Board of Directors approved an additonal increase to our share repurchase authorizaton of $450.0 million, for a total capacity of $2,160.0 million under the share repurchase program. As of March 31, 2022, the Company had approximately $651.6 million of unused capacity to repurchase shares of common stock under the share repurchase program.</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31</w:t>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47BCC"/>
        </w:rPr>
        <w:t>Fiscal Year 2022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132080</wp:posOffset>
            </wp:positionV>
            <wp:extent cx="7143115" cy="143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3115" cy="14351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60" w:type="dxa"/>
            <w:vAlign w:val="bottom"/>
            <w:tcBorders>
              <w:bottom w:val="single" w:sz="8" w:color="CCEEFF"/>
            </w:tcBorders>
            <w:shd w:val="clear" w:color="auto" w:fill="CCEEFF"/>
          </w:tcPr>
          <w:p>
            <w:pPr>
              <w:spacing w:after="0"/>
              <w:rPr>
                <w:sz w:val="16"/>
                <w:szCs w:val="16"/>
                <w:color w:val="auto"/>
              </w:rPr>
            </w:pPr>
          </w:p>
        </w:tc>
        <w:tc>
          <w:tcPr>
            <w:tcW w:w="3960" w:type="dxa"/>
            <w:vAlign w:val="bottom"/>
            <w:tcBorders>
              <w:bottom w:val="single" w:sz="8" w:color="CCEEFF"/>
            </w:tcBorders>
            <w:shd w:val="clear" w:color="auto" w:fill="CCEEFF"/>
          </w:tcPr>
          <w:p>
            <w:pPr>
              <w:ind w:left="180"/>
              <w:spacing w:after="0"/>
              <w:rPr>
                <w:sz w:val="20"/>
                <w:szCs w:val="20"/>
                <w:color w:val="auto"/>
              </w:rPr>
            </w:pPr>
            <w:r>
              <w:rPr>
                <w:rFonts w:ascii="Calibri" w:cs="Calibri" w:eastAsia="Calibri" w:hAnsi="Calibri"/>
                <w:sz w:val="14"/>
                <w:szCs w:val="14"/>
                <w:b w:val="1"/>
                <w:bCs w:val="1"/>
                <w:color w:val="494949"/>
              </w:rPr>
              <w:t>Net Income and Net Income Margin</w:t>
            </w:r>
          </w:p>
        </w:tc>
        <w:tc>
          <w:tcPr>
            <w:tcW w:w="1500" w:type="dxa"/>
            <w:vAlign w:val="bottom"/>
            <w:tcBorders>
              <w:bottom w:val="single" w:sz="8" w:color="CCEEFF"/>
            </w:tcBorders>
            <w:shd w:val="clear" w:color="auto" w:fill="CCEEFF"/>
          </w:tcPr>
          <w:p>
            <w:pPr>
              <w:spacing w:after="0"/>
              <w:rPr>
                <w:sz w:val="16"/>
                <w:szCs w:val="16"/>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b w:val="1"/>
                <w:bCs w:val="1"/>
                <w:color w:val="494949"/>
              </w:rPr>
              <w:t>Adj. EBITDA and Adj. EBITDA Margin on Revenue</w:t>
            </w:r>
          </w:p>
        </w:tc>
      </w:tr>
      <w:tr>
        <w:trPr>
          <w:trHeight w:val="168"/>
        </w:trPr>
        <w:tc>
          <w:tcPr>
            <w:tcW w:w="1560" w:type="dxa"/>
            <w:vAlign w:val="bottom"/>
          </w:tcPr>
          <w:p>
            <w:pPr>
              <w:ind w:left="20"/>
              <w:spacing w:after="0" w:line="169" w:lineRule="exact"/>
              <w:rPr>
                <w:sz w:val="20"/>
                <w:szCs w:val="20"/>
                <w:color w:val="auto"/>
              </w:rPr>
            </w:pPr>
            <w:r>
              <w:rPr>
                <w:rFonts w:ascii="Calibri" w:cs="Calibri" w:eastAsia="Calibri" w:hAnsi="Calibri"/>
                <w:sz w:val="14"/>
                <w:szCs w:val="14"/>
                <w:color w:val="494949"/>
              </w:rPr>
              <w:t>Net Income ($ millions)</w:t>
            </w:r>
          </w:p>
        </w:tc>
        <w:tc>
          <w:tcPr>
            <w:tcW w:w="3960" w:type="dxa"/>
            <w:vAlign w:val="bottom"/>
          </w:tcPr>
          <w:p>
            <w:pPr>
              <w:ind w:left="3180"/>
              <w:spacing w:after="0" w:line="169" w:lineRule="exact"/>
              <w:rPr>
                <w:sz w:val="20"/>
                <w:szCs w:val="20"/>
                <w:color w:val="auto"/>
              </w:rPr>
            </w:pPr>
            <w:r>
              <w:rPr>
                <w:rFonts w:ascii="Calibri" w:cs="Calibri" w:eastAsia="Calibri" w:hAnsi="Calibri"/>
                <w:sz w:val="14"/>
                <w:szCs w:val="14"/>
                <w:color w:val="494949"/>
              </w:rPr>
              <w:t>Margin (%)</w:t>
            </w:r>
          </w:p>
        </w:tc>
        <w:tc>
          <w:tcPr>
            <w:tcW w:w="1500" w:type="dxa"/>
            <w:vAlign w:val="bottom"/>
          </w:tcPr>
          <w:p>
            <w:pPr>
              <w:ind w:left="160"/>
              <w:spacing w:after="0" w:line="169" w:lineRule="exact"/>
              <w:rPr>
                <w:sz w:val="20"/>
                <w:szCs w:val="20"/>
                <w:color w:val="auto"/>
              </w:rPr>
            </w:pPr>
            <w:r>
              <w:rPr>
                <w:rFonts w:ascii="Calibri" w:cs="Calibri" w:eastAsia="Calibri" w:hAnsi="Calibri"/>
                <w:sz w:val="14"/>
                <w:szCs w:val="14"/>
                <w:color w:val="494949"/>
                <w:w w:val="99"/>
              </w:rPr>
              <w:t>Adj. EBITDA ($ millions)</w:t>
            </w:r>
          </w:p>
        </w:tc>
        <w:tc>
          <w:tcPr>
            <w:tcW w:w="4220" w:type="dxa"/>
            <w:vAlign w:val="bottom"/>
          </w:tcPr>
          <w:p>
            <w:pPr>
              <w:ind w:left="3380"/>
              <w:spacing w:after="0" w:line="169" w:lineRule="exact"/>
              <w:rPr>
                <w:sz w:val="20"/>
                <w:szCs w:val="20"/>
                <w:color w:val="auto"/>
              </w:rPr>
            </w:pPr>
            <w:r>
              <w:rPr>
                <w:rFonts w:ascii="Calibri" w:cs="Calibri" w:eastAsia="Calibri" w:hAnsi="Calibri"/>
                <w:sz w:val="14"/>
                <w:szCs w:val="14"/>
                <w:color w:val="494949"/>
              </w:rPr>
              <w:t>Margin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86995</wp:posOffset>
            </wp:positionV>
            <wp:extent cx="5701030" cy="1703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01030" cy="1703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40" w:hanging="315"/>
        <w:spacing w:after="0"/>
        <w:tabs>
          <w:tab w:leader="none" w:pos="640" w:val="left"/>
        </w:tabs>
        <w:numPr>
          <w:ilvl w:val="0"/>
          <w:numId w:val="36"/>
        </w:numPr>
        <w:rPr>
          <w:rFonts w:ascii="Calibri" w:cs="Calibri" w:eastAsia="Calibri" w:hAnsi="Calibri"/>
          <w:sz w:val="18"/>
          <w:szCs w:val="18"/>
          <w:color w:val="666666"/>
        </w:rPr>
      </w:pPr>
      <w:r>
        <w:rPr>
          <w:rFonts w:ascii="Calibri" w:cs="Calibri" w:eastAsia="Calibri" w:hAnsi="Calibri"/>
          <w:sz w:val="18"/>
          <w:szCs w:val="18"/>
          <w:color w:val="666666"/>
        </w:rPr>
        <w:t>Fiscal year 2022 marked the seventh consecutve year of top-line revenue growth.</w:t>
      </w:r>
    </w:p>
    <w:p>
      <w:pPr>
        <w:spacing w:after="0" w:line="161" w:lineRule="exact"/>
        <w:rPr>
          <w:rFonts w:ascii="Calibri" w:cs="Calibri" w:eastAsia="Calibri" w:hAnsi="Calibri"/>
          <w:sz w:val="18"/>
          <w:szCs w:val="18"/>
          <w:color w:val="666666"/>
        </w:rPr>
      </w:pPr>
    </w:p>
    <w:p>
      <w:pPr>
        <w:ind w:left="640" w:hanging="315"/>
        <w:spacing w:after="0"/>
        <w:tabs>
          <w:tab w:leader="none" w:pos="640" w:val="left"/>
        </w:tabs>
        <w:numPr>
          <w:ilvl w:val="0"/>
          <w:numId w:val="36"/>
        </w:numPr>
        <w:rPr>
          <w:rFonts w:ascii="Calibri" w:cs="Calibri" w:eastAsia="Calibri" w:hAnsi="Calibri"/>
          <w:sz w:val="17"/>
          <w:szCs w:val="17"/>
          <w:color w:val="666666"/>
        </w:rPr>
      </w:pPr>
      <w:r>
        <w:rPr>
          <w:rFonts w:ascii="Calibri" w:cs="Calibri" w:eastAsia="Calibri" w:hAnsi="Calibri"/>
          <w:sz w:val="17"/>
          <w:szCs w:val="17"/>
          <w:color w:val="666666"/>
        </w:rPr>
        <w:t>Contnued focus on investments in markets, capabilites, and people is positoning Booz Allen to deliver near-term and long-term stockholder value.</w:t>
      </w:r>
    </w:p>
    <w:p>
      <w:pPr>
        <w:spacing w:after="0" w:line="155" w:lineRule="exact"/>
        <w:rPr>
          <w:rFonts w:ascii="Calibri" w:cs="Calibri" w:eastAsia="Calibri" w:hAnsi="Calibri"/>
          <w:sz w:val="17"/>
          <w:szCs w:val="17"/>
          <w:color w:val="666666"/>
        </w:rPr>
      </w:pPr>
    </w:p>
    <w:p>
      <w:pPr>
        <w:ind w:left="640" w:hanging="315"/>
        <w:spacing w:after="0"/>
        <w:tabs>
          <w:tab w:leader="none" w:pos="640" w:val="left"/>
        </w:tabs>
        <w:numPr>
          <w:ilvl w:val="0"/>
          <w:numId w:val="36"/>
        </w:numPr>
        <w:rPr>
          <w:rFonts w:ascii="Calibri" w:cs="Calibri" w:eastAsia="Calibri" w:hAnsi="Calibri"/>
          <w:sz w:val="18"/>
          <w:szCs w:val="18"/>
          <w:color w:val="666666"/>
        </w:rPr>
      </w:pPr>
      <w:r>
        <w:rPr>
          <w:rFonts w:ascii="Calibri" w:cs="Calibri" w:eastAsia="Calibri" w:hAnsi="Calibri"/>
          <w:sz w:val="18"/>
          <w:szCs w:val="18"/>
          <w:color w:val="666666"/>
        </w:rPr>
        <w:t>Full year revenue increased 6.4% to $8,363.7 million.</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36"/>
        </w:numPr>
        <w:rPr>
          <w:rFonts w:ascii="Calibri" w:cs="Calibri" w:eastAsia="Calibri" w:hAnsi="Calibri"/>
          <w:sz w:val="18"/>
          <w:szCs w:val="18"/>
          <w:color w:val="666666"/>
        </w:rPr>
      </w:pPr>
      <w:r>
        <w:rPr>
          <w:rFonts w:ascii="Calibri" w:cs="Calibri" w:eastAsia="Calibri" w:hAnsi="Calibri"/>
          <w:sz w:val="18"/>
          <w:szCs w:val="18"/>
          <w:color w:val="666666"/>
        </w:rPr>
        <w:t>Net income decreased 23.4% to $466.6 million.</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36"/>
        </w:numPr>
        <w:rPr>
          <w:rFonts w:ascii="Calibri" w:cs="Calibri" w:eastAsia="Calibri" w:hAnsi="Calibri"/>
          <w:sz w:val="18"/>
          <w:szCs w:val="18"/>
          <w:color w:val="666666"/>
        </w:rPr>
      </w:pPr>
      <w:r>
        <w:rPr>
          <w:rFonts w:ascii="Calibri" w:cs="Calibri" w:eastAsia="Calibri" w:hAnsi="Calibri"/>
          <w:sz w:val="18"/>
          <w:szCs w:val="18"/>
          <w:color w:val="666666"/>
        </w:rPr>
        <w:t>Adjusted EBITDA increased 11.3% to $934.9 million.</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36"/>
        </w:numPr>
        <w:rPr>
          <w:rFonts w:ascii="Calibri" w:cs="Calibri" w:eastAsia="Calibri" w:hAnsi="Calibri"/>
          <w:sz w:val="18"/>
          <w:szCs w:val="18"/>
          <w:color w:val="666666"/>
        </w:rPr>
      </w:pPr>
      <w:r>
        <w:rPr>
          <w:rFonts w:ascii="Calibri" w:cs="Calibri" w:eastAsia="Calibri" w:hAnsi="Calibri"/>
          <w:sz w:val="18"/>
          <w:szCs w:val="18"/>
          <w:color w:val="666666"/>
        </w:rPr>
        <w:t>Diluted EPS decreased 21.3% to $3.44.</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36"/>
        </w:numPr>
        <w:rPr>
          <w:rFonts w:ascii="Calibri" w:cs="Calibri" w:eastAsia="Calibri" w:hAnsi="Calibri"/>
          <w:sz w:val="18"/>
          <w:szCs w:val="18"/>
          <w:color w:val="666666"/>
        </w:rPr>
      </w:pPr>
      <w:r>
        <w:rPr>
          <w:rFonts w:ascii="Calibri" w:cs="Calibri" w:eastAsia="Calibri" w:hAnsi="Calibri"/>
          <w:sz w:val="18"/>
          <w:szCs w:val="18"/>
          <w:color w:val="666666"/>
        </w:rPr>
        <w:t>Adjusted Diluted EPS increased 8.0% to $4.21.</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36"/>
        </w:numPr>
        <w:rPr>
          <w:rFonts w:ascii="Calibri" w:cs="Calibri" w:eastAsia="Calibri" w:hAnsi="Calibri"/>
          <w:sz w:val="18"/>
          <w:szCs w:val="18"/>
          <w:color w:val="666666"/>
        </w:rPr>
      </w:pPr>
      <w:r>
        <w:rPr>
          <w:rFonts w:ascii="Calibri" w:cs="Calibri" w:eastAsia="Calibri" w:hAnsi="Calibri"/>
          <w:sz w:val="18"/>
          <w:szCs w:val="18"/>
          <w:color w:val="666666"/>
        </w:rPr>
        <w:t>Total backlog increased 21.7% to $29.2 billion.</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36"/>
        </w:numPr>
        <w:rPr>
          <w:rFonts w:ascii="Calibri" w:cs="Calibri" w:eastAsia="Calibri" w:hAnsi="Calibri"/>
          <w:sz w:val="18"/>
          <w:szCs w:val="18"/>
          <w:color w:val="666666"/>
        </w:rPr>
      </w:pPr>
      <w:r>
        <w:rPr>
          <w:rFonts w:ascii="Calibri" w:cs="Calibri" w:eastAsia="Calibri" w:hAnsi="Calibri"/>
          <w:sz w:val="18"/>
          <w:szCs w:val="18"/>
          <w:color w:val="666666"/>
        </w:rPr>
        <w:t>Net cash provided by operatng actvites increased 2.5% to $736.5 million.</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36"/>
        </w:numPr>
        <w:rPr>
          <w:rFonts w:ascii="Calibri" w:cs="Calibri" w:eastAsia="Calibri" w:hAnsi="Calibri"/>
          <w:sz w:val="18"/>
          <w:szCs w:val="18"/>
          <w:color w:val="666666"/>
        </w:rPr>
      </w:pPr>
      <w:r>
        <w:rPr>
          <w:rFonts w:ascii="Calibri" w:cs="Calibri" w:eastAsia="Calibri" w:hAnsi="Calibri"/>
          <w:sz w:val="18"/>
          <w:szCs w:val="18"/>
          <w:color w:val="666666"/>
        </w:rPr>
        <w:t>Free cash fow increased 4.0% to $656.6 million in fscal year 2022.</w:t>
      </w:r>
    </w:p>
    <w:p>
      <w:pPr>
        <w:spacing w:after="0" w:line="161" w:lineRule="exact"/>
        <w:rPr>
          <w:sz w:val="20"/>
          <w:szCs w:val="20"/>
          <w:color w:val="auto"/>
        </w:rPr>
      </w:pPr>
    </w:p>
    <w:p>
      <w:pPr>
        <w:jc w:val="both"/>
        <w:ind w:left="320"/>
        <w:spacing w:after="0" w:line="231" w:lineRule="auto"/>
        <w:rPr>
          <w:sz w:val="20"/>
          <w:szCs w:val="20"/>
          <w:color w:val="auto"/>
        </w:rPr>
      </w:pPr>
      <w:r>
        <w:rPr>
          <w:rFonts w:ascii="Calibri" w:cs="Calibri" w:eastAsia="Calibri" w:hAnsi="Calibri"/>
          <w:sz w:val="18"/>
          <w:szCs w:val="18"/>
          <w:i w:val="1"/>
          <w:iCs w:val="1"/>
          <w:color w:val="666666"/>
        </w:rPr>
        <w:t>Adjusted EBITDA, Adjusted EBITDA Margin on Revenue, Adjusted Diluted Earnings Per Share, and Free Cash Flow may difer from similarly ttled measures presented by other companies in our industry and are not recognized measures under U.S. Generally Accepted Accountng Principles, or GAAP. A reconciliaton between these non-GAAP fnancial measures and the most directly comparable fnancial measure calculated and presented in accordance with GAAP can be found in Appendix A to this proxy statement.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32</w:t>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547BCC"/>
        </w:rPr>
        <w:t>Compensaton Philosophy</w:t>
      </w:r>
    </w:p>
    <w:p>
      <w:pPr>
        <w:spacing w:after="0" w:line="170" w:lineRule="exact"/>
        <w:rPr>
          <w:sz w:val="20"/>
          <w:szCs w:val="20"/>
          <w:color w:val="auto"/>
        </w:rPr>
      </w:pPr>
    </w:p>
    <w:p>
      <w:pPr>
        <w:jc w:val="both"/>
        <w:ind w:firstLine="188"/>
        <w:spacing w:after="0" w:line="231" w:lineRule="auto"/>
        <w:rPr>
          <w:sz w:val="20"/>
          <w:szCs w:val="20"/>
          <w:color w:val="auto"/>
        </w:rPr>
      </w:pPr>
      <w:r>
        <w:rPr>
          <w:rFonts w:ascii="Calibri" w:cs="Calibri" w:eastAsia="Calibri" w:hAnsi="Calibri"/>
          <w:sz w:val="18"/>
          <w:szCs w:val="18"/>
          <w:color w:val="666666"/>
        </w:rPr>
        <w:t>We are a values-driven organizaton where our partnership culture motvates our executves, who we defne as our named executve ofcers, Executve Vice Presidents, and Senior Vice Presidents, to consistently act in the best interests of the Company. Our executve compensaton program is intrinsically ted to our purpose and values.</w:t>
      </w:r>
    </w:p>
    <w:p>
      <w:pPr>
        <w:spacing w:after="0" w:line="192" w:lineRule="exact"/>
        <w:rPr>
          <w:sz w:val="20"/>
          <w:szCs w:val="20"/>
          <w:color w:val="auto"/>
        </w:rPr>
      </w:pPr>
    </w:p>
    <w:p>
      <w:pPr>
        <w:ind w:left="2460"/>
        <w:spacing w:after="0"/>
        <w:tabs>
          <w:tab w:leader="none" w:pos="7340" w:val="left"/>
        </w:tabs>
        <w:rPr>
          <w:sz w:val="20"/>
          <w:szCs w:val="20"/>
          <w:color w:val="auto"/>
        </w:rPr>
      </w:pPr>
      <w:r>
        <w:rPr>
          <w:rFonts w:ascii="Calibri" w:cs="Calibri" w:eastAsia="Calibri" w:hAnsi="Calibri"/>
          <w:sz w:val="14"/>
          <w:szCs w:val="14"/>
          <w:b w:val="1"/>
          <w:bCs w:val="1"/>
          <w:color w:val="494949"/>
        </w:rPr>
        <w:t>Our Philosophy</w:t>
      </w:r>
      <w:r>
        <w:rPr>
          <w:sz w:val="20"/>
          <w:szCs w:val="20"/>
          <w:color w:val="auto"/>
        </w:rPr>
        <w:tab/>
      </w:r>
      <w:r>
        <w:rPr>
          <w:rFonts w:ascii="Calibri" w:cs="Calibri" w:eastAsia="Calibri" w:hAnsi="Calibri"/>
          <w:sz w:val="14"/>
          <w:szCs w:val="14"/>
          <w:b w:val="1"/>
          <w:bCs w:val="1"/>
          <w:color w:val="494949"/>
        </w:rPr>
        <w:t>What Our Philosophy Achieves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-97155</wp:posOffset>
            </wp:positionV>
            <wp:extent cx="6780530" cy="1263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80530" cy="12636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70" w:lineRule="exact"/>
        <w:rPr>
          <w:sz w:val="20"/>
          <w:szCs w:val="20"/>
          <w:color w:val="auto"/>
        </w:rPr>
      </w:pPr>
    </w:p>
    <w:p>
      <w:pPr>
        <w:ind w:left="460" w:right="340" w:hanging="157"/>
        <w:spacing w:after="0" w:line="211" w:lineRule="auto"/>
        <w:tabs>
          <w:tab w:leader="none" w:pos="376" w:val="left"/>
        </w:tabs>
        <w:numPr>
          <w:ilvl w:val="0"/>
          <w:numId w:val="37"/>
        </w:numPr>
        <w:rPr>
          <w:rFonts w:ascii="Calibri" w:cs="Calibri" w:eastAsia="Calibri" w:hAnsi="Calibri"/>
          <w:sz w:val="14"/>
          <w:szCs w:val="14"/>
          <w:color w:val="494949"/>
        </w:rPr>
      </w:pPr>
      <w:r>
        <w:rPr>
          <w:rFonts w:ascii="Calibri" w:cs="Calibri" w:eastAsia="Calibri" w:hAnsi="Calibri"/>
          <w:sz w:val="14"/>
          <w:szCs w:val="14"/>
          <w:color w:val="494949"/>
        </w:rPr>
        <w:t>Guides executves to live the Company's purpose and values in their client work and internal interactons</w:t>
      </w:r>
    </w:p>
    <w:p>
      <w:pPr>
        <w:spacing w:after="0" w:line="217" w:lineRule="exact"/>
        <w:rPr>
          <w:rFonts w:ascii="Calibri" w:cs="Calibri" w:eastAsia="Calibri" w:hAnsi="Calibri"/>
          <w:sz w:val="14"/>
          <w:szCs w:val="14"/>
          <w:color w:val="494949"/>
        </w:rPr>
      </w:pPr>
    </w:p>
    <w:p>
      <w:pPr>
        <w:ind w:left="460" w:right="200" w:hanging="157"/>
        <w:spacing w:after="0" w:line="220" w:lineRule="auto"/>
        <w:tabs>
          <w:tab w:leader="none" w:pos="376" w:val="left"/>
        </w:tabs>
        <w:numPr>
          <w:ilvl w:val="0"/>
          <w:numId w:val="37"/>
        </w:numPr>
        <w:rPr>
          <w:rFonts w:ascii="Calibri" w:cs="Calibri" w:eastAsia="Calibri" w:hAnsi="Calibri"/>
          <w:sz w:val="14"/>
          <w:szCs w:val="14"/>
          <w:color w:val="494949"/>
        </w:rPr>
      </w:pPr>
      <w:r>
        <w:rPr>
          <w:rFonts w:ascii="Calibri" w:cs="Calibri" w:eastAsia="Calibri" w:hAnsi="Calibri"/>
          <w:sz w:val="14"/>
          <w:szCs w:val="14"/>
          <w:color w:val="494949"/>
        </w:rPr>
        <w:t>Aligns executves' compensaton with Company performance, strategic objectves, and the creaton of long-term sustainable stockholder value</w:t>
      </w:r>
    </w:p>
    <w:p>
      <w:pPr>
        <w:spacing w:after="0" w:line="204" w:lineRule="exact"/>
        <w:rPr>
          <w:rFonts w:ascii="Calibri" w:cs="Calibri" w:eastAsia="Calibri" w:hAnsi="Calibri"/>
          <w:sz w:val="14"/>
          <w:szCs w:val="14"/>
          <w:color w:val="494949"/>
        </w:rPr>
      </w:pPr>
    </w:p>
    <w:p>
      <w:pPr>
        <w:ind w:left="460" w:right="120" w:hanging="157"/>
        <w:spacing w:after="0" w:line="220" w:lineRule="auto"/>
        <w:tabs>
          <w:tab w:leader="none" w:pos="376" w:val="left"/>
        </w:tabs>
        <w:numPr>
          <w:ilvl w:val="0"/>
          <w:numId w:val="37"/>
        </w:numPr>
        <w:rPr>
          <w:rFonts w:ascii="Calibri" w:cs="Calibri" w:eastAsia="Calibri" w:hAnsi="Calibri"/>
          <w:sz w:val="14"/>
          <w:szCs w:val="14"/>
          <w:color w:val="494949"/>
        </w:rPr>
      </w:pPr>
      <w:r>
        <w:rPr>
          <w:rFonts w:ascii="Calibri" w:cs="Calibri" w:eastAsia="Calibri" w:hAnsi="Calibri"/>
          <w:sz w:val="14"/>
          <w:szCs w:val="14"/>
          <w:color w:val="494949"/>
        </w:rPr>
        <w:t>Atracts, motvates, and retains executves of exceptonal ability to meet and exceed the demands of our clients</w:t>
      </w:r>
    </w:p>
    <w:p>
      <w:pPr>
        <w:spacing w:after="0" w:line="217" w:lineRule="exact"/>
        <w:rPr>
          <w:rFonts w:ascii="Calibri" w:cs="Calibri" w:eastAsia="Calibri" w:hAnsi="Calibri"/>
          <w:sz w:val="14"/>
          <w:szCs w:val="14"/>
          <w:color w:val="494949"/>
        </w:rPr>
      </w:pPr>
    </w:p>
    <w:p>
      <w:pPr>
        <w:ind w:left="460" w:hanging="157"/>
        <w:spacing w:after="0" w:line="211" w:lineRule="auto"/>
        <w:tabs>
          <w:tab w:leader="none" w:pos="376" w:val="left"/>
        </w:tabs>
        <w:numPr>
          <w:ilvl w:val="0"/>
          <w:numId w:val="37"/>
        </w:numPr>
        <w:rPr>
          <w:rFonts w:ascii="Calibri" w:cs="Calibri" w:eastAsia="Calibri" w:hAnsi="Calibri"/>
          <w:sz w:val="14"/>
          <w:szCs w:val="14"/>
          <w:color w:val="494949"/>
        </w:rPr>
      </w:pPr>
      <w:r>
        <w:rPr>
          <w:rFonts w:ascii="Calibri" w:cs="Calibri" w:eastAsia="Calibri" w:hAnsi="Calibri"/>
          <w:sz w:val="14"/>
          <w:szCs w:val="14"/>
          <w:color w:val="494949"/>
        </w:rPr>
        <w:t>Creates appropriate rewards and penaltes for exceeding or falling short of Company-level performance targets</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left="78" w:hanging="78"/>
        <w:spacing w:after="0"/>
        <w:tabs>
          <w:tab w:leader="none" w:pos="78" w:val="left"/>
        </w:tabs>
        <w:numPr>
          <w:ilvl w:val="0"/>
          <w:numId w:val="38"/>
        </w:numPr>
        <w:rPr>
          <w:rFonts w:ascii="Calibri" w:cs="Calibri" w:eastAsia="Calibri" w:hAnsi="Calibri"/>
          <w:sz w:val="14"/>
          <w:szCs w:val="14"/>
          <w:color w:val="494949"/>
        </w:rPr>
      </w:pPr>
      <w:r>
        <w:rPr>
          <w:rFonts w:ascii="Calibri" w:cs="Calibri" w:eastAsia="Calibri" w:hAnsi="Calibri"/>
          <w:sz w:val="14"/>
          <w:szCs w:val="14"/>
          <w:color w:val="494949"/>
        </w:rPr>
        <w:t>Empowers executves to think and act in the best interests of the Company</w:t>
      </w:r>
    </w:p>
    <w:p>
      <w:pPr>
        <w:spacing w:after="0" w:line="200" w:lineRule="exact"/>
        <w:rPr>
          <w:rFonts w:ascii="Calibri" w:cs="Calibri" w:eastAsia="Calibri" w:hAnsi="Calibri"/>
          <w:sz w:val="14"/>
          <w:szCs w:val="14"/>
          <w:color w:val="494949"/>
        </w:rPr>
      </w:pPr>
    </w:p>
    <w:p>
      <w:pPr>
        <w:ind w:left="78" w:hanging="78"/>
        <w:spacing w:after="0"/>
        <w:tabs>
          <w:tab w:leader="none" w:pos="78" w:val="left"/>
        </w:tabs>
        <w:numPr>
          <w:ilvl w:val="0"/>
          <w:numId w:val="38"/>
        </w:numPr>
        <w:rPr>
          <w:rFonts w:ascii="Calibri" w:cs="Calibri" w:eastAsia="Calibri" w:hAnsi="Calibri"/>
          <w:sz w:val="14"/>
          <w:szCs w:val="14"/>
          <w:color w:val="494949"/>
        </w:rPr>
      </w:pPr>
      <w:r>
        <w:rPr>
          <w:rFonts w:ascii="Calibri" w:cs="Calibri" w:eastAsia="Calibri" w:hAnsi="Calibri"/>
          <w:sz w:val="14"/>
          <w:szCs w:val="14"/>
          <w:color w:val="494949"/>
        </w:rPr>
        <w:t>Focuses on optmizing stockholder value and fostering an ownership culture</w:t>
      </w:r>
    </w:p>
    <w:p>
      <w:pPr>
        <w:spacing w:after="0" w:line="214" w:lineRule="exact"/>
        <w:rPr>
          <w:rFonts w:ascii="Calibri" w:cs="Calibri" w:eastAsia="Calibri" w:hAnsi="Calibri"/>
          <w:sz w:val="14"/>
          <w:szCs w:val="14"/>
          <w:color w:val="494949"/>
        </w:rPr>
      </w:pPr>
    </w:p>
    <w:p>
      <w:pPr>
        <w:ind w:left="78" w:hanging="78"/>
        <w:spacing w:after="0"/>
        <w:tabs>
          <w:tab w:leader="none" w:pos="78" w:val="left"/>
        </w:tabs>
        <w:numPr>
          <w:ilvl w:val="0"/>
          <w:numId w:val="38"/>
        </w:numPr>
        <w:rPr>
          <w:rFonts w:ascii="Calibri" w:cs="Calibri" w:eastAsia="Calibri" w:hAnsi="Calibri"/>
          <w:sz w:val="14"/>
          <w:szCs w:val="14"/>
          <w:color w:val="494949"/>
        </w:rPr>
      </w:pPr>
      <w:r>
        <w:rPr>
          <w:rFonts w:ascii="Calibri" w:cs="Calibri" w:eastAsia="Calibri" w:hAnsi="Calibri"/>
          <w:sz w:val="14"/>
          <w:szCs w:val="14"/>
          <w:color w:val="494949"/>
        </w:rPr>
        <w:t>Engages and incentvizes our executves to efectvely execute our business strategy</w:t>
      </w:r>
    </w:p>
    <w:p>
      <w:pPr>
        <w:spacing w:after="0" w:line="216" w:lineRule="exact"/>
        <w:rPr>
          <w:rFonts w:ascii="Calibri" w:cs="Calibri" w:eastAsia="Calibri" w:hAnsi="Calibri"/>
          <w:sz w:val="14"/>
          <w:szCs w:val="14"/>
          <w:color w:val="494949"/>
        </w:rPr>
      </w:pPr>
    </w:p>
    <w:p>
      <w:pPr>
        <w:ind w:left="158" w:right="480" w:hanging="158"/>
        <w:spacing w:after="0" w:line="211" w:lineRule="auto"/>
        <w:tabs>
          <w:tab w:leader="none" w:pos="74" w:val="left"/>
        </w:tabs>
        <w:numPr>
          <w:ilvl w:val="0"/>
          <w:numId w:val="38"/>
        </w:numPr>
        <w:rPr>
          <w:rFonts w:ascii="Calibri" w:cs="Calibri" w:eastAsia="Calibri" w:hAnsi="Calibri"/>
          <w:sz w:val="14"/>
          <w:szCs w:val="14"/>
          <w:color w:val="494949"/>
        </w:rPr>
      </w:pPr>
      <w:r>
        <w:rPr>
          <w:rFonts w:ascii="Calibri" w:cs="Calibri" w:eastAsia="Calibri" w:hAnsi="Calibri"/>
          <w:sz w:val="14"/>
          <w:szCs w:val="14"/>
          <w:color w:val="494949"/>
        </w:rPr>
        <w:t>Creates and enables agility within our leadership and the Company overall, allowing us to quickly adjust, align, and advance in an ever-changing global marketplace</w:t>
      </w:r>
    </w:p>
    <w:p>
      <w:pPr>
        <w:spacing w:after="0" w:line="624" w:lineRule="exact"/>
        <w:rPr>
          <w:sz w:val="20"/>
          <w:szCs w:val="20"/>
          <w:color w:val="auto"/>
        </w:rPr>
      </w:pPr>
    </w:p>
    <w:p>
      <w:pPr>
        <w:sectPr>
          <w:pgSz w:w="11900" w:h="16838" w:orient="portrait"/>
          <w:cols w:equalWidth="0" w:num="2">
            <w:col w:w="5520" w:space="42"/>
            <w:col w:w="5678"/>
          </w:cols>
          <w:pgMar w:left="320" w:top="118" w:right="3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547BCC"/>
        </w:rPr>
        <w:t>Key Executve Compensaton Practces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0" w:type="dxa"/>
            <w:vAlign w:val="bottom"/>
          </w:tcPr>
          <w:p>
            <w:pPr>
              <w:ind w:left="320"/>
              <w:spacing w:after="0"/>
              <w:rPr>
                <w:sz w:val="20"/>
                <w:szCs w:val="20"/>
                <w:color w:val="auto"/>
              </w:rPr>
            </w:pPr>
            <w:r>
              <w:rPr>
                <w:rFonts w:ascii="Calibri" w:cs="Calibri" w:eastAsia="Calibri" w:hAnsi="Calibri"/>
                <w:sz w:val="18"/>
                <w:szCs w:val="18"/>
                <w:color w:val="666666"/>
              </w:rPr>
              <w:t>To</w:t>
            </w:r>
          </w:p>
        </w:tc>
        <w:tc>
          <w:tcPr>
            <w:tcW w:w="800" w:type="dxa"/>
            <w:vAlign w:val="bottom"/>
          </w:tcPr>
          <w:p>
            <w:pPr>
              <w:ind w:left="160"/>
              <w:spacing w:after="0"/>
              <w:rPr>
                <w:sz w:val="20"/>
                <w:szCs w:val="20"/>
                <w:color w:val="auto"/>
              </w:rPr>
            </w:pPr>
            <w:r>
              <w:rPr>
                <w:rFonts w:ascii="Calibri" w:cs="Calibri" w:eastAsia="Calibri" w:hAnsi="Calibri"/>
                <w:sz w:val="18"/>
                <w:szCs w:val="18"/>
                <w:color w:val="666666"/>
              </w:rPr>
              <w:t>ensure</w:t>
            </w:r>
          </w:p>
        </w:tc>
        <w:tc>
          <w:tcPr>
            <w:tcW w:w="640" w:type="dxa"/>
            <w:vAlign w:val="bottom"/>
          </w:tcPr>
          <w:p>
            <w:pPr>
              <w:ind w:left="160"/>
              <w:spacing w:after="0"/>
              <w:rPr>
                <w:sz w:val="20"/>
                <w:szCs w:val="20"/>
                <w:color w:val="auto"/>
              </w:rPr>
            </w:pPr>
            <w:r>
              <w:rPr>
                <w:rFonts w:ascii="Calibri" w:cs="Calibri" w:eastAsia="Calibri" w:hAnsi="Calibri"/>
                <w:sz w:val="18"/>
                <w:szCs w:val="18"/>
                <w:color w:val="666666"/>
                <w:w w:val="98"/>
              </w:rPr>
              <w:t>strong</w:t>
            </w:r>
          </w:p>
        </w:tc>
        <w:tc>
          <w:tcPr>
            <w:tcW w:w="1200" w:type="dxa"/>
            <w:vAlign w:val="bottom"/>
          </w:tcPr>
          <w:p>
            <w:pPr>
              <w:ind w:left="280"/>
              <w:spacing w:after="0"/>
              <w:rPr>
                <w:sz w:val="20"/>
                <w:szCs w:val="20"/>
                <w:color w:val="auto"/>
              </w:rPr>
            </w:pPr>
            <w:r>
              <w:rPr>
                <w:rFonts w:ascii="Calibri" w:cs="Calibri" w:eastAsia="Calibri" w:hAnsi="Calibri"/>
                <w:sz w:val="18"/>
                <w:szCs w:val="18"/>
                <w:color w:val="666666"/>
              </w:rPr>
              <w:t>corporate</w:t>
            </w:r>
          </w:p>
        </w:tc>
        <w:tc>
          <w:tcPr>
            <w:tcW w:w="1100" w:type="dxa"/>
            <w:vAlign w:val="bottom"/>
          </w:tcPr>
          <w:p>
            <w:pPr>
              <w:ind w:left="80"/>
              <w:spacing w:after="0"/>
              <w:rPr>
                <w:sz w:val="20"/>
                <w:szCs w:val="20"/>
                <w:color w:val="auto"/>
              </w:rPr>
            </w:pPr>
            <w:r>
              <w:rPr>
                <w:rFonts w:ascii="Calibri" w:cs="Calibri" w:eastAsia="Calibri" w:hAnsi="Calibri"/>
                <w:sz w:val="18"/>
                <w:szCs w:val="18"/>
                <w:color w:val="666666"/>
              </w:rPr>
              <w:t>governance,</w:t>
            </w:r>
          </w:p>
        </w:tc>
        <w:tc>
          <w:tcPr>
            <w:tcW w:w="540" w:type="dxa"/>
            <w:vAlign w:val="bottom"/>
          </w:tcPr>
          <w:p>
            <w:pPr>
              <w:ind w:left="140"/>
              <w:spacing w:after="0"/>
              <w:rPr>
                <w:sz w:val="20"/>
                <w:szCs w:val="20"/>
                <w:color w:val="auto"/>
              </w:rPr>
            </w:pPr>
            <w:r>
              <w:rPr>
                <w:rFonts w:ascii="Calibri" w:cs="Calibri" w:eastAsia="Calibri" w:hAnsi="Calibri"/>
                <w:sz w:val="18"/>
                <w:szCs w:val="18"/>
                <w:color w:val="666666"/>
              </w:rPr>
              <w:t>our</w:t>
            </w:r>
          </w:p>
        </w:tc>
        <w:tc>
          <w:tcPr>
            <w:tcW w:w="1320" w:type="dxa"/>
            <w:vAlign w:val="bottom"/>
          </w:tcPr>
          <w:p>
            <w:pPr>
              <w:ind w:left="160"/>
              <w:spacing w:after="0"/>
              <w:rPr>
                <w:sz w:val="20"/>
                <w:szCs w:val="20"/>
                <w:color w:val="auto"/>
              </w:rPr>
            </w:pPr>
            <w:r>
              <w:rPr>
                <w:rFonts w:ascii="Calibri" w:cs="Calibri" w:eastAsia="Calibri" w:hAnsi="Calibri"/>
                <w:sz w:val="18"/>
                <w:szCs w:val="18"/>
                <w:color w:val="666666"/>
              </w:rPr>
              <w:t>compensaton</w:t>
            </w:r>
          </w:p>
        </w:tc>
        <w:tc>
          <w:tcPr>
            <w:tcW w:w="920" w:type="dxa"/>
            <w:vAlign w:val="bottom"/>
          </w:tcPr>
          <w:p>
            <w:pPr>
              <w:ind w:left="160"/>
              <w:spacing w:after="0"/>
              <w:rPr>
                <w:sz w:val="20"/>
                <w:szCs w:val="20"/>
                <w:color w:val="auto"/>
              </w:rPr>
            </w:pPr>
            <w:r>
              <w:rPr>
                <w:rFonts w:ascii="Calibri" w:cs="Calibri" w:eastAsia="Calibri" w:hAnsi="Calibri"/>
                <w:sz w:val="18"/>
                <w:szCs w:val="18"/>
                <w:color w:val="666666"/>
              </w:rPr>
              <w:t>program</w:t>
            </w:r>
          </w:p>
        </w:tc>
        <w:tc>
          <w:tcPr>
            <w:tcW w:w="1180" w:type="dxa"/>
            <w:vAlign w:val="bottom"/>
          </w:tcPr>
          <w:p>
            <w:pPr>
              <w:ind w:left="140"/>
              <w:spacing w:after="0"/>
              <w:rPr>
                <w:sz w:val="20"/>
                <w:szCs w:val="20"/>
                <w:color w:val="auto"/>
              </w:rPr>
            </w:pPr>
            <w:r>
              <w:rPr>
                <w:rFonts w:ascii="Calibri" w:cs="Calibri" w:eastAsia="Calibri" w:hAnsi="Calibri"/>
                <w:sz w:val="18"/>
                <w:szCs w:val="18"/>
                <w:color w:val="666666"/>
              </w:rPr>
              <w:t>incorporates</w:t>
            </w:r>
          </w:p>
        </w:tc>
        <w:tc>
          <w:tcPr>
            <w:tcW w:w="560" w:type="dxa"/>
            <w:vAlign w:val="bottom"/>
          </w:tcPr>
          <w:p>
            <w:pPr>
              <w:ind w:left="160"/>
              <w:spacing w:after="0"/>
              <w:rPr>
                <w:sz w:val="20"/>
                <w:szCs w:val="20"/>
                <w:color w:val="auto"/>
              </w:rPr>
            </w:pPr>
            <w:r>
              <w:rPr>
                <w:rFonts w:ascii="Calibri" w:cs="Calibri" w:eastAsia="Calibri" w:hAnsi="Calibri"/>
                <w:sz w:val="18"/>
                <w:szCs w:val="18"/>
                <w:color w:val="666666"/>
              </w:rPr>
              <w:t>the</w:t>
            </w:r>
          </w:p>
        </w:tc>
        <w:tc>
          <w:tcPr>
            <w:tcW w:w="960" w:type="dxa"/>
            <w:vAlign w:val="bottom"/>
          </w:tcPr>
          <w:p>
            <w:pPr>
              <w:ind w:left="160"/>
              <w:spacing w:after="0"/>
              <w:rPr>
                <w:sz w:val="20"/>
                <w:szCs w:val="20"/>
                <w:color w:val="auto"/>
              </w:rPr>
            </w:pPr>
            <w:r>
              <w:rPr>
                <w:rFonts w:ascii="Calibri" w:cs="Calibri" w:eastAsia="Calibri" w:hAnsi="Calibri"/>
                <w:sz w:val="18"/>
                <w:szCs w:val="18"/>
                <w:color w:val="666666"/>
              </w:rPr>
              <w:t>following</w:t>
            </w:r>
          </w:p>
        </w:tc>
        <w:tc>
          <w:tcPr>
            <w:tcW w:w="560" w:type="dxa"/>
            <w:vAlign w:val="bottom"/>
          </w:tcPr>
          <w:p>
            <w:pPr>
              <w:ind w:left="160"/>
              <w:spacing w:after="0"/>
              <w:rPr>
                <w:sz w:val="20"/>
                <w:szCs w:val="20"/>
                <w:color w:val="auto"/>
              </w:rPr>
            </w:pPr>
            <w:r>
              <w:rPr>
                <w:rFonts w:ascii="Calibri" w:cs="Calibri" w:eastAsia="Calibri" w:hAnsi="Calibri"/>
                <w:sz w:val="18"/>
                <w:szCs w:val="18"/>
                <w:color w:val="666666"/>
              </w:rPr>
              <w:t>key</w:t>
            </w:r>
          </w:p>
        </w:tc>
        <w:tc>
          <w:tcPr>
            <w:tcW w:w="820" w:type="dxa"/>
            <w:vAlign w:val="bottom"/>
          </w:tcPr>
          <w:p>
            <w:pPr>
              <w:ind w:left="140"/>
              <w:spacing w:after="0"/>
              <w:rPr>
                <w:sz w:val="20"/>
                <w:szCs w:val="20"/>
                <w:color w:val="auto"/>
              </w:rPr>
            </w:pPr>
            <w:r>
              <w:rPr>
                <w:rFonts w:ascii="Calibri" w:cs="Calibri" w:eastAsia="Calibri" w:hAnsi="Calibri"/>
                <w:sz w:val="18"/>
                <w:szCs w:val="18"/>
                <w:color w:val="666666"/>
                <w:w w:val="99"/>
              </w:rPr>
              <w:t>practces:</w:t>
            </w:r>
          </w:p>
        </w:tc>
      </w:tr>
      <w:tr>
        <w:trPr>
          <w:trHeight w:val="49"/>
        </w:trPr>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700" w:type="dxa"/>
            <w:vAlign w:val="bottom"/>
            <w:gridSpan w:val="3"/>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179"/>
        </w:trPr>
        <w:tc>
          <w:tcPr>
            <w:tcW w:w="6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ind w:left="60"/>
              <w:spacing w:after="0" w:line="169" w:lineRule="exact"/>
              <w:rPr>
                <w:sz w:val="20"/>
                <w:szCs w:val="20"/>
                <w:color w:val="auto"/>
              </w:rPr>
            </w:pPr>
            <w:r>
              <w:rPr>
                <w:rFonts w:ascii="Calibri" w:cs="Calibri" w:eastAsia="Calibri" w:hAnsi="Calibri"/>
                <w:sz w:val="14"/>
                <w:szCs w:val="14"/>
                <w:b w:val="1"/>
                <w:bCs w:val="1"/>
                <w:color w:val="494949"/>
              </w:rPr>
              <w:t>At Booz Allen, We:</w:t>
            </w:r>
          </w:p>
        </w:tc>
        <w:tc>
          <w:tcPr>
            <w:tcW w:w="1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700" w:type="dxa"/>
            <w:vAlign w:val="bottom"/>
            <w:tcBorders>
              <w:bottom w:val="single" w:sz="8" w:color="CCEEFF"/>
            </w:tcBorders>
            <w:gridSpan w:val="3"/>
            <w:shd w:val="clear" w:color="auto" w:fill="CCEEFF"/>
          </w:tcPr>
          <w:p>
            <w:pPr>
              <w:ind w:left="480"/>
              <w:spacing w:after="0" w:line="169" w:lineRule="exact"/>
              <w:rPr>
                <w:sz w:val="20"/>
                <w:szCs w:val="20"/>
                <w:color w:val="auto"/>
              </w:rPr>
            </w:pPr>
            <w:r>
              <w:rPr>
                <w:rFonts w:ascii="Calibri" w:cs="Calibri" w:eastAsia="Calibri" w:hAnsi="Calibri"/>
                <w:sz w:val="14"/>
                <w:szCs w:val="14"/>
                <w:b w:val="1"/>
                <w:bCs w:val="1"/>
                <w:color w:val="494949"/>
              </w:rPr>
              <w:t>At Booz Allen, We Don't:</w:t>
            </w:r>
          </w:p>
        </w:tc>
        <w:tc>
          <w:tcPr>
            <w:tcW w:w="5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71"/>
        </w:trPr>
        <w:tc>
          <w:tcPr>
            <w:tcW w:w="4920" w:type="dxa"/>
            <w:vAlign w:val="bottom"/>
            <w:gridSpan w:val="6"/>
          </w:tcPr>
          <w:p>
            <w:pPr>
              <w:ind w:left="160"/>
              <w:spacing w:after="0" w:line="171" w:lineRule="exact"/>
              <w:rPr>
                <w:sz w:val="20"/>
                <w:szCs w:val="20"/>
                <w:color w:val="auto"/>
              </w:rPr>
            </w:pPr>
            <w:r>
              <w:rPr>
                <w:rFonts w:ascii="MS PGothic" w:cs="MS PGothic" w:eastAsia="MS PGothic" w:hAnsi="MS PGothic"/>
                <w:sz w:val="14"/>
                <w:szCs w:val="14"/>
                <w:color w:val="494949"/>
              </w:rPr>
              <w:t>✔</w:t>
            </w:r>
            <w:r>
              <w:rPr>
                <w:rFonts w:ascii="Calibri" w:cs="Calibri" w:eastAsia="Calibri" w:hAnsi="Calibri"/>
                <w:sz w:val="14"/>
                <w:szCs w:val="14"/>
                <w:color w:val="494949"/>
              </w:rPr>
              <w:t xml:space="preserve">  Require our executves and directors to satsfy meaningful stock ownership</w:t>
            </w:r>
          </w:p>
        </w:tc>
        <w:tc>
          <w:tcPr>
            <w:tcW w:w="3420" w:type="dxa"/>
            <w:vAlign w:val="bottom"/>
            <w:gridSpan w:val="3"/>
          </w:tcPr>
          <w:p>
            <w:pPr>
              <w:ind w:left="740"/>
              <w:spacing w:after="0" w:line="172" w:lineRule="exact"/>
              <w:rPr>
                <w:sz w:val="20"/>
                <w:szCs w:val="20"/>
                <w:color w:val="auto"/>
              </w:rPr>
            </w:pPr>
            <w:r>
              <w:rPr>
                <w:rFonts w:ascii="Arial" w:cs="Arial" w:eastAsia="Arial" w:hAnsi="Arial"/>
                <w:sz w:val="18"/>
                <w:szCs w:val="18"/>
                <w:color w:val="494949"/>
                <w:vertAlign w:val="subscript"/>
              </w:rPr>
              <w:t>û</w:t>
            </w:r>
            <w:r>
              <w:rPr>
                <w:rFonts w:ascii="Calibri" w:cs="Calibri" w:eastAsia="Calibri" w:hAnsi="Calibri"/>
                <w:sz w:val="11"/>
                <w:szCs w:val="11"/>
                <w:color w:val="494949"/>
              </w:rPr>
              <w:t xml:space="preserve">   Reprice underwater stock optons</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440" w:type="dxa"/>
            <w:vAlign w:val="bottom"/>
            <w:gridSpan w:val="2"/>
          </w:tcPr>
          <w:p>
            <w:pPr>
              <w:ind w:left="440"/>
              <w:spacing w:after="0" w:line="169" w:lineRule="exact"/>
              <w:rPr>
                <w:sz w:val="20"/>
                <w:szCs w:val="20"/>
                <w:color w:val="auto"/>
              </w:rPr>
            </w:pPr>
            <w:r>
              <w:rPr>
                <w:rFonts w:ascii="Calibri" w:cs="Calibri" w:eastAsia="Calibri" w:hAnsi="Calibri"/>
                <w:sz w:val="14"/>
                <w:szCs w:val="14"/>
                <w:color w:val="494949"/>
              </w:rPr>
              <w:t>requirements</w:t>
            </w: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type w:val="continuous"/>
        </w:sectPr>
      </w:pPr>
    </w:p>
    <w:p>
      <w:pPr>
        <w:ind w:left="440" w:hanging="281"/>
        <w:spacing w:after="0" w:line="185" w:lineRule="auto"/>
        <w:tabs>
          <w:tab w:leader="none" w:pos="440" w:val="left"/>
        </w:tabs>
        <w:numPr>
          <w:ilvl w:val="0"/>
          <w:numId w:val="39"/>
        </w:numPr>
        <w:rPr>
          <w:rFonts w:ascii="MS PGothic" w:cs="MS PGothic" w:eastAsia="MS PGothic" w:hAnsi="MS PGothic"/>
          <w:sz w:val="24"/>
          <w:szCs w:val="24"/>
          <w:color w:val="494949"/>
          <w:vertAlign w:val="subscript"/>
        </w:rPr>
      </w:pPr>
      <w:r>
        <w:rPr>
          <w:rFonts w:ascii="Calibri" w:cs="Calibri" w:eastAsia="Calibri" w:hAnsi="Calibri"/>
          <w:sz w:val="13"/>
          <w:szCs w:val="13"/>
          <w:color w:val="494949"/>
        </w:rPr>
        <w:t>Include compensaton recovery provisions (clawbacks) in our incentve plans</w:t>
      </w:r>
    </w:p>
    <w:p>
      <w:pPr>
        <w:spacing w:after="0" w:line="50" w:lineRule="exact"/>
        <w:rPr>
          <w:rFonts w:ascii="MS PGothic" w:cs="MS PGothic" w:eastAsia="MS PGothic" w:hAnsi="MS PGothic"/>
          <w:sz w:val="24"/>
          <w:szCs w:val="24"/>
          <w:color w:val="494949"/>
          <w:vertAlign w:val="subscript"/>
        </w:rPr>
      </w:pPr>
    </w:p>
    <w:p>
      <w:pPr>
        <w:ind w:left="440" w:right="400" w:hanging="281"/>
        <w:spacing w:after="0" w:line="187" w:lineRule="auto"/>
        <w:tabs>
          <w:tab w:leader="none" w:pos="440" w:val="left"/>
        </w:tabs>
        <w:numPr>
          <w:ilvl w:val="0"/>
          <w:numId w:val="39"/>
        </w:numPr>
        <w:rPr>
          <w:rFonts w:ascii="MS PGothic" w:cs="MS PGothic" w:eastAsia="MS PGothic" w:hAnsi="MS PGothic"/>
          <w:sz w:val="23"/>
          <w:szCs w:val="23"/>
          <w:color w:val="494949"/>
          <w:vertAlign w:val="subscript"/>
        </w:rPr>
      </w:pPr>
      <w:r>
        <w:rPr>
          <w:rFonts w:ascii="Calibri" w:cs="Calibri" w:eastAsia="Calibri" w:hAnsi="Calibri"/>
          <w:sz w:val="12"/>
          <w:szCs w:val="12"/>
          <w:color w:val="494949"/>
        </w:rPr>
        <w:t>Perform annual review of appropriate peer group to benchmark executve compensaton</w:t>
      </w:r>
    </w:p>
    <w:p>
      <w:pPr>
        <w:spacing w:after="0" w:line="19" w:lineRule="exact"/>
        <w:rPr>
          <w:rFonts w:ascii="MS PGothic" w:cs="MS PGothic" w:eastAsia="MS PGothic" w:hAnsi="MS PGothic"/>
          <w:sz w:val="23"/>
          <w:szCs w:val="23"/>
          <w:color w:val="494949"/>
          <w:vertAlign w:val="subscript"/>
        </w:rPr>
      </w:pPr>
    </w:p>
    <w:p>
      <w:pPr>
        <w:ind w:left="440" w:hanging="281"/>
        <w:spacing w:after="0" w:line="180" w:lineRule="auto"/>
        <w:tabs>
          <w:tab w:leader="none" w:pos="440" w:val="left"/>
        </w:tabs>
        <w:numPr>
          <w:ilvl w:val="0"/>
          <w:numId w:val="39"/>
        </w:numPr>
        <w:rPr>
          <w:rFonts w:ascii="MS PGothic" w:cs="MS PGothic" w:eastAsia="MS PGothic" w:hAnsi="MS PGothic"/>
          <w:sz w:val="26"/>
          <w:szCs w:val="26"/>
          <w:color w:val="494949"/>
          <w:vertAlign w:val="subscript"/>
        </w:rPr>
      </w:pPr>
      <w:r>
        <w:rPr>
          <w:rFonts w:ascii="Calibri" w:cs="Calibri" w:eastAsia="Calibri" w:hAnsi="Calibri"/>
          <w:sz w:val="13"/>
          <w:szCs w:val="13"/>
          <w:color w:val="494949"/>
        </w:rPr>
        <w:t>Conduct annual risk assessment of incentve-based compensaton to identfy any issues that could have a material, adverse impact on the Company</w:t>
      </w:r>
    </w:p>
    <w:p>
      <w:pPr>
        <w:spacing w:after="0" w:line="18" w:lineRule="exact"/>
        <w:rPr>
          <w:rFonts w:ascii="MS PGothic" w:cs="MS PGothic" w:eastAsia="MS PGothic" w:hAnsi="MS PGothic"/>
          <w:sz w:val="26"/>
          <w:szCs w:val="26"/>
          <w:color w:val="494949"/>
          <w:vertAlign w:val="subscript"/>
        </w:rPr>
      </w:pPr>
    </w:p>
    <w:p>
      <w:pPr>
        <w:ind w:left="440" w:right="100" w:hanging="281"/>
        <w:spacing w:after="0" w:line="180" w:lineRule="auto"/>
        <w:tabs>
          <w:tab w:leader="none" w:pos="440" w:val="left"/>
        </w:tabs>
        <w:numPr>
          <w:ilvl w:val="0"/>
          <w:numId w:val="39"/>
        </w:numPr>
        <w:rPr>
          <w:rFonts w:ascii="MS PGothic" w:cs="MS PGothic" w:eastAsia="MS PGothic" w:hAnsi="MS PGothic"/>
          <w:sz w:val="26"/>
          <w:szCs w:val="26"/>
          <w:color w:val="494949"/>
          <w:vertAlign w:val="subscript"/>
        </w:rPr>
      </w:pPr>
      <w:r>
        <w:rPr>
          <w:rFonts w:ascii="Calibri" w:cs="Calibri" w:eastAsia="Calibri" w:hAnsi="Calibri"/>
          <w:sz w:val="13"/>
          <w:szCs w:val="13"/>
          <w:color w:val="494949"/>
        </w:rPr>
        <w:t>Review on a regular basis our executve talent, performance, deployments, and succession</w:t>
      </w:r>
    </w:p>
    <w:p>
      <w:pPr>
        <w:spacing w:after="0" w:line="20" w:lineRule="exact"/>
        <w:rPr>
          <w:sz w:val="20"/>
          <w:szCs w:val="20"/>
          <w:color w:val="auto"/>
        </w:rPr>
      </w:pPr>
      <w:r>
        <w:rPr>
          <w:sz w:val="20"/>
          <w:szCs w:val="20"/>
          <w:color w:val="auto"/>
        </w:rPr>
        <w:br w:type="column"/>
      </w:r>
    </w:p>
    <w:p>
      <w:pPr>
        <w:ind w:left="282" w:hanging="282"/>
        <w:spacing w:after="0" w:line="184" w:lineRule="auto"/>
        <w:tabs>
          <w:tab w:leader="none" w:pos="282" w:val="left"/>
        </w:tabs>
        <w:numPr>
          <w:ilvl w:val="0"/>
          <w:numId w:val="40"/>
        </w:numPr>
        <w:rPr>
          <w:rFonts w:ascii="Arial" w:cs="Arial" w:eastAsia="Arial" w:hAnsi="Arial"/>
          <w:sz w:val="21"/>
          <w:szCs w:val="21"/>
          <w:color w:val="494949"/>
          <w:vertAlign w:val="subscript"/>
        </w:rPr>
      </w:pPr>
      <w:r>
        <w:rPr>
          <w:rFonts w:ascii="Calibri" w:cs="Calibri" w:eastAsia="Calibri" w:hAnsi="Calibri"/>
          <w:sz w:val="12"/>
          <w:szCs w:val="12"/>
          <w:color w:val="494949"/>
        </w:rPr>
        <w:t>Ofer individual supplemental executve retrement plans</w:t>
      </w:r>
    </w:p>
    <w:p>
      <w:pPr>
        <w:spacing w:after="0" w:line="37" w:lineRule="exact"/>
        <w:rPr>
          <w:rFonts w:ascii="Arial" w:cs="Arial" w:eastAsia="Arial" w:hAnsi="Arial"/>
          <w:sz w:val="21"/>
          <w:szCs w:val="21"/>
          <w:color w:val="494949"/>
          <w:vertAlign w:val="subscript"/>
        </w:rPr>
      </w:pPr>
    </w:p>
    <w:p>
      <w:pPr>
        <w:ind w:left="282" w:hanging="282"/>
        <w:spacing w:after="0" w:line="188" w:lineRule="auto"/>
        <w:tabs>
          <w:tab w:leader="none" w:pos="282" w:val="left"/>
        </w:tabs>
        <w:numPr>
          <w:ilvl w:val="0"/>
          <w:numId w:val="40"/>
        </w:numPr>
        <w:rPr>
          <w:rFonts w:ascii="Arial" w:cs="Arial" w:eastAsia="Arial" w:hAnsi="Arial"/>
          <w:sz w:val="18"/>
          <w:szCs w:val="18"/>
          <w:color w:val="494949"/>
          <w:vertAlign w:val="subscript"/>
        </w:rPr>
      </w:pPr>
      <w:r>
        <w:rPr>
          <w:rFonts w:ascii="Calibri" w:cs="Calibri" w:eastAsia="Calibri" w:hAnsi="Calibri"/>
          <w:sz w:val="11"/>
          <w:szCs w:val="11"/>
          <w:color w:val="494949"/>
        </w:rPr>
        <w:t>Grant discounted stock optons</w:t>
      </w:r>
    </w:p>
    <w:p>
      <w:pPr>
        <w:spacing w:after="0" w:line="164" w:lineRule="exact"/>
        <w:rPr>
          <w:rFonts w:ascii="Arial" w:cs="Arial" w:eastAsia="Arial" w:hAnsi="Arial"/>
          <w:sz w:val="18"/>
          <w:szCs w:val="18"/>
          <w:color w:val="494949"/>
          <w:vertAlign w:val="subscript"/>
        </w:rPr>
      </w:pPr>
    </w:p>
    <w:p>
      <w:pPr>
        <w:ind w:left="282" w:right="200" w:hanging="282"/>
        <w:spacing w:after="0" w:line="183" w:lineRule="auto"/>
        <w:tabs>
          <w:tab w:leader="none" w:pos="282" w:val="left"/>
        </w:tabs>
        <w:numPr>
          <w:ilvl w:val="0"/>
          <w:numId w:val="40"/>
        </w:numPr>
        <w:rPr>
          <w:rFonts w:ascii="Arial" w:cs="Arial" w:eastAsia="Arial" w:hAnsi="Arial"/>
          <w:sz w:val="23"/>
          <w:szCs w:val="23"/>
          <w:color w:val="494949"/>
          <w:vertAlign w:val="subscript"/>
        </w:rPr>
      </w:pPr>
      <w:r>
        <w:rPr>
          <w:rFonts w:ascii="Calibri" w:cs="Calibri" w:eastAsia="Calibri" w:hAnsi="Calibri"/>
          <w:sz w:val="12"/>
          <w:szCs w:val="12"/>
          <w:color w:val="494949"/>
        </w:rPr>
        <w:t>Provide tax gross-ups on golden parachute payments for CEO or other ofcers following a change in control</w:t>
      </w:r>
    </w:p>
    <w:p>
      <w:pPr>
        <w:ind w:left="282" w:hanging="282"/>
        <w:spacing w:after="0" w:line="184" w:lineRule="auto"/>
        <w:tabs>
          <w:tab w:leader="none" w:pos="282" w:val="left"/>
        </w:tabs>
        <w:numPr>
          <w:ilvl w:val="0"/>
          <w:numId w:val="40"/>
        </w:numPr>
        <w:rPr>
          <w:rFonts w:ascii="Arial" w:cs="Arial" w:eastAsia="Arial" w:hAnsi="Arial"/>
          <w:sz w:val="21"/>
          <w:szCs w:val="21"/>
          <w:color w:val="494949"/>
          <w:vertAlign w:val="subscript"/>
        </w:rPr>
      </w:pPr>
      <w:r>
        <w:rPr>
          <w:rFonts w:ascii="Calibri" w:cs="Calibri" w:eastAsia="Calibri" w:hAnsi="Calibri"/>
          <w:sz w:val="12"/>
          <w:szCs w:val="12"/>
          <w:color w:val="494949"/>
        </w:rPr>
        <w:t>Allow for change in control agreements for named executve ofcers</w:t>
      </w:r>
    </w:p>
    <w:p>
      <w:pPr>
        <w:spacing w:after="0" w:line="147" w:lineRule="exact"/>
        <w:rPr>
          <w:sz w:val="20"/>
          <w:szCs w:val="20"/>
          <w:color w:val="auto"/>
        </w:rPr>
      </w:pPr>
    </w:p>
    <w:p>
      <w:pPr>
        <w:sectPr>
          <w:pgSz w:w="11900" w:h="16838" w:orient="portrait"/>
          <w:cols w:equalWidth="0" w:num="2">
            <w:col w:w="5080" w:space="578"/>
            <w:col w:w="5582"/>
          </w:cols>
          <w:pgMar w:left="320" w:top="118" w:right="339" w:bottom="1440" w:gutter="0" w:footer="0" w:header="0"/>
          <w:type w:val="continuous"/>
        </w:sectPr>
      </w:pPr>
    </w:p>
    <w:p>
      <w:pPr>
        <w:ind w:left="160"/>
        <w:spacing w:after="0" w:line="192" w:lineRule="exact"/>
        <w:tabs>
          <w:tab w:leader="none" w:pos="420" w:val="left"/>
          <w:tab w:leader="none" w:pos="5640" w:val="left"/>
          <w:tab w:leader="none" w:pos="5920" w:val="left"/>
        </w:tabs>
        <w:rPr>
          <w:sz w:val="20"/>
          <w:szCs w:val="20"/>
          <w:color w:val="auto"/>
        </w:rPr>
      </w:pPr>
      <w:r>
        <w:rPr>
          <w:rFonts w:ascii="MS PGothic" w:cs="MS PGothic" w:eastAsia="MS PGothic" w:hAnsi="MS PGothic"/>
          <w:sz w:val="20"/>
          <w:szCs w:val="20"/>
          <w:color w:val="494949"/>
          <w:vertAlign w:val="subscript"/>
        </w:rPr>
        <w:t>✔</w:t>
      </w:r>
      <w:r>
        <w:rPr>
          <w:sz w:val="20"/>
          <w:szCs w:val="20"/>
          <w:color w:val="auto"/>
        </w:rPr>
        <w:tab/>
      </w:r>
      <w:r>
        <w:rPr>
          <w:rFonts w:ascii="Calibri" w:cs="Calibri" w:eastAsia="Calibri" w:hAnsi="Calibri"/>
          <w:sz w:val="14"/>
          <w:szCs w:val="14"/>
          <w:color w:val="494949"/>
        </w:rPr>
        <w:t>Align executve pay with short- and long-term performance</w:t>
      </w:r>
      <w:r>
        <w:rPr>
          <w:sz w:val="20"/>
          <w:szCs w:val="20"/>
          <w:color w:val="auto"/>
        </w:rPr>
        <w:tab/>
      </w:r>
      <w:r>
        <w:rPr>
          <w:rFonts w:ascii="Arial" w:cs="Arial" w:eastAsia="Arial" w:hAnsi="Arial"/>
          <w:sz w:val="22"/>
          <w:szCs w:val="22"/>
          <w:color w:val="494949"/>
          <w:vertAlign w:val="subscript"/>
        </w:rPr>
        <w:t>û</w:t>
      </w:r>
      <w:r>
        <w:rPr>
          <w:sz w:val="20"/>
          <w:szCs w:val="20"/>
          <w:color w:val="auto"/>
        </w:rPr>
        <w:tab/>
      </w:r>
      <w:r>
        <w:rPr>
          <w:rFonts w:ascii="Calibri" w:cs="Calibri" w:eastAsia="Calibri" w:hAnsi="Calibri"/>
          <w:sz w:val="14"/>
          <w:szCs w:val="14"/>
          <w:color w:val="494949"/>
        </w:rPr>
        <w:t>Allow employees or directors to engage in hedging transactons in accordance with our</w:t>
      </w:r>
    </w:p>
    <w:p>
      <w:pPr>
        <w:ind w:left="5940"/>
        <w:spacing w:after="0" w:line="197" w:lineRule="auto"/>
        <w:rPr>
          <w:sz w:val="20"/>
          <w:szCs w:val="20"/>
          <w:color w:val="auto"/>
        </w:rPr>
      </w:pPr>
      <w:r>
        <w:rPr>
          <w:rFonts w:ascii="Calibri" w:cs="Calibri" w:eastAsia="Calibri" w:hAnsi="Calibri"/>
          <w:sz w:val="14"/>
          <w:szCs w:val="14"/>
          <w:color w:val="494949"/>
        </w:rPr>
        <w:t>insider trading policy</w:t>
      </w:r>
    </w:p>
    <w:p>
      <w:pPr>
        <w:ind w:left="160"/>
        <w:spacing w:after="0" w:line="237" w:lineRule="exact"/>
        <w:tabs>
          <w:tab w:leader="none" w:pos="420" w:val="left"/>
          <w:tab w:leader="none" w:pos="5640" w:val="left"/>
          <w:tab w:leader="none" w:pos="5920" w:val="left"/>
        </w:tabs>
        <w:rPr>
          <w:sz w:val="20"/>
          <w:szCs w:val="20"/>
          <w:color w:val="auto"/>
        </w:rPr>
      </w:pPr>
      <w:r>
        <w:rPr>
          <w:rFonts w:ascii="MS PGothic" w:cs="MS PGothic" w:eastAsia="MS PGothic" w:hAnsi="MS PGothic"/>
          <w:sz w:val="25"/>
          <w:szCs w:val="25"/>
          <w:color w:val="494949"/>
          <w:vertAlign w:val="subscript"/>
        </w:rPr>
        <w:t>✔</w:t>
      </w:r>
      <w:r>
        <w:rPr>
          <w:sz w:val="20"/>
          <w:szCs w:val="20"/>
          <w:color w:val="auto"/>
        </w:rPr>
        <w:tab/>
      </w:r>
      <w:r>
        <w:rPr>
          <w:rFonts w:ascii="Calibri" w:cs="Calibri" w:eastAsia="Calibri" w:hAnsi="Calibri"/>
          <w:sz w:val="14"/>
          <w:szCs w:val="14"/>
          <w:color w:val="494949"/>
        </w:rPr>
        <w:t>Hold annual advisory vote on executve compensaton</w:t>
      </w:r>
      <w:r>
        <w:rPr>
          <w:sz w:val="20"/>
          <w:szCs w:val="20"/>
          <w:color w:val="auto"/>
        </w:rPr>
        <w:tab/>
      </w:r>
      <w:r>
        <w:rPr>
          <w:rFonts w:ascii="Arial" w:cs="Arial" w:eastAsia="Arial" w:hAnsi="Arial"/>
          <w:sz w:val="25"/>
          <w:szCs w:val="25"/>
          <w:color w:val="494949"/>
          <w:vertAlign w:val="subscript"/>
        </w:rPr>
        <w:t>û</w:t>
      </w:r>
      <w:r>
        <w:rPr>
          <w:sz w:val="20"/>
          <w:szCs w:val="20"/>
          <w:color w:val="auto"/>
        </w:rPr>
        <w:tab/>
      </w:r>
      <w:r>
        <w:rPr>
          <w:rFonts w:ascii="Calibri" w:cs="Calibri" w:eastAsia="Calibri" w:hAnsi="Calibri"/>
          <w:sz w:val="14"/>
          <w:szCs w:val="14"/>
          <w:color w:val="494949"/>
        </w:rPr>
        <w:t>Allow pledging of our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666666"/>
        </w:rPr>
        <w:t>33</w:t>
      </w:r>
    </w:p>
    <w:p>
      <w:pPr>
        <w:sectPr>
          <w:pgSz w:w="11900" w:h="16838" w:orient="portrait"/>
          <w:cols w:equalWidth="0" w:num="1">
            <w:col w:w="11240"/>
          </w:cols>
          <w:pgMar w:left="320" w:top="118"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4F7CBA"/>
        </w:rPr>
        <w:t>Setng Executve Compensaton and Peer Group</w:t>
      </w:r>
    </w:p>
    <w:p>
      <w:pPr>
        <w:spacing w:after="0" w:line="166"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We evaluate our named executve ofcers' compensaton relatve to the compensaton of publicly traded peer companies that are similar in size, industry, and operatons. The Compensaton, Culture and People Commitee reviews the peer group regularly and adjusts as necessary due to changes at a peer company's operatons or changes in comparability (e.g., due to bankruptcy or mergers and acquisitons) to the Company. The peer group is used by the Compensaton, Culture and People Commitee as a point of reference in determining pay within a compettve range without targetng a specifc benchmark when making executve pay decisions.</w:t>
      </w:r>
    </w:p>
    <w:p>
      <w:pPr>
        <w:spacing w:after="0" w:line="164"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For setng fscal year 2022 executve compensaton, the Compensaton, Culture and People Commitee requested that outside compensaton consultant Korn Ferry perform a comprehensive review of the peer companies used for evaluatng our named executve ofcers' compensaton. Korn Ferry evaluated companies that are similar in size, industry, and operatons, using specifc review criteria, as described below:</w:t>
      </w:r>
    </w:p>
    <w:p>
      <w:pPr>
        <w:spacing w:after="0" w:line="162" w:lineRule="exact"/>
        <w:rPr>
          <w:sz w:val="20"/>
          <w:szCs w:val="20"/>
          <w:color w:val="auto"/>
        </w:rPr>
      </w:pPr>
    </w:p>
    <w:p>
      <w:pPr>
        <w:ind w:left="640" w:right="80" w:hanging="315"/>
        <w:spacing w:after="0" w:line="231" w:lineRule="auto"/>
        <w:tabs>
          <w:tab w:leader="none" w:pos="633" w:val="left"/>
        </w:tabs>
        <w:numPr>
          <w:ilvl w:val="0"/>
          <w:numId w:val="41"/>
        </w:numPr>
        <w:rPr>
          <w:rFonts w:ascii="Calibri" w:cs="Calibri" w:eastAsia="Calibri" w:hAnsi="Calibri"/>
          <w:sz w:val="18"/>
          <w:szCs w:val="18"/>
          <w:color w:val="666666"/>
        </w:rPr>
      </w:pPr>
      <w:r>
        <w:rPr>
          <w:rFonts w:ascii="Calibri" w:cs="Calibri" w:eastAsia="Calibri" w:hAnsi="Calibri"/>
          <w:sz w:val="18"/>
          <w:szCs w:val="18"/>
          <w:i w:val="1"/>
          <w:iCs w:val="1"/>
          <w:color w:val="666666"/>
        </w:rPr>
        <w:t>Company size</w:t>
      </w:r>
      <w:r>
        <w:rPr>
          <w:rFonts w:ascii="Calibri" w:cs="Calibri" w:eastAsia="Calibri" w:hAnsi="Calibri"/>
          <w:sz w:val="18"/>
          <w:szCs w:val="18"/>
          <w:color w:val="666666"/>
        </w:rPr>
        <w:t>: Organizatons with revenues approximately 0.33x to 3.00x of our revenue, with peer median revenue approximatng Company revenue,</w:t>
      </w:r>
      <w:r>
        <w:rPr>
          <w:rFonts w:ascii="Calibri" w:cs="Calibri" w:eastAsia="Calibri" w:hAnsi="Calibri"/>
          <w:sz w:val="18"/>
          <w:szCs w:val="18"/>
          <w:i w:val="1"/>
          <w:iCs w:val="1"/>
          <w:color w:val="666666"/>
        </w:rPr>
        <w:t xml:space="preserve"> </w:t>
      </w:r>
      <w:r>
        <w:rPr>
          <w:rFonts w:ascii="Calibri" w:cs="Calibri" w:eastAsia="Calibri" w:hAnsi="Calibri"/>
          <w:sz w:val="18"/>
          <w:szCs w:val="18"/>
          <w:color w:val="666666"/>
        </w:rPr>
        <w:t>and with fexibility outside of this range to accommodate organizatons that are a good match from a business perspectve.</w:t>
      </w:r>
    </w:p>
    <w:p>
      <w:pPr>
        <w:spacing w:after="0" w:line="161" w:lineRule="exact"/>
        <w:rPr>
          <w:rFonts w:ascii="Calibri" w:cs="Calibri" w:eastAsia="Calibri" w:hAnsi="Calibri"/>
          <w:sz w:val="18"/>
          <w:szCs w:val="18"/>
          <w:color w:val="666666"/>
        </w:rPr>
      </w:pPr>
    </w:p>
    <w:p>
      <w:pPr>
        <w:ind w:left="640" w:right="80" w:hanging="315"/>
        <w:spacing w:after="0" w:line="231" w:lineRule="auto"/>
        <w:tabs>
          <w:tab w:leader="none" w:pos="633" w:val="left"/>
        </w:tabs>
        <w:numPr>
          <w:ilvl w:val="0"/>
          <w:numId w:val="41"/>
        </w:numPr>
        <w:rPr>
          <w:rFonts w:ascii="Calibri" w:cs="Calibri" w:eastAsia="Calibri" w:hAnsi="Calibri"/>
          <w:sz w:val="18"/>
          <w:szCs w:val="18"/>
          <w:color w:val="666666"/>
        </w:rPr>
      </w:pPr>
      <w:r>
        <w:rPr>
          <w:rFonts w:ascii="Calibri" w:cs="Calibri" w:eastAsia="Calibri" w:hAnsi="Calibri"/>
          <w:sz w:val="18"/>
          <w:szCs w:val="18"/>
          <w:i w:val="1"/>
          <w:iCs w:val="1"/>
          <w:color w:val="666666"/>
        </w:rPr>
        <w:t>Industry</w:t>
      </w:r>
      <w:r>
        <w:rPr>
          <w:rFonts w:ascii="Calibri" w:cs="Calibri" w:eastAsia="Calibri" w:hAnsi="Calibri"/>
          <w:sz w:val="18"/>
          <w:szCs w:val="18"/>
          <w:color w:val="666666"/>
        </w:rPr>
        <w:t>: Includes government services organizatons and other "comparables" that our Investor Relatons department tracks, and other organizatons</w:t>
      </w:r>
      <w:r>
        <w:rPr>
          <w:rFonts w:ascii="Calibri" w:cs="Calibri" w:eastAsia="Calibri" w:hAnsi="Calibri"/>
          <w:sz w:val="18"/>
          <w:szCs w:val="18"/>
          <w:i w:val="1"/>
          <w:iCs w:val="1"/>
          <w:color w:val="666666"/>
        </w:rPr>
        <w:t xml:space="preserve"> </w:t>
      </w:r>
      <w:r>
        <w:rPr>
          <w:rFonts w:ascii="Calibri" w:cs="Calibri" w:eastAsia="Calibri" w:hAnsi="Calibri"/>
          <w:sz w:val="18"/>
          <w:szCs w:val="18"/>
          <w:color w:val="666666"/>
        </w:rPr>
        <w:t>that benchmark to our Company.</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As a result of this review, the Compensaton, Culture and People Commitee approved the peer group set forth below for benchmarking and setng compensaton of our named executve ofcers for fscal year 2022.</w:t>
      </w:r>
    </w:p>
    <w:p>
      <w:pPr>
        <w:spacing w:after="0" w:line="209" w:lineRule="exact"/>
        <w:rPr>
          <w:sz w:val="20"/>
          <w:szCs w:val="20"/>
          <w:color w:val="auto"/>
        </w:rPr>
      </w:pPr>
    </w:p>
    <w:tbl>
      <w:tblPr>
        <w:tblLayout w:type="fixed"/>
        <w:tblInd w:w="1980" w:type="dxa"/>
        <w:tblCellMar>
          <w:top w:w="0" w:type="dxa"/>
          <w:left w:w="0" w:type="dxa"/>
          <w:bottom w:w="0" w:type="dxa"/>
          <w:right w:w="0" w:type="dxa"/>
        </w:tblCellMar>
      </w:tblPr>
      <w:tr>
        <w:trPr>
          <w:trHeight w:val="199"/>
        </w:trPr>
        <w:tc>
          <w:tcPr>
            <w:tcW w:w="2380" w:type="dxa"/>
            <w:vAlign w:val="bottom"/>
            <w:shd w:val="clear" w:color="auto" w:fill="CCEEFF"/>
          </w:tcPr>
          <w:p>
            <w:pPr>
              <w:spacing w:after="0"/>
              <w:rPr>
                <w:sz w:val="17"/>
                <w:szCs w:val="17"/>
                <w:color w:val="auto"/>
              </w:rPr>
            </w:pPr>
          </w:p>
        </w:tc>
        <w:tc>
          <w:tcPr>
            <w:tcW w:w="4920" w:type="dxa"/>
            <w:vAlign w:val="bottom"/>
            <w:shd w:val="clear" w:color="auto" w:fill="CCEEFF"/>
          </w:tcPr>
          <w:p>
            <w:pPr>
              <w:ind w:left="460"/>
              <w:spacing w:after="0"/>
              <w:rPr>
                <w:sz w:val="20"/>
                <w:szCs w:val="20"/>
                <w:color w:val="auto"/>
              </w:rPr>
            </w:pPr>
            <w:r>
              <w:rPr>
                <w:rFonts w:ascii="Calibri" w:cs="Calibri" w:eastAsia="Calibri" w:hAnsi="Calibri"/>
                <w:sz w:val="14"/>
                <w:szCs w:val="14"/>
                <w:b w:val="1"/>
                <w:bCs w:val="1"/>
                <w:color w:val="494949"/>
              </w:rPr>
              <w:t>Fiscal Year 2022 Peer Group</w:t>
            </w:r>
          </w:p>
        </w:tc>
      </w:tr>
      <w:tr>
        <w:trPr>
          <w:trHeight w:val="131"/>
        </w:trPr>
        <w:tc>
          <w:tcPr>
            <w:tcW w:w="2380" w:type="dxa"/>
            <w:vAlign w:val="bottom"/>
          </w:tcPr>
          <w:p>
            <w:pPr>
              <w:ind w:left="40"/>
              <w:spacing w:after="0" w:line="132" w:lineRule="exact"/>
              <w:rPr>
                <w:sz w:val="20"/>
                <w:szCs w:val="20"/>
                <w:color w:val="auto"/>
              </w:rPr>
            </w:pPr>
            <w:r>
              <w:rPr>
                <w:rFonts w:ascii="Calibri" w:cs="Calibri" w:eastAsia="Calibri" w:hAnsi="Calibri"/>
                <w:sz w:val="14"/>
                <w:szCs w:val="14"/>
                <w:color w:val="494949"/>
              </w:rPr>
              <w:t>- CACI Internatonal, Inc.</w:t>
            </w:r>
          </w:p>
        </w:tc>
        <w:tc>
          <w:tcPr>
            <w:tcW w:w="4920" w:type="dxa"/>
            <w:vAlign w:val="bottom"/>
          </w:tcPr>
          <w:p>
            <w:pPr>
              <w:ind w:left="1300"/>
              <w:spacing w:after="0" w:line="132" w:lineRule="exact"/>
              <w:rPr>
                <w:sz w:val="20"/>
                <w:szCs w:val="20"/>
                <w:color w:val="auto"/>
              </w:rPr>
            </w:pPr>
            <w:r>
              <w:rPr>
                <w:rFonts w:ascii="Calibri" w:cs="Calibri" w:eastAsia="Calibri" w:hAnsi="Calibri"/>
                <w:sz w:val="14"/>
                <w:szCs w:val="14"/>
                <w:color w:val="494949"/>
              </w:rPr>
              <w:t>- L3Harris Technologies, Inc.</w:t>
            </w:r>
          </w:p>
        </w:tc>
      </w:tr>
      <w:tr>
        <w:trPr>
          <w:trHeight w:val="146"/>
        </w:trPr>
        <w:tc>
          <w:tcPr>
            <w:tcW w:w="2380" w:type="dxa"/>
            <w:vAlign w:val="bottom"/>
          </w:tcPr>
          <w:p>
            <w:pPr>
              <w:ind w:left="40"/>
              <w:spacing w:after="0" w:line="146" w:lineRule="exact"/>
              <w:rPr>
                <w:sz w:val="20"/>
                <w:szCs w:val="20"/>
                <w:color w:val="auto"/>
              </w:rPr>
            </w:pPr>
            <w:r>
              <w:rPr>
                <w:rFonts w:ascii="Calibri" w:cs="Calibri" w:eastAsia="Calibri" w:hAnsi="Calibri"/>
                <w:sz w:val="14"/>
                <w:szCs w:val="14"/>
                <w:color w:val="494949"/>
              </w:rPr>
              <w:t>- CGI Group, Inc.</w:t>
            </w:r>
          </w:p>
        </w:tc>
        <w:tc>
          <w:tcPr>
            <w:tcW w:w="4920" w:type="dxa"/>
            <w:vAlign w:val="bottom"/>
          </w:tcPr>
          <w:p>
            <w:pPr>
              <w:ind w:left="1300"/>
              <w:spacing w:after="0" w:line="146" w:lineRule="exact"/>
              <w:rPr>
                <w:sz w:val="20"/>
                <w:szCs w:val="20"/>
                <w:color w:val="auto"/>
              </w:rPr>
            </w:pPr>
            <w:r>
              <w:rPr>
                <w:rFonts w:ascii="Calibri" w:cs="Calibri" w:eastAsia="Calibri" w:hAnsi="Calibri"/>
                <w:sz w:val="14"/>
                <w:szCs w:val="14"/>
                <w:color w:val="494949"/>
              </w:rPr>
              <w:t>- Leidos Holdings, Inc.</w:t>
            </w:r>
          </w:p>
        </w:tc>
      </w:tr>
      <w:tr>
        <w:trPr>
          <w:trHeight w:val="134"/>
        </w:trPr>
        <w:tc>
          <w:tcPr>
            <w:tcW w:w="2380" w:type="dxa"/>
            <w:vAlign w:val="bottom"/>
          </w:tcPr>
          <w:p>
            <w:pPr>
              <w:ind w:left="40"/>
              <w:spacing w:after="0" w:line="134" w:lineRule="exact"/>
              <w:rPr>
                <w:sz w:val="20"/>
                <w:szCs w:val="20"/>
                <w:color w:val="auto"/>
              </w:rPr>
            </w:pPr>
            <w:r>
              <w:rPr>
                <w:rFonts w:ascii="Calibri" w:cs="Calibri" w:eastAsia="Calibri" w:hAnsi="Calibri"/>
                <w:sz w:val="14"/>
                <w:szCs w:val="14"/>
                <w:color w:val="494949"/>
              </w:rPr>
              <w:t>- Cognizant Technology Solutons</w:t>
            </w:r>
          </w:p>
        </w:tc>
        <w:tc>
          <w:tcPr>
            <w:tcW w:w="4920" w:type="dxa"/>
            <w:vAlign w:val="bottom"/>
          </w:tcPr>
          <w:p>
            <w:pPr>
              <w:ind w:left="1300"/>
              <w:spacing w:after="0" w:line="134" w:lineRule="exact"/>
              <w:rPr>
                <w:sz w:val="20"/>
                <w:szCs w:val="20"/>
                <w:color w:val="auto"/>
              </w:rPr>
            </w:pPr>
            <w:r>
              <w:rPr>
                <w:rFonts w:ascii="Calibri" w:cs="Calibri" w:eastAsia="Calibri" w:hAnsi="Calibri"/>
                <w:sz w:val="14"/>
                <w:szCs w:val="14"/>
                <w:color w:val="494949"/>
              </w:rPr>
              <w:t>- ManTech Internatonal Corporaton</w:t>
            </w:r>
          </w:p>
        </w:tc>
      </w:tr>
      <w:tr>
        <w:trPr>
          <w:trHeight w:val="145"/>
        </w:trPr>
        <w:tc>
          <w:tcPr>
            <w:tcW w:w="2380" w:type="dxa"/>
            <w:vAlign w:val="bottom"/>
          </w:tcPr>
          <w:p>
            <w:pPr>
              <w:ind w:left="40"/>
              <w:spacing w:after="0" w:line="145" w:lineRule="exact"/>
              <w:rPr>
                <w:sz w:val="20"/>
                <w:szCs w:val="20"/>
                <w:color w:val="auto"/>
              </w:rPr>
            </w:pPr>
            <w:r>
              <w:rPr>
                <w:rFonts w:ascii="Calibri" w:cs="Calibri" w:eastAsia="Calibri" w:hAnsi="Calibri"/>
                <w:sz w:val="14"/>
                <w:szCs w:val="14"/>
                <w:color w:val="494949"/>
              </w:rPr>
              <w:t>- Conduent Incorporated</w:t>
            </w:r>
          </w:p>
        </w:tc>
        <w:tc>
          <w:tcPr>
            <w:tcW w:w="4920" w:type="dxa"/>
            <w:vAlign w:val="bottom"/>
          </w:tcPr>
          <w:p>
            <w:pPr>
              <w:ind w:left="1300"/>
              <w:spacing w:after="0" w:line="145" w:lineRule="exact"/>
              <w:rPr>
                <w:sz w:val="20"/>
                <w:szCs w:val="20"/>
                <w:color w:val="auto"/>
              </w:rPr>
            </w:pPr>
            <w:r>
              <w:rPr>
                <w:rFonts w:ascii="Calibri" w:cs="Calibri" w:eastAsia="Calibri" w:hAnsi="Calibri"/>
                <w:sz w:val="14"/>
                <w:szCs w:val="14"/>
                <w:color w:val="494949"/>
              </w:rPr>
              <w:t>- Maximus, Inc.</w:t>
            </w:r>
          </w:p>
        </w:tc>
      </w:tr>
      <w:tr>
        <w:trPr>
          <w:trHeight w:val="134"/>
        </w:trPr>
        <w:tc>
          <w:tcPr>
            <w:tcW w:w="2380" w:type="dxa"/>
            <w:vAlign w:val="bottom"/>
          </w:tcPr>
          <w:p>
            <w:pPr>
              <w:ind w:left="40"/>
              <w:spacing w:after="0" w:line="134" w:lineRule="exact"/>
              <w:rPr>
                <w:sz w:val="20"/>
                <w:szCs w:val="20"/>
                <w:color w:val="auto"/>
              </w:rPr>
            </w:pPr>
            <w:r>
              <w:rPr>
                <w:rFonts w:ascii="Calibri" w:cs="Calibri" w:eastAsia="Calibri" w:hAnsi="Calibri"/>
                <w:sz w:val="14"/>
                <w:szCs w:val="14"/>
                <w:color w:val="494949"/>
              </w:rPr>
              <w:t>- DXC Technology</w:t>
            </w:r>
          </w:p>
        </w:tc>
        <w:tc>
          <w:tcPr>
            <w:tcW w:w="4920" w:type="dxa"/>
            <w:vAlign w:val="bottom"/>
          </w:tcPr>
          <w:p>
            <w:pPr>
              <w:ind w:left="1300"/>
              <w:spacing w:after="0" w:line="134" w:lineRule="exact"/>
              <w:rPr>
                <w:sz w:val="20"/>
                <w:szCs w:val="20"/>
                <w:color w:val="auto"/>
              </w:rPr>
            </w:pPr>
            <w:r>
              <w:rPr>
                <w:rFonts w:ascii="Calibri" w:cs="Calibri" w:eastAsia="Calibri" w:hAnsi="Calibri"/>
                <w:sz w:val="14"/>
                <w:szCs w:val="14"/>
                <w:color w:val="494949"/>
              </w:rPr>
              <w:t>- Parsons Corporaton</w:t>
            </w:r>
          </w:p>
        </w:tc>
      </w:tr>
      <w:tr>
        <w:trPr>
          <w:trHeight w:val="145"/>
        </w:trPr>
        <w:tc>
          <w:tcPr>
            <w:tcW w:w="2380" w:type="dxa"/>
            <w:vAlign w:val="bottom"/>
          </w:tcPr>
          <w:p>
            <w:pPr>
              <w:ind w:left="40"/>
              <w:spacing w:after="0" w:line="145" w:lineRule="exact"/>
              <w:rPr>
                <w:sz w:val="20"/>
                <w:szCs w:val="20"/>
                <w:color w:val="auto"/>
              </w:rPr>
            </w:pPr>
            <w:r>
              <w:rPr>
                <w:rFonts w:ascii="Calibri" w:cs="Calibri" w:eastAsia="Calibri" w:hAnsi="Calibri"/>
                <w:sz w:val="14"/>
                <w:szCs w:val="14"/>
                <w:color w:val="494949"/>
              </w:rPr>
              <w:t>- FISERV, Inc.</w:t>
            </w:r>
          </w:p>
        </w:tc>
        <w:tc>
          <w:tcPr>
            <w:tcW w:w="4920" w:type="dxa"/>
            <w:vAlign w:val="bottom"/>
          </w:tcPr>
          <w:p>
            <w:pPr>
              <w:ind w:left="1300"/>
              <w:spacing w:after="0" w:line="145" w:lineRule="exact"/>
              <w:rPr>
                <w:sz w:val="20"/>
                <w:szCs w:val="20"/>
                <w:color w:val="auto"/>
              </w:rPr>
            </w:pPr>
            <w:r>
              <w:rPr>
                <w:rFonts w:ascii="Calibri" w:cs="Calibri" w:eastAsia="Calibri" w:hAnsi="Calibri"/>
                <w:sz w:val="14"/>
                <w:szCs w:val="14"/>
                <w:color w:val="494949"/>
              </w:rPr>
              <w:t>- Perspecta, Inc.</w:t>
            </w:r>
          </w:p>
        </w:tc>
      </w:tr>
      <w:tr>
        <w:trPr>
          <w:trHeight w:val="146"/>
        </w:trPr>
        <w:tc>
          <w:tcPr>
            <w:tcW w:w="2380" w:type="dxa"/>
            <w:vAlign w:val="bottom"/>
          </w:tcPr>
          <w:p>
            <w:pPr>
              <w:ind w:left="40"/>
              <w:spacing w:after="0" w:line="146" w:lineRule="exact"/>
              <w:rPr>
                <w:sz w:val="20"/>
                <w:szCs w:val="20"/>
                <w:color w:val="auto"/>
              </w:rPr>
            </w:pPr>
            <w:r>
              <w:rPr>
                <w:rFonts w:ascii="Calibri" w:cs="Calibri" w:eastAsia="Calibri" w:hAnsi="Calibri"/>
                <w:sz w:val="14"/>
                <w:szCs w:val="14"/>
                <w:color w:val="494949"/>
              </w:rPr>
              <w:t>- FTI Consultng, Inc.</w:t>
            </w:r>
          </w:p>
        </w:tc>
        <w:tc>
          <w:tcPr>
            <w:tcW w:w="4920" w:type="dxa"/>
            <w:vAlign w:val="bottom"/>
          </w:tcPr>
          <w:p>
            <w:pPr>
              <w:ind w:left="1300"/>
              <w:spacing w:after="0" w:line="146" w:lineRule="exact"/>
              <w:rPr>
                <w:sz w:val="20"/>
                <w:szCs w:val="20"/>
                <w:color w:val="auto"/>
              </w:rPr>
            </w:pPr>
            <w:r>
              <w:rPr>
                <w:rFonts w:ascii="Calibri" w:cs="Calibri" w:eastAsia="Calibri" w:hAnsi="Calibri"/>
                <w:sz w:val="14"/>
                <w:szCs w:val="14"/>
                <w:color w:val="494949"/>
              </w:rPr>
              <w:t>- Science Applicatons Internatonal Corporaton</w:t>
            </w:r>
          </w:p>
        </w:tc>
      </w:tr>
      <w:tr>
        <w:trPr>
          <w:trHeight w:val="134"/>
        </w:trPr>
        <w:tc>
          <w:tcPr>
            <w:tcW w:w="2380" w:type="dxa"/>
            <w:vAlign w:val="bottom"/>
          </w:tcPr>
          <w:p>
            <w:pPr>
              <w:ind w:left="40"/>
              <w:spacing w:after="0" w:line="134" w:lineRule="exact"/>
              <w:rPr>
                <w:sz w:val="20"/>
                <w:szCs w:val="20"/>
                <w:color w:val="auto"/>
              </w:rPr>
            </w:pPr>
            <w:r>
              <w:rPr>
                <w:rFonts w:ascii="Calibri" w:cs="Calibri" w:eastAsia="Calibri" w:hAnsi="Calibri"/>
                <w:sz w:val="14"/>
                <w:szCs w:val="14"/>
                <w:color w:val="494949"/>
              </w:rPr>
              <w:t>- Jacobs Engineering</w:t>
            </w:r>
          </w:p>
        </w:tc>
        <w:tc>
          <w:tcPr>
            <w:tcW w:w="4920" w:type="dxa"/>
            <w:vAlign w:val="bottom"/>
          </w:tcPr>
          <w:p>
            <w:pPr>
              <w:ind w:left="1300"/>
              <w:spacing w:after="0" w:line="134" w:lineRule="exact"/>
              <w:rPr>
                <w:sz w:val="20"/>
                <w:szCs w:val="20"/>
                <w:color w:val="auto"/>
              </w:rPr>
            </w:pPr>
            <w:r>
              <w:rPr>
                <w:rFonts w:ascii="Calibri" w:cs="Calibri" w:eastAsia="Calibri" w:hAnsi="Calibri"/>
                <w:sz w:val="14"/>
                <w:szCs w:val="14"/>
                <w:color w:val="494949"/>
              </w:rPr>
              <w:t>- Unisys Corporaton</w:t>
            </w:r>
          </w:p>
        </w:tc>
      </w:tr>
      <w:tr>
        <w:trPr>
          <w:trHeight w:val="168"/>
        </w:trPr>
        <w:tc>
          <w:tcPr>
            <w:tcW w:w="2380" w:type="dxa"/>
            <w:vAlign w:val="bottom"/>
          </w:tcPr>
          <w:p>
            <w:pPr>
              <w:ind w:left="40"/>
              <w:spacing w:after="0" w:line="169" w:lineRule="exact"/>
              <w:rPr>
                <w:sz w:val="20"/>
                <w:szCs w:val="20"/>
                <w:color w:val="auto"/>
              </w:rPr>
            </w:pPr>
            <w:r>
              <w:rPr>
                <w:rFonts w:ascii="Calibri" w:cs="Calibri" w:eastAsia="Calibri" w:hAnsi="Calibri"/>
                <w:sz w:val="14"/>
                <w:szCs w:val="14"/>
                <w:color w:val="494949"/>
              </w:rPr>
              <w:t>- KBR Inc.</w:t>
            </w:r>
          </w:p>
        </w:tc>
        <w:tc>
          <w:tcPr>
            <w:tcW w:w="4920" w:type="dxa"/>
            <w:vAlign w:val="bottom"/>
          </w:tcPr>
          <w:p>
            <w:pPr>
              <w:spacing w:after="0"/>
              <w:rPr>
                <w:sz w:val="14"/>
                <w:szCs w:val="14"/>
                <w:color w:val="auto"/>
              </w:rPr>
            </w:pPr>
          </w:p>
        </w:tc>
      </w:tr>
    </w:tbl>
    <w:p>
      <w:pPr>
        <w:spacing w:after="0" w:line="276"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Compensaton, Culture and People Commitee established fscal year 2022 target compensaton for the named executve ofcers by taking into consideraton the peer group benchmarking analysis and input from Korn Ferry, along with feedback from the CEO (in the case of named executve ofcers who are direct reports to the CEO), and the Commitee's collectve judgment and discreton. The target executve compensaton includes the fscal year salary amount, target short-term annual cash incentve, and long-term equity incentve. Additonal informaton on each of these items can be found below under "Compensaton Elements."</w:t>
      </w:r>
    </w:p>
    <w:p>
      <w:pPr>
        <w:spacing w:after="0" w:line="164"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Additonally, efectve for fscal year 2023, based on our established peer review selecton criteria, as described above, the Compensaton, Culture and People Commitee approved a revised peer group. The Compensaton, Culture and People Commitee, taking into consideraton the revised peer group benchmarking analysis, the Company's sustained out-performance and growth, input from Korn Ferry, along with feedback from the CEO (in the case of named executve ofcers who are direct reports to the CEO), and the Commitee's collectve judgment and discreton, approved the fscal year 2023 compensaton for our named executve ofcers.</w:t>
      </w:r>
    </w:p>
    <w:p>
      <w:pPr>
        <w:spacing w:after="0" w:line="151" w:lineRule="exact"/>
        <w:rPr>
          <w:sz w:val="20"/>
          <w:szCs w:val="20"/>
          <w:color w:val="auto"/>
        </w:rPr>
      </w:pPr>
    </w:p>
    <w:p>
      <w:pPr>
        <w:jc w:val="both"/>
        <w:ind w:firstLine="319"/>
        <w:spacing w:after="0" w:line="220" w:lineRule="auto"/>
        <w:rPr>
          <w:sz w:val="20"/>
          <w:szCs w:val="20"/>
          <w:color w:val="auto"/>
        </w:rPr>
      </w:pPr>
      <w:r>
        <w:rPr>
          <w:rFonts w:ascii="Calibri" w:cs="Calibri" w:eastAsia="Calibri" w:hAnsi="Calibri"/>
          <w:sz w:val="18"/>
          <w:szCs w:val="18"/>
          <w:color w:val="666666"/>
        </w:rPr>
        <w:t>The Compensaton, Culture and People Commitee considers peer group benchmarking and other market compensaton data as critcal inputs but not the sole factors in the overall assessment of compettveness of our executve compensaton. The Compensaton, Culture and People Commitee also considers other components such as performance, contributons, internal equity, and experience of each named executve ofcer in determining target and actual compensaton amounts.</w:t>
      </w:r>
    </w:p>
    <w:p>
      <w:pPr>
        <w:spacing w:after="0" w:line="155" w:lineRule="exact"/>
        <w:rPr>
          <w:sz w:val="20"/>
          <w:szCs w:val="20"/>
          <w:color w:val="auto"/>
        </w:rPr>
      </w:pPr>
    </w:p>
    <w:p>
      <w:pPr>
        <w:ind w:left="320"/>
        <w:spacing w:after="0"/>
        <w:rPr>
          <w:sz w:val="20"/>
          <w:szCs w:val="20"/>
          <w:color w:val="auto"/>
        </w:rPr>
      </w:pPr>
      <w:r>
        <w:rPr>
          <w:rFonts w:ascii="Calibri" w:cs="Calibri" w:eastAsia="Calibri" w:hAnsi="Calibri"/>
          <w:sz w:val="18"/>
          <w:szCs w:val="18"/>
          <w:color w:val="666666"/>
        </w:rPr>
        <w:t>In fscal year 2022, Korn Ferry was also engaged to:</w:t>
      </w:r>
    </w:p>
    <w:p>
      <w:pPr>
        <w:spacing w:after="0" w:line="152" w:lineRule="exact"/>
        <w:rPr>
          <w:sz w:val="20"/>
          <w:szCs w:val="20"/>
          <w:color w:val="auto"/>
        </w:rPr>
      </w:pPr>
    </w:p>
    <w:p>
      <w:pPr>
        <w:ind w:left="640" w:hanging="315"/>
        <w:spacing w:after="0"/>
        <w:tabs>
          <w:tab w:leader="none" w:pos="640" w:val="left"/>
        </w:tabs>
        <w:numPr>
          <w:ilvl w:val="0"/>
          <w:numId w:val="42"/>
        </w:numPr>
        <w:rPr>
          <w:rFonts w:ascii="Calibri" w:cs="Calibri" w:eastAsia="Calibri" w:hAnsi="Calibri"/>
          <w:sz w:val="18"/>
          <w:szCs w:val="18"/>
          <w:color w:val="666666"/>
        </w:rPr>
      </w:pPr>
      <w:r>
        <w:rPr>
          <w:rFonts w:ascii="Calibri" w:cs="Calibri" w:eastAsia="Calibri" w:hAnsi="Calibri"/>
          <w:sz w:val="18"/>
          <w:szCs w:val="18"/>
          <w:color w:val="666666"/>
        </w:rPr>
        <w:t>Review and provide advice on our Compensaton Discussion and Analysis</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42"/>
        </w:numPr>
        <w:rPr>
          <w:rFonts w:ascii="Calibri" w:cs="Calibri" w:eastAsia="Calibri" w:hAnsi="Calibri"/>
          <w:sz w:val="18"/>
          <w:szCs w:val="18"/>
          <w:color w:val="666666"/>
        </w:rPr>
      </w:pPr>
      <w:r>
        <w:rPr>
          <w:rFonts w:ascii="Calibri" w:cs="Calibri" w:eastAsia="Calibri" w:hAnsi="Calibri"/>
          <w:sz w:val="18"/>
          <w:szCs w:val="18"/>
          <w:color w:val="666666"/>
        </w:rPr>
        <w:t>Conduct a compensaton risk assessment</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42"/>
        </w:numPr>
        <w:rPr>
          <w:rFonts w:ascii="Calibri" w:cs="Calibri" w:eastAsia="Calibri" w:hAnsi="Calibri"/>
          <w:sz w:val="18"/>
          <w:szCs w:val="18"/>
          <w:color w:val="666666"/>
        </w:rPr>
      </w:pPr>
      <w:r>
        <w:rPr>
          <w:rFonts w:ascii="Calibri" w:cs="Calibri" w:eastAsia="Calibri" w:hAnsi="Calibri"/>
          <w:sz w:val="18"/>
          <w:szCs w:val="18"/>
          <w:color w:val="666666"/>
        </w:rPr>
        <w:t>Perform benchmarking and analysis of our Board of Directors' compensaton</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42"/>
        </w:numPr>
        <w:rPr>
          <w:rFonts w:ascii="Calibri" w:cs="Calibri" w:eastAsia="Calibri" w:hAnsi="Calibri"/>
          <w:sz w:val="18"/>
          <w:szCs w:val="18"/>
          <w:color w:val="666666"/>
        </w:rPr>
      </w:pPr>
      <w:r>
        <w:rPr>
          <w:rFonts w:ascii="Calibri" w:cs="Calibri" w:eastAsia="Calibri" w:hAnsi="Calibri"/>
          <w:sz w:val="18"/>
          <w:szCs w:val="18"/>
          <w:color w:val="666666"/>
        </w:rPr>
        <w:t>Provide counsel regarding the development of non-fnancial strategic metrics in the Equity Incentve Plan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34</w:t>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Compensaton Elements</w:t>
      </w:r>
    </w:p>
    <w:p>
      <w:pPr>
        <w:spacing w:after="0" w:line="157" w:lineRule="exact"/>
        <w:rPr>
          <w:sz w:val="20"/>
          <w:szCs w:val="20"/>
          <w:color w:val="auto"/>
        </w:rPr>
      </w:pPr>
    </w:p>
    <w:p>
      <w:pPr>
        <w:ind w:left="320"/>
        <w:spacing w:after="0"/>
        <w:rPr>
          <w:sz w:val="20"/>
          <w:szCs w:val="20"/>
          <w:color w:val="auto"/>
        </w:rPr>
      </w:pPr>
      <w:r>
        <w:rPr>
          <w:rFonts w:ascii="Calibri" w:cs="Calibri" w:eastAsia="Calibri" w:hAnsi="Calibri"/>
          <w:sz w:val="18"/>
          <w:szCs w:val="18"/>
          <w:color w:val="666666"/>
        </w:rPr>
        <w:t>The primary components of our executve compensaton program include:</w:t>
      </w:r>
    </w:p>
    <w:p>
      <w:pPr>
        <w:spacing w:after="0" w:line="208" w:lineRule="exact"/>
        <w:rPr>
          <w:sz w:val="20"/>
          <w:szCs w:val="20"/>
          <w:color w:val="auto"/>
        </w:rPr>
      </w:pPr>
    </w:p>
    <w:tbl>
      <w:tblPr>
        <w:tblLayout w:type="fixed"/>
        <w:tblInd w:w="980" w:type="dxa"/>
        <w:tblCellMar>
          <w:top w:w="0" w:type="dxa"/>
          <w:left w:w="0" w:type="dxa"/>
          <w:bottom w:w="0" w:type="dxa"/>
          <w:right w:w="0" w:type="dxa"/>
        </w:tblCellMar>
      </w:tblPr>
      <w:tr>
        <w:trPr>
          <w:trHeight w:val="199"/>
        </w:trPr>
        <w:tc>
          <w:tcPr>
            <w:tcW w:w="2000" w:type="dxa"/>
            <w:vAlign w:val="bottom"/>
            <w:shd w:val="clear" w:color="auto" w:fill="CCEEFF"/>
          </w:tcPr>
          <w:p>
            <w:pPr>
              <w:ind w:left="920"/>
              <w:spacing w:after="0"/>
              <w:rPr>
                <w:sz w:val="20"/>
                <w:szCs w:val="20"/>
                <w:color w:val="auto"/>
              </w:rPr>
            </w:pPr>
            <w:r>
              <w:rPr>
                <w:rFonts w:ascii="Calibri" w:cs="Calibri" w:eastAsia="Calibri" w:hAnsi="Calibri"/>
                <w:sz w:val="14"/>
                <w:szCs w:val="14"/>
                <w:b w:val="1"/>
                <w:bCs w:val="1"/>
                <w:color w:val="494949"/>
              </w:rPr>
              <w:t>Element</w:t>
            </w:r>
          </w:p>
        </w:tc>
        <w:tc>
          <w:tcPr>
            <w:tcW w:w="7300" w:type="dxa"/>
            <w:vAlign w:val="bottom"/>
            <w:shd w:val="clear" w:color="auto" w:fill="CCEEFF"/>
          </w:tcPr>
          <w:p>
            <w:pPr>
              <w:ind w:left="3540"/>
              <w:spacing w:after="0"/>
              <w:rPr>
                <w:sz w:val="20"/>
                <w:szCs w:val="20"/>
                <w:color w:val="auto"/>
              </w:rPr>
            </w:pPr>
            <w:r>
              <w:rPr>
                <w:rFonts w:ascii="Calibri" w:cs="Calibri" w:eastAsia="Calibri" w:hAnsi="Calibri"/>
                <w:sz w:val="14"/>
                <w:szCs w:val="14"/>
                <w:b w:val="1"/>
                <w:bCs w:val="1"/>
                <w:color w:val="494949"/>
              </w:rPr>
              <w:t>Objectve</w:t>
            </w:r>
          </w:p>
        </w:tc>
      </w:tr>
      <w:tr>
        <w:trPr>
          <w:trHeight w:val="131"/>
        </w:trPr>
        <w:tc>
          <w:tcPr>
            <w:tcW w:w="2000" w:type="dxa"/>
            <w:vAlign w:val="bottom"/>
          </w:tcPr>
          <w:p>
            <w:pPr>
              <w:ind w:left="20"/>
              <w:spacing w:after="0" w:line="132" w:lineRule="exact"/>
              <w:rPr>
                <w:sz w:val="20"/>
                <w:szCs w:val="20"/>
                <w:color w:val="auto"/>
              </w:rPr>
            </w:pPr>
            <w:r>
              <w:rPr>
                <w:rFonts w:ascii="Calibri" w:cs="Calibri" w:eastAsia="Calibri" w:hAnsi="Calibri"/>
                <w:sz w:val="14"/>
                <w:szCs w:val="14"/>
                <w:color w:val="494949"/>
              </w:rPr>
              <w:t>Base Salary</w:t>
            </w:r>
          </w:p>
        </w:tc>
        <w:tc>
          <w:tcPr>
            <w:tcW w:w="7300" w:type="dxa"/>
            <w:vAlign w:val="bottom"/>
          </w:tcPr>
          <w:p>
            <w:pPr>
              <w:ind w:left="360"/>
              <w:spacing w:after="0" w:line="132" w:lineRule="exact"/>
              <w:rPr>
                <w:sz w:val="20"/>
                <w:szCs w:val="20"/>
                <w:color w:val="auto"/>
              </w:rPr>
            </w:pPr>
            <w:r>
              <w:rPr>
                <w:rFonts w:ascii="Calibri" w:cs="Calibri" w:eastAsia="Calibri" w:hAnsi="Calibri"/>
                <w:sz w:val="14"/>
                <w:szCs w:val="14"/>
                <w:color w:val="494949"/>
              </w:rPr>
              <w:t>Provides a regular income at compettve market level and refects each executve's skills, experience, and</w:t>
            </w:r>
          </w:p>
        </w:tc>
      </w:tr>
      <w:tr>
        <w:trPr>
          <w:trHeight w:val="168"/>
        </w:trPr>
        <w:tc>
          <w:tcPr>
            <w:tcW w:w="2000" w:type="dxa"/>
            <w:vAlign w:val="bottom"/>
          </w:tcPr>
          <w:p>
            <w:pPr>
              <w:spacing w:after="0"/>
              <w:rPr>
                <w:sz w:val="14"/>
                <w:szCs w:val="14"/>
                <w:color w:val="auto"/>
              </w:rPr>
            </w:pPr>
          </w:p>
        </w:tc>
        <w:tc>
          <w:tcPr>
            <w:tcW w:w="7300" w:type="dxa"/>
            <w:vAlign w:val="bottom"/>
          </w:tcPr>
          <w:p>
            <w:pPr>
              <w:ind w:left="360"/>
              <w:spacing w:after="0" w:line="169" w:lineRule="exact"/>
              <w:rPr>
                <w:sz w:val="20"/>
                <w:szCs w:val="20"/>
                <w:color w:val="auto"/>
              </w:rPr>
            </w:pPr>
            <w:r>
              <w:rPr>
                <w:rFonts w:ascii="Calibri" w:cs="Calibri" w:eastAsia="Calibri" w:hAnsi="Calibri"/>
                <w:sz w:val="14"/>
                <w:szCs w:val="14"/>
                <w:color w:val="494949"/>
              </w:rPr>
              <w:t>responsibilites</w:t>
            </w:r>
          </w:p>
        </w:tc>
      </w:tr>
      <w:tr>
        <w:trPr>
          <w:trHeight w:val="186"/>
        </w:trPr>
        <w:tc>
          <w:tcPr>
            <w:tcW w:w="2000" w:type="dxa"/>
            <w:vAlign w:val="bottom"/>
          </w:tcPr>
          <w:p>
            <w:pPr>
              <w:ind w:left="20"/>
              <w:spacing w:after="0"/>
              <w:rPr>
                <w:sz w:val="20"/>
                <w:szCs w:val="20"/>
                <w:color w:val="auto"/>
              </w:rPr>
            </w:pPr>
            <w:r>
              <w:rPr>
                <w:rFonts w:ascii="Calibri" w:cs="Calibri" w:eastAsia="Calibri" w:hAnsi="Calibri"/>
                <w:sz w:val="14"/>
                <w:szCs w:val="14"/>
                <w:color w:val="494949"/>
              </w:rPr>
              <w:t>Annual Cash Incentve</w:t>
            </w:r>
          </w:p>
        </w:tc>
        <w:tc>
          <w:tcPr>
            <w:tcW w:w="7300" w:type="dxa"/>
            <w:vAlign w:val="bottom"/>
          </w:tcPr>
          <w:p>
            <w:pPr>
              <w:ind w:left="360"/>
              <w:spacing w:after="0"/>
              <w:rPr>
                <w:sz w:val="20"/>
                <w:szCs w:val="20"/>
                <w:color w:val="auto"/>
              </w:rPr>
            </w:pPr>
            <w:r>
              <w:rPr>
                <w:rFonts w:ascii="Calibri" w:cs="Calibri" w:eastAsia="Calibri" w:hAnsi="Calibri"/>
                <w:sz w:val="14"/>
                <w:szCs w:val="14"/>
                <w:color w:val="494949"/>
              </w:rPr>
              <w:t>Motvates our executves to achieve our annual operatonal and fnancial goals</w:t>
            </w:r>
          </w:p>
        </w:tc>
      </w:tr>
      <w:tr>
        <w:trPr>
          <w:trHeight w:val="199"/>
        </w:trPr>
        <w:tc>
          <w:tcPr>
            <w:tcW w:w="2000" w:type="dxa"/>
            <w:vAlign w:val="bottom"/>
          </w:tcPr>
          <w:p>
            <w:pPr>
              <w:ind w:left="20"/>
              <w:spacing w:after="0"/>
              <w:rPr>
                <w:sz w:val="20"/>
                <w:szCs w:val="20"/>
                <w:color w:val="auto"/>
              </w:rPr>
            </w:pPr>
            <w:r>
              <w:rPr>
                <w:rFonts w:ascii="Calibri" w:cs="Calibri" w:eastAsia="Calibri" w:hAnsi="Calibri"/>
                <w:sz w:val="14"/>
                <w:szCs w:val="14"/>
                <w:color w:val="494949"/>
              </w:rPr>
              <w:t>Long-Term Equity Incentves</w:t>
            </w:r>
          </w:p>
        </w:tc>
        <w:tc>
          <w:tcPr>
            <w:tcW w:w="7300" w:type="dxa"/>
            <w:vAlign w:val="bottom"/>
          </w:tcPr>
          <w:p>
            <w:pPr>
              <w:ind w:left="360"/>
              <w:spacing w:after="0"/>
              <w:rPr>
                <w:sz w:val="20"/>
                <w:szCs w:val="20"/>
                <w:color w:val="auto"/>
              </w:rPr>
            </w:pPr>
            <w:r>
              <w:rPr>
                <w:rFonts w:ascii="Calibri" w:cs="Calibri" w:eastAsia="Calibri" w:hAnsi="Calibri"/>
                <w:sz w:val="14"/>
                <w:szCs w:val="14"/>
                <w:color w:val="494949"/>
              </w:rPr>
              <w:t>Reward sustained performance and align executves' interests with our stockholders</w:t>
            </w:r>
          </w:p>
        </w:tc>
      </w:tr>
      <w:tr>
        <w:trPr>
          <w:trHeight w:val="177"/>
        </w:trPr>
        <w:tc>
          <w:tcPr>
            <w:tcW w:w="2000" w:type="dxa"/>
            <w:vAlign w:val="bottom"/>
          </w:tcPr>
          <w:p>
            <w:pPr>
              <w:ind w:left="20"/>
              <w:spacing w:after="0"/>
              <w:rPr>
                <w:sz w:val="20"/>
                <w:szCs w:val="20"/>
                <w:color w:val="auto"/>
              </w:rPr>
            </w:pPr>
            <w:r>
              <w:rPr>
                <w:rFonts w:ascii="Calibri" w:cs="Calibri" w:eastAsia="Calibri" w:hAnsi="Calibri"/>
                <w:sz w:val="14"/>
                <w:szCs w:val="14"/>
                <w:color w:val="494949"/>
              </w:rPr>
              <w:t>Benefts</w:t>
            </w:r>
          </w:p>
        </w:tc>
        <w:tc>
          <w:tcPr>
            <w:tcW w:w="7300" w:type="dxa"/>
            <w:vAlign w:val="bottom"/>
          </w:tcPr>
          <w:p>
            <w:pPr>
              <w:ind w:left="360"/>
              <w:spacing w:after="0"/>
              <w:rPr>
                <w:sz w:val="20"/>
                <w:szCs w:val="20"/>
                <w:color w:val="auto"/>
              </w:rPr>
            </w:pPr>
            <w:r>
              <w:rPr>
                <w:rFonts w:ascii="Calibri" w:cs="Calibri" w:eastAsia="Calibri" w:hAnsi="Calibri"/>
                <w:sz w:val="14"/>
                <w:szCs w:val="14"/>
                <w:color w:val="494949"/>
              </w:rPr>
              <w:t>Provide for the health and welfare of our executves, including retrement benefts to promote long-term commitment</w:t>
            </w:r>
          </w:p>
        </w:tc>
      </w:tr>
      <w:tr>
        <w:trPr>
          <w:trHeight w:val="168"/>
        </w:trPr>
        <w:tc>
          <w:tcPr>
            <w:tcW w:w="2000" w:type="dxa"/>
            <w:vAlign w:val="bottom"/>
          </w:tcPr>
          <w:p>
            <w:pPr>
              <w:spacing w:after="0"/>
              <w:rPr>
                <w:sz w:val="14"/>
                <w:szCs w:val="14"/>
                <w:color w:val="auto"/>
              </w:rPr>
            </w:pPr>
          </w:p>
        </w:tc>
        <w:tc>
          <w:tcPr>
            <w:tcW w:w="7300" w:type="dxa"/>
            <w:vAlign w:val="bottom"/>
          </w:tcPr>
          <w:p>
            <w:pPr>
              <w:ind w:left="360"/>
              <w:spacing w:after="0" w:line="169" w:lineRule="exact"/>
              <w:rPr>
                <w:sz w:val="20"/>
                <w:szCs w:val="20"/>
                <w:color w:val="auto"/>
              </w:rPr>
            </w:pPr>
            <w:r>
              <w:rPr>
                <w:rFonts w:ascii="Calibri" w:cs="Calibri" w:eastAsia="Calibri" w:hAnsi="Calibri"/>
                <w:sz w:val="14"/>
                <w:szCs w:val="14"/>
                <w:color w:val="494949"/>
              </w:rPr>
              <w:t>of our executves to the Company</w:t>
            </w:r>
          </w:p>
        </w:tc>
      </w:tr>
    </w:tbl>
    <w:p>
      <w:pPr>
        <w:spacing w:after="0" w:line="264"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We believe that a signifcant porton of our named executve ofcers' compensaton should be ted to the Company's success and the long-term returns of our stockholders. Consistent with this approach and as shown in the charts below for fscal year 2022, more than half of our CEO's and other named executve ofcers' target compensaton is delivered in the form of variable "at risk" compensaton opportunites that are ted to the achievement of pre-set fnancial performance metrics and our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116840</wp:posOffset>
            </wp:positionV>
            <wp:extent cx="5667375" cy="15265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67375"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547BCC"/>
        </w:rPr>
        <w:t>Base Salary</w:t>
      </w:r>
    </w:p>
    <w:p>
      <w:pPr>
        <w:spacing w:after="0" w:line="157"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Base salary represents a relatvely small porton of the total target executve compensaton opportunites and provides the fxed component necessary to atract and retain executve talent. The salary earned for each of our named executve ofcers in fscal year 2022 is set forth in the table below. No changes were made to the annual salary amounts for our named executve ofcers in fscal year 2022.</w:t>
      </w:r>
    </w:p>
    <w:p>
      <w:pPr>
        <w:spacing w:after="0" w:line="190" w:lineRule="exact"/>
        <w:rPr>
          <w:sz w:val="20"/>
          <w:szCs w:val="20"/>
          <w:color w:val="auto"/>
        </w:rPr>
      </w:pPr>
    </w:p>
    <w:tbl>
      <w:tblPr>
        <w:tblLayout w:type="fixed"/>
        <w:tblInd w:w="2150" w:type="dxa"/>
        <w:tblCellMar>
          <w:top w:w="0" w:type="dxa"/>
          <w:left w:w="0" w:type="dxa"/>
          <w:bottom w:w="0" w:type="dxa"/>
          <w:right w:w="0" w:type="dxa"/>
        </w:tblCellMar>
      </w:tblPr>
      <w:tr>
        <w:trPr>
          <w:trHeight w:val="192"/>
        </w:trPr>
        <w:tc>
          <w:tcPr>
            <w:tcW w:w="2160" w:type="dxa"/>
            <w:vAlign w:val="bottom"/>
            <w:tcBorders>
              <w:top w:val="single" w:sz="8" w:color="828282"/>
              <w:left w:val="single" w:sz="8" w:color="828282"/>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b w:val="1"/>
                <w:bCs w:val="1"/>
                <w:color w:val="494949"/>
              </w:rPr>
              <w:t>Name</w:t>
            </w:r>
          </w:p>
        </w:tc>
        <w:tc>
          <w:tcPr>
            <w:tcW w:w="2500" w:type="dxa"/>
            <w:vAlign w:val="bottom"/>
            <w:tcBorders>
              <w:top w:val="single" w:sz="8" w:color="828282"/>
              <w:bottom w:val="single" w:sz="8" w:color="CCEEFF"/>
            </w:tcBorders>
            <w:shd w:val="clear" w:color="auto" w:fill="CCEEFF"/>
          </w:tcPr>
          <w:p>
            <w:pPr>
              <w:ind w:left="1000"/>
              <w:spacing w:after="0"/>
              <w:rPr>
                <w:sz w:val="20"/>
                <w:szCs w:val="20"/>
                <w:color w:val="auto"/>
              </w:rPr>
            </w:pPr>
            <w:r>
              <w:rPr>
                <w:rFonts w:ascii="Calibri" w:cs="Calibri" w:eastAsia="Calibri" w:hAnsi="Calibri"/>
                <w:sz w:val="14"/>
                <w:szCs w:val="14"/>
                <w:b w:val="1"/>
                <w:bCs w:val="1"/>
                <w:color w:val="494949"/>
              </w:rPr>
              <w:t>FY22 Base Salary</w:t>
            </w:r>
          </w:p>
        </w:tc>
        <w:tc>
          <w:tcPr>
            <w:tcW w:w="2660" w:type="dxa"/>
            <w:vAlign w:val="bottom"/>
            <w:tcBorders>
              <w:top w:val="single" w:sz="8" w:color="828282"/>
              <w:bottom w:val="single" w:sz="8" w:color="CCEEFF"/>
              <w:right w:val="single" w:sz="8" w:color="828282"/>
            </w:tcBorders>
            <w:shd w:val="clear" w:color="auto" w:fill="CCEEFF"/>
          </w:tcPr>
          <w:p>
            <w:pPr>
              <w:jc w:val="center"/>
              <w:ind w:left="109"/>
              <w:spacing w:after="0"/>
              <w:rPr>
                <w:sz w:val="20"/>
                <w:szCs w:val="20"/>
                <w:color w:val="auto"/>
              </w:rPr>
            </w:pPr>
            <w:r>
              <w:rPr>
                <w:rFonts w:ascii="Calibri" w:cs="Calibri" w:eastAsia="Calibri" w:hAnsi="Calibri"/>
                <w:sz w:val="14"/>
                <w:szCs w:val="14"/>
                <w:b w:val="1"/>
                <w:bCs w:val="1"/>
                <w:color w:val="494949"/>
              </w:rPr>
              <w:t>Change from FY21 Base Salary</w:t>
            </w:r>
          </w:p>
        </w:tc>
      </w:tr>
      <w:tr>
        <w:trPr>
          <w:trHeight w:val="168"/>
        </w:trPr>
        <w:tc>
          <w:tcPr>
            <w:tcW w:w="2160" w:type="dxa"/>
            <w:vAlign w:val="bottom"/>
            <w:tcBorders>
              <w:left w:val="single" w:sz="8" w:color="828282"/>
            </w:tcBorders>
          </w:tcPr>
          <w:p>
            <w:pPr>
              <w:ind w:left="20"/>
              <w:spacing w:after="0" w:line="169" w:lineRule="exact"/>
              <w:rPr>
                <w:sz w:val="20"/>
                <w:szCs w:val="20"/>
                <w:color w:val="auto"/>
              </w:rPr>
            </w:pPr>
            <w:r>
              <w:rPr>
                <w:rFonts w:ascii="Calibri" w:cs="Calibri" w:eastAsia="Calibri" w:hAnsi="Calibri"/>
                <w:sz w:val="14"/>
                <w:szCs w:val="14"/>
                <w:color w:val="494949"/>
              </w:rPr>
              <w:t>Horacio D. Rozanski</w:t>
            </w:r>
          </w:p>
        </w:tc>
        <w:tc>
          <w:tcPr>
            <w:tcW w:w="2500" w:type="dxa"/>
            <w:vAlign w:val="bottom"/>
          </w:tcPr>
          <w:p>
            <w:pPr>
              <w:jc w:val="center"/>
              <w:ind w:left="389"/>
              <w:spacing w:after="0" w:line="169" w:lineRule="exact"/>
              <w:rPr>
                <w:sz w:val="20"/>
                <w:szCs w:val="20"/>
                <w:color w:val="auto"/>
              </w:rPr>
            </w:pPr>
            <w:r>
              <w:rPr>
                <w:rFonts w:ascii="Calibri" w:cs="Calibri" w:eastAsia="Calibri" w:hAnsi="Calibri"/>
                <w:sz w:val="14"/>
                <w:szCs w:val="14"/>
                <w:color w:val="494949"/>
              </w:rPr>
              <w:t>$1,500,000</w:t>
            </w:r>
          </w:p>
        </w:tc>
        <w:tc>
          <w:tcPr>
            <w:tcW w:w="2660" w:type="dxa"/>
            <w:vAlign w:val="bottom"/>
            <w:tcBorders>
              <w:right w:val="single" w:sz="8" w:color="828282"/>
            </w:tcBorders>
          </w:tcPr>
          <w:p>
            <w:pPr>
              <w:jc w:val="center"/>
              <w:ind w:left="89"/>
              <w:spacing w:after="0" w:line="169" w:lineRule="exact"/>
              <w:rPr>
                <w:sz w:val="20"/>
                <w:szCs w:val="20"/>
                <w:color w:val="auto"/>
              </w:rPr>
            </w:pPr>
            <w:r>
              <w:rPr>
                <w:rFonts w:ascii="Calibri" w:cs="Calibri" w:eastAsia="Calibri" w:hAnsi="Calibri"/>
                <w:sz w:val="14"/>
                <w:szCs w:val="14"/>
                <w:color w:val="494949"/>
              </w:rPr>
              <w:t>0%</w:t>
            </w:r>
          </w:p>
        </w:tc>
      </w:tr>
      <w:tr>
        <w:trPr>
          <w:trHeight w:val="31"/>
        </w:trPr>
        <w:tc>
          <w:tcPr>
            <w:tcW w:w="2160" w:type="dxa"/>
            <w:vAlign w:val="bottom"/>
            <w:tcBorders>
              <w:left w:val="single" w:sz="8" w:color="828282"/>
            </w:tcBorders>
          </w:tcPr>
          <w:p>
            <w:pPr>
              <w:spacing w:after="0"/>
              <w:rPr>
                <w:sz w:val="2"/>
                <w:szCs w:val="2"/>
                <w:color w:val="auto"/>
              </w:rPr>
            </w:pPr>
          </w:p>
        </w:tc>
        <w:tc>
          <w:tcPr>
            <w:tcW w:w="2500" w:type="dxa"/>
            <w:vAlign w:val="bottom"/>
          </w:tcPr>
          <w:p>
            <w:pPr>
              <w:spacing w:after="0"/>
              <w:rPr>
                <w:sz w:val="2"/>
                <w:szCs w:val="2"/>
                <w:color w:val="auto"/>
              </w:rPr>
            </w:pPr>
          </w:p>
        </w:tc>
        <w:tc>
          <w:tcPr>
            <w:tcW w:w="2660" w:type="dxa"/>
            <w:vAlign w:val="bottom"/>
            <w:tcBorders>
              <w:right w:val="single" w:sz="8" w:color="828282"/>
            </w:tcBorders>
          </w:tcPr>
          <w:p>
            <w:pPr>
              <w:spacing w:after="0"/>
              <w:rPr>
                <w:sz w:val="2"/>
                <w:szCs w:val="2"/>
                <w:color w:val="auto"/>
              </w:rPr>
            </w:pPr>
          </w:p>
        </w:tc>
      </w:tr>
      <w:tr>
        <w:trPr>
          <w:trHeight w:val="179"/>
        </w:trPr>
        <w:tc>
          <w:tcPr>
            <w:tcW w:w="2160" w:type="dxa"/>
            <w:vAlign w:val="bottom"/>
            <w:tcBorders>
              <w:left w:val="single" w:sz="8" w:color="828282"/>
              <w:bottom w:val="single" w:sz="8" w:color="CCEEFF"/>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494949"/>
              </w:rPr>
              <w:t>Lloyd W. Howell, Jr.</w:t>
            </w:r>
          </w:p>
        </w:tc>
        <w:tc>
          <w:tcPr>
            <w:tcW w:w="2500" w:type="dxa"/>
            <w:vAlign w:val="bottom"/>
            <w:tcBorders>
              <w:bottom w:val="single" w:sz="8" w:color="CCEEFF"/>
            </w:tcBorders>
            <w:shd w:val="clear" w:color="auto" w:fill="CCEEFF"/>
          </w:tcPr>
          <w:p>
            <w:pPr>
              <w:jc w:val="center"/>
              <w:ind w:left="389"/>
              <w:spacing w:after="0" w:line="169" w:lineRule="exact"/>
              <w:rPr>
                <w:sz w:val="20"/>
                <w:szCs w:val="20"/>
                <w:color w:val="auto"/>
              </w:rPr>
            </w:pPr>
            <w:r>
              <w:rPr>
                <w:rFonts w:ascii="Calibri" w:cs="Calibri" w:eastAsia="Calibri" w:hAnsi="Calibri"/>
                <w:sz w:val="14"/>
                <w:szCs w:val="14"/>
                <w:color w:val="494949"/>
              </w:rPr>
              <w:t>$1,025,000</w:t>
            </w:r>
          </w:p>
        </w:tc>
        <w:tc>
          <w:tcPr>
            <w:tcW w:w="2660" w:type="dxa"/>
            <w:vAlign w:val="bottom"/>
            <w:tcBorders>
              <w:bottom w:val="single" w:sz="8" w:color="CCEEFF"/>
              <w:right w:val="single" w:sz="8" w:color="828282"/>
            </w:tcBorders>
            <w:shd w:val="clear" w:color="auto" w:fill="CCEEFF"/>
          </w:tcPr>
          <w:p>
            <w:pPr>
              <w:jc w:val="center"/>
              <w:ind w:left="89"/>
              <w:spacing w:after="0" w:line="169" w:lineRule="exact"/>
              <w:rPr>
                <w:sz w:val="20"/>
                <w:szCs w:val="20"/>
                <w:color w:val="auto"/>
              </w:rPr>
            </w:pPr>
            <w:r>
              <w:rPr>
                <w:rFonts w:ascii="Calibri" w:cs="Calibri" w:eastAsia="Calibri" w:hAnsi="Calibri"/>
                <w:sz w:val="14"/>
                <w:szCs w:val="14"/>
                <w:color w:val="494949"/>
              </w:rPr>
              <w:t>0%</w:t>
            </w:r>
          </w:p>
        </w:tc>
      </w:tr>
      <w:tr>
        <w:trPr>
          <w:trHeight w:val="168"/>
        </w:trPr>
        <w:tc>
          <w:tcPr>
            <w:tcW w:w="2160" w:type="dxa"/>
            <w:vAlign w:val="bottom"/>
            <w:tcBorders>
              <w:left w:val="single" w:sz="8" w:color="828282"/>
            </w:tcBorders>
          </w:tcPr>
          <w:p>
            <w:pPr>
              <w:ind w:left="20"/>
              <w:spacing w:after="0" w:line="169" w:lineRule="exact"/>
              <w:rPr>
                <w:sz w:val="20"/>
                <w:szCs w:val="20"/>
                <w:color w:val="auto"/>
              </w:rPr>
            </w:pPr>
            <w:r>
              <w:rPr>
                <w:rFonts w:ascii="Calibri" w:cs="Calibri" w:eastAsia="Calibri" w:hAnsi="Calibri"/>
                <w:sz w:val="14"/>
                <w:szCs w:val="14"/>
                <w:color w:val="494949"/>
              </w:rPr>
              <w:t>Karen M. Dahut</w:t>
            </w:r>
          </w:p>
        </w:tc>
        <w:tc>
          <w:tcPr>
            <w:tcW w:w="2500" w:type="dxa"/>
            <w:vAlign w:val="bottom"/>
          </w:tcPr>
          <w:p>
            <w:pPr>
              <w:jc w:val="center"/>
              <w:ind w:left="389"/>
              <w:spacing w:after="0" w:line="169" w:lineRule="exact"/>
              <w:rPr>
                <w:sz w:val="20"/>
                <w:szCs w:val="20"/>
                <w:color w:val="auto"/>
              </w:rPr>
            </w:pPr>
            <w:r>
              <w:rPr>
                <w:rFonts w:ascii="Calibri" w:cs="Calibri" w:eastAsia="Calibri" w:hAnsi="Calibri"/>
                <w:sz w:val="14"/>
                <w:szCs w:val="14"/>
                <w:color w:val="494949"/>
              </w:rPr>
              <w:t>$1,025,000</w:t>
            </w:r>
          </w:p>
        </w:tc>
        <w:tc>
          <w:tcPr>
            <w:tcW w:w="2660" w:type="dxa"/>
            <w:vAlign w:val="bottom"/>
            <w:tcBorders>
              <w:right w:val="single" w:sz="8" w:color="828282"/>
            </w:tcBorders>
          </w:tcPr>
          <w:p>
            <w:pPr>
              <w:jc w:val="center"/>
              <w:ind w:left="89"/>
              <w:spacing w:after="0" w:line="169" w:lineRule="exact"/>
              <w:rPr>
                <w:sz w:val="20"/>
                <w:szCs w:val="20"/>
                <w:color w:val="auto"/>
              </w:rPr>
            </w:pPr>
            <w:r>
              <w:rPr>
                <w:rFonts w:ascii="Calibri" w:cs="Calibri" w:eastAsia="Calibri" w:hAnsi="Calibri"/>
                <w:sz w:val="14"/>
                <w:szCs w:val="14"/>
                <w:color w:val="494949"/>
              </w:rPr>
              <w:t>0%</w:t>
            </w:r>
          </w:p>
        </w:tc>
      </w:tr>
      <w:tr>
        <w:trPr>
          <w:trHeight w:val="31"/>
        </w:trPr>
        <w:tc>
          <w:tcPr>
            <w:tcW w:w="2160" w:type="dxa"/>
            <w:vAlign w:val="bottom"/>
            <w:tcBorders>
              <w:left w:val="single" w:sz="8" w:color="828282"/>
            </w:tcBorders>
          </w:tcPr>
          <w:p>
            <w:pPr>
              <w:spacing w:after="0"/>
              <w:rPr>
                <w:sz w:val="2"/>
                <w:szCs w:val="2"/>
                <w:color w:val="auto"/>
              </w:rPr>
            </w:pPr>
          </w:p>
        </w:tc>
        <w:tc>
          <w:tcPr>
            <w:tcW w:w="2500" w:type="dxa"/>
            <w:vAlign w:val="bottom"/>
          </w:tcPr>
          <w:p>
            <w:pPr>
              <w:spacing w:after="0"/>
              <w:rPr>
                <w:sz w:val="2"/>
                <w:szCs w:val="2"/>
                <w:color w:val="auto"/>
              </w:rPr>
            </w:pPr>
          </w:p>
        </w:tc>
        <w:tc>
          <w:tcPr>
            <w:tcW w:w="2660" w:type="dxa"/>
            <w:vAlign w:val="bottom"/>
            <w:tcBorders>
              <w:right w:val="single" w:sz="8" w:color="828282"/>
            </w:tcBorders>
          </w:tcPr>
          <w:p>
            <w:pPr>
              <w:spacing w:after="0"/>
              <w:rPr>
                <w:sz w:val="2"/>
                <w:szCs w:val="2"/>
                <w:color w:val="auto"/>
              </w:rPr>
            </w:pPr>
          </w:p>
        </w:tc>
      </w:tr>
      <w:tr>
        <w:trPr>
          <w:trHeight w:val="179"/>
        </w:trPr>
        <w:tc>
          <w:tcPr>
            <w:tcW w:w="2160" w:type="dxa"/>
            <w:vAlign w:val="bottom"/>
            <w:tcBorders>
              <w:left w:val="single" w:sz="8" w:color="828282"/>
              <w:bottom w:val="single" w:sz="8" w:color="CCEEFF"/>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494949"/>
              </w:rPr>
              <w:t>Nancy J. Laben</w:t>
            </w:r>
          </w:p>
        </w:tc>
        <w:tc>
          <w:tcPr>
            <w:tcW w:w="2500" w:type="dxa"/>
            <w:vAlign w:val="bottom"/>
            <w:tcBorders>
              <w:bottom w:val="single" w:sz="8" w:color="CCEEFF"/>
            </w:tcBorders>
            <w:shd w:val="clear" w:color="auto" w:fill="CCEEFF"/>
          </w:tcPr>
          <w:p>
            <w:pPr>
              <w:jc w:val="center"/>
              <w:ind w:left="409"/>
              <w:spacing w:after="0" w:line="169" w:lineRule="exact"/>
              <w:rPr>
                <w:sz w:val="20"/>
                <w:szCs w:val="20"/>
                <w:color w:val="auto"/>
              </w:rPr>
            </w:pPr>
            <w:r>
              <w:rPr>
                <w:rFonts w:ascii="Calibri" w:cs="Calibri" w:eastAsia="Calibri" w:hAnsi="Calibri"/>
                <w:sz w:val="14"/>
                <w:szCs w:val="14"/>
                <w:color w:val="494949"/>
              </w:rPr>
              <w:t>$650,000</w:t>
            </w:r>
          </w:p>
        </w:tc>
        <w:tc>
          <w:tcPr>
            <w:tcW w:w="2660" w:type="dxa"/>
            <w:vAlign w:val="bottom"/>
            <w:tcBorders>
              <w:bottom w:val="single" w:sz="8" w:color="CCEEFF"/>
              <w:right w:val="single" w:sz="8" w:color="828282"/>
            </w:tcBorders>
            <w:shd w:val="clear" w:color="auto" w:fill="CCEEFF"/>
          </w:tcPr>
          <w:p>
            <w:pPr>
              <w:jc w:val="center"/>
              <w:ind w:left="89"/>
              <w:spacing w:after="0" w:line="169" w:lineRule="exact"/>
              <w:rPr>
                <w:sz w:val="20"/>
                <w:szCs w:val="20"/>
                <w:color w:val="auto"/>
              </w:rPr>
            </w:pPr>
            <w:r>
              <w:rPr>
                <w:rFonts w:ascii="Calibri" w:cs="Calibri" w:eastAsia="Calibri" w:hAnsi="Calibri"/>
                <w:sz w:val="14"/>
                <w:szCs w:val="14"/>
                <w:color w:val="494949"/>
              </w:rPr>
              <w:t>0%</w:t>
            </w:r>
          </w:p>
        </w:tc>
      </w:tr>
      <w:tr>
        <w:trPr>
          <w:trHeight w:val="168"/>
        </w:trPr>
        <w:tc>
          <w:tcPr>
            <w:tcW w:w="2160" w:type="dxa"/>
            <w:vAlign w:val="bottom"/>
            <w:tcBorders>
              <w:left w:val="single" w:sz="8" w:color="828282"/>
            </w:tcBorders>
          </w:tcPr>
          <w:p>
            <w:pPr>
              <w:ind w:left="20"/>
              <w:spacing w:after="0" w:line="169" w:lineRule="exact"/>
              <w:rPr>
                <w:sz w:val="20"/>
                <w:szCs w:val="20"/>
                <w:color w:val="auto"/>
              </w:rPr>
            </w:pPr>
            <w:r>
              <w:rPr>
                <w:rFonts w:ascii="Calibri" w:cs="Calibri" w:eastAsia="Calibri" w:hAnsi="Calibri"/>
                <w:sz w:val="14"/>
                <w:szCs w:val="14"/>
                <w:color w:val="494949"/>
              </w:rPr>
              <w:t>Susan L. Penfeld</w:t>
            </w:r>
          </w:p>
        </w:tc>
        <w:tc>
          <w:tcPr>
            <w:tcW w:w="2500" w:type="dxa"/>
            <w:vAlign w:val="bottom"/>
          </w:tcPr>
          <w:p>
            <w:pPr>
              <w:jc w:val="center"/>
              <w:ind w:left="409"/>
              <w:spacing w:after="0" w:line="169" w:lineRule="exact"/>
              <w:rPr>
                <w:sz w:val="20"/>
                <w:szCs w:val="20"/>
                <w:color w:val="auto"/>
              </w:rPr>
            </w:pPr>
            <w:r>
              <w:rPr>
                <w:rFonts w:ascii="Calibri" w:cs="Calibri" w:eastAsia="Calibri" w:hAnsi="Calibri"/>
                <w:sz w:val="14"/>
                <w:szCs w:val="14"/>
                <w:color w:val="494949"/>
              </w:rPr>
              <w:t>$800,000</w:t>
            </w:r>
          </w:p>
        </w:tc>
        <w:tc>
          <w:tcPr>
            <w:tcW w:w="2660" w:type="dxa"/>
            <w:vAlign w:val="bottom"/>
            <w:tcBorders>
              <w:right w:val="single" w:sz="8" w:color="828282"/>
            </w:tcBorders>
          </w:tcPr>
          <w:p>
            <w:pPr>
              <w:jc w:val="center"/>
              <w:ind w:left="89"/>
              <w:spacing w:after="0" w:line="169" w:lineRule="exact"/>
              <w:rPr>
                <w:sz w:val="20"/>
                <w:szCs w:val="20"/>
                <w:color w:val="auto"/>
              </w:rPr>
            </w:pPr>
            <w:r>
              <w:rPr>
                <w:rFonts w:ascii="Calibri" w:cs="Calibri" w:eastAsia="Calibri" w:hAnsi="Calibri"/>
                <w:sz w:val="14"/>
                <w:szCs w:val="14"/>
                <w:color w:val="494949"/>
              </w:rPr>
              <w:t>0%</w:t>
            </w:r>
          </w:p>
        </w:tc>
      </w:tr>
      <w:tr>
        <w:trPr>
          <w:trHeight w:val="31"/>
        </w:trPr>
        <w:tc>
          <w:tcPr>
            <w:tcW w:w="2160" w:type="dxa"/>
            <w:vAlign w:val="bottom"/>
            <w:tcBorders>
              <w:left w:val="single" w:sz="8" w:color="828282"/>
              <w:bottom w:val="single" w:sz="8" w:color="828282"/>
            </w:tcBorders>
          </w:tcPr>
          <w:p>
            <w:pPr>
              <w:spacing w:after="0"/>
              <w:rPr>
                <w:sz w:val="2"/>
                <w:szCs w:val="2"/>
                <w:color w:val="auto"/>
              </w:rPr>
            </w:pPr>
          </w:p>
        </w:tc>
        <w:tc>
          <w:tcPr>
            <w:tcW w:w="2500" w:type="dxa"/>
            <w:vAlign w:val="bottom"/>
            <w:tcBorders>
              <w:bottom w:val="single" w:sz="8" w:color="828282"/>
            </w:tcBorders>
          </w:tcPr>
          <w:p>
            <w:pPr>
              <w:spacing w:after="0"/>
              <w:rPr>
                <w:sz w:val="2"/>
                <w:szCs w:val="2"/>
                <w:color w:val="auto"/>
              </w:rPr>
            </w:pPr>
          </w:p>
        </w:tc>
        <w:tc>
          <w:tcPr>
            <w:tcW w:w="2660" w:type="dxa"/>
            <w:vAlign w:val="bottom"/>
            <w:tcBorders>
              <w:bottom w:val="single" w:sz="8" w:color="828282"/>
              <w:right w:val="single" w:sz="8" w:color="828282"/>
            </w:tcBorders>
          </w:tcPr>
          <w:p>
            <w:pPr>
              <w:spacing w:after="0"/>
              <w:rPr>
                <w:sz w:val="2"/>
                <w:szCs w:val="2"/>
                <w:color w:val="auto"/>
              </w:rPr>
            </w:pPr>
          </w:p>
        </w:tc>
      </w:tr>
    </w:tbl>
    <w:p>
      <w:pPr>
        <w:spacing w:after="0" w:line="228"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547BCC"/>
        </w:rPr>
        <w:t>Annual Cash Incentve</w:t>
      </w:r>
    </w:p>
    <w:p>
      <w:pPr>
        <w:spacing w:after="0" w:line="157"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annual cash incentve porton of our executves' compensaton is provided through our annual bonus program. The target annual incentve amount for our named executve ofcers is determined each year by the Compensaton, Culture and People Commitee based on the market analysis and recommendaton of our compensaton consultant, as well as of the CEO (in the case of named executve ofcers who are direct reports to the CEO).</w:t>
      </w:r>
    </w:p>
    <w:p>
      <w:pPr>
        <w:spacing w:after="0" w:line="162"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annual incentve payment is determined using a point model, where a certain number of points is assigned to each named executve ofcer and such number is then multplied by a dollar value per point, as approved by the Compensaton, Culture and People Commitee. Based on the Company's performance at the end of the fscal year, as discussed below, the Compensaton, Culture and People Commitee approves the fnal dollar value per point, which is used to determine each named executve ofcer's actual annual incentve payment. Executves who retre, or terminate employment under our transiton policy, before the end of the fscal year are generally eligible to receive a prorated incentve payment.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35</w:t>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annual incentve is based on achievement of the Company's performance against a target Adjusted EBITDA range with upward or downward adjustments for performance in comparison to the range. The performance range is generally determined at or near the beginning of each fscal year by the Compensaton, Culture and People Commitee. Payment of the annual incentve approximatng target levels would generally occur when actual Adjusted EBITDA is within the established Adjusted EBITDA range. A porton of any variance between the established range and actual Adjusted EBITDA is refected as an adjustment to the pool of funds available for the annual incentve payment, or the bonus pool. The amount of the adjustment is determined by the Compensaton, Culture and People Commitee in its sole discreton. A positve variance between the range and actual Adjusted EBITDA would generally result in an increase in the bonus pool and a negatve variance would generally result in a decrease in the bonus pool.</w:t>
      </w:r>
    </w:p>
    <w:p>
      <w:pPr>
        <w:spacing w:after="0" w:line="166" w:lineRule="exact"/>
        <w:rPr>
          <w:sz w:val="20"/>
          <w:szCs w:val="20"/>
          <w:color w:val="auto"/>
        </w:rPr>
      </w:pPr>
    </w:p>
    <w:p>
      <w:pPr>
        <w:jc w:val="both"/>
        <w:ind w:right="80" w:firstLine="319"/>
        <w:spacing w:after="0" w:line="231" w:lineRule="auto"/>
        <w:rPr>
          <w:sz w:val="20"/>
          <w:szCs w:val="20"/>
          <w:color w:val="auto"/>
        </w:rPr>
      </w:pPr>
      <w:r>
        <w:rPr>
          <w:rFonts w:ascii="Calibri" w:cs="Calibri" w:eastAsia="Calibri" w:hAnsi="Calibri"/>
          <w:sz w:val="18"/>
          <w:szCs w:val="18"/>
          <w:color w:val="666666"/>
        </w:rPr>
        <w:t>Adjusted EBITDA represents net income before income taxes, net interest and other expense and depreciaton and amortzaton, and before certain other items, including transacton costs, fees, losses, and expenses, including fees associated with debt prepayments. We base the annual incentve porton of our executves' compensaton on Adjusted EBITDA because we believe it is a direct refecton of the cash fow and operatng proftability of our business and represents the element of our performance that executves can most directly impact through their management of the business.</w:t>
      </w:r>
    </w:p>
    <w:p>
      <w:pPr>
        <w:spacing w:after="0" w:line="163"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Our Compensaton, Culture and People Commitee reviews and approves the Adjusted EBITDA result and any adjustments to the plan bonus pool based on year-end operatng results. The fnal bonus pool as approved by our Compensaton, Culture and People Commitee is distributed to our executves on a consistent per point basis.</w:t>
      </w:r>
    </w:p>
    <w:p>
      <w:pPr>
        <w:spacing w:after="0" w:line="190" w:lineRule="exact"/>
        <w:rPr>
          <w:sz w:val="20"/>
          <w:szCs w:val="20"/>
          <w:color w:val="auto"/>
        </w:rPr>
      </w:pPr>
    </w:p>
    <w:tbl>
      <w:tblPr>
        <w:tblLayout w:type="fixed"/>
        <w:tblInd w:w="1050" w:type="dxa"/>
        <w:tblCellMar>
          <w:top w:w="0" w:type="dxa"/>
          <w:left w:w="0" w:type="dxa"/>
          <w:bottom w:w="0" w:type="dxa"/>
          <w:right w:w="0" w:type="dxa"/>
        </w:tblCellMar>
      </w:tblPr>
      <w:tr>
        <w:trPr>
          <w:trHeight w:val="212"/>
        </w:trPr>
        <w:tc>
          <w:tcPr>
            <w:tcW w:w="1740" w:type="dxa"/>
            <w:vAlign w:val="bottom"/>
            <w:tcBorders>
              <w:top w:val="single" w:sz="8" w:color="828282"/>
              <w:left w:val="single" w:sz="8" w:color="828282"/>
            </w:tcBorders>
            <w:shd w:val="clear" w:color="auto" w:fill="CCEEFF"/>
          </w:tcPr>
          <w:p>
            <w:pPr>
              <w:spacing w:after="0"/>
              <w:rPr>
                <w:sz w:val="18"/>
                <w:szCs w:val="18"/>
                <w:color w:val="auto"/>
              </w:rPr>
            </w:pPr>
          </w:p>
        </w:tc>
        <w:tc>
          <w:tcPr>
            <w:tcW w:w="4100" w:type="dxa"/>
            <w:vAlign w:val="bottom"/>
            <w:tcBorders>
              <w:top w:val="single" w:sz="8" w:color="828282"/>
            </w:tcBorders>
            <w:shd w:val="clear" w:color="auto" w:fill="CCEEFF"/>
          </w:tcPr>
          <w:p>
            <w:pPr>
              <w:jc w:val="center"/>
              <w:spacing w:after="0" w:line="213" w:lineRule="exact"/>
              <w:rPr>
                <w:sz w:val="20"/>
                <w:szCs w:val="20"/>
                <w:color w:val="auto"/>
              </w:rPr>
            </w:pPr>
            <w:r>
              <w:rPr>
                <w:rFonts w:ascii="Calibri" w:cs="Calibri" w:eastAsia="Calibri" w:hAnsi="Calibri"/>
                <w:sz w:val="14"/>
                <w:szCs w:val="14"/>
                <w:b w:val="1"/>
                <w:bCs w:val="1"/>
                <w:color w:val="494949"/>
                <w:w w:val="98"/>
              </w:rPr>
              <w:t>Adjusted EBITDA</w:t>
            </w:r>
            <w:r>
              <w:rPr>
                <w:rFonts w:ascii="Calibri" w:cs="Calibri" w:eastAsia="Calibri" w:hAnsi="Calibri"/>
                <w:sz w:val="18"/>
                <w:szCs w:val="18"/>
                <w:b w:val="1"/>
                <w:bCs w:val="1"/>
                <w:color w:val="494949"/>
                <w:w w:val="98"/>
                <w:vertAlign w:val="superscript"/>
              </w:rPr>
              <w:t>1</w:t>
            </w:r>
          </w:p>
        </w:tc>
        <w:tc>
          <w:tcPr>
            <w:tcW w:w="3340" w:type="dxa"/>
            <w:vAlign w:val="bottom"/>
            <w:tcBorders>
              <w:top w:val="single" w:sz="8" w:color="828282"/>
              <w:right w:val="single" w:sz="8" w:color="828282"/>
            </w:tcBorders>
            <w:shd w:val="clear" w:color="auto" w:fill="CCEEFF"/>
          </w:tcPr>
          <w:p>
            <w:pPr>
              <w:jc w:val="center"/>
              <w:ind w:left="29"/>
              <w:spacing w:after="0"/>
              <w:rPr>
                <w:sz w:val="20"/>
                <w:szCs w:val="20"/>
                <w:color w:val="auto"/>
              </w:rPr>
            </w:pPr>
            <w:r>
              <w:rPr>
                <w:rFonts w:ascii="Calibri" w:cs="Calibri" w:eastAsia="Calibri" w:hAnsi="Calibri"/>
                <w:sz w:val="14"/>
                <w:szCs w:val="14"/>
                <w:b w:val="1"/>
                <w:bCs w:val="1"/>
                <w:color w:val="494949"/>
              </w:rPr>
              <w:t>Executve Bonus Pool</w:t>
            </w:r>
          </w:p>
        </w:tc>
      </w:tr>
      <w:tr>
        <w:trPr>
          <w:trHeight w:val="168"/>
        </w:trPr>
        <w:tc>
          <w:tcPr>
            <w:tcW w:w="1740" w:type="dxa"/>
            <w:vAlign w:val="bottom"/>
            <w:tcBorders>
              <w:left w:val="single" w:sz="8" w:color="828282"/>
            </w:tcBorders>
          </w:tcPr>
          <w:p>
            <w:pPr>
              <w:ind w:left="40"/>
              <w:spacing w:after="0" w:line="169" w:lineRule="exact"/>
              <w:rPr>
                <w:sz w:val="20"/>
                <w:szCs w:val="20"/>
                <w:color w:val="auto"/>
              </w:rPr>
            </w:pPr>
            <w:r>
              <w:rPr>
                <w:rFonts w:ascii="Calibri" w:cs="Calibri" w:eastAsia="Calibri" w:hAnsi="Calibri"/>
                <w:sz w:val="14"/>
                <w:szCs w:val="14"/>
                <w:color w:val="494949"/>
              </w:rPr>
              <w:t>FY22 Target</w:t>
            </w:r>
          </w:p>
        </w:tc>
        <w:tc>
          <w:tcPr>
            <w:tcW w:w="4100" w:type="dxa"/>
            <w:vAlign w:val="bottom"/>
          </w:tcPr>
          <w:p>
            <w:pPr>
              <w:jc w:val="center"/>
              <w:spacing w:after="0" w:line="169" w:lineRule="exact"/>
              <w:rPr>
                <w:sz w:val="20"/>
                <w:szCs w:val="20"/>
                <w:color w:val="auto"/>
              </w:rPr>
            </w:pPr>
            <w:r>
              <w:rPr>
                <w:rFonts w:ascii="Calibri" w:cs="Calibri" w:eastAsia="Calibri" w:hAnsi="Calibri"/>
                <w:sz w:val="14"/>
                <w:szCs w:val="14"/>
                <w:color w:val="494949"/>
              </w:rPr>
              <w:t>Range: $896 million - $916 million</w:t>
            </w:r>
          </w:p>
        </w:tc>
        <w:tc>
          <w:tcPr>
            <w:tcW w:w="3340" w:type="dxa"/>
            <w:vAlign w:val="bottom"/>
            <w:tcBorders>
              <w:right w:val="single" w:sz="8" w:color="828282"/>
            </w:tcBorders>
          </w:tcPr>
          <w:p>
            <w:pPr>
              <w:jc w:val="center"/>
              <w:ind w:left="49"/>
              <w:spacing w:after="0" w:line="169" w:lineRule="exact"/>
              <w:rPr>
                <w:sz w:val="20"/>
                <w:szCs w:val="20"/>
                <w:color w:val="auto"/>
              </w:rPr>
            </w:pPr>
            <w:r>
              <w:rPr>
                <w:rFonts w:ascii="Calibri" w:cs="Calibri" w:eastAsia="Calibri" w:hAnsi="Calibri"/>
                <w:sz w:val="14"/>
                <w:szCs w:val="14"/>
                <w:color w:val="494949"/>
              </w:rPr>
              <w:t>$25.6 million</w:t>
            </w:r>
          </w:p>
        </w:tc>
      </w:tr>
      <w:tr>
        <w:trPr>
          <w:trHeight w:val="44"/>
        </w:trPr>
        <w:tc>
          <w:tcPr>
            <w:tcW w:w="1740" w:type="dxa"/>
            <w:vAlign w:val="bottom"/>
            <w:tcBorders>
              <w:left w:val="single" w:sz="8" w:color="828282"/>
            </w:tcBorders>
          </w:tcPr>
          <w:p>
            <w:pPr>
              <w:spacing w:after="0"/>
              <w:rPr>
                <w:sz w:val="3"/>
                <w:szCs w:val="3"/>
                <w:color w:val="auto"/>
              </w:rPr>
            </w:pPr>
          </w:p>
        </w:tc>
        <w:tc>
          <w:tcPr>
            <w:tcW w:w="4100" w:type="dxa"/>
            <w:vAlign w:val="bottom"/>
          </w:tcPr>
          <w:p>
            <w:pPr>
              <w:spacing w:after="0"/>
              <w:rPr>
                <w:sz w:val="3"/>
                <w:szCs w:val="3"/>
                <w:color w:val="auto"/>
              </w:rPr>
            </w:pPr>
          </w:p>
        </w:tc>
        <w:tc>
          <w:tcPr>
            <w:tcW w:w="3340" w:type="dxa"/>
            <w:vAlign w:val="bottom"/>
            <w:tcBorders>
              <w:right w:val="single" w:sz="8" w:color="828282"/>
            </w:tcBorders>
          </w:tcPr>
          <w:p>
            <w:pPr>
              <w:spacing w:after="0"/>
              <w:rPr>
                <w:sz w:val="3"/>
                <w:szCs w:val="3"/>
                <w:color w:val="auto"/>
              </w:rPr>
            </w:pPr>
          </w:p>
        </w:tc>
      </w:tr>
      <w:tr>
        <w:trPr>
          <w:trHeight w:val="179"/>
        </w:trPr>
        <w:tc>
          <w:tcPr>
            <w:tcW w:w="1740" w:type="dxa"/>
            <w:vAlign w:val="bottom"/>
            <w:tcBorders>
              <w:left w:val="single" w:sz="8" w:color="828282"/>
              <w:bottom w:val="single" w:sz="8" w:color="CCEEFF"/>
            </w:tcBorders>
            <w:shd w:val="clear" w:color="auto" w:fill="CCEEFF"/>
          </w:tcPr>
          <w:p>
            <w:pPr>
              <w:ind w:left="40"/>
              <w:spacing w:after="0" w:line="169" w:lineRule="exact"/>
              <w:rPr>
                <w:sz w:val="20"/>
                <w:szCs w:val="20"/>
                <w:color w:val="auto"/>
              </w:rPr>
            </w:pPr>
            <w:r>
              <w:rPr>
                <w:rFonts w:ascii="Calibri" w:cs="Calibri" w:eastAsia="Calibri" w:hAnsi="Calibri"/>
                <w:sz w:val="14"/>
                <w:szCs w:val="14"/>
                <w:color w:val="494949"/>
              </w:rPr>
              <w:t>FY22 Actual</w:t>
            </w:r>
          </w:p>
        </w:tc>
        <w:tc>
          <w:tcPr>
            <w:tcW w:w="4100" w:type="dxa"/>
            <w:vAlign w:val="bottom"/>
            <w:tcBorders>
              <w:bottom w:val="single" w:sz="8" w:color="CCEEFF"/>
            </w:tcBorders>
            <w:shd w:val="clear" w:color="auto" w:fill="CCEEFF"/>
          </w:tcPr>
          <w:p>
            <w:pPr>
              <w:jc w:val="center"/>
              <w:spacing w:after="0" w:line="169" w:lineRule="exact"/>
              <w:rPr>
                <w:sz w:val="20"/>
                <w:szCs w:val="20"/>
                <w:color w:val="auto"/>
              </w:rPr>
            </w:pPr>
            <w:r>
              <w:rPr>
                <w:rFonts w:ascii="Calibri" w:cs="Calibri" w:eastAsia="Calibri" w:hAnsi="Calibri"/>
                <w:sz w:val="14"/>
                <w:szCs w:val="14"/>
                <w:color w:val="494949"/>
                <w:w w:val="99"/>
              </w:rPr>
              <w:t>$935 million</w:t>
            </w:r>
          </w:p>
        </w:tc>
        <w:tc>
          <w:tcPr>
            <w:tcW w:w="3340" w:type="dxa"/>
            <w:vAlign w:val="bottom"/>
            <w:tcBorders>
              <w:bottom w:val="single" w:sz="8" w:color="CCEEFF"/>
              <w:right w:val="single" w:sz="8" w:color="828282"/>
            </w:tcBorders>
            <w:shd w:val="clear" w:color="auto" w:fill="CCEEFF"/>
          </w:tcPr>
          <w:p>
            <w:pPr>
              <w:jc w:val="center"/>
              <w:ind w:left="49"/>
              <w:spacing w:after="0" w:line="169" w:lineRule="exact"/>
              <w:rPr>
                <w:sz w:val="20"/>
                <w:szCs w:val="20"/>
                <w:color w:val="auto"/>
              </w:rPr>
            </w:pPr>
            <w:r>
              <w:rPr>
                <w:rFonts w:ascii="Calibri" w:cs="Calibri" w:eastAsia="Calibri" w:hAnsi="Calibri"/>
                <w:sz w:val="14"/>
                <w:szCs w:val="14"/>
                <w:color w:val="494949"/>
              </w:rPr>
              <w:t>$26.7 million</w:t>
            </w:r>
          </w:p>
        </w:tc>
      </w:tr>
      <w:tr>
        <w:trPr>
          <w:trHeight w:val="20"/>
        </w:trPr>
        <w:tc>
          <w:tcPr>
            <w:tcW w:w="1740" w:type="dxa"/>
            <w:vAlign w:val="bottom"/>
            <w:tcBorders>
              <w:left w:val="single" w:sz="8" w:color="828282"/>
            </w:tcBorders>
            <w:shd w:val="clear" w:color="auto" w:fill="828282"/>
          </w:tcPr>
          <w:p>
            <w:pPr>
              <w:spacing w:after="0" w:line="20" w:lineRule="exact"/>
              <w:rPr>
                <w:sz w:val="1"/>
                <w:szCs w:val="1"/>
                <w:color w:val="auto"/>
              </w:rPr>
            </w:pPr>
          </w:p>
        </w:tc>
        <w:tc>
          <w:tcPr>
            <w:tcW w:w="4100" w:type="dxa"/>
            <w:vAlign w:val="bottom"/>
            <w:shd w:val="clear" w:color="auto" w:fill="828282"/>
          </w:tcPr>
          <w:p>
            <w:pPr>
              <w:spacing w:after="0" w:line="20" w:lineRule="exact"/>
              <w:rPr>
                <w:sz w:val="1"/>
                <w:szCs w:val="1"/>
                <w:color w:val="auto"/>
              </w:rPr>
            </w:pPr>
          </w:p>
        </w:tc>
        <w:tc>
          <w:tcPr>
            <w:tcW w:w="3340" w:type="dxa"/>
            <w:vAlign w:val="bottom"/>
            <w:tcBorders>
              <w:right w:val="single" w:sz="8" w:color="828282"/>
            </w:tcBorders>
            <w:shd w:val="clear" w:color="auto" w:fill="828282"/>
          </w:tcPr>
          <w:p>
            <w:pPr>
              <w:spacing w:after="0" w:line="20" w:lineRule="exact"/>
              <w:rPr>
                <w:sz w:val="1"/>
                <w:szCs w:val="1"/>
                <w:color w:val="auto"/>
              </w:rPr>
            </w:pPr>
          </w:p>
        </w:tc>
      </w:tr>
    </w:tbl>
    <w:p>
      <w:pPr>
        <w:spacing w:after="0" w:line="165" w:lineRule="exact"/>
        <w:rPr>
          <w:sz w:val="20"/>
          <w:szCs w:val="20"/>
          <w:color w:val="auto"/>
        </w:rPr>
      </w:pPr>
    </w:p>
    <w:p>
      <w:pPr>
        <w:ind w:left="640" w:right="380"/>
        <w:spacing w:after="0" w:line="204" w:lineRule="auto"/>
        <w:rPr>
          <w:sz w:val="20"/>
          <w:szCs w:val="20"/>
          <w:color w:val="auto"/>
        </w:rPr>
      </w:pPr>
      <w:r>
        <w:rPr>
          <w:rFonts w:ascii="Calibri" w:cs="Calibri" w:eastAsia="Calibri" w:hAnsi="Calibri"/>
          <w:sz w:val="14"/>
          <w:szCs w:val="14"/>
          <w:color w:val="666666"/>
        </w:rPr>
        <w:t>(1)</w:t>
      </w:r>
      <w:r>
        <w:rPr>
          <w:rFonts w:ascii="Calibri" w:cs="Calibri" w:eastAsia="Calibri" w:hAnsi="Calibri"/>
          <w:sz w:val="18"/>
          <w:szCs w:val="18"/>
          <w:color w:val="666666"/>
          <w:vertAlign w:val="superscript"/>
        </w:rPr>
        <w:t>.</w:t>
      </w:r>
      <w:r>
        <w:rPr>
          <w:rFonts w:ascii="Calibri" w:cs="Calibri" w:eastAsia="Calibri" w:hAnsi="Calibri"/>
          <w:sz w:val="14"/>
          <w:szCs w:val="14"/>
          <w:color w:val="666666"/>
        </w:rPr>
        <w:t xml:space="preserve"> See Appendix A to this proxy statement for a reconciliaton of Adjusted EBITDA to the most directly comparable fnancial measure calculated and presented in accordance with GAAP.</w:t>
      </w:r>
    </w:p>
    <w:p>
      <w:pPr>
        <w:spacing w:after="0" w:line="173"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For fscal year 2022, the Company's performance exceeded the top-end of the fscal year 2022 target Adjusted EBITDA range. Revenue growth and Adjusted EBITDA Margin were in-line with our revised guidance expectatons for the year. Adjusted EPS exceeded the top-end of our increased guidance. Based on these results, the Compensaton, Culture and People Commitee determined that bonus payouts should be above target to appropriately recognize and reward the Company’s leadership. Accordingly, the Compensaton, Culture and People Commitee approved the executve bonus payout equal to approximately 5% above the target. The short-term incentve target opportunites and cash payments received by each of our named executve ofcers for fscal year 2022 are presented in the table below.</w:t>
      </w:r>
    </w:p>
    <w:p>
      <w:pPr>
        <w:spacing w:after="0" w:line="193" w:lineRule="exact"/>
        <w:rPr>
          <w:sz w:val="20"/>
          <w:szCs w:val="20"/>
          <w:color w:val="auto"/>
        </w:rPr>
      </w:pPr>
    </w:p>
    <w:tbl>
      <w:tblPr>
        <w:tblLayout w:type="fixed"/>
        <w:tblInd w:w="550" w:type="dxa"/>
        <w:tblCellMar>
          <w:top w:w="0" w:type="dxa"/>
          <w:left w:w="0" w:type="dxa"/>
          <w:bottom w:w="0" w:type="dxa"/>
          <w:right w:w="0" w:type="dxa"/>
        </w:tblCellMar>
      </w:tblPr>
      <w:tr>
        <w:trPr>
          <w:trHeight w:val="192"/>
        </w:trPr>
        <w:tc>
          <w:tcPr>
            <w:tcW w:w="2040" w:type="dxa"/>
            <w:vAlign w:val="bottom"/>
            <w:tcBorders>
              <w:top w:val="single" w:sz="8" w:color="6D6D6D"/>
              <w:left w:val="single" w:sz="8" w:color="6D6D6D"/>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b w:val="1"/>
                <w:bCs w:val="1"/>
                <w:color w:val="494949"/>
              </w:rPr>
              <w:t>Name</w:t>
            </w:r>
          </w:p>
        </w:tc>
        <w:tc>
          <w:tcPr>
            <w:tcW w:w="3260" w:type="dxa"/>
            <w:vAlign w:val="bottom"/>
            <w:tcBorders>
              <w:top w:val="single" w:sz="8" w:color="6D6D6D"/>
              <w:bottom w:val="single" w:sz="8" w:color="CCEEFF"/>
            </w:tcBorders>
            <w:shd w:val="clear" w:color="auto" w:fill="CCEEFF"/>
          </w:tcPr>
          <w:p>
            <w:pPr>
              <w:ind w:left="880"/>
              <w:spacing w:after="0"/>
              <w:rPr>
                <w:sz w:val="20"/>
                <w:szCs w:val="20"/>
                <w:color w:val="auto"/>
              </w:rPr>
            </w:pPr>
            <w:r>
              <w:rPr>
                <w:rFonts w:ascii="Calibri" w:cs="Calibri" w:eastAsia="Calibri" w:hAnsi="Calibri"/>
                <w:sz w:val="14"/>
                <w:szCs w:val="14"/>
                <w:b w:val="1"/>
                <w:bCs w:val="1"/>
                <w:color w:val="494949"/>
              </w:rPr>
              <w:t>FY22 Annual Cash Incentve Target</w:t>
            </w:r>
          </w:p>
        </w:tc>
        <w:tc>
          <w:tcPr>
            <w:tcW w:w="2600" w:type="dxa"/>
            <w:vAlign w:val="bottom"/>
            <w:tcBorders>
              <w:top w:val="single" w:sz="8" w:color="6D6D6D"/>
              <w:bottom w:val="single" w:sz="8" w:color="CCEEFF"/>
            </w:tcBorders>
            <w:shd w:val="clear" w:color="auto" w:fill="CCEEFF"/>
          </w:tcPr>
          <w:p>
            <w:pPr>
              <w:jc w:val="center"/>
              <w:ind w:right="29"/>
              <w:spacing w:after="0"/>
              <w:rPr>
                <w:sz w:val="20"/>
                <w:szCs w:val="20"/>
                <w:color w:val="auto"/>
              </w:rPr>
            </w:pPr>
            <w:r>
              <w:rPr>
                <w:rFonts w:ascii="Calibri" w:cs="Calibri" w:eastAsia="Calibri" w:hAnsi="Calibri"/>
                <w:sz w:val="14"/>
                <w:szCs w:val="14"/>
                <w:b w:val="1"/>
                <w:bCs w:val="1"/>
                <w:color w:val="494949"/>
              </w:rPr>
              <w:t>Annual Cash Incentve Payout</w:t>
            </w:r>
          </w:p>
        </w:tc>
        <w:tc>
          <w:tcPr>
            <w:tcW w:w="2620" w:type="dxa"/>
            <w:vAlign w:val="bottom"/>
            <w:tcBorders>
              <w:top w:val="single" w:sz="8" w:color="6D6D6D"/>
              <w:bottom w:val="single" w:sz="8" w:color="CCEEFF"/>
              <w:right w:val="single" w:sz="8" w:color="6D6D6D"/>
            </w:tcBorders>
            <w:shd w:val="clear" w:color="auto" w:fill="CCEEFF"/>
          </w:tcPr>
          <w:p>
            <w:pPr>
              <w:ind w:left="480"/>
              <w:spacing w:after="0"/>
              <w:rPr>
                <w:sz w:val="20"/>
                <w:szCs w:val="20"/>
                <w:color w:val="auto"/>
              </w:rPr>
            </w:pPr>
            <w:r>
              <w:rPr>
                <w:rFonts w:ascii="Calibri" w:cs="Calibri" w:eastAsia="Calibri" w:hAnsi="Calibri"/>
                <w:sz w:val="14"/>
                <w:szCs w:val="14"/>
                <w:b w:val="1"/>
                <w:bCs w:val="1"/>
                <w:color w:val="494949"/>
              </w:rPr>
              <w:t>Annual Cash Incentve Paid</w:t>
            </w:r>
          </w:p>
        </w:tc>
      </w:tr>
      <w:tr>
        <w:trPr>
          <w:trHeight w:val="168"/>
        </w:trPr>
        <w:tc>
          <w:tcPr>
            <w:tcW w:w="2040" w:type="dxa"/>
            <w:vAlign w:val="bottom"/>
            <w:tcBorders>
              <w:left w:val="single" w:sz="8" w:color="6D6D6D"/>
            </w:tcBorders>
          </w:tcPr>
          <w:p>
            <w:pPr>
              <w:ind w:left="20"/>
              <w:spacing w:after="0" w:line="169" w:lineRule="exact"/>
              <w:rPr>
                <w:sz w:val="20"/>
                <w:szCs w:val="20"/>
                <w:color w:val="auto"/>
              </w:rPr>
            </w:pPr>
            <w:r>
              <w:rPr>
                <w:rFonts w:ascii="Calibri" w:cs="Calibri" w:eastAsia="Calibri" w:hAnsi="Calibri"/>
                <w:sz w:val="14"/>
                <w:szCs w:val="14"/>
                <w:color w:val="494949"/>
              </w:rPr>
              <w:t>Horacio D. Rozanski</w:t>
            </w:r>
          </w:p>
        </w:tc>
        <w:tc>
          <w:tcPr>
            <w:tcW w:w="3260" w:type="dxa"/>
            <w:vAlign w:val="bottom"/>
          </w:tcPr>
          <w:p>
            <w:pPr>
              <w:jc w:val="center"/>
              <w:ind w:left="429"/>
              <w:spacing w:after="0" w:line="169" w:lineRule="exact"/>
              <w:rPr>
                <w:sz w:val="20"/>
                <w:szCs w:val="20"/>
                <w:color w:val="auto"/>
              </w:rPr>
            </w:pPr>
            <w:r>
              <w:rPr>
                <w:rFonts w:ascii="Calibri" w:cs="Calibri" w:eastAsia="Calibri" w:hAnsi="Calibri"/>
                <w:sz w:val="14"/>
                <w:szCs w:val="14"/>
                <w:color w:val="494949"/>
              </w:rPr>
              <w:t>$1,500,000</w:t>
            </w:r>
          </w:p>
        </w:tc>
        <w:tc>
          <w:tcPr>
            <w:tcW w:w="2600" w:type="dxa"/>
            <w:vAlign w:val="bottom"/>
          </w:tcPr>
          <w:p>
            <w:pPr>
              <w:jc w:val="center"/>
              <w:ind w:right="29"/>
              <w:spacing w:after="0" w:line="169" w:lineRule="exact"/>
              <w:rPr>
                <w:sz w:val="20"/>
                <w:szCs w:val="20"/>
                <w:color w:val="auto"/>
              </w:rPr>
            </w:pPr>
            <w:r>
              <w:rPr>
                <w:rFonts w:ascii="Calibri" w:cs="Calibri" w:eastAsia="Calibri" w:hAnsi="Calibri"/>
                <w:sz w:val="14"/>
                <w:szCs w:val="14"/>
                <w:color w:val="494949"/>
                <w:w w:val="95"/>
              </w:rPr>
              <w:t>105%</w:t>
            </w:r>
          </w:p>
        </w:tc>
        <w:tc>
          <w:tcPr>
            <w:tcW w:w="2620" w:type="dxa"/>
            <w:vAlign w:val="bottom"/>
            <w:tcBorders>
              <w:right w:val="single" w:sz="8" w:color="6D6D6D"/>
            </w:tcBorders>
          </w:tcPr>
          <w:p>
            <w:pPr>
              <w:jc w:val="center"/>
              <w:spacing w:after="0" w:line="169" w:lineRule="exact"/>
              <w:rPr>
                <w:sz w:val="20"/>
                <w:szCs w:val="20"/>
                <w:color w:val="auto"/>
              </w:rPr>
            </w:pPr>
            <w:r>
              <w:rPr>
                <w:rFonts w:ascii="Calibri" w:cs="Calibri" w:eastAsia="Calibri" w:hAnsi="Calibri"/>
                <w:sz w:val="14"/>
                <w:szCs w:val="14"/>
                <w:color w:val="494949"/>
              </w:rPr>
              <w:t>$1,578,000</w:t>
            </w:r>
          </w:p>
        </w:tc>
      </w:tr>
      <w:tr>
        <w:trPr>
          <w:trHeight w:val="31"/>
        </w:trPr>
        <w:tc>
          <w:tcPr>
            <w:tcW w:w="2040" w:type="dxa"/>
            <w:vAlign w:val="bottom"/>
            <w:tcBorders>
              <w:left w:val="single" w:sz="8" w:color="6D6D6D"/>
            </w:tcBorders>
          </w:tcPr>
          <w:p>
            <w:pPr>
              <w:spacing w:after="0"/>
              <w:rPr>
                <w:sz w:val="2"/>
                <w:szCs w:val="2"/>
                <w:color w:val="auto"/>
              </w:rPr>
            </w:pPr>
          </w:p>
        </w:tc>
        <w:tc>
          <w:tcPr>
            <w:tcW w:w="3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20" w:type="dxa"/>
            <w:vAlign w:val="bottom"/>
            <w:tcBorders>
              <w:right w:val="single" w:sz="8" w:color="6D6D6D"/>
            </w:tcBorders>
          </w:tcPr>
          <w:p>
            <w:pPr>
              <w:spacing w:after="0"/>
              <w:rPr>
                <w:sz w:val="2"/>
                <w:szCs w:val="2"/>
                <w:color w:val="auto"/>
              </w:rPr>
            </w:pPr>
          </w:p>
        </w:tc>
      </w:tr>
      <w:tr>
        <w:trPr>
          <w:trHeight w:val="179"/>
        </w:trPr>
        <w:tc>
          <w:tcPr>
            <w:tcW w:w="2040" w:type="dxa"/>
            <w:vAlign w:val="bottom"/>
            <w:tcBorders>
              <w:left w:val="single" w:sz="8" w:color="6D6D6D"/>
              <w:bottom w:val="single" w:sz="8" w:color="CCEEFF"/>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494949"/>
              </w:rPr>
              <w:t>Lloyd W. Howell, Jr.</w:t>
            </w:r>
          </w:p>
        </w:tc>
        <w:tc>
          <w:tcPr>
            <w:tcW w:w="3260" w:type="dxa"/>
            <w:vAlign w:val="bottom"/>
            <w:tcBorders>
              <w:bottom w:val="single" w:sz="8" w:color="CCEEFF"/>
            </w:tcBorders>
            <w:shd w:val="clear" w:color="auto" w:fill="CCEEFF"/>
          </w:tcPr>
          <w:p>
            <w:pPr>
              <w:jc w:val="center"/>
              <w:ind w:left="449"/>
              <w:spacing w:after="0" w:line="169" w:lineRule="exact"/>
              <w:rPr>
                <w:sz w:val="20"/>
                <w:szCs w:val="20"/>
                <w:color w:val="auto"/>
              </w:rPr>
            </w:pPr>
            <w:r>
              <w:rPr>
                <w:rFonts w:ascii="Calibri" w:cs="Calibri" w:eastAsia="Calibri" w:hAnsi="Calibri"/>
                <w:sz w:val="14"/>
                <w:szCs w:val="14"/>
                <w:color w:val="494949"/>
              </w:rPr>
              <w:t>$500,000</w:t>
            </w:r>
          </w:p>
        </w:tc>
        <w:tc>
          <w:tcPr>
            <w:tcW w:w="2600" w:type="dxa"/>
            <w:vAlign w:val="bottom"/>
            <w:tcBorders>
              <w:bottom w:val="single" w:sz="8" w:color="CCEEFF"/>
            </w:tcBorders>
            <w:shd w:val="clear" w:color="auto" w:fill="CCEEFF"/>
          </w:tcPr>
          <w:p>
            <w:pPr>
              <w:jc w:val="center"/>
              <w:ind w:right="29"/>
              <w:spacing w:after="0" w:line="169" w:lineRule="exact"/>
              <w:rPr>
                <w:sz w:val="20"/>
                <w:szCs w:val="20"/>
                <w:color w:val="auto"/>
              </w:rPr>
            </w:pPr>
            <w:r>
              <w:rPr>
                <w:rFonts w:ascii="Calibri" w:cs="Calibri" w:eastAsia="Calibri" w:hAnsi="Calibri"/>
                <w:sz w:val="14"/>
                <w:szCs w:val="14"/>
                <w:color w:val="494949"/>
                <w:w w:val="95"/>
              </w:rPr>
              <w:t>105%</w:t>
            </w:r>
          </w:p>
        </w:tc>
        <w:tc>
          <w:tcPr>
            <w:tcW w:w="2620" w:type="dxa"/>
            <w:vAlign w:val="bottom"/>
            <w:tcBorders>
              <w:bottom w:val="single" w:sz="8" w:color="CCEEFF"/>
              <w:right w:val="single" w:sz="8" w:color="6D6D6D"/>
            </w:tcBorders>
            <w:shd w:val="clear" w:color="auto" w:fill="CCEEFF"/>
          </w:tcPr>
          <w:p>
            <w:pPr>
              <w:jc w:val="center"/>
              <w:spacing w:after="0" w:line="169" w:lineRule="exact"/>
              <w:rPr>
                <w:sz w:val="20"/>
                <w:szCs w:val="20"/>
                <w:color w:val="auto"/>
              </w:rPr>
            </w:pPr>
            <w:r>
              <w:rPr>
                <w:rFonts w:ascii="Calibri" w:cs="Calibri" w:eastAsia="Calibri" w:hAnsi="Calibri"/>
                <w:sz w:val="14"/>
                <w:szCs w:val="14"/>
                <w:color w:val="494949"/>
                <w:w w:val="97"/>
              </w:rPr>
              <w:t>$526,000</w:t>
            </w:r>
          </w:p>
        </w:tc>
      </w:tr>
      <w:tr>
        <w:trPr>
          <w:trHeight w:val="168"/>
        </w:trPr>
        <w:tc>
          <w:tcPr>
            <w:tcW w:w="2040" w:type="dxa"/>
            <w:vAlign w:val="bottom"/>
            <w:tcBorders>
              <w:left w:val="single" w:sz="8" w:color="6D6D6D"/>
            </w:tcBorders>
          </w:tcPr>
          <w:p>
            <w:pPr>
              <w:ind w:left="20"/>
              <w:spacing w:after="0" w:line="169" w:lineRule="exact"/>
              <w:rPr>
                <w:sz w:val="20"/>
                <w:szCs w:val="20"/>
                <w:color w:val="auto"/>
              </w:rPr>
            </w:pPr>
            <w:r>
              <w:rPr>
                <w:rFonts w:ascii="Calibri" w:cs="Calibri" w:eastAsia="Calibri" w:hAnsi="Calibri"/>
                <w:sz w:val="14"/>
                <w:szCs w:val="14"/>
                <w:color w:val="494949"/>
              </w:rPr>
              <w:t>Karen M. Dahut</w:t>
            </w:r>
          </w:p>
        </w:tc>
        <w:tc>
          <w:tcPr>
            <w:tcW w:w="3260" w:type="dxa"/>
            <w:vAlign w:val="bottom"/>
          </w:tcPr>
          <w:p>
            <w:pPr>
              <w:jc w:val="center"/>
              <w:ind w:left="449"/>
              <w:spacing w:after="0" w:line="169" w:lineRule="exact"/>
              <w:rPr>
                <w:sz w:val="20"/>
                <w:szCs w:val="20"/>
                <w:color w:val="auto"/>
              </w:rPr>
            </w:pPr>
            <w:r>
              <w:rPr>
                <w:rFonts w:ascii="Calibri" w:cs="Calibri" w:eastAsia="Calibri" w:hAnsi="Calibri"/>
                <w:sz w:val="14"/>
                <w:szCs w:val="14"/>
                <w:color w:val="494949"/>
              </w:rPr>
              <w:t>$500,000</w:t>
            </w:r>
          </w:p>
        </w:tc>
        <w:tc>
          <w:tcPr>
            <w:tcW w:w="2600" w:type="dxa"/>
            <w:vAlign w:val="bottom"/>
          </w:tcPr>
          <w:p>
            <w:pPr>
              <w:jc w:val="center"/>
              <w:ind w:right="29"/>
              <w:spacing w:after="0" w:line="169" w:lineRule="exact"/>
              <w:rPr>
                <w:sz w:val="20"/>
                <w:szCs w:val="20"/>
                <w:color w:val="auto"/>
              </w:rPr>
            </w:pPr>
            <w:r>
              <w:rPr>
                <w:rFonts w:ascii="Calibri" w:cs="Calibri" w:eastAsia="Calibri" w:hAnsi="Calibri"/>
                <w:sz w:val="14"/>
                <w:szCs w:val="14"/>
                <w:color w:val="494949"/>
                <w:w w:val="95"/>
              </w:rPr>
              <w:t>105%</w:t>
            </w:r>
          </w:p>
        </w:tc>
        <w:tc>
          <w:tcPr>
            <w:tcW w:w="2620" w:type="dxa"/>
            <w:vAlign w:val="bottom"/>
            <w:tcBorders>
              <w:right w:val="single" w:sz="8" w:color="6D6D6D"/>
            </w:tcBorders>
          </w:tcPr>
          <w:p>
            <w:pPr>
              <w:jc w:val="center"/>
              <w:spacing w:after="0" w:line="169" w:lineRule="exact"/>
              <w:rPr>
                <w:sz w:val="20"/>
                <w:szCs w:val="20"/>
                <w:color w:val="auto"/>
              </w:rPr>
            </w:pPr>
            <w:r>
              <w:rPr>
                <w:rFonts w:ascii="Calibri" w:cs="Calibri" w:eastAsia="Calibri" w:hAnsi="Calibri"/>
                <w:sz w:val="14"/>
                <w:szCs w:val="14"/>
                <w:color w:val="494949"/>
                <w:w w:val="97"/>
              </w:rPr>
              <w:t>$526,000</w:t>
            </w:r>
          </w:p>
        </w:tc>
      </w:tr>
      <w:tr>
        <w:trPr>
          <w:trHeight w:val="31"/>
        </w:trPr>
        <w:tc>
          <w:tcPr>
            <w:tcW w:w="2040" w:type="dxa"/>
            <w:vAlign w:val="bottom"/>
            <w:tcBorders>
              <w:left w:val="single" w:sz="8" w:color="6D6D6D"/>
            </w:tcBorders>
          </w:tcPr>
          <w:p>
            <w:pPr>
              <w:spacing w:after="0"/>
              <w:rPr>
                <w:sz w:val="2"/>
                <w:szCs w:val="2"/>
                <w:color w:val="auto"/>
              </w:rPr>
            </w:pPr>
          </w:p>
        </w:tc>
        <w:tc>
          <w:tcPr>
            <w:tcW w:w="3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20" w:type="dxa"/>
            <w:vAlign w:val="bottom"/>
            <w:tcBorders>
              <w:right w:val="single" w:sz="8" w:color="6D6D6D"/>
            </w:tcBorders>
          </w:tcPr>
          <w:p>
            <w:pPr>
              <w:spacing w:after="0"/>
              <w:rPr>
                <w:sz w:val="2"/>
                <w:szCs w:val="2"/>
                <w:color w:val="auto"/>
              </w:rPr>
            </w:pPr>
          </w:p>
        </w:tc>
      </w:tr>
      <w:tr>
        <w:trPr>
          <w:trHeight w:val="179"/>
        </w:trPr>
        <w:tc>
          <w:tcPr>
            <w:tcW w:w="2040" w:type="dxa"/>
            <w:vAlign w:val="bottom"/>
            <w:tcBorders>
              <w:left w:val="single" w:sz="8" w:color="6D6D6D"/>
              <w:bottom w:val="single" w:sz="8" w:color="CCEEFF"/>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494949"/>
              </w:rPr>
              <w:t>Nancy J. Laben</w:t>
            </w:r>
          </w:p>
        </w:tc>
        <w:tc>
          <w:tcPr>
            <w:tcW w:w="3260" w:type="dxa"/>
            <w:vAlign w:val="bottom"/>
            <w:tcBorders>
              <w:bottom w:val="single" w:sz="8" w:color="CCEEFF"/>
            </w:tcBorders>
            <w:shd w:val="clear" w:color="auto" w:fill="CCEEFF"/>
          </w:tcPr>
          <w:p>
            <w:pPr>
              <w:jc w:val="center"/>
              <w:ind w:left="449"/>
              <w:spacing w:after="0" w:line="169" w:lineRule="exact"/>
              <w:rPr>
                <w:sz w:val="20"/>
                <w:szCs w:val="20"/>
                <w:color w:val="auto"/>
              </w:rPr>
            </w:pPr>
            <w:r>
              <w:rPr>
                <w:rFonts w:ascii="Calibri" w:cs="Calibri" w:eastAsia="Calibri" w:hAnsi="Calibri"/>
                <w:sz w:val="14"/>
                <w:szCs w:val="14"/>
                <w:color w:val="494949"/>
              </w:rPr>
              <w:t>$475,000</w:t>
            </w:r>
          </w:p>
        </w:tc>
        <w:tc>
          <w:tcPr>
            <w:tcW w:w="2600" w:type="dxa"/>
            <w:vAlign w:val="bottom"/>
            <w:tcBorders>
              <w:bottom w:val="single" w:sz="8" w:color="CCEEFF"/>
            </w:tcBorders>
            <w:shd w:val="clear" w:color="auto" w:fill="CCEEFF"/>
          </w:tcPr>
          <w:p>
            <w:pPr>
              <w:jc w:val="center"/>
              <w:ind w:right="29"/>
              <w:spacing w:after="0" w:line="169" w:lineRule="exact"/>
              <w:rPr>
                <w:sz w:val="20"/>
                <w:szCs w:val="20"/>
                <w:color w:val="auto"/>
              </w:rPr>
            </w:pPr>
            <w:r>
              <w:rPr>
                <w:rFonts w:ascii="Calibri" w:cs="Calibri" w:eastAsia="Calibri" w:hAnsi="Calibri"/>
                <w:sz w:val="14"/>
                <w:szCs w:val="14"/>
                <w:color w:val="494949"/>
                <w:w w:val="95"/>
              </w:rPr>
              <w:t>105%</w:t>
            </w:r>
          </w:p>
        </w:tc>
        <w:tc>
          <w:tcPr>
            <w:tcW w:w="2620" w:type="dxa"/>
            <w:vAlign w:val="bottom"/>
            <w:tcBorders>
              <w:bottom w:val="single" w:sz="8" w:color="CCEEFF"/>
              <w:right w:val="single" w:sz="8" w:color="6D6D6D"/>
            </w:tcBorders>
            <w:shd w:val="clear" w:color="auto" w:fill="CCEEFF"/>
          </w:tcPr>
          <w:p>
            <w:pPr>
              <w:jc w:val="center"/>
              <w:spacing w:after="0" w:line="169" w:lineRule="exact"/>
              <w:rPr>
                <w:sz w:val="20"/>
                <w:szCs w:val="20"/>
                <w:color w:val="auto"/>
              </w:rPr>
            </w:pPr>
            <w:r>
              <w:rPr>
                <w:rFonts w:ascii="Calibri" w:cs="Calibri" w:eastAsia="Calibri" w:hAnsi="Calibri"/>
                <w:sz w:val="14"/>
                <w:szCs w:val="14"/>
                <w:color w:val="494949"/>
                <w:w w:val="97"/>
              </w:rPr>
              <w:t>$499,700</w:t>
            </w:r>
          </w:p>
        </w:tc>
      </w:tr>
      <w:tr>
        <w:trPr>
          <w:trHeight w:val="199"/>
        </w:trPr>
        <w:tc>
          <w:tcPr>
            <w:tcW w:w="2040" w:type="dxa"/>
            <w:vAlign w:val="bottom"/>
            <w:tcBorders>
              <w:left w:val="single" w:sz="8" w:color="6D6D6D"/>
              <w:bottom w:val="single" w:sz="8" w:color="6D6D6D"/>
            </w:tcBorders>
          </w:tcPr>
          <w:p>
            <w:pPr>
              <w:ind w:left="20"/>
              <w:spacing w:after="0" w:line="199" w:lineRule="exact"/>
              <w:rPr>
                <w:sz w:val="20"/>
                <w:szCs w:val="20"/>
                <w:color w:val="auto"/>
              </w:rPr>
            </w:pPr>
            <w:r>
              <w:rPr>
                <w:rFonts w:ascii="Calibri" w:cs="Calibri" w:eastAsia="Calibri" w:hAnsi="Calibri"/>
                <w:sz w:val="14"/>
                <w:szCs w:val="14"/>
                <w:color w:val="494949"/>
              </w:rPr>
              <w:t xml:space="preserve">Susan L. Penfeld </w:t>
            </w:r>
            <w:r>
              <w:rPr>
                <w:rFonts w:ascii="Calibri" w:cs="Calibri" w:eastAsia="Calibri" w:hAnsi="Calibri"/>
                <w:sz w:val="18"/>
                <w:szCs w:val="18"/>
                <w:color w:val="494949"/>
                <w:vertAlign w:val="superscript"/>
              </w:rPr>
              <w:t>1</w:t>
            </w:r>
          </w:p>
        </w:tc>
        <w:tc>
          <w:tcPr>
            <w:tcW w:w="3260" w:type="dxa"/>
            <w:vAlign w:val="bottom"/>
            <w:tcBorders>
              <w:bottom w:val="single" w:sz="8" w:color="6D6D6D"/>
            </w:tcBorders>
          </w:tcPr>
          <w:p>
            <w:pPr>
              <w:jc w:val="center"/>
              <w:ind w:left="449"/>
              <w:spacing w:after="0" w:line="169" w:lineRule="exact"/>
              <w:rPr>
                <w:sz w:val="20"/>
                <w:szCs w:val="20"/>
                <w:color w:val="auto"/>
              </w:rPr>
            </w:pPr>
            <w:r>
              <w:rPr>
                <w:rFonts w:ascii="Calibri" w:cs="Calibri" w:eastAsia="Calibri" w:hAnsi="Calibri"/>
                <w:sz w:val="14"/>
                <w:szCs w:val="14"/>
                <w:color w:val="494949"/>
              </w:rPr>
              <w:t>$425,000</w:t>
            </w:r>
          </w:p>
        </w:tc>
        <w:tc>
          <w:tcPr>
            <w:tcW w:w="2600" w:type="dxa"/>
            <w:vAlign w:val="bottom"/>
            <w:tcBorders>
              <w:bottom w:val="single" w:sz="8" w:color="6D6D6D"/>
            </w:tcBorders>
          </w:tcPr>
          <w:p>
            <w:pPr>
              <w:jc w:val="center"/>
              <w:ind w:right="29"/>
              <w:spacing w:after="0" w:line="169" w:lineRule="exact"/>
              <w:rPr>
                <w:sz w:val="20"/>
                <w:szCs w:val="20"/>
                <w:color w:val="auto"/>
              </w:rPr>
            </w:pPr>
            <w:r>
              <w:rPr>
                <w:rFonts w:ascii="Calibri" w:cs="Calibri" w:eastAsia="Calibri" w:hAnsi="Calibri"/>
                <w:sz w:val="14"/>
                <w:szCs w:val="14"/>
                <w:color w:val="494949"/>
                <w:w w:val="95"/>
              </w:rPr>
              <w:t>105%</w:t>
            </w:r>
          </w:p>
        </w:tc>
        <w:tc>
          <w:tcPr>
            <w:tcW w:w="2620" w:type="dxa"/>
            <w:vAlign w:val="bottom"/>
            <w:tcBorders>
              <w:bottom w:val="single" w:sz="8" w:color="6D6D6D"/>
              <w:right w:val="single" w:sz="8" w:color="6D6D6D"/>
            </w:tcBorders>
          </w:tcPr>
          <w:p>
            <w:pPr>
              <w:jc w:val="center"/>
              <w:spacing w:after="0" w:line="169" w:lineRule="exact"/>
              <w:rPr>
                <w:sz w:val="20"/>
                <w:szCs w:val="20"/>
                <w:color w:val="auto"/>
              </w:rPr>
            </w:pPr>
            <w:r>
              <w:rPr>
                <w:rFonts w:ascii="Calibri" w:cs="Calibri" w:eastAsia="Calibri" w:hAnsi="Calibri"/>
                <w:sz w:val="14"/>
                <w:szCs w:val="14"/>
                <w:color w:val="494949"/>
                <w:w w:val="97"/>
              </w:rPr>
              <w:t>$449,700</w:t>
            </w:r>
          </w:p>
        </w:tc>
      </w:tr>
    </w:tbl>
    <w:p>
      <w:pPr>
        <w:spacing w:after="0" w:line="171" w:lineRule="exact"/>
        <w:rPr>
          <w:sz w:val="20"/>
          <w:szCs w:val="20"/>
          <w:color w:val="auto"/>
        </w:rPr>
      </w:pPr>
    </w:p>
    <w:p>
      <w:pPr>
        <w:ind w:left="320" w:right="300" w:firstLine="5"/>
        <w:spacing w:after="0" w:line="239" w:lineRule="auto"/>
        <w:tabs>
          <w:tab w:leader="none" w:pos="510" w:val="left"/>
        </w:tabs>
        <w:numPr>
          <w:ilvl w:val="0"/>
          <w:numId w:val="43"/>
        </w:numPr>
        <w:rPr>
          <w:rFonts w:ascii="Calibri" w:cs="Calibri" w:eastAsia="Calibri" w:hAnsi="Calibri"/>
          <w:sz w:val="14"/>
          <w:szCs w:val="14"/>
          <w:color w:val="666666"/>
        </w:rPr>
      </w:pPr>
      <w:r>
        <w:rPr>
          <w:rFonts w:ascii="Calibri" w:cs="Calibri" w:eastAsia="Calibri" w:hAnsi="Calibri"/>
          <w:sz w:val="14"/>
          <w:szCs w:val="14"/>
          <w:color w:val="666666"/>
        </w:rPr>
        <w:t>Ms. Penfeld’s FY22 annual cash incentve payout is calculated on a per point basis as if her target bonus was $475,000 with the fnal payment reduced by $50,000 to refect her actual incentve target of $425,000.</w:t>
      </w:r>
    </w:p>
    <w:p>
      <w:pPr>
        <w:spacing w:after="0" w:line="168"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4F7CBA"/>
        </w:rPr>
        <w:t>Long-Term Equity Incentves</w:t>
      </w:r>
    </w:p>
    <w:p>
      <w:pPr>
        <w:spacing w:after="0" w:line="157"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It is our philosophy that executves should hold meaningful amounts of long-term equity compensaton to align the personal fnancial interests of our executves with the interests of long-term stockholders and to encourage a long-term perspectve with regard to Company performance and growth. The equity compensaton for our executves is delivered in the following manner, which is further described below.</w:t>
      </w:r>
    </w:p>
    <w:p>
      <w:pPr>
        <w:spacing w:after="0" w:line="153" w:lineRule="exact"/>
        <w:rPr>
          <w:sz w:val="20"/>
          <w:szCs w:val="20"/>
          <w:color w:val="auto"/>
        </w:rPr>
      </w:pPr>
    </w:p>
    <w:p>
      <w:pPr>
        <w:ind w:left="640" w:hanging="315"/>
        <w:spacing w:after="0"/>
        <w:tabs>
          <w:tab w:leader="none" w:pos="640" w:val="left"/>
        </w:tabs>
        <w:numPr>
          <w:ilvl w:val="0"/>
          <w:numId w:val="44"/>
        </w:numPr>
        <w:rPr>
          <w:rFonts w:ascii="Calibri" w:cs="Calibri" w:eastAsia="Calibri" w:hAnsi="Calibri"/>
          <w:sz w:val="18"/>
          <w:szCs w:val="18"/>
          <w:color w:val="666666"/>
        </w:rPr>
      </w:pPr>
      <w:r>
        <w:rPr>
          <w:rFonts w:ascii="Calibri" w:cs="Calibri" w:eastAsia="Calibri" w:hAnsi="Calibri"/>
          <w:sz w:val="18"/>
          <w:szCs w:val="18"/>
          <w:color w:val="666666"/>
        </w:rPr>
        <w:t>Annual Grants</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44"/>
        </w:numPr>
        <w:rPr>
          <w:rFonts w:ascii="Calibri" w:cs="Calibri" w:eastAsia="Calibri" w:hAnsi="Calibri"/>
          <w:sz w:val="18"/>
          <w:szCs w:val="18"/>
          <w:color w:val="666666"/>
        </w:rPr>
      </w:pPr>
      <w:r>
        <w:rPr>
          <w:rFonts w:ascii="Calibri" w:cs="Calibri" w:eastAsia="Calibri" w:hAnsi="Calibri"/>
          <w:sz w:val="18"/>
          <w:szCs w:val="18"/>
          <w:color w:val="666666"/>
        </w:rPr>
        <w:t>New Hire / Advancement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36</w:t>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Calibri" w:cs="Calibri" w:eastAsia="Calibri" w:hAnsi="Calibri"/>
          <w:sz w:val="18"/>
          <w:szCs w:val="18"/>
          <w:b w:val="1"/>
          <w:bCs w:val="1"/>
          <w:color w:val="4F7CBA"/>
        </w:rPr>
        <w:t>Fiscal Year 2022 Annual Grants</w:t>
      </w:r>
    </w:p>
    <w:p>
      <w:pPr>
        <w:spacing w:after="0" w:line="161" w:lineRule="exact"/>
        <w:rPr>
          <w:sz w:val="20"/>
          <w:szCs w:val="20"/>
          <w:color w:val="auto"/>
        </w:rPr>
      </w:pPr>
    </w:p>
    <w:p>
      <w:pPr>
        <w:ind w:firstLine="319"/>
        <w:spacing w:after="0" w:line="231" w:lineRule="auto"/>
        <w:rPr>
          <w:sz w:val="20"/>
          <w:szCs w:val="20"/>
          <w:color w:val="auto"/>
        </w:rPr>
      </w:pPr>
      <w:r>
        <w:rPr>
          <w:rFonts w:ascii="Calibri" w:cs="Calibri" w:eastAsia="Calibri" w:hAnsi="Calibri"/>
          <w:sz w:val="18"/>
          <w:szCs w:val="18"/>
          <w:color w:val="666666"/>
        </w:rPr>
        <w:t>Our named executve ofcers receive long-term equity incentve grants as part of their annual compensaton that have two components: tme-based restricted stock units (RSUs) and performance-based RSUs.</w:t>
      </w:r>
    </w:p>
    <w:p>
      <w:pPr>
        <w:spacing w:after="0" w:line="152" w:lineRule="exact"/>
        <w:rPr>
          <w:sz w:val="20"/>
          <w:szCs w:val="20"/>
          <w:color w:val="auto"/>
        </w:rPr>
      </w:pPr>
    </w:p>
    <w:p>
      <w:pPr>
        <w:ind w:left="640" w:hanging="315"/>
        <w:spacing w:after="0"/>
        <w:tabs>
          <w:tab w:leader="none" w:pos="640" w:val="left"/>
        </w:tabs>
        <w:numPr>
          <w:ilvl w:val="0"/>
          <w:numId w:val="45"/>
        </w:numPr>
        <w:rPr>
          <w:rFonts w:ascii="Calibri" w:cs="Calibri" w:eastAsia="Calibri" w:hAnsi="Calibri"/>
          <w:sz w:val="18"/>
          <w:szCs w:val="18"/>
          <w:color w:val="666666"/>
        </w:rPr>
      </w:pPr>
      <w:r>
        <w:rPr>
          <w:rFonts w:ascii="Calibri" w:cs="Calibri" w:eastAsia="Calibri" w:hAnsi="Calibri"/>
          <w:sz w:val="18"/>
          <w:szCs w:val="18"/>
          <w:i w:val="1"/>
          <w:iCs w:val="1"/>
          <w:color w:val="666666"/>
        </w:rPr>
        <w:t>Time-Based RSUs</w:t>
      </w:r>
      <w:r>
        <w:rPr>
          <w:rFonts w:ascii="Calibri" w:cs="Calibri" w:eastAsia="Calibri" w:hAnsi="Calibri"/>
          <w:sz w:val="18"/>
          <w:szCs w:val="18"/>
          <w:color w:val="666666"/>
        </w:rPr>
        <w:t>: Setle into shares of Class A common stock in three equal installments over three years.</w:t>
      </w:r>
    </w:p>
    <w:p>
      <w:pPr>
        <w:ind w:left="640" w:right="140" w:hanging="315"/>
        <w:spacing w:after="0" w:line="217" w:lineRule="auto"/>
        <w:tabs>
          <w:tab w:leader="none" w:pos="633" w:val="left"/>
        </w:tabs>
        <w:numPr>
          <w:ilvl w:val="0"/>
          <w:numId w:val="45"/>
        </w:numPr>
        <w:rPr>
          <w:rFonts w:ascii="Calibri" w:cs="Calibri" w:eastAsia="Calibri" w:hAnsi="Calibri"/>
          <w:sz w:val="18"/>
          <w:szCs w:val="18"/>
          <w:b w:val="1"/>
          <w:bCs w:val="1"/>
          <w:color w:val="666666"/>
        </w:rPr>
      </w:pPr>
      <w:r>
        <w:rPr>
          <w:rFonts w:ascii="Calibri" w:cs="Calibri" w:eastAsia="Calibri" w:hAnsi="Calibri"/>
          <w:sz w:val="18"/>
          <w:szCs w:val="18"/>
          <w:i w:val="1"/>
          <w:iCs w:val="1"/>
          <w:color w:val="666666"/>
        </w:rPr>
        <w:t>Performance-Based RSUs</w:t>
      </w:r>
      <w:r>
        <w:rPr>
          <w:rFonts w:ascii="Calibri" w:cs="Calibri" w:eastAsia="Calibri" w:hAnsi="Calibri"/>
          <w:sz w:val="18"/>
          <w:szCs w:val="18"/>
          <w:color w:val="666666"/>
        </w:rPr>
        <w:t>: Setle into shares of Class A common stock at the end of a three-year performance period. For fscal year 2022, the</w:t>
      </w:r>
      <w:r>
        <w:rPr>
          <w:rFonts w:ascii="Calibri" w:cs="Calibri" w:eastAsia="Calibri" w:hAnsi="Calibri"/>
          <w:sz w:val="18"/>
          <w:szCs w:val="18"/>
          <w:i w:val="1"/>
          <w:iCs w:val="1"/>
          <w:color w:val="666666"/>
        </w:rPr>
        <w:t xml:space="preserve"> </w:t>
      </w:r>
      <w:r>
        <w:rPr>
          <w:rFonts w:ascii="Calibri" w:cs="Calibri" w:eastAsia="Calibri" w:hAnsi="Calibri"/>
          <w:sz w:val="18"/>
          <w:szCs w:val="18"/>
          <w:color w:val="666666"/>
        </w:rPr>
        <w:t>performance-based RSU goals were set on the Company's cumulatve performance against two internal fnancial metrics — Adjusted Diluted Earnings Per Share (ADEPS) and Value Added Revenue (VAR or Revenue, Excluding Billable Expenses, as defned in Appendix A), and two internal non-fnancial metrics related to the frm’s commitment to diversity, equity, and inclusion, as described below.</w:t>
      </w:r>
    </w:p>
    <w:p>
      <w:pPr>
        <w:spacing w:after="0" w:line="190" w:lineRule="exact"/>
        <w:rPr>
          <w:sz w:val="20"/>
          <w:szCs w:val="20"/>
          <w:color w:val="auto"/>
        </w:rPr>
      </w:pPr>
    </w:p>
    <w:tbl>
      <w:tblPr>
        <w:tblLayout w:type="fixed"/>
        <w:tblInd w:w="450" w:type="dxa"/>
        <w:tblCellMar>
          <w:top w:w="0" w:type="dxa"/>
          <w:left w:w="0" w:type="dxa"/>
          <w:bottom w:w="0" w:type="dxa"/>
          <w:right w:w="0" w:type="dxa"/>
        </w:tblCellMar>
      </w:tblPr>
      <w:tr>
        <w:trPr>
          <w:trHeight w:val="192"/>
        </w:trPr>
        <w:tc>
          <w:tcPr>
            <w:tcW w:w="2960" w:type="dxa"/>
            <w:vAlign w:val="bottom"/>
            <w:tcBorders>
              <w:top w:val="single" w:sz="8" w:color="828282"/>
              <w:left w:val="single" w:sz="8" w:color="828282"/>
              <w:bottom w:val="single" w:sz="8" w:color="CCEEFF"/>
            </w:tcBorders>
            <w:shd w:val="clear" w:color="auto" w:fill="CCEEFF"/>
          </w:tcPr>
          <w:p>
            <w:pPr>
              <w:ind w:left="40"/>
              <w:spacing w:after="0"/>
              <w:rPr>
                <w:sz w:val="20"/>
                <w:szCs w:val="20"/>
                <w:color w:val="auto"/>
              </w:rPr>
            </w:pPr>
            <w:r>
              <w:rPr>
                <w:rFonts w:ascii="Calibri" w:cs="Calibri" w:eastAsia="Calibri" w:hAnsi="Calibri"/>
                <w:sz w:val="14"/>
                <w:szCs w:val="14"/>
                <w:b w:val="1"/>
                <w:bCs w:val="1"/>
                <w:i w:val="1"/>
                <w:iCs w:val="1"/>
                <w:color w:val="494949"/>
              </w:rPr>
              <w:t xml:space="preserve">Fiscal Year </w:t>
            </w:r>
            <w:r>
              <w:rPr>
                <w:rFonts w:ascii="Calibri" w:cs="Calibri" w:eastAsia="Calibri" w:hAnsi="Calibri"/>
                <w:sz w:val="14"/>
                <w:szCs w:val="14"/>
                <w:b w:val="1"/>
                <w:bCs w:val="1"/>
                <w:i w:val="1"/>
                <w:iCs w:val="1"/>
                <w:color w:val="666666"/>
              </w:rPr>
              <w:t>2022</w:t>
            </w:r>
            <w:r>
              <w:rPr>
                <w:rFonts w:ascii="Calibri" w:cs="Calibri" w:eastAsia="Calibri" w:hAnsi="Calibri"/>
                <w:sz w:val="14"/>
                <w:szCs w:val="14"/>
                <w:b w:val="1"/>
                <w:bCs w:val="1"/>
                <w:i w:val="1"/>
                <w:iCs w:val="1"/>
                <w:color w:val="494949"/>
              </w:rPr>
              <w:t xml:space="preserve"> Performance Metrics</w:t>
            </w:r>
          </w:p>
        </w:tc>
        <w:tc>
          <w:tcPr>
            <w:tcW w:w="1020" w:type="dxa"/>
            <w:vAlign w:val="bottom"/>
            <w:tcBorders>
              <w:top w:val="single" w:sz="8" w:color="828282"/>
              <w:bottom w:val="single" w:sz="8" w:color="CCEEFF"/>
            </w:tcBorders>
            <w:shd w:val="clear" w:color="auto" w:fill="CCEEFF"/>
          </w:tcPr>
          <w:p>
            <w:pPr>
              <w:jc w:val="center"/>
              <w:spacing w:after="0"/>
              <w:rPr>
                <w:sz w:val="20"/>
                <w:szCs w:val="20"/>
                <w:color w:val="auto"/>
              </w:rPr>
            </w:pPr>
            <w:r>
              <w:rPr>
                <w:rFonts w:ascii="Calibri" w:cs="Calibri" w:eastAsia="Calibri" w:hAnsi="Calibri"/>
                <w:sz w:val="14"/>
                <w:szCs w:val="14"/>
                <w:b w:val="1"/>
                <w:bCs w:val="1"/>
                <w:i w:val="1"/>
                <w:iCs w:val="1"/>
                <w:color w:val="494949"/>
              </w:rPr>
              <w:t>Weightng</w:t>
            </w:r>
          </w:p>
        </w:tc>
        <w:tc>
          <w:tcPr>
            <w:tcW w:w="6400" w:type="dxa"/>
            <w:vAlign w:val="bottom"/>
            <w:tcBorders>
              <w:top w:val="single" w:sz="8" w:color="828282"/>
              <w:bottom w:val="single" w:sz="8" w:color="CCEEFF"/>
              <w:right w:val="single" w:sz="8" w:color="828282"/>
            </w:tcBorders>
            <w:shd w:val="clear" w:color="auto" w:fill="CCEEFF"/>
          </w:tcPr>
          <w:p>
            <w:pPr>
              <w:ind w:left="120"/>
              <w:spacing w:after="0"/>
              <w:rPr>
                <w:sz w:val="20"/>
                <w:szCs w:val="20"/>
                <w:color w:val="auto"/>
              </w:rPr>
            </w:pPr>
            <w:r>
              <w:rPr>
                <w:rFonts w:ascii="Calibri" w:cs="Calibri" w:eastAsia="Calibri" w:hAnsi="Calibri"/>
                <w:sz w:val="14"/>
                <w:szCs w:val="14"/>
                <w:b w:val="1"/>
                <w:bCs w:val="1"/>
                <w:i w:val="1"/>
                <w:iCs w:val="1"/>
                <w:color w:val="494949"/>
              </w:rPr>
              <w:t>Performance Metric Descripton</w:t>
            </w:r>
          </w:p>
        </w:tc>
        <w:tc>
          <w:tcPr>
            <w:tcW w:w="0" w:type="dxa"/>
            <w:vAlign w:val="bottom"/>
          </w:tcPr>
          <w:p>
            <w:pPr>
              <w:spacing w:after="0"/>
              <w:rPr>
                <w:sz w:val="1"/>
                <w:szCs w:val="1"/>
                <w:color w:val="auto"/>
              </w:rPr>
            </w:pPr>
          </w:p>
        </w:tc>
      </w:tr>
      <w:tr>
        <w:trPr>
          <w:trHeight w:val="120"/>
        </w:trPr>
        <w:tc>
          <w:tcPr>
            <w:tcW w:w="2960" w:type="dxa"/>
            <w:vAlign w:val="bottom"/>
            <w:tcBorders>
              <w:left w:val="single" w:sz="8" w:color="828282"/>
            </w:tcBorders>
          </w:tcPr>
          <w:p>
            <w:pPr>
              <w:ind w:left="40"/>
              <w:spacing w:after="0" w:line="120" w:lineRule="exact"/>
              <w:rPr>
                <w:sz w:val="20"/>
                <w:szCs w:val="20"/>
                <w:color w:val="auto"/>
              </w:rPr>
            </w:pPr>
            <w:r>
              <w:rPr>
                <w:rFonts w:ascii="Calibri" w:cs="Calibri" w:eastAsia="Calibri" w:hAnsi="Calibri"/>
                <w:sz w:val="13"/>
                <w:szCs w:val="13"/>
                <w:color w:val="494949"/>
              </w:rPr>
              <w:t>Cumulatve Adjusted Diluted Earnings Per Share</w:t>
            </w:r>
          </w:p>
        </w:tc>
        <w:tc>
          <w:tcPr>
            <w:tcW w:w="1020" w:type="dxa"/>
            <w:vAlign w:val="bottom"/>
            <w:vMerge w:val="restart"/>
          </w:tcPr>
          <w:p>
            <w:pPr>
              <w:jc w:val="center"/>
              <w:spacing w:after="0"/>
              <w:rPr>
                <w:sz w:val="20"/>
                <w:szCs w:val="20"/>
                <w:color w:val="auto"/>
              </w:rPr>
            </w:pPr>
            <w:r>
              <w:rPr>
                <w:rFonts w:ascii="Calibri" w:cs="Calibri" w:eastAsia="Calibri" w:hAnsi="Calibri"/>
                <w:sz w:val="14"/>
                <w:szCs w:val="14"/>
                <w:color w:val="494949"/>
                <w:w w:val="98"/>
              </w:rPr>
              <w:t>75%</w:t>
            </w:r>
          </w:p>
        </w:tc>
        <w:tc>
          <w:tcPr>
            <w:tcW w:w="6400" w:type="dxa"/>
            <w:vAlign w:val="bottom"/>
            <w:tcBorders>
              <w:right w:val="single" w:sz="8" w:color="828282"/>
            </w:tcBorders>
          </w:tcPr>
          <w:p>
            <w:pPr>
              <w:ind w:left="120"/>
              <w:spacing w:after="0" w:line="120" w:lineRule="exact"/>
              <w:rPr>
                <w:sz w:val="20"/>
                <w:szCs w:val="20"/>
                <w:color w:val="auto"/>
              </w:rPr>
            </w:pPr>
            <w:r>
              <w:rPr>
                <w:rFonts w:ascii="Calibri" w:cs="Calibri" w:eastAsia="Calibri" w:hAnsi="Calibri"/>
                <w:sz w:val="13"/>
                <w:szCs w:val="13"/>
                <w:color w:val="494949"/>
              </w:rPr>
              <w:t>Three-year cumulatve diluted earnings per share calculated using adjusted net income and measured</w:t>
            </w:r>
          </w:p>
        </w:tc>
        <w:tc>
          <w:tcPr>
            <w:tcW w:w="0" w:type="dxa"/>
            <w:vAlign w:val="bottom"/>
          </w:tcPr>
          <w:p>
            <w:pPr>
              <w:spacing w:after="0"/>
              <w:rPr>
                <w:sz w:val="1"/>
                <w:szCs w:val="1"/>
                <w:color w:val="auto"/>
              </w:rPr>
            </w:pPr>
          </w:p>
        </w:tc>
      </w:tr>
      <w:tr>
        <w:trPr>
          <w:trHeight w:val="100"/>
        </w:trPr>
        <w:tc>
          <w:tcPr>
            <w:tcW w:w="2960" w:type="dxa"/>
            <w:vAlign w:val="bottom"/>
            <w:tcBorders>
              <w:left w:val="single" w:sz="8" w:color="828282"/>
            </w:tcBorders>
            <w:vMerge w:val="restart"/>
          </w:tcPr>
          <w:p>
            <w:pPr>
              <w:ind w:left="40"/>
              <w:spacing w:after="0" w:line="169" w:lineRule="exact"/>
              <w:rPr>
                <w:sz w:val="20"/>
                <w:szCs w:val="20"/>
                <w:color w:val="auto"/>
              </w:rPr>
            </w:pPr>
            <w:r>
              <w:rPr>
                <w:rFonts w:ascii="Calibri" w:cs="Calibri" w:eastAsia="Calibri" w:hAnsi="Calibri"/>
                <w:sz w:val="14"/>
                <w:szCs w:val="14"/>
                <w:color w:val="494949"/>
              </w:rPr>
              <w:t>(ADEPS)</w:t>
            </w:r>
          </w:p>
        </w:tc>
        <w:tc>
          <w:tcPr>
            <w:tcW w:w="1020" w:type="dxa"/>
            <w:vAlign w:val="bottom"/>
            <w:vMerge w:val="continue"/>
          </w:tcPr>
          <w:p>
            <w:pPr>
              <w:spacing w:after="0"/>
              <w:rPr>
                <w:sz w:val="8"/>
                <w:szCs w:val="8"/>
                <w:color w:val="auto"/>
              </w:rPr>
            </w:pPr>
          </w:p>
        </w:tc>
        <w:tc>
          <w:tcPr>
            <w:tcW w:w="6400" w:type="dxa"/>
            <w:vAlign w:val="bottom"/>
            <w:tcBorders>
              <w:right w:val="single" w:sz="8" w:color="828282"/>
            </w:tcBorders>
            <w:vMerge w:val="restart"/>
          </w:tcPr>
          <w:p>
            <w:pPr>
              <w:ind w:left="120"/>
              <w:spacing w:after="0" w:line="169" w:lineRule="exact"/>
              <w:rPr>
                <w:sz w:val="20"/>
                <w:szCs w:val="20"/>
                <w:color w:val="auto"/>
              </w:rPr>
            </w:pPr>
            <w:r>
              <w:rPr>
                <w:rFonts w:ascii="Calibri" w:cs="Calibri" w:eastAsia="Calibri" w:hAnsi="Calibri"/>
                <w:sz w:val="14"/>
                <w:szCs w:val="14"/>
                <w:color w:val="494949"/>
              </w:rPr>
              <w:t>against performance targets set at the start of the performance period</w:t>
            </w:r>
          </w:p>
        </w:tc>
        <w:tc>
          <w:tcPr>
            <w:tcW w:w="0" w:type="dxa"/>
            <w:vAlign w:val="bottom"/>
          </w:tcPr>
          <w:p>
            <w:pPr>
              <w:spacing w:after="0"/>
              <w:rPr>
                <w:sz w:val="1"/>
                <w:szCs w:val="1"/>
                <w:color w:val="auto"/>
              </w:rPr>
            </w:pPr>
          </w:p>
        </w:tc>
      </w:tr>
      <w:tr>
        <w:trPr>
          <w:trHeight w:val="68"/>
        </w:trPr>
        <w:tc>
          <w:tcPr>
            <w:tcW w:w="2960" w:type="dxa"/>
            <w:vAlign w:val="bottom"/>
            <w:tcBorders>
              <w:left w:val="single" w:sz="8" w:color="828282"/>
            </w:tcBorders>
            <w:vMerge w:val="continue"/>
          </w:tcPr>
          <w:p>
            <w:pPr>
              <w:spacing w:after="0"/>
              <w:rPr>
                <w:sz w:val="5"/>
                <w:szCs w:val="5"/>
                <w:color w:val="auto"/>
              </w:rPr>
            </w:pPr>
          </w:p>
        </w:tc>
        <w:tc>
          <w:tcPr>
            <w:tcW w:w="1020" w:type="dxa"/>
            <w:vAlign w:val="bottom"/>
          </w:tcPr>
          <w:p>
            <w:pPr>
              <w:spacing w:after="0"/>
              <w:rPr>
                <w:sz w:val="5"/>
                <w:szCs w:val="5"/>
                <w:color w:val="auto"/>
              </w:rPr>
            </w:pPr>
          </w:p>
        </w:tc>
        <w:tc>
          <w:tcPr>
            <w:tcW w:w="6400" w:type="dxa"/>
            <w:vAlign w:val="bottom"/>
            <w:tcBorders>
              <w:right w:val="single" w:sz="8" w:color="828282"/>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2960" w:type="dxa"/>
            <w:vAlign w:val="bottom"/>
            <w:tcBorders>
              <w:left w:val="single" w:sz="8" w:color="828282"/>
            </w:tcBorders>
            <w:vMerge w:val="restart"/>
          </w:tcPr>
          <w:p>
            <w:pPr>
              <w:ind w:left="40"/>
              <w:spacing w:after="0"/>
              <w:rPr>
                <w:sz w:val="20"/>
                <w:szCs w:val="20"/>
                <w:color w:val="auto"/>
              </w:rPr>
            </w:pPr>
            <w:r>
              <w:rPr>
                <w:rFonts w:ascii="Calibri" w:cs="Calibri" w:eastAsia="Calibri" w:hAnsi="Calibri"/>
                <w:sz w:val="14"/>
                <w:szCs w:val="14"/>
                <w:color w:val="494949"/>
              </w:rPr>
              <w:t>Cumulatve Value Added Revenue (VAR)</w:t>
            </w:r>
          </w:p>
        </w:tc>
        <w:tc>
          <w:tcPr>
            <w:tcW w:w="1020" w:type="dxa"/>
            <w:vAlign w:val="bottom"/>
            <w:vMerge w:val="restart"/>
          </w:tcPr>
          <w:p>
            <w:pPr>
              <w:jc w:val="center"/>
              <w:spacing w:after="0"/>
              <w:rPr>
                <w:sz w:val="20"/>
                <w:szCs w:val="20"/>
                <w:color w:val="auto"/>
              </w:rPr>
            </w:pPr>
            <w:r>
              <w:rPr>
                <w:rFonts w:ascii="Calibri" w:cs="Calibri" w:eastAsia="Calibri" w:hAnsi="Calibri"/>
                <w:sz w:val="14"/>
                <w:szCs w:val="14"/>
                <w:color w:val="494949"/>
                <w:w w:val="98"/>
              </w:rPr>
              <w:t>25%</w:t>
            </w:r>
          </w:p>
        </w:tc>
        <w:tc>
          <w:tcPr>
            <w:tcW w:w="6400" w:type="dxa"/>
            <w:vAlign w:val="bottom"/>
            <w:tcBorders>
              <w:right w:val="single" w:sz="8" w:color="828282"/>
            </w:tcBorders>
          </w:tcPr>
          <w:p>
            <w:pPr>
              <w:ind w:left="120"/>
              <w:spacing w:after="0" w:line="164" w:lineRule="exact"/>
              <w:rPr>
                <w:sz w:val="20"/>
                <w:szCs w:val="20"/>
                <w:color w:val="auto"/>
              </w:rPr>
            </w:pPr>
            <w:r>
              <w:rPr>
                <w:rFonts w:ascii="Calibri" w:cs="Calibri" w:eastAsia="Calibri" w:hAnsi="Calibri"/>
                <w:sz w:val="14"/>
                <w:szCs w:val="14"/>
                <w:color w:val="494949"/>
              </w:rPr>
              <w:t>Three-year cumulatve revenue less billable expenses measured against performance targets set at the start</w:t>
            </w:r>
          </w:p>
        </w:tc>
        <w:tc>
          <w:tcPr>
            <w:tcW w:w="0" w:type="dxa"/>
            <w:vAlign w:val="bottom"/>
          </w:tcPr>
          <w:p>
            <w:pPr>
              <w:spacing w:after="0"/>
              <w:rPr>
                <w:sz w:val="1"/>
                <w:szCs w:val="1"/>
                <w:color w:val="auto"/>
              </w:rPr>
            </w:pPr>
          </w:p>
        </w:tc>
      </w:tr>
      <w:tr>
        <w:trPr>
          <w:trHeight w:val="100"/>
        </w:trPr>
        <w:tc>
          <w:tcPr>
            <w:tcW w:w="2960" w:type="dxa"/>
            <w:vAlign w:val="bottom"/>
            <w:tcBorders>
              <w:left w:val="single" w:sz="8" w:color="828282"/>
            </w:tcBorders>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6400" w:type="dxa"/>
            <w:vAlign w:val="bottom"/>
            <w:tcBorders>
              <w:right w:val="single" w:sz="8" w:color="828282"/>
            </w:tcBorders>
            <w:vMerge w:val="restart"/>
          </w:tcPr>
          <w:p>
            <w:pPr>
              <w:ind w:left="120"/>
              <w:spacing w:after="0" w:line="169" w:lineRule="exact"/>
              <w:rPr>
                <w:sz w:val="20"/>
                <w:szCs w:val="20"/>
                <w:color w:val="auto"/>
              </w:rPr>
            </w:pPr>
            <w:r>
              <w:rPr>
                <w:rFonts w:ascii="Calibri" w:cs="Calibri" w:eastAsia="Calibri" w:hAnsi="Calibri"/>
                <w:sz w:val="14"/>
                <w:szCs w:val="14"/>
                <w:color w:val="494949"/>
              </w:rPr>
              <w:t>of the performance period</w:t>
            </w:r>
          </w:p>
        </w:tc>
        <w:tc>
          <w:tcPr>
            <w:tcW w:w="0" w:type="dxa"/>
            <w:vAlign w:val="bottom"/>
          </w:tcPr>
          <w:p>
            <w:pPr>
              <w:spacing w:after="0"/>
              <w:rPr>
                <w:sz w:val="1"/>
                <w:szCs w:val="1"/>
                <w:color w:val="auto"/>
              </w:rPr>
            </w:pPr>
          </w:p>
        </w:tc>
      </w:tr>
      <w:tr>
        <w:trPr>
          <w:trHeight w:val="68"/>
        </w:trPr>
        <w:tc>
          <w:tcPr>
            <w:tcW w:w="2960" w:type="dxa"/>
            <w:vAlign w:val="bottom"/>
            <w:tcBorders>
              <w:left w:val="single" w:sz="8" w:color="828282"/>
            </w:tcBorders>
          </w:tcPr>
          <w:p>
            <w:pPr>
              <w:spacing w:after="0"/>
              <w:rPr>
                <w:sz w:val="5"/>
                <w:szCs w:val="5"/>
                <w:color w:val="auto"/>
              </w:rPr>
            </w:pPr>
          </w:p>
        </w:tc>
        <w:tc>
          <w:tcPr>
            <w:tcW w:w="1020" w:type="dxa"/>
            <w:vAlign w:val="bottom"/>
          </w:tcPr>
          <w:p>
            <w:pPr>
              <w:spacing w:after="0"/>
              <w:rPr>
                <w:sz w:val="5"/>
                <w:szCs w:val="5"/>
                <w:color w:val="auto"/>
              </w:rPr>
            </w:pPr>
          </w:p>
        </w:tc>
        <w:tc>
          <w:tcPr>
            <w:tcW w:w="6400" w:type="dxa"/>
            <w:vAlign w:val="bottom"/>
            <w:tcBorders>
              <w:right w:val="single" w:sz="8" w:color="828282"/>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2960" w:type="dxa"/>
            <w:vAlign w:val="bottom"/>
            <w:tcBorders>
              <w:left w:val="single" w:sz="8" w:color="828282"/>
            </w:tcBorders>
            <w:vMerge w:val="restart"/>
          </w:tcPr>
          <w:p>
            <w:pPr>
              <w:ind w:left="40"/>
              <w:spacing w:after="0"/>
              <w:rPr>
                <w:sz w:val="20"/>
                <w:szCs w:val="20"/>
                <w:color w:val="auto"/>
              </w:rPr>
            </w:pPr>
            <w:r>
              <w:rPr>
                <w:rFonts w:ascii="Calibri" w:cs="Calibri" w:eastAsia="Calibri" w:hAnsi="Calibri"/>
                <w:sz w:val="14"/>
                <w:szCs w:val="14"/>
                <w:color w:val="494949"/>
              </w:rPr>
              <w:t>Non-Financial Goals</w:t>
            </w:r>
          </w:p>
        </w:tc>
        <w:tc>
          <w:tcPr>
            <w:tcW w:w="1020" w:type="dxa"/>
            <w:vAlign w:val="bottom"/>
            <w:vMerge w:val="restart"/>
          </w:tcPr>
          <w:p>
            <w:pPr>
              <w:jc w:val="center"/>
              <w:spacing w:after="0"/>
              <w:rPr>
                <w:sz w:val="20"/>
                <w:szCs w:val="20"/>
                <w:color w:val="auto"/>
              </w:rPr>
            </w:pPr>
            <w:r>
              <w:rPr>
                <w:rFonts w:ascii="Calibri" w:cs="Calibri" w:eastAsia="Calibri" w:hAnsi="Calibri"/>
                <w:sz w:val="14"/>
                <w:szCs w:val="14"/>
                <w:color w:val="494949"/>
              </w:rPr>
              <w:t>10% Upside</w:t>
            </w:r>
          </w:p>
        </w:tc>
        <w:tc>
          <w:tcPr>
            <w:tcW w:w="6400" w:type="dxa"/>
            <w:vAlign w:val="bottom"/>
            <w:tcBorders>
              <w:right w:val="single" w:sz="8" w:color="828282"/>
            </w:tcBorders>
          </w:tcPr>
          <w:p>
            <w:pPr>
              <w:ind w:left="120"/>
              <w:spacing w:after="0" w:line="164" w:lineRule="exact"/>
              <w:rPr>
                <w:sz w:val="20"/>
                <w:szCs w:val="20"/>
                <w:color w:val="auto"/>
              </w:rPr>
            </w:pPr>
            <w:r>
              <w:rPr>
                <w:rFonts w:ascii="Calibri" w:cs="Calibri" w:eastAsia="Calibri" w:hAnsi="Calibri"/>
                <w:sz w:val="14"/>
                <w:szCs w:val="14"/>
                <w:color w:val="494949"/>
              </w:rPr>
              <w:t>Two internal non-fnancial metrics related to the frm's diversity, equity, and inclusion goals measured</w:t>
            </w:r>
          </w:p>
        </w:tc>
        <w:tc>
          <w:tcPr>
            <w:tcW w:w="0" w:type="dxa"/>
            <w:vAlign w:val="bottom"/>
          </w:tcPr>
          <w:p>
            <w:pPr>
              <w:spacing w:after="0"/>
              <w:rPr>
                <w:sz w:val="1"/>
                <w:szCs w:val="1"/>
                <w:color w:val="auto"/>
              </w:rPr>
            </w:pPr>
          </w:p>
        </w:tc>
      </w:tr>
      <w:tr>
        <w:trPr>
          <w:trHeight w:val="100"/>
        </w:trPr>
        <w:tc>
          <w:tcPr>
            <w:tcW w:w="2960" w:type="dxa"/>
            <w:vAlign w:val="bottom"/>
            <w:tcBorders>
              <w:left w:val="single" w:sz="8" w:color="828282"/>
            </w:tcBorders>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6400" w:type="dxa"/>
            <w:vAlign w:val="bottom"/>
            <w:tcBorders>
              <w:right w:val="single" w:sz="8" w:color="828282"/>
            </w:tcBorders>
            <w:vMerge w:val="restart"/>
          </w:tcPr>
          <w:p>
            <w:pPr>
              <w:ind w:left="120"/>
              <w:spacing w:after="0" w:line="169" w:lineRule="exact"/>
              <w:rPr>
                <w:sz w:val="20"/>
                <w:szCs w:val="20"/>
                <w:color w:val="auto"/>
              </w:rPr>
            </w:pPr>
            <w:r>
              <w:rPr>
                <w:rFonts w:ascii="Calibri" w:cs="Calibri" w:eastAsia="Calibri" w:hAnsi="Calibri"/>
                <w:sz w:val="14"/>
                <w:szCs w:val="14"/>
                <w:color w:val="494949"/>
              </w:rPr>
              <w:t>against performance targets set at the start of the performance period</w:t>
            </w:r>
          </w:p>
        </w:tc>
        <w:tc>
          <w:tcPr>
            <w:tcW w:w="0" w:type="dxa"/>
            <w:vAlign w:val="bottom"/>
          </w:tcPr>
          <w:p>
            <w:pPr>
              <w:spacing w:after="0"/>
              <w:rPr>
                <w:sz w:val="1"/>
                <w:szCs w:val="1"/>
                <w:color w:val="auto"/>
              </w:rPr>
            </w:pPr>
          </w:p>
        </w:tc>
      </w:tr>
      <w:tr>
        <w:trPr>
          <w:trHeight w:val="68"/>
        </w:trPr>
        <w:tc>
          <w:tcPr>
            <w:tcW w:w="2960" w:type="dxa"/>
            <w:vAlign w:val="bottom"/>
            <w:tcBorders>
              <w:left w:val="single" w:sz="8" w:color="828282"/>
            </w:tcBorders>
          </w:tcPr>
          <w:p>
            <w:pPr>
              <w:spacing w:after="0"/>
              <w:rPr>
                <w:sz w:val="5"/>
                <w:szCs w:val="5"/>
                <w:color w:val="auto"/>
              </w:rPr>
            </w:pPr>
          </w:p>
        </w:tc>
        <w:tc>
          <w:tcPr>
            <w:tcW w:w="1020" w:type="dxa"/>
            <w:vAlign w:val="bottom"/>
          </w:tcPr>
          <w:p>
            <w:pPr>
              <w:spacing w:after="0"/>
              <w:rPr>
                <w:sz w:val="5"/>
                <w:szCs w:val="5"/>
                <w:color w:val="auto"/>
              </w:rPr>
            </w:pPr>
          </w:p>
        </w:tc>
        <w:tc>
          <w:tcPr>
            <w:tcW w:w="6400" w:type="dxa"/>
            <w:vAlign w:val="bottom"/>
            <w:tcBorders>
              <w:right w:val="single" w:sz="8" w:color="828282"/>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960" w:type="dxa"/>
            <w:vAlign w:val="bottom"/>
            <w:tcBorders>
              <w:left w:val="single" w:sz="8" w:color="828282"/>
              <w:bottom w:val="single" w:sz="8" w:color="828282"/>
            </w:tcBorders>
          </w:tcPr>
          <w:p>
            <w:pPr>
              <w:spacing w:after="0"/>
              <w:rPr>
                <w:sz w:val="3"/>
                <w:szCs w:val="3"/>
                <w:color w:val="auto"/>
              </w:rPr>
            </w:pPr>
          </w:p>
        </w:tc>
        <w:tc>
          <w:tcPr>
            <w:tcW w:w="1020" w:type="dxa"/>
            <w:vAlign w:val="bottom"/>
            <w:tcBorders>
              <w:bottom w:val="single" w:sz="8" w:color="828282"/>
            </w:tcBorders>
          </w:tcPr>
          <w:p>
            <w:pPr>
              <w:spacing w:after="0"/>
              <w:rPr>
                <w:sz w:val="3"/>
                <w:szCs w:val="3"/>
                <w:color w:val="auto"/>
              </w:rPr>
            </w:pPr>
          </w:p>
        </w:tc>
        <w:tc>
          <w:tcPr>
            <w:tcW w:w="6400" w:type="dxa"/>
            <w:vAlign w:val="bottom"/>
            <w:tcBorders>
              <w:bottom w:val="single" w:sz="8" w:color="828282"/>
              <w:right w:val="single" w:sz="8" w:color="828282"/>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left="640"/>
        <w:spacing w:after="0" w:line="231" w:lineRule="auto"/>
        <w:rPr>
          <w:sz w:val="20"/>
          <w:szCs w:val="20"/>
          <w:color w:val="auto"/>
        </w:rPr>
      </w:pPr>
      <w:r>
        <w:rPr>
          <w:rFonts w:ascii="Calibri" w:cs="Calibri" w:eastAsia="Calibri" w:hAnsi="Calibri"/>
          <w:sz w:val="18"/>
          <w:szCs w:val="18"/>
          <w:color w:val="666666"/>
        </w:rPr>
        <w:t>These internal fnancial metrics were selected as a representaton of organic revenue growth and botom-line Company performance. The Company believes that the combinaton and weightng of each metric drive towards the goal of sustainable quality growth, with heavier weightng placed on ADEPS to further emphasize proftability and volume of revenue. The number of performance-based RSUs that vest at the end of the three-year performance cycle may range from zero percent for performance that falls below the minimum performance threshold and up to 200 percent for maximum performance.</w:t>
      </w:r>
    </w:p>
    <w:p>
      <w:pPr>
        <w:spacing w:after="0" w:line="164" w:lineRule="exact"/>
        <w:rPr>
          <w:sz w:val="20"/>
          <w:szCs w:val="20"/>
          <w:color w:val="auto"/>
        </w:rPr>
      </w:pPr>
    </w:p>
    <w:p>
      <w:pPr>
        <w:jc w:val="both"/>
        <w:ind w:left="640"/>
        <w:spacing w:after="0" w:line="231" w:lineRule="auto"/>
        <w:rPr>
          <w:sz w:val="20"/>
          <w:szCs w:val="20"/>
          <w:color w:val="auto"/>
        </w:rPr>
      </w:pPr>
      <w:r>
        <w:rPr>
          <w:rFonts w:ascii="Calibri" w:cs="Calibri" w:eastAsia="Calibri" w:hAnsi="Calibri"/>
          <w:sz w:val="18"/>
          <w:szCs w:val="18"/>
          <w:color w:val="666666"/>
        </w:rPr>
        <w:t>For fscal year 2022, the Compensaton, Culture and People Commitee, with guidance from Korn Ferry and management, introduced non-fnancial strategic metrics as part of the performance-based RSU goals. For fscal year 2022, the Commitee approved two goals associated with our commitment to diversity, equity, and inclusion. Successful achievement of each non-fnancial goal by the end of the three-year performance period could result in additonal 5% upside vest opportunity for each non-fnancial goal, respectvely, afer performance for the fnancial metrics has been approved and certfed. The non-fnancial strategic metrics were designed to support the organizaton’s overall strategy, purpose, and values and we antcipate such metrics will evolve over tme consistent with our business strategy.</w:t>
      </w:r>
    </w:p>
    <w:p>
      <w:pPr>
        <w:spacing w:after="0" w:line="165" w:lineRule="exact"/>
        <w:rPr>
          <w:sz w:val="20"/>
          <w:szCs w:val="20"/>
          <w:color w:val="auto"/>
        </w:rPr>
      </w:pPr>
    </w:p>
    <w:p>
      <w:pPr>
        <w:jc w:val="both"/>
        <w:ind w:left="640"/>
        <w:spacing w:after="0" w:line="231" w:lineRule="auto"/>
        <w:rPr>
          <w:sz w:val="20"/>
          <w:szCs w:val="20"/>
          <w:color w:val="auto"/>
        </w:rPr>
      </w:pPr>
      <w:r>
        <w:rPr>
          <w:rFonts w:ascii="Calibri" w:cs="Calibri" w:eastAsia="Calibri" w:hAnsi="Calibri"/>
          <w:sz w:val="18"/>
          <w:szCs w:val="18"/>
          <w:color w:val="666666"/>
        </w:rPr>
        <w:t>At the start of the three-year performance cycle, the Compensaton, Culture and People Commitee sets the threshold, target and maximum performance levels, and corresponding payouts. When establishing these performance levels, the Compensaton, Culture and People Commitee considers, among other things, projected Company performance and long-term strategic growth objectves, business outlook, and market growth forecasts. Since the goals are established for future performance over a three-year period, outcomes are by defniton uncertain. Due to the proprietary and compettve nature of the Company's business strategy and internal budgets that inform the three-year performance program targets, the Compensaton, Culture and People Commitee discloses the long-term performance levels for each of the performance goals following the completon of the performance period.</w:t>
      </w:r>
    </w:p>
    <w:p>
      <w:pPr>
        <w:spacing w:after="0" w:line="166"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For fscal year 2022, the target annual equity mix for our CEO was approximately 72 percent aligned to performance-based RSUs and 28 percent aligned to tme-based RSUs. The average target annualized equity mix for all other named executve ofcers was approximately 60 percent aligned to performance-based RSUs and approximately 40 percent aligned to tme-based RSUs.</w:t>
      </w:r>
    </w:p>
    <w:p>
      <w:pPr>
        <w:spacing w:after="0" w:line="162" w:lineRule="exact"/>
        <w:rPr>
          <w:sz w:val="20"/>
          <w:szCs w:val="20"/>
          <w:color w:val="auto"/>
        </w:rPr>
      </w:pPr>
    </w:p>
    <w:p>
      <w:pPr>
        <w:jc w:val="both"/>
        <w:ind w:firstLine="319"/>
        <w:spacing w:after="0" w:line="246" w:lineRule="auto"/>
        <w:rPr>
          <w:sz w:val="20"/>
          <w:szCs w:val="20"/>
          <w:color w:val="auto"/>
        </w:rPr>
      </w:pPr>
      <w:r>
        <w:rPr>
          <w:rFonts w:ascii="Calibri" w:cs="Calibri" w:eastAsia="Calibri" w:hAnsi="Calibri"/>
          <w:sz w:val="17"/>
          <w:szCs w:val="17"/>
          <w:color w:val="666666"/>
        </w:rPr>
        <w:t>The Compensaton, Culture and People Commitee, with guidance from Korn Ferry, peer benchmarking data, and the CEO (in the case of named executve ofcers who are direct reports to the CEO), increased the long-term equity incentve grant values for fscal year 2022 for the named executve ofcers to further align the compensaton of our named executve ofcers with long-term Company performance. The CEO has the highest allocaton of performance-based RSUs based on his role as the overall steward of the Company and to te a signifcant porton of his compensaton to the Company's performance. The performance-based RSUs allow for additonal rewards based on over-achievement against our long-term performance goals, while also penalizing for under-performance. The tme-based RSUs encourage retenton and provide for incremental recogniton of equity compensaton over the vest cycle.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37</w:t>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650" w:type="dxa"/>
        <w:tblCellMar>
          <w:top w:w="0" w:type="dxa"/>
          <w:left w:w="0" w:type="dxa"/>
          <w:bottom w:w="0" w:type="dxa"/>
          <w:right w:w="0" w:type="dxa"/>
        </w:tblCellMar>
      </w:tblPr>
      <w:tr>
        <w:trPr>
          <w:trHeight w:val="212"/>
        </w:trPr>
        <w:tc>
          <w:tcPr>
            <w:tcW w:w="2400" w:type="dxa"/>
            <w:vAlign w:val="bottom"/>
            <w:tcBorders>
              <w:top w:val="single" w:sz="8" w:color="929292"/>
              <w:left w:val="single" w:sz="8" w:color="929292"/>
            </w:tcBorders>
            <w:shd w:val="clear" w:color="auto" w:fill="CCEEFF"/>
          </w:tcPr>
          <w:p>
            <w:pPr>
              <w:ind w:left="20"/>
              <w:spacing w:after="0"/>
              <w:rPr>
                <w:sz w:val="20"/>
                <w:szCs w:val="20"/>
                <w:color w:val="auto"/>
              </w:rPr>
            </w:pPr>
            <w:r>
              <w:rPr>
                <w:rFonts w:ascii="Calibri" w:cs="Calibri" w:eastAsia="Calibri" w:hAnsi="Calibri"/>
                <w:sz w:val="14"/>
                <w:szCs w:val="14"/>
                <w:b w:val="1"/>
                <w:bCs w:val="1"/>
                <w:color w:val="494949"/>
              </w:rPr>
              <w:t>Name</w:t>
            </w:r>
          </w:p>
        </w:tc>
        <w:tc>
          <w:tcPr>
            <w:tcW w:w="4460" w:type="dxa"/>
            <w:vAlign w:val="bottom"/>
            <w:tcBorders>
              <w:top w:val="single" w:sz="8" w:color="929292"/>
            </w:tcBorders>
            <w:shd w:val="clear" w:color="auto" w:fill="CCEEFF"/>
          </w:tcPr>
          <w:p>
            <w:pPr>
              <w:ind w:left="1260"/>
              <w:spacing w:after="0" w:line="213" w:lineRule="exact"/>
              <w:rPr>
                <w:sz w:val="20"/>
                <w:szCs w:val="20"/>
                <w:color w:val="auto"/>
              </w:rPr>
            </w:pPr>
            <w:r>
              <w:rPr>
                <w:rFonts w:ascii="Calibri" w:cs="Calibri" w:eastAsia="Calibri" w:hAnsi="Calibri"/>
                <w:sz w:val="14"/>
                <w:szCs w:val="14"/>
                <w:b w:val="1"/>
                <w:bCs w:val="1"/>
                <w:color w:val="494949"/>
              </w:rPr>
              <w:t xml:space="preserve">FY22 Target Performance-Based RSU Grant </w:t>
            </w:r>
            <w:r>
              <w:rPr>
                <w:rFonts w:ascii="Calibri" w:cs="Calibri" w:eastAsia="Calibri" w:hAnsi="Calibri"/>
                <w:sz w:val="18"/>
                <w:szCs w:val="18"/>
                <w:b w:val="1"/>
                <w:bCs w:val="1"/>
                <w:color w:val="494949"/>
                <w:vertAlign w:val="superscript"/>
              </w:rPr>
              <w:t>1</w:t>
            </w:r>
          </w:p>
        </w:tc>
        <w:tc>
          <w:tcPr>
            <w:tcW w:w="3460" w:type="dxa"/>
            <w:vAlign w:val="bottom"/>
            <w:tcBorders>
              <w:top w:val="single" w:sz="8" w:color="929292"/>
              <w:right w:val="single" w:sz="8" w:color="929292"/>
            </w:tcBorders>
            <w:shd w:val="clear" w:color="auto" w:fill="CCEEFF"/>
          </w:tcPr>
          <w:p>
            <w:pPr>
              <w:ind w:left="620"/>
              <w:spacing w:after="0" w:line="213" w:lineRule="exact"/>
              <w:rPr>
                <w:sz w:val="20"/>
                <w:szCs w:val="20"/>
                <w:color w:val="auto"/>
              </w:rPr>
            </w:pPr>
            <w:r>
              <w:rPr>
                <w:rFonts w:ascii="Calibri" w:cs="Calibri" w:eastAsia="Calibri" w:hAnsi="Calibri"/>
                <w:sz w:val="14"/>
                <w:szCs w:val="14"/>
                <w:b w:val="1"/>
                <w:bCs w:val="1"/>
                <w:color w:val="494949"/>
              </w:rPr>
              <w:t xml:space="preserve">FY22 Target Time-Based RSU Grant </w:t>
            </w:r>
            <w:r>
              <w:rPr>
                <w:rFonts w:ascii="Calibri" w:cs="Calibri" w:eastAsia="Calibri" w:hAnsi="Calibri"/>
                <w:sz w:val="18"/>
                <w:szCs w:val="18"/>
                <w:b w:val="1"/>
                <w:bCs w:val="1"/>
                <w:color w:val="494949"/>
                <w:vertAlign w:val="superscript"/>
              </w:rPr>
              <w:t>1</w:t>
            </w:r>
          </w:p>
        </w:tc>
      </w:tr>
      <w:tr>
        <w:trPr>
          <w:trHeight w:val="168"/>
        </w:trPr>
        <w:tc>
          <w:tcPr>
            <w:tcW w:w="2400" w:type="dxa"/>
            <w:vAlign w:val="bottom"/>
            <w:tcBorders>
              <w:left w:val="single" w:sz="8" w:color="929292"/>
            </w:tcBorders>
          </w:tcPr>
          <w:p>
            <w:pPr>
              <w:ind w:left="20"/>
              <w:spacing w:after="0" w:line="169" w:lineRule="exact"/>
              <w:rPr>
                <w:sz w:val="20"/>
                <w:szCs w:val="20"/>
                <w:color w:val="auto"/>
              </w:rPr>
            </w:pPr>
            <w:r>
              <w:rPr>
                <w:rFonts w:ascii="Calibri" w:cs="Calibri" w:eastAsia="Calibri" w:hAnsi="Calibri"/>
                <w:sz w:val="14"/>
                <w:szCs w:val="14"/>
                <w:color w:val="494949"/>
              </w:rPr>
              <w:t>Horacio D. Rozanski</w:t>
            </w:r>
          </w:p>
        </w:tc>
        <w:tc>
          <w:tcPr>
            <w:tcW w:w="4460" w:type="dxa"/>
            <w:vAlign w:val="bottom"/>
          </w:tcPr>
          <w:p>
            <w:pPr>
              <w:jc w:val="center"/>
              <w:ind w:left="569"/>
              <w:spacing w:after="0" w:line="169" w:lineRule="exact"/>
              <w:rPr>
                <w:sz w:val="20"/>
                <w:szCs w:val="20"/>
                <w:color w:val="auto"/>
              </w:rPr>
            </w:pPr>
            <w:r>
              <w:rPr>
                <w:rFonts w:ascii="Calibri" w:cs="Calibri" w:eastAsia="Calibri" w:hAnsi="Calibri"/>
                <w:sz w:val="14"/>
                <w:szCs w:val="14"/>
                <w:color w:val="494949"/>
              </w:rPr>
              <w:t>$6,120,033</w:t>
            </w:r>
          </w:p>
        </w:tc>
        <w:tc>
          <w:tcPr>
            <w:tcW w:w="3460" w:type="dxa"/>
            <w:vAlign w:val="bottom"/>
            <w:tcBorders>
              <w:right w:val="single" w:sz="8" w:color="929292"/>
            </w:tcBorders>
          </w:tcPr>
          <w:p>
            <w:pPr>
              <w:jc w:val="center"/>
              <w:ind w:right="49"/>
              <w:spacing w:after="0" w:line="169" w:lineRule="exact"/>
              <w:rPr>
                <w:sz w:val="20"/>
                <w:szCs w:val="20"/>
                <w:color w:val="auto"/>
              </w:rPr>
            </w:pPr>
            <w:r>
              <w:rPr>
                <w:rFonts w:ascii="Calibri" w:cs="Calibri" w:eastAsia="Calibri" w:hAnsi="Calibri"/>
                <w:sz w:val="14"/>
                <w:szCs w:val="14"/>
                <w:color w:val="494949"/>
              </w:rPr>
              <w:t>$2,380,068</w:t>
            </w:r>
          </w:p>
        </w:tc>
      </w:tr>
      <w:tr>
        <w:trPr>
          <w:trHeight w:val="31"/>
        </w:trPr>
        <w:tc>
          <w:tcPr>
            <w:tcW w:w="2400" w:type="dxa"/>
            <w:vAlign w:val="bottom"/>
            <w:tcBorders>
              <w:left w:val="single" w:sz="8" w:color="929292"/>
            </w:tcBorders>
          </w:tcPr>
          <w:p>
            <w:pPr>
              <w:spacing w:after="0"/>
              <w:rPr>
                <w:sz w:val="2"/>
                <w:szCs w:val="2"/>
                <w:color w:val="auto"/>
              </w:rPr>
            </w:pPr>
          </w:p>
        </w:tc>
        <w:tc>
          <w:tcPr>
            <w:tcW w:w="4460" w:type="dxa"/>
            <w:vAlign w:val="bottom"/>
          </w:tcPr>
          <w:p>
            <w:pPr>
              <w:spacing w:after="0"/>
              <w:rPr>
                <w:sz w:val="2"/>
                <w:szCs w:val="2"/>
                <w:color w:val="auto"/>
              </w:rPr>
            </w:pPr>
          </w:p>
        </w:tc>
        <w:tc>
          <w:tcPr>
            <w:tcW w:w="3460" w:type="dxa"/>
            <w:vAlign w:val="bottom"/>
            <w:tcBorders>
              <w:right w:val="single" w:sz="8" w:color="929292"/>
            </w:tcBorders>
          </w:tcPr>
          <w:p>
            <w:pPr>
              <w:spacing w:after="0"/>
              <w:rPr>
                <w:sz w:val="2"/>
                <w:szCs w:val="2"/>
                <w:color w:val="auto"/>
              </w:rPr>
            </w:pPr>
          </w:p>
        </w:tc>
      </w:tr>
      <w:tr>
        <w:trPr>
          <w:trHeight w:val="179"/>
        </w:trPr>
        <w:tc>
          <w:tcPr>
            <w:tcW w:w="2400" w:type="dxa"/>
            <w:vAlign w:val="bottom"/>
            <w:tcBorders>
              <w:left w:val="single" w:sz="8" w:color="929292"/>
              <w:bottom w:val="single" w:sz="8" w:color="CCEEFF"/>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494949"/>
              </w:rPr>
              <w:t>Lloyd W. Howell, Jr.</w:t>
            </w:r>
          </w:p>
        </w:tc>
        <w:tc>
          <w:tcPr>
            <w:tcW w:w="4460" w:type="dxa"/>
            <w:vAlign w:val="bottom"/>
            <w:tcBorders>
              <w:bottom w:val="single" w:sz="8" w:color="CCEEFF"/>
            </w:tcBorders>
            <w:shd w:val="clear" w:color="auto" w:fill="CCEEFF"/>
          </w:tcPr>
          <w:p>
            <w:pPr>
              <w:jc w:val="center"/>
              <w:ind w:left="569"/>
              <w:spacing w:after="0" w:line="169" w:lineRule="exact"/>
              <w:rPr>
                <w:sz w:val="20"/>
                <w:szCs w:val="20"/>
                <w:color w:val="auto"/>
              </w:rPr>
            </w:pPr>
            <w:r>
              <w:rPr>
                <w:rFonts w:ascii="Calibri" w:cs="Calibri" w:eastAsia="Calibri" w:hAnsi="Calibri"/>
                <w:sz w:val="14"/>
                <w:szCs w:val="14"/>
                <w:color w:val="494949"/>
              </w:rPr>
              <w:t>$1,245,069</w:t>
            </w:r>
          </w:p>
        </w:tc>
        <w:tc>
          <w:tcPr>
            <w:tcW w:w="3460" w:type="dxa"/>
            <w:vAlign w:val="bottom"/>
            <w:tcBorders>
              <w:bottom w:val="single" w:sz="8" w:color="CCEEFF"/>
              <w:right w:val="single" w:sz="8" w:color="929292"/>
            </w:tcBorders>
            <w:shd w:val="clear" w:color="auto" w:fill="CCEEFF"/>
          </w:tcPr>
          <w:p>
            <w:pPr>
              <w:jc w:val="center"/>
              <w:ind w:right="49"/>
              <w:spacing w:after="0" w:line="169" w:lineRule="exact"/>
              <w:rPr>
                <w:sz w:val="20"/>
                <w:szCs w:val="20"/>
                <w:color w:val="auto"/>
              </w:rPr>
            </w:pPr>
            <w:r>
              <w:rPr>
                <w:rFonts w:ascii="Calibri" w:cs="Calibri" w:eastAsia="Calibri" w:hAnsi="Calibri"/>
                <w:sz w:val="14"/>
                <w:szCs w:val="14"/>
                <w:color w:val="494949"/>
              </w:rPr>
              <w:t>$830,037</w:t>
            </w:r>
          </w:p>
        </w:tc>
      </w:tr>
      <w:tr>
        <w:trPr>
          <w:trHeight w:val="168"/>
        </w:trPr>
        <w:tc>
          <w:tcPr>
            <w:tcW w:w="2400" w:type="dxa"/>
            <w:vAlign w:val="bottom"/>
            <w:tcBorders>
              <w:left w:val="single" w:sz="8" w:color="929292"/>
            </w:tcBorders>
          </w:tcPr>
          <w:p>
            <w:pPr>
              <w:ind w:left="20"/>
              <w:spacing w:after="0" w:line="169" w:lineRule="exact"/>
              <w:rPr>
                <w:sz w:val="20"/>
                <w:szCs w:val="20"/>
                <w:color w:val="auto"/>
              </w:rPr>
            </w:pPr>
            <w:r>
              <w:rPr>
                <w:rFonts w:ascii="Calibri" w:cs="Calibri" w:eastAsia="Calibri" w:hAnsi="Calibri"/>
                <w:sz w:val="14"/>
                <w:szCs w:val="14"/>
                <w:color w:val="494949"/>
              </w:rPr>
              <w:t>Karen M. Dahut</w:t>
            </w:r>
          </w:p>
        </w:tc>
        <w:tc>
          <w:tcPr>
            <w:tcW w:w="4460" w:type="dxa"/>
            <w:vAlign w:val="bottom"/>
          </w:tcPr>
          <w:p>
            <w:pPr>
              <w:jc w:val="center"/>
              <w:ind w:left="569"/>
              <w:spacing w:after="0" w:line="169" w:lineRule="exact"/>
              <w:rPr>
                <w:sz w:val="20"/>
                <w:szCs w:val="20"/>
                <w:color w:val="auto"/>
              </w:rPr>
            </w:pPr>
            <w:r>
              <w:rPr>
                <w:rFonts w:ascii="Calibri" w:cs="Calibri" w:eastAsia="Calibri" w:hAnsi="Calibri"/>
                <w:sz w:val="14"/>
                <w:szCs w:val="14"/>
                <w:color w:val="494949"/>
              </w:rPr>
              <w:t>$1,245,069</w:t>
            </w:r>
          </w:p>
        </w:tc>
        <w:tc>
          <w:tcPr>
            <w:tcW w:w="3460" w:type="dxa"/>
            <w:vAlign w:val="bottom"/>
            <w:tcBorders>
              <w:right w:val="single" w:sz="8" w:color="929292"/>
            </w:tcBorders>
          </w:tcPr>
          <w:p>
            <w:pPr>
              <w:jc w:val="center"/>
              <w:ind w:right="49"/>
              <w:spacing w:after="0" w:line="169" w:lineRule="exact"/>
              <w:rPr>
                <w:sz w:val="20"/>
                <w:szCs w:val="20"/>
                <w:color w:val="auto"/>
              </w:rPr>
            </w:pPr>
            <w:r>
              <w:rPr>
                <w:rFonts w:ascii="Calibri" w:cs="Calibri" w:eastAsia="Calibri" w:hAnsi="Calibri"/>
                <w:sz w:val="14"/>
                <w:szCs w:val="14"/>
                <w:color w:val="494949"/>
              </w:rPr>
              <w:t>$830,037</w:t>
            </w:r>
          </w:p>
        </w:tc>
      </w:tr>
      <w:tr>
        <w:trPr>
          <w:trHeight w:val="31"/>
        </w:trPr>
        <w:tc>
          <w:tcPr>
            <w:tcW w:w="2400" w:type="dxa"/>
            <w:vAlign w:val="bottom"/>
            <w:tcBorders>
              <w:left w:val="single" w:sz="8" w:color="929292"/>
            </w:tcBorders>
          </w:tcPr>
          <w:p>
            <w:pPr>
              <w:spacing w:after="0"/>
              <w:rPr>
                <w:sz w:val="2"/>
                <w:szCs w:val="2"/>
                <w:color w:val="auto"/>
              </w:rPr>
            </w:pPr>
          </w:p>
        </w:tc>
        <w:tc>
          <w:tcPr>
            <w:tcW w:w="4460" w:type="dxa"/>
            <w:vAlign w:val="bottom"/>
          </w:tcPr>
          <w:p>
            <w:pPr>
              <w:spacing w:after="0"/>
              <w:rPr>
                <w:sz w:val="2"/>
                <w:szCs w:val="2"/>
                <w:color w:val="auto"/>
              </w:rPr>
            </w:pPr>
          </w:p>
        </w:tc>
        <w:tc>
          <w:tcPr>
            <w:tcW w:w="3460" w:type="dxa"/>
            <w:vAlign w:val="bottom"/>
            <w:tcBorders>
              <w:right w:val="single" w:sz="8" w:color="929292"/>
            </w:tcBorders>
          </w:tcPr>
          <w:p>
            <w:pPr>
              <w:spacing w:after="0"/>
              <w:rPr>
                <w:sz w:val="2"/>
                <w:szCs w:val="2"/>
                <w:color w:val="auto"/>
              </w:rPr>
            </w:pPr>
          </w:p>
        </w:tc>
      </w:tr>
      <w:tr>
        <w:trPr>
          <w:trHeight w:val="179"/>
        </w:trPr>
        <w:tc>
          <w:tcPr>
            <w:tcW w:w="2400" w:type="dxa"/>
            <w:vAlign w:val="bottom"/>
            <w:tcBorders>
              <w:left w:val="single" w:sz="8" w:color="929292"/>
              <w:bottom w:val="single" w:sz="8" w:color="CCEEFF"/>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494949"/>
              </w:rPr>
              <w:t>Nancy J. Laben</w:t>
            </w:r>
          </w:p>
        </w:tc>
        <w:tc>
          <w:tcPr>
            <w:tcW w:w="4460" w:type="dxa"/>
            <w:vAlign w:val="bottom"/>
            <w:tcBorders>
              <w:bottom w:val="single" w:sz="8" w:color="CCEEFF"/>
            </w:tcBorders>
            <w:shd w:val="clear" w:color="auto" w:fill="CCEEFF"/>
          </w:tcPr>
          <w:p>
            <w:pPr>
              <w:jc w:val="center"/>
              <w:ind w:left="569"/>
              <w:spacing w:after="0" w:line="169" w:lineRule="exact"/>
              <w:rPr>
                <w:sz w:val="20"/>
                <w:szCs w:val="20"/>
                <w:color w:val="auto"/>
              </w:rPr>
            </w:pPr>
            <w:r>
              <w:rPr>
                <w:rFonts w:ascii="Calibri" w:cs="Calibri" w:eastAsia="Calibri" w:hAnsi="Calibri"/>
                <w:sz w:val="14"/>
                <w:szCs w:val="14"/>
                <w:color w:val="494949"/>
              </w:rPr>
              <w:t>$675,056</w:t>
            </w:r>
          </w:p>
        </w:tc>
        <w:tc>
          <w:tcPr>
            <w:tcW w:w="3460" w:type="dxa"/>
            <w:vAlign w:val="bottom"/>
            <w:tcBorders>
              <w:bottom w:val="single" w:sz="8" w:color="CCEEFF"/>
              <w:right w:val="single" w:sz="8" w:color="929292"/>
            </w:tcBorders>
            <w:shd w:val="clear" w:color="auto" w:fill="CCEEFF"/>
          </w:tcPr>
          <w:p>
            <w:pPr>
              <w:jc w:val="center"/>
              <w:ind w:right="49"/>
              <w:spacing w:after="0" w:line="169" w:lineRule="exact"/>
              <w:rPr>
                <w:sz w:val="20"/>
                <w:szCs w:val="20"/>
                <w:color w:val="auto"/>
              </w:rPr>
            </w:pPr>
            <w:r>
              <w:rPr>
                <w:rFonts w:ascii="Calibri" w:cs="Calibri" w:eastAsia="Calibri" w:hAnsi="Calibri"/>
                <w:sz w:val="14"/>
                <w:szCs w:val="14"/>
                <w:color w:val="494949"/>
              </w:rPr>
              <w:t>$450,017</w:t>
            </w:r>
          </w:p>
        </w:tc>
      </w:tr>
      <w:tr>
        <w:trPr>
          <w:trHeight w:val="168"/>
        </w:trPr>
        <w:tc>
          <w:tcPr>
            <w:tcW w:w="2400" w:type="dxa"/>
            <w:vAlign w:val="bottom"/>
            <w:tcBorders>
              <w:left w:val="single" w:sz="8" w:color="929292"/>
            </w:tcBorders>
          </w:tcPr>
          <w:p>
            <w:pPr>
              <w:ind w:left="20"/>
              <w:spacing w:after="0" w:line="169" w:lineRule="exact"/>
              <w:rPr>
                <w:sz w:val="20"/>
                <w:szCs w:val="20"/>
                <w:color w:val="auto"/>
              </w:rPr>
            </w:pPr>
            <w:r>
              <w:rPr>
                <w:rFonts w:ascii="Calibri" w:cs="Calibri" w:eastAsia="Calibri" w:hAnsi="Calibri"/>
                <w:sz w:val="14"/>
                <w:szCs w:val="14"/>
                <w:color w:val="494949"/>
              </w:rPr>
              <w:t>Susan L. Penfeld</w:t>
            </w:r>
          </w:p>
        </w:tc>
        <w:tc>
          <w:tcPr>
            <w:tcW w:w="4460" w:type="dxa"/>
            <w:vAlign w:val="bottom"/>
          </w:tcPr>
          <w:p>
            <w:pPr>
              <w:jc w:val="center"/>
              <w:ind w:left="569"/>
              <w:spacing w:after="0" w:line="169" w:lineRule="exact"/>
              <w:rPr>
                <w:sz w:val="20"/>
                <w:szCs w:val="20"/>
                <w:color w:val="auto"/>
              </w:rPr>
            </w:pPr>
            <w:r>
              <w:rPr>
                <w:rFonts w:ascii="Calibri" w:cs="Calibri" w:eastAsia="Calibri" w:hAnsi="Calibri"/>
                <w:sz w:val="14"/>
                <w:szCs w:val="14"/>
                <w:color w:val="494949"/>
              </w:rPr>
              <w:t>$615,083</w:t>
            </w:r>
          </w:p>
        </w:tc>
        <w:tc>
          <w:tcPr>
            <w:tcW w:w="3460" w:type="dxa"/>
            <w:vAlign w:val="bottom"/>
            <w:tcBorders>
              <w:right w:val="single" w:sz="8" w:color="929292"/>
            </w:tcBorders>
          </w:tcPr>
          <w:p>
            <w:pPr>
              <w:jc w:val="center"/>
              <w:ind w:right="49"/>
              <w:spacing w:after="0" w:line="169" w:lineRule="exact"/>
              <w:rPr>
                <w:sz w:val="20"/>
                <w:szCs w:val="20"/>
                <w:color w:val="auto"/>
              </w:rPr>
            </w:pPr>
            <w:r>
              <w:rPr>
                <w:rFonts w:ascii="Calibri" w:cs="Calibri" w:eastAsia="Calibri" w:hAnsi="Calibri"/>
                <w:sz w:val="14"/>
                <w:szCs w:val="14"/>
                <w:color w:val="494949"/>
              </w:rPr>
              <w:t>$410,054</w:t>
            </w:r>
          </w:p>
        </w:tc>
      </w:tr>
      <w:tr>
        <w:trPr>
          <w:trHeight w:val="31"/>
        </w:trPr>
        <w:tc>
          <w:tcPr>
            <w:tcW w:w="2400" w:type="dxa"/>
            <w:vAlign w:val="bottom"/>
            <w:tcBorders>
              <w:left w:val="single" w:sz="8" w:color="929292"/>
              <w:bottom w:val="single" w:sz="8" w:color="929292"/>
            </w:tcBorders>
          </w:tcPr>
          <w:p>
            <w:pPr>
              <w:spacing w:after="0"/>
              <w:rPr>
                <w:sz w:val="2"/>
                <w:szCs w:val="2"/>
                <w:color w:val="auto"/>
              </w:rPr>
            </w:pPr>
          </w:p>
        </w:tc>
        <w:tc>
          <w:tcPr>
            <w:tcW w:w="4460" w:type="dxa"/>
            <w:vAlign w:val="bottom"/>
            <w:tcBorders>
              <w:bottom w:val="single" w:sz="8" w:color="929292"/>
            </w:tcBorders>
          </w:tcPr>
          <w:p>
            <w:pPr>
              <w:spacing w:after="0"/>
              <w:rPr>
                <w:sz w:val="2"/>
                <w:szCs w:val="2"/>
                <w:color w:val="auto"/>
              </w:rPr>
            </w:pPr>
          </w:p>
        </w:tc>
        <w:tc>
          <w:tcPr>
            <w:tcW w:w="3460" w:type="dxa"/>
            <w:vAlign w:val="bottom"/>
            <w:tcBorders>
              <w:bottom w:val="single" w:sz="8" w:color="929292"/>
              <w:right w:val="single" w:sz="8" w:color="929292"/>
            </w:tcBorders>
          </w:tcPr>
          <w:p>
            <w:pPr>
              <w:spacing w:after="0"/>
              <w:rPr>
                <w:sz w:val="2"/>
                <w:szCs w:val="2"/>
                <w:color w:val="auto"/>
              </w:rPr>
            </w:pPr>
          </w:p>
        </w:tc>
      </w:tr>
    </w:tbl>
    <w:p>
      <w:pPr>
        <w:spacing w:after="0" w:line="155" w:lineRule="exact"/>
        <w:rPr>
          <w:sz w:val="20"/>
          <w:szCs w:val="20"/>
          <w:color w:val="auto"/>
        </w:rPr>
      </w:pPr>
    </w:p>
    <w:p>
      <w:pPr>
        <w:ind w:left="320"/>
        <w:spacing w:after="0"/>
        <w:rPr>
          <w:sz w:val="20"/>
          <w:szCs w:val="20"/>
          <w:color w:val="auto"/>
        </w:rPr>
      </w:pPr>
      <w:r>
        <w:rPr>
          <w:rFonts w:ascii="Calibri" w:cs="Calibri" w:eastAsia="Calibri" w:hAnsi="Calibri"/>
          <w:sz w:val="14"/>
          <w:szCs w:val="14"/>
          <w:color w:val="666666"/>
        </w:rPr>
        <w:t>(1) Grant date fair value of equity issued under the fscal year 2022 executve annual compensaton structure in accordance with FASB ASC Topic 718.</w:t>
      </w:r>
    </w:p>
    <w:p>
      <w:pPr>
        <w:spacing w:after="0" w:line="224" w:lineRule="exact"/>
        <w:rPr>
          <w:sz w:val="20"/>
          <w:szCs w:val="20"/>
          <w:color w:val="auto"/>
        </w:rPr>
      </w:pPr>
    </w:p>
    <w:p>
      <w:pPr>
        <w:jc w:val="both"/>
        <w:ind w:right="180" w:firstLine="319"/>
        <w:spacing w:after="0" w:line="231" w:lineRule="auto"/>
        <w:rPr>
          <w:sz w:val="20"/>
          <w:szCs w:val="20"/>
          <w:color w:val="auto"/>
        </w:rPr>
      </w:pPr>
      <w:r>
        <w:rPr>
          <w:rFonts w:ascii="Calibri" w:cs="Calibri" w:eastAsia="Calibri" w:hAnsi="Calibri"/>
          <w:sz w:val="18"/>
          <w:szCs w:val="18"/>
          <w:color w:val="666666"/>
        </w:rPr>
        <w:t>Efectve for fscal year 2022, the Compensaton, Culture and People Commitee approved an increase of $375,000 to the target annual incentve compensaton amount for Mr. Rozanski, as well as an increase of approximately $3.5 million to the total annual long-term equity incentve amount. Additonally, efectve for fscal year 2022, the Compensaton, Culture and People Commitee approved increases of approximately $200,000 to the total annual long-term equity incentve amounts for each of Mr. Howell and Ms. Dahut, respectvely, as well as increases of approximately $150,000 to the total annual long-term equity incentve amounts for each of Mses. Laben and Penfeld, respectvely. These changes were made by the Compensaton, Culture and People Commitee in consideraton of the Company's sustained out-performance and growth, using benchmarking analysis and input from Korn Ferry, along with feedback from the CEO (in the case of named executve ofcers who are direct reports to the CEO), to further increase the compettveness of executve pay with contnued focus on short-term and long-term Company performance and stockholder interests.</w:t>
      </w:r>
    </w:p>
    <w:p>
      <w:pPr>
        <w:spacing w:after="0" w:line="158" w:lineRule="exact"/>
        <w:rPr>
          <w:sz w:val="20"/>
          <w:szCs w:val="20"/>
          <w:color w:val="auto"/>
        </w:rPr>
      </w:pPr>
    </w:p>
    <w:p>
      <w:pPr>
        <w:ind w:left="320"/>
        <w:spacing w:after="0"/>
        <w:rPr>
          <w:sz w:val="20"/>
          <w:szCs w:val="20"/>
          <w:color w:val="auto"/>
        </w:rPr>
      </w:pPr>
      <w:r>
        <w:rPr>
          <w:rFonts w:ascii="Calibri" w:cs="Calibri" w:eastAsia="Calibri" w:hAnsi="Calibri"/>
          <w:sz w:val="18"/>
          <w:szCs w:val="18"/>
          <w:b w:val="1"/>
          <w:bCs w:val="1"/>
          <w:color w:val="4F7CBA"/>
        </w:rPr>
        <w:t>Fiscal Year 2020 Performance-Based RSU Awards</w:t>
      </w:r>
    </w:p>
    <w:p>
      <w:pPr>
        <w:spacing w:after="0" w:line="161" w:lineRule="exact"/>
        <w:rPr>
          <w:sz w:val="20"/>
          <w:szCs w:val="20"/>
          <w:color w:val="auto"/>
        </w:rPr>
      </w:pPr>
    </w:p>
    <w:p>
      <w:pPr>
        <w:jc w:val="both"/>
        <w:ind w:right="100" w:firstLine="319"/>
        <w:spacing w:after="0" w:line="231" w:lineRule="auto"/>
        <w:rPr>
          <w:sz w:val="20"/>
          <w:szCs w:val="20"/>
          <w:color w:val="auto"/>
        </w:rPr>
      </w:pPr>
      <w:r>
        <w:rPr>
          <w:rFonts w:ascii="Calibri" w:cs="Calibri" w:eastAsia="Calibri" w:hAnsi="Calibri"/>
          <w:sz w:val="18"/>
          <w:szCs w:val="18"/>
          <w:color w:val="666666"/>
        </w:rPr>
        <w:t>In May 2022, the Compensaton, Culture and People Commitee reviewed and certfed the Cumulatve ADEPS and Cumulatve VAR performance results of the fscal years 2020-2022 performance period applicable to the performance-based RSU awards granted in May 2019 against the targets set at the beginning of the three-year period. Based on this assessment, the Compensaton, Culture and People Commitee approved a fnal payout percentage for the May 2019 performance-based RSU awards (fscal years 2020-2022 performance period) of 179% of target, with actual results and threshold, target, above target, and maximum goals presented below.</w:t>
      </w:r>
    </w:p>
    <w:p>
      <w:pPr>
        <w:spacing w:after="0" w:line="192" w:lineRule="exact"/>
        <w:rPr>
          <w:sz w:val="20"/>
          <w:szCs w:val="20"/>
          <w:color w:val="auto"/>
        </w:rPr>
      </w:pPr>
    </w:p>
    <w:tbl>
      <w:tblPr>
        <w:tblLayout w:type="fixed"/>
        <w:tblInd w:w="370" w:type="dxa"/>
        <w:tblCellMar>
          <w:top w:w="0" w:type="dxa"/>
          <w:left w:w="0" w:type="dxa"/>
          <w:bottom w:w="0" w:type="dxa"/>
          <w:right w:w="0" w:type="dxa"/>
        </w:tblCellMar>
      </w:tblPr>
      <w:tr>
        <w:trPr>
          <w:trHeight w:val="199"/>
        </w:trPr>
        <w:tc>
          <w:tcPr>
            <w:tcW w:w="1660" w:type="dxa"/>
            <w:vAlign w:val="bottom"/>
            <w:tcBorders>
              <w:top w:val="single" w:sz="8" w:color="828282"/>
              <w:left w:val="single" w:sz="8" w:color="828282"/>
            </w:tcBorders>
            <w:shd w:val="clear" w:color="auto" w:fill="CCEEFF"/>
          </w:tcPr>
          <w:p>
            <w:pPr>
              <w:ind w:left="120"/>
              <w:spacing w:after="0"/>
              <w:rPr>
                <w:sz w:val="20"/>
                <w:szCs w:val="20"/>
                <w:color w:val="auto"/>
              </w:rPr>
            </w:pPr>
            <w:r>
              <w:rPr>
                <w:rFonts w:ascii="Calibri" w:cs="Calibri" w:eastAsia="Calibri" w:hAnsi="Calibri"/>
                <w:sz w:val="14"/>
                <w:szCs w:val="14"/>
                <w:b w:val="1"/>
                <w:bCs w:val="1"/>
                <w:color w:val="494949"/>
              </w:rPr>
              <w:t>Performance Measures</w:t>
            </w:r>
          </w:p>
        </w:tc>
        <w:tc>
          <w:tcPr>
            <w:tcW w:w="940" w:type="dxa"/>
            <w:vAlign w:val="bottom"/>
            <w:tcBorders>
              <w:top w:val="single" w:sz="8" w:color="828282"/>
            </w:tcBorders>
            <w:shd w:val="clear" w:color="auto" w:fill="CCEEFF"/>
          </w:tcPr>
          <w:p>
            <w:pPr>
              <w:jc w:val="center"/>
              <w:spacing w:after="0"/>
              <w:rPr>
                <w:sz w:val="20"/>
                <w:szCs w:val="20"/>
                <w:color w:val="auto"/>
              </w:rPr>
            </w:pPr>
            <w:r>
              <w:rPr>
                <w:rFonts w:ascii="Calibri" w:cs="Calibri" w:eastAsia="Calibri" w:hAnsi="Calibri"/>
                <w:sz w:val="14"/>
                <w:szCs w:val="14"/>
                <w:b w:val="1"/>
                <w:bCs w:val="1"/>
                <w:color w:val="494949"/>
              </w:rPr>
              <w:t>Weightng</w:t>
            </w:r>
          </w:p>
        </w:tc>
        <w:tc>
          <w:tcPr>
            <w:tcW w:w="1160" w:type="dxa"/>
            <w:vAlign w:val="bottom"/>
            <w:tcBorders>
              <w:top w:val="single" w:sz="8" w:color="828282"/>
            </w:tcBorders>
            <w:shd w:val="clear" w:color="auto" w:fill="CCEEFF"/>
          </w:tcPr>
          <w:p>
            <w:pPr>
              <w:jc w:val="center"/>
              <w:spacing w:after="0"/>
              <w:rPr>
                <w:sz w:val="20"/>
                <w:szCs w:val="20"/>
                <w:color w:val="auto"/>
              </w:rPr>
            </w:pPr>
            <w:r>
              <w:rPr>
                <w:rFonts w:ascii="Calibri" w:cs="Calibri" w:eastAsia="Calibri" w:hAnsi="Calibri"/>
                <w:sz w:val="14"/>
                <w:szCs w:val="14"/>
                <w:b w:val="1"/>
                <w:bCs w:val="1"/>
                <w:color w:val="494949"/>
              </w:rPr>
              <w:t>Threshold 50%</w:t>
            </w:r>
          </w:p>
        </w:tc>
        <w:tc>
          <w:tcPr>
            <w:tcW w:w="1020" w:type="dxa"/>
            <w:vAlign w:val="bottom"/>
            <w:tcBorders>
              <w:top w:val="single" w:sz="8" w:color="828282"/>
            </w:tcBorders>
            <w:shd w:val="clear" w:color="auto" w:fill="CCEEFF"/>
          </w:tcPr>
          <w:p>
            <w:pPr>
              <w:jc w:val="center"/>
              <w:spacing w:after="0"/>
              <w:rPr>
                <w:sz w:val="20"/>
                <w:szCs w:val="20"/>
                <w:color w:val="auto"/>
              </w:rPr>
            </w:pPr>
            <w:r>
              <w:rPr>
                <w:rFonts w:ascii="Calibri" w:cs="Calibri" w:eastAsia="Calibri" w:hAnsi="Calibri"/>
                <w:sz w:val="14"/>
                <w:szCs w:val="14"/>
                <w:b w:val="1"/>
                <w:bCs w:val="1"/>
                <w:color w:val="494949"/>
                <w:w w:val="99"/>
              </w:rPr>
              <w:t>Target 100%</w:t>
            </w:r>
          </w:p>
        </w:tc>
        <w:tc>
          <w:tcPr>
            <w:tcW w:w="1060" w:type="dxa"/>
            <w:vAlign w:val="bottom"/>
            <w:tcBorders>
              <w:top w:val="single" w:sz="8" w:color="828282"/>
            </w:tcBorders>
            <w:shd w:val="clear" w:color="auto" w:fill="CCEEFF"/>
          </w:tcPr>
          <w:p>
            <w:pPr>
              <w:ind w:left="160"/>
              <w:spacing w:after="0"/>
              <w:rPr>
                <w:sz w:val="20"/>
                <w:szCs w:val="20"/>
                <w:color w:val="auto"/>
              </w:rPr>
            </w:pPr>
            <w:r>
              <w:rPr>
                <w:rFonts w:ascii="Calibri" w:cs="Calibri" w:eastAsia="Calibri" w:hAnsi="Calibri"/>
                <w:sz w:val="14"/>
                <w:szCs w:val="14"/>
                <w:b w:val="1"/>
                <w:bCs w:val="1"/>
                <w:color w:val="494949"/>
              </w:rPr>
              <w:t>Above Target</w:t>
            </w:r>
          </w:p>
        </w:tc>
        <w:tc>
          <w:tcPr>
            <w:tcW w:w="1020" w:type="dxa"/>
            <w:vAlign w:val="bottom"/>
            <w:tcBorders>
              <w:top w:val="single" w:sz="8" w:color="828282"/>
            </w:tcBorders>
            <w:shd w:val="clear" w:color="auto" w:fill="CCEEFF"/>
          </w:tcPr>
          <w:p>
            <w:pPr>
              <w:ind w:left="160"/>
              <w:spacing w:after="0"/>
              <w:rPr>
                <w:sz w:val="20"/>
                <w:szCs w:val="20"/>
                <w:color w:val="auto"/>
              </w:rPr>
            </w:pPr>
            <w:r>
              <w:rPr>
                <w:rFonts w:ascii="Calibri" w:cs="Calibri" w:eastAsia="Calibri" w:hAnsi="Calibri"/>
                <w:sz w:val="14"/>
                <w:szCs w:val="14"/>
                <w:b w:val="1"/>
                <w:bCs w:val="1"/>
                <w:color w:val="494949"/>
              </w:rPr>
              <w:t>Above Target</w:t>
            </w:r>
          </w:p>
        </w:tc>
        <w:tc>
          <w:tcPr>
            <w:tcW w:w="1200" w:type="dxa"/>
            <w:vAlign w:val="bottom"/>
            <w:tcBorders>
              <w:top w:val="single" w:sz="8" w:color="828282"/>
            </w:tcBorders>
            <w:shd w:val="clear" w:color="auto" w:fill="CCEEFF"/>
          </w:tcPr>
          <w:p>
            <w:pPr>
              <w:jc w:val="center"/>
              <w:spacing w:after="0"/>
              <w:rPr>
                <w:sz w:val="20"/>
                <w:szCs w:val="20"/>
                <w:color w:val="auto"/>
              </w:rPr>
            </w:pPr>
            <w:r>
              <w:rPr>
                <w:rFonts w:ascii="Calibri" w:cs="Calibri" w:eastAsia="Calibri" w:hAnsi="Calibri"/>
                <w:sz w:val="14"/>
                <w:szCs w:val="14"/>
                <w:b w:val="1"/>
                <w:bCs w:val="1"/>
                <w:color w:val="494949"/>
              </w:rPr>
              <w:t>Maximum 200%</w:t>
            </w:r>
          </w:p>
        </w:tc>
        <w:tc>
          <w:tcPr>
            <w:tcW w:w="960" w:type="dxa"/>
            <w:vAlign w:val="bottom"/>
            <w:tcBorders>
              <w:top w:val="single" w:sz="8" w:color="828282"/>
            </w:tcBorders>
            <w:shd w:val="clear" w:color="auto" w:fill="CCEEFF"/>
          </w:tcPr>
          <w:p>
            <w:pPr>
              <w:ind w:left="220"/>
              <w:spacing w:after="0" w:line="199" w:lineRule="exact"/>
              <w:rPr>
                <w:sz w:val="20"/>
                <w:szCs w:val="20"/>
                <w:color w:val="auto"/>
              </w:rPr>
            </w:pPr>
            <w:r>
              <w:rPr>
                <w:rFonts w:ascii="Calibri" w:cs="Calibri" w:eastAsia="Calibri" w:hAnsi="Calibri"/>
                <w:sz w:val="14"/>
                <w:szCs w:val="14"/>
                <w:b w:val="1"/>
                <w:bCs w:val="1"/>
                <w:color w:val="494949"/>
              </w:rPr>
              <w:t xml:space="preserve">Actual </w:t>
            </w:r>
            <w:r>
              <w:rPr>
                <w:rFonts w:ascii="Calibri" w:cs="Calibri" w:eastAsia="Calibri" w:hAnsi="Calibri"/>
                <w:sz w:val="18"/>
                <w:szCs w:val="18"/>
                <w:b w:val="1"/>
                <w:bCs w:val="1"/>
                <w:color w:val="494949"/>
                <w:vertAlign w:val="superscript"/>
              </w:rPr>
              <w:t>1</w:t>
            </w:r>
          </w:p>
        </w:tc>
        <w:tc>
          <w:tcPr>
            <w:tcW w:w="1040" w:type="dxa"/>
            <w:vAlign w:val="bottom"/>
            <w:tcBorders>
              <w:top w:val="single" w:sz="8" w:color="828282"/>
            </w:tcBorders>
            <w:shd w:val="clear" w:color="auto" w:fill="CCEEFF"/>
          </w:tcPr>
          <w:p>
            <w:pPr>
              <w:jc w:val="center"/>
              <w:spacing w:after="0"/>
              <w:rPr>
                <w:sz w:val="20"/>
                <w:szCs w:val="20"/>
                <w:color w:val="auto"/>
              </w:rPr>
            </w:pPr>
            <w:r>
              <w:rPr>
                <w:rFonts w:ascii="Calibri" w:cs="Calibri" w:eastAsia="Calibri" w:hAnsi="Calibri"/>
                <w:sz w:val="14"/>
                <w:szCs w:val="14"/>
                <w:b w:val="1"/>
                <w:bCs w:val="1"/>
                <w:color w:val="494949"/>
              </w:rPr>
              <w:t>% of Target</w:t>
            </w:r>
          </w:p>
        </w:tc>
        <w:tc>
          <w:tcPr>
            <w:tcW w:w="920" w:type="dxa"/>
            <w:vAlign w:val="bottom"/>
            <w:tcBorders>
              <w:top w:val="single" w:sz="8" w:color="828282"/>
            </w:tcBorders>
            <w:shd w:val="clear" w:color="auto" w:fill="CCEEFF"/>
          </w:tcPr>
          <w:p>
            <w:pPr>
              <w:ind w:left="160"/>
              <w:spacing w:after="0"/>
              <w:rPr>
                <w:sz w:val="20"/>
                <w:szCs w:val="20"/>
                <w:color w:val="auto"/>
              </w:rPr>
            </w:pPr>
            <w:r>
              <w:rPr>
                <w:rFonts w:ascii="Calibri" w:cs="Calibri" w:eastAsia="Calibri" w:hAnsi="Calibri"/>
                <w:sz w:val="14"/>
                <w:szCs w:val="14"/>
                <w:b w:val="1"/>
                <w:bCs w:val="1"/>
                <w:color w:val="494949"/>
                <w:w w:val="97"/>
              </w:rPr>
              <w:t>Payout Facto</w:t>
            </w:r>
          </w:p>
        </w:tc>
        <w:tc>
          <w:tcPr>
            <w:tcW w:w="0" w:type="dxa"/>
            <w:vAlign w:val="bottom"/>
          </w:tcPr>
          <w:p>
            <w:pPr>
              <w:spacing w:after="0"/>
              <w:rPr>
                <w:sz w:val="1"/>
                <w:szCs w:val="1"/>
                <w:color w:val="auto"/>
              </w:rPr>
            </w:pPr>
          </w:p>
        </w:tc>
      </w:tr>
      <w:tr>
        <w:trPr>
          <w:trHeight w:val="146"/>
        </w:trPr>
        <w:tc>
          <w:tcPr>
            <w:tcW w:w="1660" w:type="dxa"/>
            <w:vAlign w:val="bottom"/>
            <w:tcBorders>
              <w:left w:val="single" w:sz="8" w:color="828282"/>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6" w:lineRule="exact"/>
              <w:rPr>
                <w:sz w:val="20"/>
                <w:szCs w:val="20"/>
                <w:color w:val="auto"/>
              </w:rPr>
            </w:pPr>
            <w:r>
              <w:rPr>
                <w:rFonts w:ascii="Calibri" w:cs="Calibri" w:eastAsia="Calibri" w:hAnsi="Calibri"/>
                <w:sz w:val="14"/>
                <w:szCs w:val="14"/>
                <w:b w:val="1"/>
                <w:bCs w:val="1"/>
                <w:color w:val="494949"/>
              </w:rPr>
              <w:t>Payout</w:t>
            </w:r>
          </w:p>
        </w:tc>
        <w:tc>
          <w:tcPr>
            <w:tcW w:w="1020" w:type="dxa"/>
            <w:vAlign w:val="bottom"/>
            <w:shd w:val="clear" w:color="auto" w:fill="CCEEFF"/>
          </w:tcPr>
          <w:p>
            <w:pPr>
              <w:jc w:val="center"/>
              <w:spacing w:after="0" w:line="146" w:lineRule="exact"/>
              <w:rPr>
                <w:sz w:val="20"/>
                <w:szCs w:val="20"/>
                <w:color w:val="auto"/>
              </w:rPr>
            </w:pPr>
            <w:r>
              <w:rPr>
                <w:rFonts w:ascii="Calibri" w:cs="Calibri" w:eastAsia="Calibri" w:hAnsi="Calibri"/>
                <w:sz w:val="14"/>
                <w:szCs w:val="14"/>
                <w:b w:val="1"/>
                <w:bCs w:val="1"/>
                <w:color w:val="494949"/>
                <w:w w:val="97"/>
              </w:rPr>
              <w:t>Payout</w:t>
            </w:r>
          </w:p>
        </w:tc>
        <w:tc>
          <w:tcPr>
            <w:tcW w:w="1060" w:type="dxa"/>
            <w:vAlign w:val="bottom"/>
            <w:shd w:val="clear" w:color="auto" w:fill="CCEEFF"/>
          </w:tcPr>
          <w:p>
            <w:pPr>
              <w:ind w:left="160"/>
              <w:spacing w:after="0" w:line="146" w:lineRule="exact"/>
              <w:rPr>
                <w:sz w:val="20"/>
                <w:szCs w:val="20"/>
                <w:color w:val="auto"/>
              </w:rPr>
            </w:pPr>
            <w:r>
              <w:rPr>
                <w:rFonts w:ascii="Calibri" w:cs="Calibri" w:eastAsia="Calibri" w:hAnsi="Calibri"/>
                <w:sz w:val="14"/>
                <w:szCs w:val="14"/>
                <w:b w:val="1"/>
                <w:bCs w:val="1"/>
                <w:color w:val="494949"/>
              </w:rPr>
              <w:t>120% Payout</w:t>
            </w:r>
          </w:p>
        </w:tc>
        <w:tc>
          <w:tcPr>
            <w:tcW w:w="1020" w:type="dxa"/>
            <w:vAlign w:val="bottom"/>
            <w:shd w:val="clear" w:color="auto" w:fill="CCEEFF"/>
          </w:tcPr>
          <w:p>
            <w:pPr>
              <w:ind w:left="160"/>
              <w:spacing w:after="0" w:line="146" w:lineRule="exact"/>
              <w:rPr>
                <w:sz w:val="20"/>
                <w:szCs w:val="20"/>
                <w:color w:val="auto"/>
              </w:rPr>
            </w:pPr>
            <w:r>
              <w:rPr>
                <w:rFonts w:ascii="Calibri" w:cs="Calibri" w:eastAsia="Calibri" w:hAnsi="Calibri"/>
                <w:sz w:val="14"/>
                <w:szCs w:val="14"/>
                <w:b w:val="1"/>
                <w:bCs w:val="1"/>
                <w:color w:val="494949"/>
              </w:rPr>
              <w:t>150% Payout</w:t>
            </w:r>
          </w:p>
        </w:tc>
        <w:tc>
          <w:tcPr>
            <w:tcW w:w="1200" w:type="dxa"/>
            <w:vAlign w:val="bottom"/>
            <w:shd w:val="clear" w:color="auto" w:fill="CCEEFF"/>
          </w:tcPr>
          <w:p>
            <w:pPr>
              <w:jc w:val="center"/>
              <w:spacing w:after="0" w:line="146" w:lineRule="exact"/>
              <w:rPr>
                <w:sz w:val="20"/>
                <w:szCs w:val="20"/>
                <w:color w:val="auto"/>
              </w:rPr>
            </w:pPr>
            <w:r>
              <w:rPr>
                <w:rFonts w:ascii="Calibri" w:cs="Calibri" w:eastAsia="Calibri" w:hAnsi="Calibri"/>
                <w:sz w:val="14"/>
                <w:szCs w:val="14"/>
                <w:b w:val="1"/>
                <w:bCs w:val="1"/>
                <w:color w:val="494949"/>
                <w:w w:val="97"/>
              </w:rPr>
              <w:t>Payout</w:t>
            </w:r>
          </w:p>
        </w:tc>
        <w:tc>
          <w:tcPr>
            <w:tcW w:w="96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6" w:lineRule="exact"/>
              <w:rPr>
                <w:sz w:val="20"/>
                <w:szCs w:val="20"/>
                <w:color w:val="auto"/>
              </w:rPr>
            </w:pPr>
            <w:r>
              <w:rPr>
                <w:rFonts w:ascii="Calibri" w:cs="Calibri" w:eastAsia="Calibri" w:hAnsi="Calibri"/>
                <w:sz w:val="14"/>
                <w:szCs w:val="14"/>
                <w:b w:val="1"/>
                <w:bCs w:val="1"/>
                <w:color w:val="494949"/>
              </w:rPr>
              <w:t>Achieved</w:t>
            </w: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660" w:type="dxa"/>
            <w:vAlign w:val="bottom"/>
            <w:tcBorders>
              <w:left w:val="single" w:sz="8" w:color="828282"/>
            </w:tcBorders>
          </w:tcPr>
          <w:p>
            <w:pPr>
              <w:ind w:left="40"/>
              <w:spacing w:after="0" w:line="132" w:lineRule="exact"/>
              <w:rPr>
                <w:sz w:val="20"/>
                <w:szCs w:val="20"/>
                <w:color w:val="auto"/>
              </w:rPr>
            </w:pPr>
            <w:r>
              <w:rPr>
                <w:rFonts w:ascii="Calibri" w:cs="Calibri" w:eastAsia="Calibri" w:hAnsi="Calibri"/>
                <w:sz w:val="14"/>
                <w:szCs w:val="14"/>
                <w:color w:val="494949"/>
              </w:rPr>
              <w:t>Cumulatve Three-Year</w:t>
            </w:r>
          </w:p>
        </w:tc>
        <w:tc>
          <w:tcPr>
            <w:tcW w:w="940" w:type="dxa"/>
            <w:vAlign w:val="bottom"/>
            <w:vMerge w:val="restart"/>
          </w:tcPr>
          <w:p>
            <w:pPr>
              <w:jc w:val="center"/>
              <w:spacing w:after="0"/>
              <w:rPr>
                <w:sz w:val="20"/>
                <w:szCs w:val="20"/>
                <w:color w:val="auto"/>
              </w:rPr>
            </w:pPr>
            <w:r>
              <w:rPr>
                <w:rFonts w:ascii="Calibri" w:cs="Calibri" w:eastAsia="Calibri" w:hAnsi="Calibri"/>
                <w:sz w:val="14"/>
                <w:szCs w:val="14"/>
                <w:color w:val="494949"/>
              </w:rPr>
              <w:t>75%</w:t>
            </w:r>
          </w:p>
        </w:tc>
        <w:tc>
          <w:tcPr>
            <w:tcW w:w="1160" w:type="dxa"/>
            <w:vAlign w:val="bottom"/>
            <w:vMerge w:val="restart"/>
          </w:tcPr>
          <w:p>
            <w:pPr>
              <w:jc w:val="right"/>
              <w:ind w:right="329"/>
              <w:spacing w:after="0"/>
              <w:rPr>
                <w:sz w:val="20"/>
                <w:szCs w:val="20"/>
                <w:color w:val="auto"/>
              </w:rPr>
            </w:pPr>
            <w:r>
              <w:rPr>
                <w:rFonts w:ascii="Calibri" w:cs="Calibri" w:eastAsia="Calibri" w:hAnsi="Calibri"/>
                <w:sz w:val="14"/>
                <w:szCs w:val="14"/>
                <w:color w:val="494949"/>
              </w:rPr>
              <w:t>$9.38</w:t>
            </w:r>
          </w:p>
        </w:tc>
        <w:tc>
          <w:tcPr>
            <w:tcW w:w="1020" w:type="dxa"/>
            <w:vAlign w:val="bottom"/>
            <w:vMerge w:val="restart"/>
          </w:tcPr>
          <w:p>
            <w:pPr>
              <w:jc w:val="right"/>
              <w:ind w:right="289"/>
              <w:spacing w:after="0"/>
              <w:rPr>
                <w:sz w:val="20"/>
                <w:szCs w:val="20"/>
                <w:color w:val="auto"/>
              </w:rPr>
            </w:pPr>
            <w:r>
              <w:rPr>
                <w:rFonts w:ascii="Calibri" w:cs="Calibri" w:eastAsia="Calibri" w:hAnsi="Calibri"/>
                <w:sz w:val="14"/>
                <w:szCs w:val="14"/>
                <w:color w:val="494949"/>
              </w:rPr>
              <w:t>$9.88</w:t>
            </w:r>
          </w:p>
        </w:tc>
        <w:tc>
          <w:tcPr>
            <w:tcW w:w="1060" w:type="dxa"/>
            <w:vAlign w:val="bottom"/>
            <w:vMerge w:val="restart"/>
          </w:tcPr>
          <w:p>
            <w:pPr>
              <w:jc w:val="right"/>
              <w:ind w:right="249"/>
              <w:spacing w:after="0"/>
              <w:rPr>
                <w:sz w:val="20"/>
                <w:szCs w:val="20"/>
                <w:color w:val="auto"/>
              </w:rPr>
            </w:pPr>
            <w:r>
              <w:rPr>
                <w:rFonts w:ascii="Calibri" w:cs="Calibri" w:eastAsia="Calibri" w:hAnsi="Calibri"/>
                <w:sz w:val="14"/>
                <w:szCs w:val="14"/>
                <w:color w:val="494949"/>
              </w:rPr>
              <w:t>$10.28</w:t>
            </w:r>
          </w:p>
        </w:tc>
        <w:tc>
          <w:tcPr>
            <w:tcW w:w="1020" w:type="dxa"/>
            <w:vAlign w:val="bottom"/>
            <w:vMerge w:val="restart"/>
          </w:tcPr>
          <w:p>
            <w:pPr>
              <w:jc w:val="right"/>
              <w:ind w:right="209"/>
              <w:spacing w:after="0"/>
              <w:rPr>
                <w:sz w:val="20"/>
                <w:szCs w:val="20"/>
                <w:color w:val="auto"/>
              </w:rPr>
            </w:pPr>
            <w:r>
              <w:rPr>
                <w:rFonts w:ascii="Calibri" w:cs="Calibri" w:eastAsia="Calibri" w:hAnsi="Calibri"/>
                <w:sz w:val="14"/>
                <w:szCs w:val="14"/>
                <w:color w:val="494949"/>
              </w:rPr>
              <w:t>$10.47</w:t>
            </w:r>
          </w:p>
        </w:tc>
        <w:tc>
          <w:tcPr>
            <w:tcW w:w="1200" w:type="dxa"/>
            <w:vAlign w:val="bottom"/>
            <w:vMerge w:val="restart"/>
          </w:tcPr>
          <w:p>
            <w:pPr>
              <w:jc w:val="right"/>
              <w:ind w:right="349"/>
              <w:spacing w:after="0"/>
              <w:rPr>
                <w:sz w:val="20"/>
                <w:szCs w:val="20"/>
                <w:color w:val="auto"/>
              </w:rPr>
            </w:pPr>
            <w:r>
              <w:rPr>
                <w:rFonts w:ascii="Calibri" w:cs="Calibri" w:eastAsia="Calibri" w:hAnsi="Calibri"/>
                <w:sz w:val="14"/>
                <w:szCs w:val="14"/>
                <w:color w:val="494949"/>
              </w:rPr>
              <w:t>$10.76</w:t>
            </w:r>
          </w:p>
        </w:tc>
        <w:tc>
          <w:tcPr>
            <w:tcW w:w="960" w:type="dxa"/>
            <w:vAlign w:val="bottom"/>
            <w:vMerge w:val="restart"/>
          </w:tcPr>
          <w:p>
            <w:pPr>
              <w:jc w:val="right"/>
              <w:ind w:right="249"/>
              <w:spacing w:after="0"/>
              <w:rPr>
                <w:sz w:val="20"/>
                <w:szCs w:val="20"/>
                <w:color w:val="auto"/>
              </w:rPr>
            </w:pPr>
            <w:r>
              <w:rPr>
                <w:rFonts w:ascii="Calibri" w:cs="Calibri" w:eastAsia="Calibri" w:hAnsi="Calibri"/>
                <w:sz w:val="14"/>
                <w:szCs w:val="14"/>
                <w:color w:val="auto"/>
              </w:rPr>
              <w:t>$11.15</w:t>
            </w:r>
          </w:p>
        </w:tc>
        <w:tc>
          <w:tcPr>
            <w:tcW w:w="1040" w:type="dxa"/>
            <w:vAlign w:val="bottom"/>
            <w:vMerge w:val="restart"/>
          </w:tcPr>
          <w:p>
            <w:pPr>
              <w:jc w:val="center"/>
              <w:spacing w:after="0"/>
              <w:rPr>
                <w:sz w:val="20"/>
                <w:szCs w:val="20"/>
                <w:color w:val="auto"/>
              </w:rPr>
            </w:pPr>
            <w:r>
              <w:rPr>
                <w:rFonts w:ascii="Calibri" w:cs="Calibri" w:eastAsia="Calibri" w:hAnsi="Calibri"/>
                <w:sz w:val="14"/>
                <w:szCs w:val="14"/>
                <w:color w:val="auto"/>
              </w:rPr>
              <w:t>113%</w:t>
            </w:r>
          </w:p>
        </w:tc>
        <w:tc>
          <w:tcPr>
            <w:tcW w:w="920" w:type="dxa"/>
            <w:vAlign w:val="bottom"/>
            <w:vMerge w:val="restart"/>
          </w:tcPr>
          <w:p>
            <w:pPr>
              <w:jc w:val="center"/>
              <w:ind w:left="149"/>
              <w:spacing w:after="0"/>
              <w:rPr>
                <w:sz w:val="20"/>
                <w:szCs w:val="20"/>
                <w:color w:val="auto"/>
              </w:rPr>
            </w:pPr>
            <w:r>
              <w:rPr>
                <w:rFonts w:ascii="Calibri" w:cs="Calibri" w:eastAsia="Calibri" w:hAnsi="Calibri"/>
                <w:sz w:val="14"/>
                <w:szCs w:val="14"/>
                <w:color w:val="auto"/>
                <w:w w:val="95"/>
              </w:rPr>
              <w:t>200%</w:t>
            </w:r>
          </w:p>
        </w:tc>
        <w:tc>
          <w:tcPr>
            <w:tcW w:w="0" w:type="dxa"/>
            <w:vAlign w:val="bottom"/>
          </w:tcPr>
          <w:p>
            <w:pPr>
              <w:spacing w:after="0"/>
              <w:rPr>
                <w:sz w:val="1"/>
                <w:szCs w:val="1"/>
                <w:color w:val="auto"/>
              </w:rPr>
            </w:pPr>
          </w:p>
        </w:tc>
      </w:tr>
      <w:tr>
        <w:trPr>
          <w:trHeight w:val="88"/>
        </w:trPr>
        <w:tc>
          <w:tcPr>
            <w:tcW w:w="1660" w:type="dxa"/>
            <w:vAlign w:val="bottom"/>
            <w:tcBorders>
              <w:left w:val="single" w:sz="8" w:color="828282"/>
            </w:tcBorders>
            <w:vMerge w:val="restart"/>
          </w:tcPr>
          <w:p>
            <w:pPr>
              <w:ind w:left="40"/>
              <w:spacing w:after="0" w:line="169" w:lineRule="exact"/>
              <w:rPr>
                <w:sz w:val="20"/>
                <w:szCs w:val="20"/>
                <w:color w:val="auto"/>
              </w:rPr>
            </w:pPr>
            <w:r>
              <w:rPr>
                <w:rFonts w:ascii="Calibri" w:cs="Calibri" w:eastAsia="Calibri" w:hAnsi="Calibri"/>
                <w:sz w:val="14"/>
                <w:szCs w:val="14"/>
                <w:color w:val="494949"/>
              </w:rPr>
              <w:t>ADEPS</w:t>
            </w:r>
          </w:p>
        </w:tc>
        <w:tc>
          <w:tcPr>
            <w:tcW w:w="9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660" w:type="dxa"/>
            <w:vAlign w:val="bottom"/>
            <w:tcBorders>
              <w:left w:val="single" w:sz="8" w:color="828282"/>
            </w:tcBorders>
            <w:vMerge w:val="continue"/>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1660" w:type="dxa"/>
            <w:vAlign w:val="bottom"/>
            <w:tcBorders>
              <w:left w:val="single" w:sz="8" w:color="828282"/>
            </w:tcBorders>
          </w:tcPr>
          <w:p>
            <w:pPr>
              <w:spacing w:after="0"/>
              <w:rPr>
                <w:sz w:val="2"/>
                <w:szCs w:val="2"/>
                <w:color w:val="auto"/>
              </w:rPr>
            </w:pPr>
          </w:p>
        </w:tc>
        <w:tc>
          <w:tcPr>
            <w:tcW w:w="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1660" w:type="dxa"/>
            <w:vAlign w:val="bottom"/>
            <w:tcBorders>
              <w:left w:val="single" w:sz="8" w:color="828282"/>
            </w:tcBorders>
            <w:shd w:val="clear" w:color="auto" w:fill="CCEEFF"/>
          </w:tcPr>
          <w:p>
            <w:pPr>
              <w:ind w:left="40"/>
              <w:spacing w:after="0" w:line="132" w:lineRule="exact"/>
              <w:rPr>
                <w:sz w:val="20"/>
                <w:szCs w:val="20"/>
                <w:color w:val="auto"/>
              </w:rPr>
            </w:pPr>
            <w:r>
              <w:rPr>
                <w:rFonts w:ascii="Calibri" w:cs="Calibri" w:eastAsia="Calibri" w:hAnsi="Calibri"/>
                <w:sz w:val="14"/>
                <w:szCs w:val="14"/>
                <w:color w:val="494949"/>
              </w:rPr>
              <w:t>Cumulatve Three-Year</w:t>
            </w:r>
          </w:p>
        </w:tc>
        <w:tc>
          <w:tcPr>
            <w:tcW w:w="940" w:type="dxa"/>
            <w:vAlign w:val="bottom"/>
            <w:vMerge w:val="restart"/>
            <w:shd w:val="clear" w:color="auto" w:fill="CCEEFF"/>
          </w:tcPr>
          <w:p>
            <w:pPr>
              <w:jc w:val="center"/>
              <w:spacing w:after="0"/>
              <w:rPr>
                <w:sz w:val="20"/>
                <w:szCs w:val="20"/>
                <w:color w:val="auto"/>
              </w:rPr>
            </w:pPr>
            <w:r>
              <w:rPr>
                <w:rFonts w:ascii="Calibri" w:cs="Calibri" w:eastAsia="Calibri" w:hAnsi="Calibri"/>
                <w:sz w:val="14"/>
                <w:szCs w:val="14"/>
                <w:color w:val="494949"/>
              </w:rPr>
              <w:t>25%</w:t>
            </w:r>
          </w:p>
        </w:tc>
        <w:tc>
          <w:tcPr>
            <w:tcW w:w="1160" w:type="dxa"/>
            <w:vAlign w:val="bottom"/>
            <w:vMerge w:val="restart"/>
            <w:shd w:val="clear" w:color="auto" w:fill="CCEEFF"/>
          </w:tcPr>
          <w:p>
            <w:pPr>
              <w:jc w:val="center"/>
              <w:spacing w:after="0"/>
              <w:rPr>
                <w:sz w:val="20"/>
                <w:szCs w:val="20"/>
                <w:color w:val="auto"/>
              </w:rPr>
            </w:pPr>
            <w:r>
              <w:rPr>
                <w:rFonts w:ascii="Calibri" w:cs="Calibri" w:eastAsia="Calibri" w:hAnsi="Calibri"/>
                <w:sz w:val="14"/>
                <w:szCs w:val="14"/>
                <w:color w:val="494949"/>
                <w:w w:val="99"/>
              </w:rPr>
              <w:t>$15,843M</w:t>
            </w:r>
          </w:p>
        </w:tc>
        <w:tc>
          <w:tcPr>
            <w:tcW w:w="1020" w:type="dxa"/>
            <w:vAlign w:val="bottom"/>
            <w:vMerge w:val="restart"/>
            <w:shd w:val="clear" w:color="auto" w:fill="CCEEFF"/>
          </w:tcPr>
          <w:p>
            <w:pPr>
              <w:jc w:val="center"/>
              <w:spacing w:after="0"/>
              <w:rPr>
                <w:sz w:val="20"/>
                <w:szCs w:val="20"/>
                <w:color w:val="auto"/>
              </w:rPr>
            </w:pPr>
            <w:r>
              <w:rPr>
                <w:rFonts w:ascii="Calibri" w:cs="Calibri" w:eastAsia="Calibri" w:hAnsi="Calibri"/>
                <w:sz w:val="14"/>
                <w:szCs w:val="14"/>
                <w:color w:val="494949"/>
                <w:w w:val="99"/>
              </w:rPr>
              <w:t>$16,166M</w:t>
            </w:r>
          </w:p>
        </w:tc>
        <w:tc>
          <w:tcPr>
            <w:tcW w:w="1060" w:type="dxa"/>
            <w:vAlign w:val="bottom"/>
            <w:vMerge w:val="restart"/>
            <w:shd w:val="clear" w:color="auto" w:fill="CCEEFF"/>
          </w:tcPr>
          <w:p>
            <w:pPr>
              <w:jc w:val="center"/>
              <w:spacing w:after="0"/>
              <w:rPr>
                <w:sz w:val="20"/>
                <w:szCs w:val="20"/>
                <w:color w:val="auto"/>
              </w:rPr>
            </w:pPr>
            <w:r>
              <w:rPr>
                <w:rFonts w:ascii="Calibri" w:cs="Calibri" w:eastAsia="Calibri" w:hAnsi="Calibri"/>
                <w:sz w:val="14"/>
                <w:szCs w:val="14"/>
                <w:color w:val="494949"/>
              </w:rPr>
              <w:t>$16,489M</w:t>
            </w:r>
          </w:p>
        </w:tc>
        <w:tc>
          <w:tcPr>
            <w:tcW w:w="1020" w:type="dxa"/>
            <w:vAlign w:val="bottom"/>
            <w:vMerge w:val="restart"/>
            <w:shd w:val="clear" w:color="auto" w:fill="CCEEFF"/>
          </w:tcPr>
          <w:p>
            <w:pPr>
              <w:jc w:val="center"/>
              <w:spacing w:after="0"/>
              <w:rPr>
                <w:sz w:val="20"/>
                <w:szCs w:val="20"/>
                <w:color w:val="auto"/>
              </w:rPr>
            </w:pPr>
            <w:r>
              <w:rPr>
                <w:rFonts w:ascii="Calibri" w:cs="Calibri" w:eastAsia="Calibri" w:hAnsi="Calibri"/>
                <w:sz w:val="14"/>
                <w:szCs w:val="14"/>
                <w:color w:val="494949"/>
              </w:rPr>
              <w:t>$16,813M</w:t>
            </w:r>
          </w:p>
        </w:tc>
        <w:tc>
          <w:tcPr>
            <w:tcW w:w="1200" w:type="dxa"/>
            <w:vAlign w:val="bottom"/>
            <w:vMerge w:val="restart"/>
            <w:shd w:val="clear" w:color="auto" w:fill="CCEEFF"/>
          </w:tcPr>
          <w:p>
            <w:pPr>
              <w:jc w:val="center"/>
              <w:spacing w:after="0"/>
              <w:rPr>
                <w:sz w:val="20"/>
                <w:szCs w:val="20"/>
                <w:color w:val="auto"/>
              </w:rPr>
            </w:pPr>
            <w:r>
              <w:rPr>
                <w:rFonts w:ascii="Calibri" w:cs="Calibri" w:eastAsia="Calibri" w:hAnsi="Calibri"/>
                <w:sz w:val="14"/>
                <w:szCs w:val="14"/>
                <w:color w:val="494949"/>
              </w:rPr>
              <w:t>$17,136M</w:t>
            </w:r>
          </w:p>
        </w:tc>
        <w:tc>
          <w:tcPr>
            <w:tcW w:w="960" w:type="dxa"/>
            <w:vAlign w:val="bottom"/>
            <w:vMerge w:val="restart"/>
            <w:shd w:val="clear" w:color="auto" w:fill="CCEEFF"/>
          </w:tcPr>
          <w:p>
            <w:pPr>
              <w:jc w:val="center"/>
              <w:spacing w:after="0"/>
              <w:rPr>
                <w:sz w:val="20"/>
                <w:szCs w:val="20"/>
                <w:color w:val="auto"/>
              </w:rPr>
            </w:pPr>
            <w:r>
              <w:rPr>
                <w:rFonts w:ascii="Calibri" w:cs="Calibri" w:eastAsia="Calibri" w:hAnsi="Calibri"/>
                <w:sz w:val="14"/>
                <w:szCs w:val="14"/>
                <w:color w:val="auto"/>
                <w:w w:val="99"/>
              </w:rPr>
              <w:t>$16,450M</w:t>
            </w:r>
          </w:p>
        </w:tc>
        <w:tc>
          <w:tcPr>
            <w:tcW w:w="1040" w:type="dxa"/>
            <w:vAlign w:val="bottom"/>
            <w:vMerge w:val="restart"/>
            <w:shd w:val="clear" w:color="auto" w:fill="CCEEFF"/>
          </w:tcPr>
          <w:p>
            <w:pPr>
              <w:jc w:val="center"/>
              <w:spacing w:after="0"/>
              <w:rPr>
                <w:sz w:val="20"/>
                <w:szCs w:val="20"/>
                <w:color w:val="auto"/>
              </w:rPr>
            </w:pPr>
            <w:r>
              <w:rPr>
                <w:rFonts w:ascii="Calibri" w:cs="Calibri" w:eastAsia="Calibri" w:hAnsi="Calibri"/>
                <w:sz w:val="14"/>
                <w:szCs w:val="14"/>
                <w:color w:val="auto"/>
              </w:rPr>
              <w:t>102%</w:t>
            </w:r>
          </w:p>
        </w:tc>
        <w:tc>
          <w:tcPr>
            <w:tcW w:w="920" w:type="dxa"/>
            <w:vAlign w:val="bottom"/>
            <w:vMerge w:val="restart"/>
            <w:shd w:val="clear" w:color="auto" w:fill="CCEEFF"/>
          </w:tcPr>
          <w:p>
            <w:pPr>
              <w:jc w:val="center"/>
              <w:ind w:left="149"/>
              <w:spacing w:after="0"/>
              <w:rPr>
                <w:sz w:val="20"/>
                <w:szCs w:val="20"/>
                <w:color w:val="auto"/>
              </w:rPr>
            </w:pPr>
            <w:r>
              <w:rPr>
                <w:rFonts w:ascii="Calibri" w:cs="Calibri" w:eastAsia="Calibri" w:hAnsi="Calibri"/>
                <w:sz w:val="14"/>
                <w:szCs w:val="14"/>
                <w:color w:val="auto"/>
                <w:w w:val="95"/>
              </w:rPr>
              <w:t>118%</w:t>
            </w:r>
          </w:p>
        </w:tc>
        <w:tc>
          <w:tcPr>
            <w:tcW w:w="0" w:type="dxa"/>
            <w:vAlign w:val="bottom"/>
          </w:tcPr>
          <w:p>
            <w:pPr>
              <w:spacing w:after="0"/>
              <w:rPr>
                <w:sz w:val="1"/>
                <w:szCs w:val="1"/>
                <w:color w:val="auto"/>
              </w:rPr>
            </w:pPr>
          </w:p>
        </w:tc>
      </w:tr>
      <w:tr>
        <w:trPr>
          <w:trHeight w:val="88"/>
        </w:trPr>
        <w:tc>
          <w:tcPr>
            <w:tcW w:w="1660" w:type="dxa"/>
            <w:vAlign w:val="bottom"/>
            <w:tcBorders>
              <w:left w:val="single" w:sz="8" w:color="828282"/>
            </w:tcBorders>
            <w:vMerge w:val="restart"/>
            <w:shd w:val="clear" w:color="auto" w:fill="CCEEFF"/>
          </w:tcPr>
          <w:p>
            <w:pPr>
              <w:ind w:left="40"/>
              <w:spacing w:after="0" w:line="169" w:lineRule="exact"/>
              <w:rPr>
                <w:sz w:val="20"/>
                <w:szCs w:val="20"/>
                <w:color w:val="auto"/>
              </w:rPr>
            </w:pPr>
            <w:r>
              <w:rPr>
                <w:rFonts w:ascii="Calibri" w:cs="Calibri" w:eastAsia="Calibri" w:hAnsi="Calibri"/>
                <w:sz w:val="14"/>
                <w:szCs w:val="14"/>
                <w:color w:val="494949"/>
              </w:rPr>
              <w:t>VAR</w:t>
            </w:r>
          </w:p>
        </w:tc>
        <w:tc>
          <w:tcPr>
            <w:tcW w:w="940" w:type="dxa"/>
            <w:vAlign w:val="bottom"/>
            <w:vMerge w:val="continue"/>
            <w:shd w:val="clear" w:color="auto" w:fill="CCEEFF"/>
          </w:tcPr>
          <w:p>
            <w:pPr>
              <w:spacing w:after="0"/>
              <w:rPr>
                <w:sz w:val="7"/>
                <w:szCs w:val="7"/>
                <w:color w:val="auto"/>
              </w:rPr>
            </w:pPr>
          </w:p>
        </w:tc>
        <w:tc>
          <w:tcPr>
            <w:tcW w:w="1160" w:type="dxa"/>
            <w:vAlign w:val="bottom"/>
            <w:vMerge w:val="continue"/>
            <w:shd w:val="clear" w:color="auto" w:fill="CCEEFF"/>
          </w:tcPr>
          <w:p>
            <w:pPr>
              <w:spacing w:after="0"/>
              <w:rPr>
                <w:sz w:val="7"/>
                <w:szCs w:val="7"/>
                <w:color w:val="auto"/>
              </w:rPr>
            </w:pPr>
          </w:p>
        </w:tc>
        <w:tc>
          <w:tcPr>
            <w:tcW w:w="1020" w:type="dxa"/>
            <w:vAlign w:val="bottom"/>
            <w:vMerge w:val="continue"/>
            <w:shd w:val="clear" w:color="auto" w:fill="CCEEFF"/>
          </w:tcPr>
          <w:p>
            <w:pPr>
              <w:spacing w:after="0"/>
              <w:rPr>
                <w:sz w:val="7"/>
                <w:szCs w:val="7"/>
                <w:color w:val="auto"/>
              </w:rPr>
            </w:pPr>
          </w:p>
        </w:tc>
        <w:tc>
          <w:tcPr>
            <w:tcW w:w="1060" w:type="dxa"/>
            <w:vAlign w:val="bottom"/>
            <w:vMerge w:val="continue"/>
            <w:shd w:val="clear" w:color="auto" w:fill="CCEEFF"/>
          </w:tcPr>
          <w:p>
            <w:pPr>
              <w:spacing w:after="0"/>
              <w:rPr>
                <w:sz w:val="7"/>
                <w:szCs w:val="7"/>
                <w:color w:val="auto"/>
              </w:rPr>
            </w:pPr>
          </w:p>
        </w:tc>
        <w:tc>
          <w:tcPr>
            <w:tcW w:w="1020" w:type="dxa"/>
            <w:vAlign w:val="bottom"/>
            <w:vMerge w:val="continue"/>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960" w:type="dxa"/>
            <w:vAlign w:val="bottom"/>
            <w:vMerge w:val="continue"/>
            <w:shd w:val="clear" w:color="auto" w:fill="CCEEFF"/>
          </w:tcPr>
          <w:p>
            <w:pPr>
              <w:spacing w:after="0"/>
              <w:rPr>
                <w:sz w:val="7"/>
                <w:szCs w:val="7"/>
                <w:color w:val="auto"/>
              </w:rPr>
            </w:pPr>
          </w:p>
        </w:tc>
        <w:tc>
          <w:tcPr>
            <w:tcW w:w="1040" w:type="dxa"/>
            <w:vAlign w:val="bottom"/>
            <w:vMerge w:val="continue"/>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60" w:type="dxa"/>
            <w:vAlign w:val="bottom"/>
            <w:tcBorders>
              <w:left w:val="single" w:sz="8" w:color="828282"/>
              <w:bottom w:val="single" w:sz="8" w:color="CCEEFF"/>
            </w:tcBorders>
            <w:vMerge w:val="continue"/>
            <w:shd w:val="clear" w:color="auto" w:fill="CCEEFF"/>
          </w:tcPr>
          <w:p>
            <w:pPr>
              <w:spacing w:after="0"/>
              <w:rPr>
                <w:sz w:val="8"/>
                <w:szCs w:val="8"/>
                <w:color w:val="auto"/>
              </w:rPr>
            </w:pPr>
          </w:p>
        </w:tc>
        <w:tc>
          <w:tcPr>
            <w:tcW w:w="940" w:type="dxa"/>
            <w:vAlign w:val="bottom"/>
            <w:tcBorders>
              <w:bottom w:val="single" w:sz="8" w:color="CCEEFF"/>
            </w:tcBorders>
            <w:shd w:val="clear" w:color="auto" w:fill="CCEEFF"/>
          </w:tcPr>
          <w:p>
            <w:pPr>
              <w:spacing w:after="0"/>
              <w:rPr>
                <w:sz w:val="8"/>
                <w:szCs w:val="8"/>
                <w:color w:val="auto"/>
              </w:rPr>
            </w:pPr>
          </w:p>
        </w:tc>
        <w:tc>
          <w:tcPr>
            <w:tcW w:w="1160" w:type="dxa"/>
            <w:vAlign w:val="bottom"/>
            <w:tcBorders>
              <w:bottom w:val="single" w:sz="8" w:color="CCEEFF"/>
            </w:tcBorders>
            <w:shd w:val="clear" w:color="auto" w:fill="CCEEFF"/>
          </w:tcPr>
          <w:p>
            <w:pPr>
              <w:spacing w:after="0"/>
              <w:rPr>
                <w:sz w:val="8"/>
                <w:szCs w:val="8"/>
                <w:color w:val="auto"/>
              </w:rPr>
            </w:pPr>
          </w:p>
        </w:tc>
        <w:tc>
          <w:tcPr>
            <w:tcW w:w="1020" w:type="dxa"/>
            <w:vAlign w:val="bottom"/>
            <w:tcBorders>
              <w:bottom w:val="single" w:sz="8" w:color="CCEEFF"/>
            </w:tcBorders>
            <w:shd w:val="clear" w:color="auto" w:fill="CCEEFF"/>
          </w:tcPr>
          <w:p>
            <w:pPr>
              <w:spacing w:after="0"/>
              <w:rPr>
                <w:sz w:val="8"/>
                <w:szCs w:val="8"/>
                <w:color w:val="auto"/>
              </w:rPr>
            </w:pPr>
          </w:p>
        </w:tc>
        <w:tc>
          <w:tcPr>
            <w:tcW w:w="1060" w:type="dxa"/>
            <w:vAlign w:val="bottom"/>
            <w:tcBorders>
              <w:bottom w:val="single" w:sz="8" w:color="CCEEFF"/>
            </w:tcBorders>
            <w:shd w:val="clear" w:color="auto" w:fill="CCEEFF"/>
          </w:tcPr>
          <w:p>
            <w:pPr>
              <w:spacing w:after="0"/>
              <w:rPr>
                <w:sz w:val="8"/>
                <w:szCs w:val="8"/>
                <w:color w:val="auto"/>
              </w:rPr>
            </w:pPr>
          </w:p>
        </w:tc>
        <w:tc>
          <w:tcPr>
            <w:tcW w:w="1020" w:type="dxa"/>
            <w:vAlign w:val="bottom"/>
            <w:tcBorders>
              <w:bottom w:val="single" w:sz="8" w:color="CCEEFF"/>
            </w:tcBorders>
            <w:shd w:val="clear" w:color="auto" w:fill="CCEEFF"/>
          </w:tcPr>
          <w:p>
            <w:pPr>
              <w:spacing w:after="0"/>
              <w:rPr>
                <w:sz w:val="8"/>
                <w:szCs w:val="8"/>
                <w:color w:val="auto"/>
              </w:rPr>
            </w:pPr>
          </w:p>
        </w:tc>
        <w:tc>
          <w:tcPr>
            <w:tcW w:w="1200" w:type="dxa"/>
            <w:vAlign w:val="bottom"/>
            <w:tcBorders>
              <w:bottom w:val="single" w:sz="8" w:color="CCEEFF"/>
            </w:tcBorders>
            <w:shd w:val="clear" w:color="auto" w:fill="CCEEFF"/>
          </w:tcPr>
          <w:p>
            <w:pPr>
              <w:spacing w:after="0"/>
              <w:rPr>
                <w:sz w:val="8"/>
                <w:szCs w:val="8"/>
                <w:color w:val="auto"/>
              </w:rPr>
            </w:pPr>
          </w:p>
        </w:tc>
        <w:tc>
          <w:tcPr>
            <w:tcW w:w="960" w:type="dxa"/>
            <w:vAlign w:val="bottom"/>
            <w:tcBorders>
              <w:bottom w:val="single" w:sz="8" w:color="CCEEFF"/>
            </w:tcBorders>
            <w:shd w:val="clear" w:color="auto" w:fill="CCEEFF"/>
          </w:tcPr>
          <w:p>
            <w:pPr>
              <w:spacing w:after="0"/>
              <w:rPr>
                <w:sz w:val="8"/>
                <w:szCs w:val="8"/>
                <w:color w:val="auto"/>
              </w:rPr>
            </w:pPr>
          </w:p>
        </w:tc>
        <w:tc>
          <w:tcPr>
            <w:tcW w:w="104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1660" w:type="dxa"/>
            <w:vAlign w:val="bottom"/>
            <w:tcBorders>
              <w:left w:val="single" w:sz="8" w:color="828282"/>
              <w:bottom w:val="single" w:sz="8" w:color="828282"/>
            </w:tcBorders>
          </w:tcPr>
          <w:p>
            <w:pPr>
              <w:ind w:left="40"/>
              <w:spacing w:after="0" w:line="169" w:lineRule="exact"/>
              <w:rPr>
                <w:sz w:val="20"/>
                <w:szCs w:val="20"/>
                <w:color w:val="auto"/>
              </w:rPr>
            </w:pPr>
            <w:r>
              <w:rPr>
                <w:rFonts w:ascii="Calibri" w:cs="Calibri" w:eastAsia="Calibri" w:hAnsi="Calibri"/>
                <w:sz w:val="14"/>
                <w:szCs w:val="14"/>
                <w:b w:val="1"/>
                <w:bCs w:val="1"/>
                <w:color w:val="494949"/>
              </w:rPr>
              <w:t>Total Payout</w:t>
            </w:r>
          </w:p>
        </w:tc>
        <w:tc>
          <w:tcPr>
            <w:tcW w:w="940" w:type="dxa"/>
            <w:vAlign w:val="bottom"/>
            <w:tcBorders>
              <w:bottom w:val="single" w:sz="8" w:color="828282"/>
            </w:tcBorders>
          </w:tcPr>
          <w:p>
            <w:pPr>
              <w:spacing w:after="0"/>
              <w:rPr>
                <w:sz w:val="17"/>
                <w:szCs w:val="17"/>
                <w:color w:val="auto"/>
              </w:rPr>
            </w:pPr>
          </w:p>
        </w:tc>
        <w:tc>
          <w:tcPr>
            <w:tcW w:w="1160" w:type="dxa"/>
            <w:vAlign w:val="bottom"/>
            <w:tcBorders>
              <w:bottom w:val="single" w:sz="8" w:color="828282"/>
            </w:tcBorders>
          </w:tcPr>
          <w:p>
            <w:pPr>
              <w:spacing w:after="0"/>
              <w:rPr>
                <w:sz w:val="17"/>
                <w:szCs w:val="17"/>
                <w:color w:val="auto"/>
              </w:rPr>
            </w:pPr>
          </w:p>
        </w:tc>
        <w:tc>
          <w:tcPr>
            <w:tcW w:w="1020" w:type="dxa"/>
            <w:vAlign w:val="bottom"/>
            <w:tcBorders>
              <w:bottom w:val="single" w:sz="8" w:color="828282"/>
            </w:tcBorders>
          </w:tcPr>
          <w:p>
            <w:pPr>
              <w:spacing w:after="0"/>
              <w:rPr>
                <w:sz w:val="17"/>
                <w:szCs w:val="17"/>
                <w:color w:val="auto"/>
              </w:rPr>
            </w:pPr>
          </w:p>
        </w:tc>
        <w:tc>
          <w:tcPr>
            <w:tcW w:w="1060" w:type="dxa"/>
            <w:vAlign w:val="bottom"/>
            <w:tcBorders>
              <w:bottom w:val="single" w:sz="8" w:color="828282"/>
            </w:tcBorders>
          </w:tcPr>
          <w:p>
            <w:pPr>
              <w:spacing w:after="0"/>
              <w:rPr>
                <w:sz w:val="17"/>
                <w:szCs w:val="17"/>
                <w:color w:val="auto"/>
              </w:rPr>
            </w:pPr>
          </w:p>
        </w:tc>
        <w:tc>
          <w:tcPr>
            <w:tcW w:w="1020" w:type="dxa"/>
            <w:vAlign w:val="bottom"/>
            <w:tcBorders>
              <w:bottom w:val="single" w:sz="8" w:color="828282"/>
            </w:tcBorders>
          </w:tcPr>
          <w:p>
            <w:pPr>
              <w:spacing w:after="0"/>
              <w:rPr>
                <w:sz w:val="17"/>
                <w:szCs w:val="17"/>
                <w:color w:val="auto"/>
              </w:rPr>
            </w:pPr>
          </w:p>
        </w:tc>
        <w:tc>
          <w:tcPr>
            <w:tcW w:w="1200" w:type="dxa"/>
            <w:vAlign w:val="bottom"/>
            <w:tcBorders>
              <w:bottom w:val="single" w:sz="8" w:color="828282"/>
            </w:tcBorders>
          </w:tcPr>
          <w:p>
            <w:pPr>
              <w:spacing w:after="0"/>
              <w:rPr>
                <w:sz w:val="17"/>
                <w:szCs w:val="17"/>
                <w:color w:val="auto"/>
              </w:rPr>
            </w:pPr>
          </w:p>
        </w:tc>
        <w:tc>
          <w:tcPr>
            <w:tcW w:w="960" w:type="dxa"/>
            <w:vAlign w:val="bottom"/>
            <w:tcBorders>
              <w:bottom w:val="single" w:sz="8" w:color="828282"/>
            </w:tcBorders>
          </w:tcPr>
          <w:p>
            <w:pPr>
              <w:spacing w:after="0"/>
              <w:rPr>
                <w:sz w:val="17"/>
                <w:szCs w:val="17"/>
                <w:color w:val="auto"/>
              </w:rPr>
            </w:pPr>
          </w:p>
        </w:tc>
        <w:tc>
          <w:tcPr>
            <w:tcW w:w="1040" w:type="dxa"/>
            <w:vAlign w:val="bottom"/>
            <w:tcBorders>
              <w:bottom w:val="single" w:sz="8" w:color="828282"/>
            </w:tcBorders>
          </w:tcPr>
          <w:p>
            <w:pPr>
              <w:spacing w:after="0"/>
              <w:rPr>
                <w:sz w:val="17"/>
                <w:szCs w:val="17"/>
                <w:color w:val="auto"/>
              </w:rPr>
            </w:pPr>
          </w:p>
        </w:tc>
        <w:tc>
          <w:tcPr>
            <w:tcW w:w="920" w:type="dxa"/>
            <w:vAlign w:val="bottom"/>
            <w:tcBorders>
              <w:bottom w:val="single" w:sz="8" w:color="828282"/>
            </w:tcBorders>
          </w:tcPr>
          <w:p>
            <w:pPr>
              <w:jc w:val="center"/>
              <w:ind w:left="149"/>
              <w:spacing w:after="0" w:line="199" w:lineRule="exact"/>
              <w:rPr>
                <w:sz w:val="20"/>
                <w:szCs w:val="20"/>
                <w:color w:val="auto"/>
              </w:rPr>
            </w:pPr>
            <w:r>
              <w:rPr>
                <w:rFonts w:ascii="Calibri" w:cs="Calibri" w:eastAsia="Calibri" w:hAnsi="Calibri"/>
                <w:sz w:val="14"/>
                <w:szCs w:val="14"/>
                <w:b w:val="1"/>
                <w:bCs w:val="1"/>
                <w:color w:val="auto"/>
              </w:rPr>
              <w:t>179%</w:t>
            </w:r>
            <w:r>
              <w:rPr>
                <w:rFonts w:ascii="Calibri" w:cs="Calibri" w:eastAsia="Calibri" w:hAnsi="Calibri"/>
                <w:sz w:val="18"/>
                <w:szCs w:val="18"/>
                <w:b w:val="1"/>
                <w:bCs w:val="1"/>
                <w:color w:val="auto"/>
                <w:vertAlign w:val="superscript"/>
              </w:rPr>
              <w:t>2</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20" w:right="180" w:firstLine="5"/>
        <w:spacing w:after="0" w:line="239" w:lineRule="auto"/>
        <w:tabs>
          <w:tab w:leader="none" w:pos="515" w:val="left"/>
        </w:tabs>
        <w:numPr>
          <w:ilvl w:val="0"/>
          <w:numId w:val="46"/>
        </w:numPr>
        <w:rPr>
          <w:rFonts w:ascii="Calibri" w:cs="Calibri" w:eastAsia="Calibri" w:hAnsi="Calibri"/>
          <w:sz w:val="14"/>
          <w:szCs w:val="14"/>
          <w:color w:val="666666"/>
        </w:rPr>
      </w:pPr>
      <w:r>
        <w:rPr>
          <w:rFonts w:ascii="Calibri" w:cs="Calibri" w:eastAsia="Calibri" w:hAnsi="Calibri"/>
          <w:sz w:val="14"/>
          <w:szCs w:val="14"/>
          <w:color w:val="666666"/>
        </w:rPr>
        <w:t>See Appendix A to this proxy statement for a reconciliaton between each non-GAAP fnancial measure and the most directly comparable fnancial measure calculated and presented in accordance with GAAP.</w:t>
      </w:r>
    </w:p>
    <w:p>
      <w:pPr>
        <w:spacing w:after="0" w:line="95" w:lineRule="exact"/>
        <w:rPr>
          <w:rFonts w:ascii="Calibri" w:cs="Calibri" w:eastAsia="Calibri" w:hAnsi="Calibri"/>
          <w:sz w:val="14"/>
          <w:szCs w:val="14"/>
          <w:color w:val="666666"/>
        </w:rPr>
      </w:pPr>
    </w:p>
    <w:p>
      <w:pPr>
        <w:ind w:left="520" w:hanging="195"/>
        <w:spacing w:after="0"/>
        <w:tabs>
          <w:tab w:leader="none" w:pos="520" w:val="left"/>
        </w:tabs>
        <w:numPr>
          <w:ilvl w:val="0"/>
          <w:numId w:val="46"/>
        </w:numPr>
        <w:rPr>
          <w:rFonts w:ascii="Calibri" w:cs="Calibri" w:eastAsia="Calibri" w:hAnsi="Calibri"/>
          <w:sz w:val="14"/>
          <w:szCs w:val="14"/>
          <w:color w:val="666666"/>
        </w:rPr>
      </w:pPr>
      <w:r>
        <w:rPr>
          <w:rFonts w:ascii="Calibri" w:cs="Calibri" w:eastAsia="Calibri" w:hAnsi="Calibri"/>
          <w:sz w:val="14"/>
          <w:szCs w:val="14"/>
          <w:color w:val="666666"/>
        </w:rPr>
        <w:t>The Total Payout Factor has been rounded to the nearest whole percentage.</w:t>
      </w:r>
    </w:p>
    <w:p>
      <w:pPr>
        <w:spacing w:after="0" w:line="167" w:lineRule="exact"/>
        <w:rPr>
          <w:sz w:val="20"/>
          <w:szCs w:val="20"/>
          <w:color w:val="auto"/>
        </w:rPr>
      </w:pPr>
    </w:p>
    <w:p>
      <w:pPr>
        <w:ind w:left="380"/>
        <w:spacing w:after="0"/>
        <w:rPr>
          <w:sz w:val="20"/>
          <w:szCs w:val="20"/>
          <w:color w:val="auto"/>
        </w:rPr>
      </w:pPr>
      <w:r>
        <w:rPr>
          <w:rFonts w:ascii="Calibri" w:cs="Calibri" w:eastAsia="Calibri" w:hAnsi="Calibri"/>
          <w:sz w:val="19"/>
          <w:szCs w:val="19"/>
          <w:i w:val="1"/>
          <w:iCs w:val="1"/>
          <w:color w:val="547BCC"/>
        </w:rPr>
        <w:t>Benefts and Perquisites</w:t>
      </w:r>
    </w:p>
    <w:p>
      <w:pPr>
        <w:spacing w:after="0" w:line="170" w:lineRule="exact"/>
        <w:rPr>
          <w:sz w:val="20"/>
          <w:szCs w:val="20"/>
          <w:color w:val="auto"/>
        </w:rPr>
      </w:pPr>
    </w:p>
    <w:p>
      <w:pPr>
        <w:jc w:val="both"/>
        <w:ind w:right="100" w:firstLine="319"/>
        <w:spacing w:after="0" w:line="231" w:lineRule="auto"/>
        <w:rPr>
          <w:sz w:val="20"/>
          <w:szCs w:val="20"/>
          <w:color w:val="auto"/>
        </w:rPr>
      </w:pPr>
      <w:r>
        <w:rPr>
          <w:rFonts w:ascii="Calibri" w:cs="Calibri" w:eastAsia="Calibri" w:hAnsi="Calibri"/>
          <w:sz w:val="18"/>
          <w:szCs w:val="18"/>
          <w:color w:val="666666"/>
        </w:rPr>
        <w:t>Our employees are eligible to partcipate in a full complement of beneft plans. Our named executve ofcers also partcipate in enhanced medical and dental plans, life insurance, accidental death and dismemberment, and personal liability coverage at the Company's expense. During fscal year 2022, our named executve ofcers were eligible to receive perquisites, including up to $15,000 per year for fnancial counseling, up to $7,500 every three years to update an estate plan, up to $3,000 for preparaton of estate plans following relocaton to a new tax jurisdicton, and a one-tme reimbursement of up to $5,000 for retrement fnancial planning. In additon, to protect our executves from various risks, we maintain an executve protecton program that provides our executves with a security assessment for their primary residence and security service for foreign or domestc travel. We believe that our executve beneft and perquisite programs are reasonable and necessary to provide for the well-being of our executves. For more detail on the perquisites that our named executve ofcers receive, see footnote 5 to the Summary Compensaton Table.</w:t>
      </w:r>
    </w:p>
    <w:p>
      <w:pPr>
        <w:spacing w:after="0" w:line="163" w:lineRule="exact"/>
        <w:rPr>
          <w:sz w:val="20"/>
          <w:szCs w:val="20"/>
          <w:color w:val="auto"/>
        </w:rPr>
      </w:pPr>
    </w:p>
    <w:p>
      <w:pPr>
        <w:ind w:left="320"/>
        <w:spacing w:after="0"/>
        <w:rPr>
          <w:sz w:val="20"/>
          <w:szCs w:val="20"/>
          <w:color w:val="auto"/>
        </w:rPr>
      </w:pPr>
      <w:r>
        <w:rPr>
          <w:rFonts w:ascii="Calibri" w:cs="Calibri" w:eastAsia="Calibri" w:hAnsi="Calibri"/>
          <w:sz w:val="19"/>
          <w:szCs w:val="19"/>
          <w:i w:val="1"/>
          <w:iCs w:val="1"/>
          <w:color w:val="547BCC"/>
        </w:rPr>
        <w:t>Retrement Benefts</w:t>
      </w:r>
    </w:p>
    <w:p>
      <w:pPr>
        <w:spacing w:after="0" w:line="157" w:lineRule="exact"/>
        <w:rPr>
          <w:sz w:val="20"/>
          <w:szCs w:val="20"/>
          <w:color w:val="auto"/>
        </w:rPr>
      </w:pPr>
    </w:p>
    <w:p>
      <w:pPr>
        <w:jc w:val="both"/>
        <w:ind w:right="100" w:firstLine="319"/>
        <w:spacing w:after="0" w:line="231" w:lineRule="auto"/>
        <w:rPr>
          <w:sz w:val="20"/>
          <w:szCs w:val="20"/>
          <w:color w:val="auto"/>
        </w:rPr>
      </w:pPr>
      <w:r>
        <w:rPr>
          <w:rFonts w:ascii="Calibri" w:cs="Calibri" w:eastAsia="Calibri" w:hAnsi="Calibri"/>
          <w:sz w:val="18"/>
          <w:szCs w:val="18"/>
          <w:color w:val="666666"/>
        </w:rPr>
        <w:t>We provide retrement benefts to our executves, including our named executve ofcers, to help them build fnancial security for retrement, while allowing them to direct the investment of their retrement savings as they choose.</w:t>
      </w:r>
    </w:p>
    <w:p>
      <w:pPr>
        <w:spacing w:after="0" w:line="152" w:lineRule="exact"/>
        <w:rPr>
          <w:sz w:val="20"/>
          <w:szCs w:val="20"/>
          <w:color w:val="auto"/>
        </w:rPr>
      </w:pPr>
    </w:p>
    <w:p>
      <w:pPr>
        <w:ind w:left="320"/>
        <w:spacing w:after="0"/>
        <w:rPr>
          <w:sz w:val="20"/>
          <w:szCs w:val="20"/>
          <w:color w:val="auto"/>
        </w:rPr>
      </w:pPr>
      <w:r>
        <w:rPr>
          <w:rFonts w:ascii="Calibri" w:cs="Calibri" w:eastAsia="Calibri" w:hAnsi="Calibri"/>
          <w:sz w:val="18"/>
          <w:szCs w:val="18"/>
          <w:b w:val="1"/>
          <w:bCs w:val="1"/>
          <w:color w:val="4F81BD"/>
        </w:rPr>
        <w:t>Employees’ Capital Accumulaton Plan</w:t>
      </w:r>
    </w:p>
    <w:p>
      <w:pPr>
        <w:spacing w:after="0" w:line="200" w:lineRule="exact"/>
        <w:rPr>
          <w:sz w:val="20"/>
          <w:szCs w:val="20"/>
          <w:color w:val="auto"/>
        </w:rPr>
      </w:pPr>
    </w:p>
    <w:p>
      <w:pPr>
        <w:spacing w:after="0" w:line="35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666666"/>
        </w:rPr>
        <w:t>38</w:t>
      </w:r>
    </w:p>
    <w:p>
      <w:pPr>
        <w:sectPr>
          <w:pgSz w:w="11900" w:h="16838" w:orient="portrait"/>
          <w:cols w:equalWidth="0" w:num="1">
            <w:col w:w="11340"/>
          </w:cols>
          <w:pgMar w:left="320" w:top="118"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All eligible employees, which includes our named executve ofcers, may partcipate in the tax-qualifed Employees' Capital Accumulaton Plan, or ECAP. Under this plan, eligible employees, including our named executve ofcers, receive an annual matching contributon based on their voluntary contributons up to 6% of their eligible annual income, as determined by the Internal Revenue Code of 1986, as amended (the "Code"). Each executve is also eligible to receive a payment that is equivalent to the annual tax-deferred contributon he or she is permited to make to ECAP under the Code. Executves may elect to have these funds deposited into a pre-tax or Roth 401(k), or the executve may simply receive the funds as a cash payment and be taxed accordingly.</w:t>
      </w:r>
    </w:p>
    <w:p>
      <w:pPr>
        <w:spacing w:after="0" w:line="155" w:lineRule="exact"/>
        <w:rPr>
          <w:sz w:val="20"/>
          <w:szCs w:val="20"/>
          <w:color w:val="auto"/>
        </w:rPr>
      </w:pPr>
    </w:p>
    <w:p>
      <w:pPr>
        <w:ind w:left="320"/>
        <w:spacing w:after="0"/>
        <w:rPr>
          <w:sz w:val="20"/>
          <w:szCs w:val="20"/>
          <w:color w:val="auto"/>
        </w:rPr>
      </w:pPr>
      <w:r>
        <w:rPr>
          <w:rFonts w:ascii="Calibri" w:cs="Calibri" w:eastAsia="Calibri" w:hAnsi="Calibri"/>
          <w:sz w:val="18"/>
          <w:szCs w:val="18"/>
          <w:b w:val="1"/>
          <w:bCs w:val="1"/>
          <w:color w:val="4F81BD"/>
        </w:rPr>
        <w:t>Non-Qualifed Deferred Compensaton Plan</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As part of our executve compensaton program, we ofer a non-qualifed deferred compensaton plan for our executves to encourage employees to save for their retrement. Eligible employees, which include all named executve ofcers, may elect to contribute up to 100% of their annual cash bonus to this plan. None of our named executve ofcers enrolled for the fscal year 2022 deferral.</w:t>
      </w:r>
    </w:p>
    <w:p>
      <w:pPr>
        <w:spacing w:after="0" w:line="153" w:lineRule="exact"/>
        <w:rPr>
          <w:sz w:val="20"/>
          <w:szCs w:val="20"/>
          <w:color w:val="auto"/>
        </w:rPr>
      </w:pPr>
    </w:p>
    <w:p>
      <w:pPr>
        <w:ind w:left="320"/>
        <w:spacing w:after="0"/>
        <w:rPr>
          <w:sz w:val="20"/>
          <w:szCs w:val="20"/>
          <w:color w:val="auto"/>
        </w:rPr>
      </w:pPr>
      <w:r>
        <w:rPr>
          <w:rFonts w:ascii="Calibri" w:cs="Calibri" w:eastAsia="Calibri" w:hAnsi="Calibri"/>
          <w:sz w:val="18"/>
          <w:szCs w:val="18"/>
          <w:b w:val="1"/>
          <w:bCs w:val="1"/>
          <w:color w:val="4F81BD"/>
        </w:rPr>
        <w:t>Additonal Retrement Benefts</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We provide additonal retrement benefts to our executves, including our named executve ofcers, in order to provide them with additonal security in retrement and promote a long-term career with our Company. Our executves partcipate in the Ofcers' Retrement Plan, under which the executve may retre with full benefts afer a minimum of either (a) age 60 with fve years of service as an executve, or (b) age 50 with 10 years of service as an executve. An eligible executve who retres and does not receive severance benefts is enttled to receive a single lump-sum retrement payment equal to $10,000 for each year of service as an executve, pro-rated as appropriate, and an annual allowance of $4,000 for fnancial counseling and tax preparaton assistance. Our retrees are also eligible to receive comprehensive coverage for medical, pharmacy, and dental healthcare. The premiums for this healthcare coverage are paid by the Company.</w:t>
      </w:r>
    </w:p>
    <w:p>
      <w:pPr>
        <w:spacing w:after="0" w:line="155"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Executve Ownership Requirements</w:t>
      </w:r>
    </w:p>
    <w:p>
      <w:pPr>
        <w:spacing w:after="0" w:line="166" w:lineRule="exact"/>
        <w:rPr>
          <w:sz w:val="20"/>
          <w:szCs w:val="20"/>
          <w:color w:val="auto"/>
        </w:rPr>
      </w:pPr>
    </w:p>
    <w:p>
      <w:pPr>
        <w:jc w:val="both"/>
        <w:ind w:firstLine="319"/>
        <w:spacing w:after="0" w:line="246" w:lineRule="auto"/>
        <w:rPr>
          <w:sz w:val="20"/>
          <w:szCs w:val="20"/>
          <w:color w:val="auto"/>
        </w:rPr>
      </w:pPr>
      <w:r>
        <w:rPr>
          <w:rFonts w:ascii="Calibri" w:cs="Calibri" w:eastAsia="Calibri" w:hAnsi="Calibri"/>
          <w:sz w:val="17"/>
          <w:szCs w:val="17"/>
          <w:color w:val="666666"/>
        </w:rPr>
        <w:t>Equity ownership requirements are in place for our executves, including our named executve ofcers, to further align their interests to those of our stockholders. Our ownership requirements extend beyond market expectatons. Our named executve ofcers have regularly exceeded our equity ownership guidelines and demonstrate a commitment to the Company's long-term value by owning equity well above their requirements. Untl an executve has satsfed the ownership requirements set forth below, the executve cannot sell any equity granted as executve equity compensaton by the Company. Each executve’s required equity ownership amount is determined as a multple of his or her base salary. The applicable multples for our named executve ofcers for fscal year 2022 are set forth in the table below, as well as a comparison of their approximate actual equity ownership as of the end of the fscal year:</w:t>
      </w:r>
    </w:p>
    <w:p>
      <w:pPr>
        <w:spacing w:after="0" w:line="185" w:lineRule="exact"/>
        <w:rPr>
          <w:sz w:val="20"/>
          <w:szCs w:val="20"/>
          <w:color w:val="auto"/>
        </w:rPr>
      </w:pPr>
    </w:p>
    <w:tbl>
      <w:tblPr>
        <w:tblLayout w:type="fixed"/>
        <w:tblInd w:w="450" w:type="dxa"/>
        <w:tblCellMar>
          <w:top w:w="0" w:type="dxa"/>
          <w:left w:w="0" w:type="dxa"/>
          <w:bottom w:w="0" w:type="dxa"/>
          <w:right w:w="0" w:type="dxa"/>
        </w:tblCellMar>
      </w:tblPr>
      <w:tr>
        <w:trPr>
          <w:trHeight w:val="212"/>
        </w:trPr>
        <w:tc>
          <w:tcPr>
            <w:tcW w:w="3460" w:type="dxa"/>
            <w:vAlign w:val="bottom"/>
            <w:tcBorders>
              <w:top w:val="single" w:sz="8" w:color="828282"/>
              <w:left w:val="single" w:sz="8" w:color="828282"/>
            </w:tcBorders>
            <w:shd w:val="clear" w:color="auto" w:fill="CCEEFF"/>
          </w:tcPr>
          <w:p>
            <w:pPr>
              <w:ind w:left="980"/>
              <w:spacing w:after="0"/>
              <w:rPr>
                <w:sz w:val="20"/>
                <w:szCs w:val="20"/>
                <w:color w:val="auto"/>
              </w:rPr>
            </w:pPr>
            <w:r>
              <w:rPr>
                <w:rFonts w:ascii="Calibri" w:cs="Calibri" w:eastAsia="Calibri" w:hAnsi="Calibri"/>
                <w:sz w:val="14"/>
                <w:szCs w:val="14"/>
                <w:b w:val="1"/>
                <w:bCs w:val="1"/>
                <w:i w:val="1"/>
                <w:iCs w:val="1"/>
                <w:color w:val="494949"/>
              </w:rPr>
              <w:t>Named Executve Ofcers</w:t>
            </w:r>
          </w:p>
        </w:tc>
        <w:tc>
          <w:tcPr>
            <w:tcW w:w="3520" w:type="dxa"/>
            <w:vAlign w:val="bottom"/>
            <w:tcBorders>
              <w:top w:val="single" w:sz="8" w:color="828282"/>
            </w:tcBorders>
            <w:shd w:val="clear" w:color="auto" w:fill="CCEEFF"/>
          </w:tcPr>
          <w:p>
            <w:pPr>
              <w:jc w:val="center"/>
              <w:ind w:right="29"/>
              <w:spacing w:after="0"/>
              <w:rPr>
                <w:sz w:val="20"/>
                <w:szCs w:val="20"/>
                <w:color w:val="auto"/>
              </w:rPr>
            </w:pPr>
            <w:r>
              <w:rPr>
                <w:rFonts w:ascii="Calibri" w:cs="Calibri" w:eastAsia="Calibri" w:hAnsi="Calibri"/>
                <w:sz w:val="14"/>
                <w:szCs w:val="14"/>
                <w:b w:val="1"/>
                <w:bCs w:val="1"/>
                <w:i w:val="1"/>
                <w:iCs w:val="1"/>
                <w:color w:val="494949"/>
              </w:rPr>
              <w:t>Ownership Requirement</w:t>
            </w:r>
          </w:p>
        </w:tc>
        <w:tc>
          <w:tcPr>
            <w:tcW w:w="3420" w:type="dxa"/>
            <w:vAlign w:val="bottom"/>
            <w:tcBorders>
              <w:top w:val="single" w:sz="8" w:color="828282"/>
              <w:right w:val="single" w:sz="8" w:color="828282"/>
            </w:tcBorders>
            <w:shd w:val="clear" w:color="auto" w:fill="CCEEFF"/>
          </w:tcPr>
          <w:p>
            <w:pPr>
              <w:jc w:val="center"/>
              <w:ind w:right="29"/>
              <w:spacing w:after="0" w:line="213" w:lineRule="exact"/>
              <w:rPr>
                <w:sz w:val="20"/>
                <w:szCs w:val="20"/>
                <w:color w:val="auto"/>
              </w:rPr>
            </w:pPr>
            <w:r>
              <w:rPr>
                <w:rFonts w:ascii="Calibri" w:cs="Calibri" w:eastAsia="Calibri" w:hAnsi="Calibri"/>
                <w:sz w:val="14"/>
                <w:szCs w:val="14"/>
                <w:b w:val="1"/>
                <w:bCs w:val="1"/>
                <w:i w:val="1"/>
                <w:iCs w:val="1"/>
                <w:color w:val="494949"/>
                <w:w w:val="99"/>
              </w:rPr>
              <w:t xml:space="preserve">Actual Ownership </w:t>
            </w:r>
            <w:r>
              <w:rPr>
                <w:rFonts w:ascii="Calibri" w:cs="Calibri" w:eastAsia="Calibri" w:hAnsi="Calibri"/>
                <w:sz w:val="18"/>
                <w:szCs w:val="18"/>
                <w:b w:val="1"/>
                <w:bCs w:val="1"/>
                <w:i w:val="1"/>
                <w:iCs w:val="1"/>
                <w:color w:val="494949"/>
                <w:w w:val="99"/>
                <w:vertAlign w:val="superscript"/>
              </w:rPr>
              <w:t>1</w:t>
            </w:r>
          </w:p>
        </w:tc>
      </w:tr>
      <w:tr>
        <w:trPr>
          <w:trHeight w:val="168"/>
        </w:trPr>
        <w:tc>
          <w:tcPr>
            <w:tcW w:w="3460" w:type="dxa"/>
            <w:vAlign w:val="bottom"/>
            <w:tcBorders>
              <w:left w:val="single" w:sz="8" w:color="828282"/>
            </w:tcBorders>
          </w:tcPr>
          <w:p>
            <w:pPr>
              <w:ind w:left="20"/>
              <w:spacing w:after="0" w:line="169" w:lineRule="exact"/>
              <w:rPr>
                <w:sz w:val="20"/>
                <w:szCs w:val="20"/>
                <w:color w:val="auto"/>
              </w:rPr>
            </w:pPr>
            <w:r>
              <w:rPr>
                <w:rFonts w:ascii="Calibri" w:cs="Calibri" w:eastAsia="Calibri" w:hAnsi="Calibri"/>
                <w:sz w:val="14"/>
                <w:szCs w:val="14"/>
                <w:color w:val="494949"/>
              </w:rPr>
              <w:t>Chief Executve Ofcer</w:t>
            </w:r>
          </w:p>
        </w:tc>
        <w:tc>
          <w:tcPr>
            <w:tcW w:w="3520" w:type="dxa"/>
            <w:vAlign w:val="bottom"/>
          </w:tcPr>
          <w:p>
            <w:pPr>
              <w:jc w:val="center"/>
              <w:ind w:right="9"/>
              <w:spacing w:after="0" w:line="169" w:lineRule="exact"/>
              <w:rPr>
                <w:sz w:val="20"/>
                <w:szCs w:val="20"/>
                <w:color w:val="auto"/>
              </w:rPr>
            </w:pPr>
            <w:r>
              <w:rPr>
                <w:rFonts w:ascii="Calibri" w:cs="Calibri" w:eastAsia="Calibri" w:hAnsi="Calibri"/>
                <w:sz w:val="14"/>
                <w:szCs w:val="14"/>
                <w:color w:val="494949"/>
              </w:rPr>
              <w:t>7x base salary</w:t>
            </w:r>
          </w:p>
        </w:tc>
        <w:tc>
          <w:tcPr>
            <w:tcW w:w="3420" w:type="dxa"/>
            <w:vAlign w:val="bottom"/>
            <w:tcBorders>
              <w:right w:val="single" w:sz="8" w:color="828282"/>
            </w:tcBorders>
          </w:tcPr>
          <w:p>
            <w:pPr>
              <w:jc w:val="center"/>
              <w:ind w:right="29"/>
              <w:spacing w:after="0" w:line="169" w:lineRule="exact"/>
              <w:rPr>
                <w:sz w:val="20"/>
                <w:szCs w:val="20"/>
                <w:color w:val="auto"/>
              </w:rPr>
            </w:pPr>
            <w:r>
              <w:rPr>
                <w:rFonts w:ascii="Calibri" w:cs="Calibri" w:eastAsia="Calibri" w:hAnsi="Calibri"/>
                <w:sz w:val="14"/>
                <w:szCs w:val="14"/>
                <w:color w:val="494949"/>
              </w:rPr>
              <w:t>45x base salary</w:t>
            </w:r>
          </w:p>
        </w:tc>
      </w:tr>
      <w:tr>
        <w:trPr>
          <w:trHeight w:val="185"/>
        </w:trPr>
        <w:tc>
          <w:tcPr>
            <w:tcW w:w="3460" w:type="dxa"/>
            <w:vAlign w:val="bottom"/>
            <w:tcBorders>
              <w:left w:val="single" w:sz="8" w:color="828282"/>
            </w:tcBorders>
          </w:tcPr>
          <w:p>
            <w:pPr>
              <w:ind w:left="20"/>
              <w:spacing w:after="0"/>
              <w:rPr>
                <w:sz w:val="20"/>
                <w:szCs w:val="20"/>
                <w:color w:val="auto"/>
              </w:rPr>
            </w:pPr>
            <w:r>
              <w:rPr>
                <w:rFonts w:ascii="Calibri" w:cs="Calibri" w:eastAsia="Calibri" w:hAnsi="Calibri"/>
                <w:sz w:val="14"/>
                <w:szCs w:val="14"/>
                <w:color w:val="494949"/>
              </w:rPr>
              <w:t>Other named executve ofcers</w:t>
            </w:r>
          </w:p>
        </w:tc>
        <w:tc>
          <w:tcPr>
            <w:tcW w:w="3520" w:type="dxa"/>
            <w:vAlign w:val="bottom"/>
          </w:tcPr>
          <w:p>
            <w:pPr>
              <w:jc w:val="center"/>
              <w:ind w:right="9"/>
              <w:spacing w:after="0"/>
              <w:rPr>
                <w:sz w:val="20"/>
                <w:szCs w:val="20"/>
                <w:color w:val="auto"/>
              </w:rPr>
            </w:pPr>
            <w:r>
              <w:rPr>
                <w:rFonts w:ascii="Calibri" w:cs="Calibri" w:eastAsia="Calibri" w:hAnsi="Calibri"/>
                <w:sz w:val="14"/>
                <w:szCs w:val="14"/>
                <w:color w:val="494949"/>
              </w:rPr>
              <w:t>4x base salary</w:t>
            </w:r>
          </w:p>
        </w:tc>
        <w:tc>
          <w:tcPr>
            <w:tcW w:w="3420" w:type="dxa"/>
            <w:vAlign w:val="bottom"/>
            <w:tcBorders>
              <w:right w:val="single" w:sz="8" w:color="828282"/>
            </w:tcBorders>
          </w:tcPr>
          <w:p>
            <w:pPr>
              <w:jc w:val="center"/>
              <w:ind w:right="29"/>
              <w:spacing w:after="0"/>
              <w:rPr>
                <w:sz w:val="20"/>
                <w:szCs w:val="20"/>
                <w:color w:val="auto"/>
              </w:rPr>
            </w:pPr>
            <w:r>
              <w:rPr>
                <w:rFonts w:ascii="Calibri" w:cs="Calibri" w:eastAsia="Calibri" w:hAnsi="Calibri"/>
                <w:sz w:val="14"/>
                <w:szCs w:val="14"/>
                <w:color w:val="494949"/>
              </w:rPr>
              <w:t>15x base salary</w:t>
            </w:r>
          </w:p>
        </w:tc>
      </w:tr>
      <w:tr>
        <w:trPr>
          <w:trHeight w:val="46"/>
        </w:trPr>
        <w:tc>
          <w:tcPr>
            <w:tcW w:w="3460" w:type="dxa"/>
            <w:vAlign w:val="bottom"/>
            <w:tcBorders>
              <w:left w:val="single" w:sz="8" w:color="828282"/>
              <w:bottom w:val="single" w:sz="8" w:color="828282"/>
            </w:tcBorders>
          </w:tcPr>
          <w:p>
            <w:pPr>
              <w:spacing w:after="0"/>
              <w:rPr>
                <w:sz w:val="3"/>
                <w:szCs w:val="3"/>
                <w:color w:val="auto"/>
              </w:rPr>
            </w:pPr>
          </w:p>
        </w:tc>
        <w:tc>
          <w:tcPr>
            <w:tcW w:w="3520" w:type="dxa"/>
            <w:vAlign w:val="bottom"/>
            <w:tcBorders>
              <w:bottom w:val="single" w:sz="8" w:color="828282"/>
            </w:tcBorders>
          </w:tcPr>
          <w:p>
            <w:pPr>
              <w:spacing w:after="0"/>
              <w:rPr>
                <w:sz w:val="3"/>
                <w:szCs w:val="3"/>
                <w:color w:val="auto"/>
              </w:rPr>
            </w:pPr>
          </w:p>
        </w:tc>
        <w:tc>
          <w:tcPr>
            <w:tcW w:w="3420" w:type="dxa"/>
            <w:vAlign w:val="bottom"/>
            <w:tcBorders>
              <w:bottom w:val="single" w:sz="8" w:color="828282"/>
              <w:right w:val="single" w:sz="8" w:color="828282"/>
            </w:tcBorders>
          </w:tcPr>
          <w:p>
            <w:pPr>
              <w:spacing w:after="0"/>
              <w:rPr>
                <w:sz w:val="3"/>
                <w:szCs w:val="3"/>
                <w:color w:val="auto"/>
              </w:rPr>
            </w:pPr>
          </w:p>
        </w:tc>
      </w:tr>
    </w:tbl>
    <w:p>
      <w:pPr>
        <w:spacing w:after="0" w:line="169" w:lineRule="exact"/>
        <w:rPr>
          <w:sz w:val="20"/>
          <w:szCs w:val="20"/>
          <w:color w:val="auto"/>
        </w:rPr>
      </w:pPr>
    </w:p>
    <w:p>
      <w:pPr>
        <w:ind w:left="320"/>
        <w:spacing w:after="0"/>
        <w:rPr>
          <w:sz w:val="20"/>
          <w:szCs w:val="20"/>
          <w:color w:val="auto"/>
        </w:rPr>
      </w:pPr>
      <w:r>
        <w:rPr>
          <w:rFonts w:ascii="Calibri" w:cs="Calibri" w:eastAsia="Calibri" w:hAnsi="Calibri"/>
          <w:sz w:val="14"/>
          <w:szCs w:val="14"/>
          <w:color w:val="666666"/>
        </w:rPr>
        <w:t>(1) Ownership for the other named executve ofcers is an average of their equity holdings compared to their respectve base pay amounts as of fscal year-end 2022.</w:t>
      </w:r>
    </w:p>
    <w:p>
      <w:pPr>
        <w:spacing w:after="0" w:line="17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In calculatng an executve's ownership, Class A Common Stock, vested in-the-money stock optons, restricted stock, restricted stock units, and performance stock units at target, issued under the Equity Incentve Plan are considered as owned by the executve. Each of our named executve ofcers has satsfed his or her individual stock ownership requirement.</w:t>
      </w:r>
    </w:p>
    <w:p>
      <w:pPr>
        <w:spacing w:after="0" w:line="151"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Risk Assessment</w:t>
      </w:r>
    </w:p>
    <w:p>
      <w:pPr>
        <w:spacing w:after="0" w:line="166"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We engaged Korn Ferry to conduct a risk assessment of our compensaton programs for fscal year 2022, which was completed in May 2021. Based on our approach of compensatng our executves to foster the fnancial success of the Company as a whole and other elements of our compensaton system, as well as the results of Korn Ferry's review, the Compensaton, Culture and People Commitee concluded that our executve compensaton program does not encourage undue risk-taking and the risks arising from our compensaton policies and practces for our employees are not reasonably likely to have a material adverse efect on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39</w:t>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Advisory Vote to Approve Executve Compensaton</w:t>
      </w:r>
    </w:p>
    <w:p>
      <w:pPr>
        <w:spacing w:after="0" w:line="166"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At the 2021 Annual Meetng of Stockholders, approximately 96% of the votes cast were in favor of our executve compensaton structure. The Board and Compensaton, Culture and People Commitee viewed this strong support as an indicator of general approval of our approach to executve compensaton. In 2017, the Company’s stockholders approved holding the say-on-pay vote annually. The next advisory vote for the frequency of holding the say-on-pay vote is scheduled for the Annual Meetng of Stockholders in 2023.</w:t>
      </w:r>
    </w:p>
    <w:p>
      <w:pPr>
        <w:spacing w:after="0" w:line="154" w:lineRule="exact"/>
        <w:rPr>
          <w:sz w:val="20"/>
          <w:szCs w:val="20"/>
          <w:color w:val="auto"/>
        </w:rPr>
      </w:pPr>
    </w:p>
    <w:p>
      <w:pPr>
        <w:ind w:left="320"/>
        <w:spacing w:after="0"/>
        <w:rPr>
          <w:sz w:val="20"/>
          <w:szCs w:val="20"/>
          <w:color w:val="auto"/>
        </w:rPr>
      </w:pPr>
      <w:r>
        <w:rPr>
          <w:rFonts w:ascii="Calibri" w:cs="Calibri" w:eastAsia="Calibri" w:hAnsi="Calibri"/>
          <w:sz w:val="18"/>
          <w:szCs w:val="18"/>
          <w:color w:val="666666"/>
        </w:rPr>
        <w:t>We contnue to engage with our stockholders and welcome feedback regarding our executve compensaton programs.</w:t>
      </w:r>
    </w:p>
    <w:p>
      <w:pPr>
        <w:spacing w:after="0" w:line="150"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Government Limitatons on Reimbursement of Compensaton Costs</w:t>
      </w:r>
    </w:p>
    <w:p>
      <w:pPr>
        <w:spacing w:after="0" w:line="166" w:lineRule="exact"/>
        <w:rPr>
          <w:sz w:val="20"/>
          <w:szCs w:val="20"/>
          <w:color w:val="auto"/>
        </w:rPr>
      </w:pPr>
    </w:p>
    <w:p>
      <w:pPr>
        <w:jc w:val="both"/>
        <w:ind w:firstLine="319"/>
        <w:spacing w:after="0" w:line="246" w:lineRule="auto"/>
        <w:rPr>
          <w:sz w:val="20"/>
          <w:szCs w:val="20"/>
          <w:color w:val="auto"/>
        </w:rPr>
      </w:pPr>
      <w:r>
        <w:rPr>
          <w:rFonts w:ascii="Calibri" w:cs="Calibri" w:eastAsia="Calibri" w:hAnsi="Calibri"/>
          <w:sz w:val="17"/>
          <w:szCs w:val="17"/>
          <w:color w:val="666666"/>
        </w:rPr>
        <w:t>As a government contractor, we are subject to applicable federal statutes and the Federal Acquisiton Regulaton (FAR), which govern the reimbursement of costs by our government clients. Pursuant to the FAR our contracts limit the allowability of reimbursement for compensaton to certain, or in some cases all, employees, including our named executve ofcers, to a benchmark compensaton cap established each year by the Ofce of Management and Budget (OMB). When comparing compensaton to the benchmark cap, all wages, salary, bonuses, deferred compensaton, and employer contributons to defned contributon pension plans, if any, for the year, as recorded in our books and records, must be included. Any amounts over the cap are considered unallowable and are therefore not recoverable under our government contracts. The compensaton cap established by the OMB, which is applicable to a porton of our contracts for the 2022 calendar year, is $589,000. Other contracts have higher caps and/or limit the allowable compensaton of fewer employees.</w:t>
      </w:r>
    </w:p>
    <w:p>
      <w:pPr>
        <w:spacing w:after="0" w:line="147"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Compensaton Recovery Provisions (Clawbacks) in Incentve Plans</w:t>
      </w:r>
    </w:p>
    <w:p>
      <w:pPr>
        <w:spacing w:after="0" w:line="180"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We have provisions in our incentve plans that provide us with the ability to impose the forfeiture of bonuses and equity compensaton and the recovery of certain bonus amounts and gains from equity compensaton awarded under those plans. Such forfeitures and recoveries may occur:</w:t>
      </w:r>
    </w:p>
    <w:p>
      <w:pPr>
        <w:spacing w:after="0" w:line="161" w:lineRule="exact"/>
        <w:rPr>
          <w:sz w:val="20"/>
          <w:szCs w:val="20"/>
          <w:color w:val="auto"/>
        </w:rPr>
      </w:pPr>
    </w:p>
    <w:p>
      <w:pPr>
        <w:ind w:left="640" w:hanging="315"/>
        <w:spacing w:after="0" w:line="231" w:lineRule="auto"/>
        <w:tabs>
          <w:tab w:leader="none" w:pos="633" w:val="left"/>
        </w:tabs>
        <w:numPr>
          <w:ilvl w:val="0"/>
          <w:numId w:val="47"/>
        </w:numPr>
        <w:rPr>
          <w:rFonts w:ascii="Calibri" w:cs="Calibri" w:eastAsia="Calibri" w:hAnsi="Calibri"/>
          <w:sz w:val="18"/>
          <w:szCs w:val="18"/>
          <w:color w:val="666666"/>
        </w:rPr>
      </w:pPr>
      <w:r>
        <w:rPr>
          <w:rFonts w:ascii="Calibri" w:cs="Calibri" w:eastAsia="Calibri" w:hAnsi="Calibri"/>
          <w:sz w:val="18"/>
          <w:szCs w:val="18"/>
          <w:color w:val="666666"/>
        </w:rPr>
        <w:t>in the event of an accountng restatement due to material non-compliance with any fnancial reportng requirements under the securites laws with respect to individuals who engage in misconduct or gross negligence that results in a restatement of our fnancial statements,</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47"/>
        </w:numPr>
        <w:rPr>
          <w:rFonts w:ascii="Calibri" w:cs="Calibri" w:eastAsia="Calibri" w:hAnsi="Calibri"/>
          <w:sz w:val="18"/>
          <w:szCs w:val="18"/>
          <w:color w:val="666666"/>
        </w:rPr>
      </w:pPr>
      <w:r>
        <w:rPr>
          <w:rFonts w:ascii="Calibri" w:cs="Calibri" w:eastAsia="Calibri" w:hAnsi="Calibri"/>
          <w:sz w:val="18"/>
          <w:szCs w:val="18"/>
          <w:color w:val="666666"/>
        </w:rPr>
        <w:t>with respect to individuals subject to automatc forfeiture under Secton 304 of the Sarbanes-Oxley Act of 2002, and,</w:t>
      </w:r>
    </w:p>
    <w:p>
      <w:pPr>
        <w:spacing w:after="0" w:line="161" w:lineRule="exact"/>
        <w:rPr>
          <w:rFonts w:ascii="Calibri" w:cs="Calibri" w:eastAsia="Calibri" w:hAnsi="Calibri"/>
          <w:sz w:val="18"/>
          <w:szCs w:val="18"/>
          <w:color w:val="666666"/>
        </w:rPr>
      </w:pPr>
    </w:p>
    <w:p>
      <w:pPr>
        <w:jc w:val="both"/>
        <w:ind w:left="640" w:hanging="315"/>
        <w:spacing w:after="0" w:line="231" w:lineRule="auto"/>
        <w:tabs>
          <w:tab w:leader="none" w:pos="633" w:val="left"/>
        </w:tabs>
        <w:numPr>
          <w:ilvl w:val="0"/>
          <w:numId w:val="47"/>
        </w:numPr>
        <w:rPr>
          <w:rFonts w:ascii="Calibri" w:cs="Calibri" w:eastAsia="Calibri" w:hAnsi="Calibri"/>
          <w:sz w:val="18"/>
          <w:szCs w:val="18"/>
          <w:color w:val="666666"/>
        </w:rPr>
      </w:pPr>
      <w:r>
        <w:rPr>
          <w:rFonts w:ascii="Calibri" w:cs="Calibri" w:eastAsia="Calibri" w:hAnsi="Calibri"/>
          <w:sz w:val="18"/>
          <w:szCs w:val="18"/>
          <w:color w:val="666666"/>
        </w:rPr>
        <w:t>to the extent that, based on erroneous data, any award or payment is in excess of what would have been paid under the accountng restatement during the three-year period preceding the date on which a fnancial restatement is required, current or former executves, or as otherwise required under applicable laws or regulatons.</w:t>
      </w:r>
    </w:p>
    <w:p>
      <w:pPr>
        <w:spacing w:after="0" w:line="162"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In additon, if an individual engages in certain other misconduct, the Company has the discreton to suspend vestng of all or a porton of any award and/or require the forfeiture or disgorgement to the Company of any equity award (including gains on the sale of the stock, if any) that vested, was paid, or setled in the 12 months prior to or any tme afer the individual engaged in such misconduct. Our Equity Incentve Plan and Annual Incentve Plan also permit the Company to subject awards to forfeiture, disgorgement, and recoupment under any applicable claw-back policies that may be adopted by the Board or our Compensaton, Culture and People Commitee.</w:t>
      </w:r>
    </w:p>
    <w:p>
      <w:pPr>
        <w:spacing w:after="0" w:line="153"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Certain Change in Control Provisions</w:t>
      </w:r>
    </w:p>
    <w:p>
      <w:pPr>
        <w:spacing w:after="0" w:line="246"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Prior to May 2022, the Equity Incentve Plan provided that, in the event of a change in control, unless the plan administrator determined otherwise or as otherwise provided in an award agreement, all service-based awards under the Equity Incentve Plan, including tme-based optons and tme-based restricted stock units, would fully vest. In May 2022, our Compensaton, Culture and People Commitee, based on benchmarking analysis of market practces and input from Korn Ferry, approved revisions to the vestng terms in the award agreements governing the optons and tme-based restricted stock units to provide that, in the event of a change in control, all such optons and tme-based restricted stock units shall remain outstanding and vest on the applicable vestng date, subject to the contnued employment or service of the partcipant by the Company or any subsidiary thereof through such vestng date; provided, that, if the partcipant’s employment or service is terminated by the Company without “cause” or for “good reason” (in each case, as defned in the applicable award agreement) within two years following the efectve date of the change in control, such outstanding optons and tme-based restricted stock units will vest as of the date of such terminaton.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40</w:t>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397"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In the event of a change in control, unvested performance-based restricted stock units will remain outstanding at target levels and will vest on the original vestng date, subject to the contnued employment or service of the partcipant by the Company or any subsidiary thereof through such vestng date, but without regard to achievement of any performance goals; however, if the partcipant’s employment or service is terminated by the Company without “cause” or for “good reason” (in each case, as defned in the applicable award agreement) within two years following the efectve date of the change in control, such outstanding performance-based restricted stock units will vest as of the date of such terminaton. Under the Equity Incentve Plan, “change in control” is generally defned as the acquisiton by any person of 50% or more of the combined votng power of our Company's then outstanding votng securites, the merger of our Company if our stockholders immediately prior to the merger do not own more than 50% of the combined votng power of the merged entty, the liquidaton or dissoluton of our Company (other than in a bankruptcy proceeding or for the purposes of efectng a corporate restructuring or reorganizaton), or the sale of all or substantally all the assets of our Company to non-afliates.</w:t>
      </w:r>
    </w:p>
    <w:p>
      <w:pPr>
        <w:spacing w:after="0" w:line="248"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In additon, if, during the fve-year period afer a change in control, our executves' retree medical plan is terminated or modifed in a manner that is materially adverse to our executves, each of our executves, including our named executve ofcers, will be guaranteed their existng benefts under the plan through the ffh anniversary of the change in control and receive at the end of the fve-year period a cash payment equal to the excess of the actuarial cost of the executve's benefts under the plan that would be accrued on the Company's fnancial statements on the ffh anniversary of the change in control in the absence of the terminaton or modifcaton over the amount that is accrued on our fnancial statements on the ffh anniversary of the change in control giving efect to the terminaton or modifcaton (but excluding the accrual on the payment itself).</w:t>
      </w:r>
    </w:p>
    <w:p>
      <w:pPr>
        <w:spacing w:after="0" w:line="154"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Policies on Timing of Equity Grants</w:t>
      </w:r>
    </w:p>
    <w:p>
      <w:pPr>
        <w:spacing w:after="0" w:line="166"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It is our policy not to tme the grantng of equity awards in relaton to the release of material, non-public informaton. Accordingly, regularly scheduled awards are permited to be granted at tmes when there is material non-public informaton. Annual equity awards to all ofcers, including the named executve ofcers, are typically granted by the Compensaton, Culture and People Commitee meetng in May of each fscal year. We generally grant equity awards to newly hired and promoted executve ofcers at the subsequently scheduled Compensaton, Culture and People Commitee or Board meetng following the respectve efectve date of the hire or promoton.</w:t>
      </w:r>
    </w:p>
    <w:p>
      <w:pPr>
        <w:spacing w:after="0" w:line="153"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Efect of Accountng and Tax Treatment on Compensaton Decisions</w:t>
      </w:r>
    </w:p>
    <w:p>
      <w:pPr>
        <w:spacing w:after="0" w:line="166"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Compensaton, Culture and People Commitee has from tme to tme considered the potental impact of Secton 162(m) of the Code, or Secton 162(m), on elements of our compensaton program. Secton 162(m) imposes a limit on the amount of compensaton that we may deduct in any one year with respect to certain “covered employees.” The 2017 Tax Act made certain changes to Secton 162(m), including repealing the performance-based compensaton excepton and expanding the scope of persons covered by the limitatons on deductbility under Secton 162(m). Accordingly, compensaton paid afer March 31, 2018 to our covered employees in excess of $1 million will not be deductble unless it qualifes for transiton relief applicable to certain arrangements in place as of November 2, 2017 that are not modifed in any material respect afer that date.</w:t>
      </w:r>
    </w:p>
    <w:p>
      <w:pPr>
        <w:spacing w:after="0" w:line="165" w:lineRule="exact"/>
        <w:rPr>
          <w:sz w:val="20"/>
          <w:szCs w:val="20"/>
          <w:color w:val="auto"/>
        </w:rPr>
      </w:pPr>
    </w:p>
    <w:p>
      <w:pPr>
        <w:jc w:val="both"/>
        <w:ind w:firstLine="319"/>
        <w:spacing w:after="0" w:line="246" w:lineRule="auto"/>
        <w:rPr>
          <w:sz w:val="20"/>
          <w:szCs w:val="20"/>
          <w:color w:val="auto"/>
        </w:rPr>
      </w:pPr>
      <w:r>
        <w:rPr>
          <w:rFonts w:ascii="Calibri" w:cs="Calibri" w:eastAsia="Calibri" w:hAnsi="Calibri"/>
          <w:sz w:val="17"/>
          <w:szCs w:val="17"/>
          <w:color w:val="666666"/>
        </w:rPr>
        <w:t>In prior years, we sought to structure our annual incentve compensaton and long-term equity incentve compensaton paid to our “covered employees” to be deductble under Secton 162(m) to the extent possible. However, our Compensaton, Culture and People Commitee considers it important to retain the fexibility to design compensaton programs that are in the best long-term interests of our Company and our stockholders and does not have a policy requiring compensaton to be fully deductble under Secton 162(m). While we intend to rely on the transiton relief included in the 2017 Tax Act to the extent practcable and consistent with our business needs, as a result of the eliminaton of the exempton for qualifed performance-based compensaton, our Compensaton, Culture and People Commitee expects to pay compensaton at levels that are not deductble under Secton 162(m).</w:t>
      </w:r>
    </w:p>
    <w:p>
      <w:pPr>
        <w:spacing w:after="0" w:line="158" w:lineRule="exact"/>
        <w:rPr>
          <w:sz w:val="20"/>
          <w:szCs w:val="20"/>
          <w:color w:val="auto"/>
        </w:rPr>
      </w:pPr>
    </w:p>
    <w:p>
      <w:pPr>
        <w:jc w:val="both"/>
        <w:ind w:firstLine="319"/>
        <w:spacing w:after="0" w:line="247" w:lineRule="auto"/>
        <w:rPr>
          <w:sz w:val="20"/>
          <w:szCs w:val="20"/>
          <w:color w:val="auto"/>
        </w:rPr>
      </w:pPr>
      <w:r>
        <w:rPr>
          <w:rFonts w:ascii="Calibri" w:cs="Calibri" w:eastAsia="Calibri" w:hAnsi="Calibri"/>
          <w:sz w:val="17"/>
          <w:szCs w:val="17"/>
          <w:color w:val="666666"/>
        </w:rPr>
        <w:t>Other provisions of the Code can also afect compensaton decisions. Secton 409A of the Code, or Secton 409A, which governs the form and tming of payment of deferred compensaton, imposes sanctons, including a 20% penalty and an interest penalty, on a recipient of deferred compensaton that does not comply with Secton 409A. Our Compensaton, Culture and People Commitee takes into account the potental implicatons of Secton 409A in determining the form and tming of compensaton awarded to our executves and strives to structure its nonqualifed deferred compensaton plans to meet these requirements.</w:t>
      </w:r>
    </w:p>
    <w:p>
      <w:pPr>
        <w:spacing w:after="0" w:line="155"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Secton 280G of the Code, or Secton 280G, disallows a company's tax deducton for payments received by certain individuals in connecton with a change in control to the extent that the payments exceed an amount approximately three tmes their average annual compensaton and Secton 4999 of the Code imposes a 20% excise tax on those payments. As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41</w:t>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31" w:lineRule="auto"/>
        <w:rPr>
          <w:sz w:val="20"/>
          <w:szCs w:val="20"/>
          <w:color w:val="auto"/>
        </w:rPr>
      </w:pPr>
      <w:r>
        <w:rPr>
          <w:rFonts w:ascii="Calibri" w:cs="Calibri" w:eastAsia="Calibri" w:hAnsi="Calibri"/>
          <w:sz w:val="18"/>
          <w:szCs w:val="18"/>
          <w:color w:val="666666"/>
        </w:rPr>
        <w:t>described above, awards under our Equity Incentve Plan contain provisions that, in certain circumstances, accelerate vestng of all or a porton of the awards in connecton with a change in control. To the extent that payments upon a change in control are classifed as excess parachute payments, our Company's tax deducton would be disallowed under Secton 280G.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666666"/>
        </w:rPr>
        <w:t>42</w:t>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Compensaton Tables and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51370" cy="27743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1370" cy="2774315"/>
                    </a:xfrm>
                    <a:prstGeom prst="rect">
                      <a:avLst/>
                    </a:prstGeom>
                    <a:noFill/>
                  </pic:spPr>
                </pic:pic>
              </a:graphicData>
            </a:graphic>
          </wp:anchor>
        </w:drawing>
      </w:r>
    </w:p>
    <w:p>
      <w:pPr>
        <w:spacing w:after="0" w:line="209" w:lineRule="exact"/>
        <w:rPr>
          <w:sz w:val="20"/>
          <w:szCs w:val="20"/>
          <w:color w:val="auto"/>
        </w:rPr>
      </w:pPr>
    </w:p>
    <w:p>
      <w:pPr>
        <w:jc w:val="center"/>
        <w:ind w:right="20"/>
        <w:spacing w:after="0"/>
        <w:rPr>
          <w:sz w:val="20"/>
          <w:szCs w:val="20"/>
          <w:color w:val="auto"/>
        </w:rPr>
      </w:pPr>
      <w:r>
        <w:rPr>
          <w:rFonts w:ascii="Calibri" w:cs="Calibri" w:eastAsia="Calibri" w:hAnsi="Calibri"/>
          <w:sz w:val="16"/>
          <w:szCs w:val="16"/>
          <w:b w:val="1"/>
          <w:bCs w:val="1"/>
          <w:color w:val="494949"/>
        </w:rPr>
        <w:t>SUMMARY COMPENSATION TABLE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00" w:type="dxa"/>
            <w:vAlign w:val="bottom"/>
          </w:tcPr>
          <w:p>
            <w:pPr>
              <w:jc w:val="center"/>
              <w:ind w:right="138"/>
              <w:spacing w:after="0"/>
              <w:rPr>
                <w:sz w:val="20"/>
                <w:szCs w:val="20"/>
                <w:color w:val="auto"/>
              </w:rPr>
            </w:pPr>
            <w:r>
              <w:rPr>
                <w:rFonts w:ascii="Calibri" w:cs="Calibri" w:eastAsia="Calibri" w:hAnsi="Calibri"/>
                <w:sz w:val="12"/>
                <w:szCs w:val="12"/>
                <w:b w:val="1"/>
                <w:bCs w:val="1"/>
                <w:color w:val="494949"/>
              </w:rPr>
              <w:t>Change in</w:t>
            </w:r>
          </w:p>
        </w:tc>
        <w:tc>
          <w:tcPr>
            <w:tcW w:w="1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300" w:type="dxa"/>
            <w:vAlign w:val="bottom"/>
          </w:tcPr>
          <w:p>
            <w:pPr>
              <w:jc w:val="center"/>
              <w:ind w:right="138"/>
              <w:spacing w:after="0" w:line="120" w:lineRule="exact"/>
              <w:rPr>
                <w:sz w:val="20"/>
                <w:szCs w:val="20"/>
                <w:color w:val="auto"/>
              </w:rPr>
            </w:pPr>
            <w:r>
              <w:rPr>
                <w:rFonts w:ascii="Calibri" w:cs="Calibri" w:eastAsia="Calibri" w:hAnsi="Calibri"/>
                <w:sz w:val="12"/>
                <w:szCs w:val="12"/>
                <w:b w:val="1"/>
                <w:bCs w:val="1"/>
                <w:color w:val="494949"/>
              </w:rPr>
              <w:t>Pension</w:t>
            </w:r>
          </w:p>
        </w:tc>
        <w:tc>
          <w:tcPr>
            <w:tcW w:w="1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300" w:type="dxa"/>
            <w:vAlign w:val="bottom"/>
          </w:tcPr>
          <w:p>
            <w:pPr>
              <w:jc w:val="center"/>
              <w:ind w:right="138"/>
              <w:spacing w:after="0" w:line="120" w:lineRule="exact"/>
              <w:rPr>
                <w:sz w:val="20"/>
                <w:szCs w:val="20"/>
                <w:color w:val="auto"/>
              </w:rPr>
            </w:pPr>
            <w:r>
              <w:rPr>
                <w:rFonts w:ascii="Calibri" w:cs="Calibri" w:eastAsia="Calibri" w:hAnsi="Calibri"/>
                <w:sz w:val="12"/>
                <w:szCs w:val="12"/>
                <w:b w:val="1"/>
                <w:bCs w:val="1"/>
                <w:color w:val="494949"/>
                <w:w w:val="99"/>
              </w:rPr>
              <w:t>Value and</w:t>
            </w:r>
          </w:p>
        </w:tc>
        <w:tc>
          <w:tcPr>
            <w:tcW w:w="1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80" w:type="dxa"/>
            <w:vAlign w:val="bottom"/>
            <w:vMerge w:val="restart"/>
          </w:tcPr>
          <w:p>
            <w:pPr>
              <w:jc w:val="center"/>
              <w:ind w:right="178"/>
              <w:spacing w:after="0"/>
              <w:rPr>
                <w:sz w:val="20"/>
                <w:szCs w:val="20"/>
                <w:color w:val="auto"/>
              </w:rPr>
            </w:pPr>
            <w:r>
              <w:rPr>
                <w:rFonts w:ascii="Calibri" w:cs="Calibri" w:eastAsia="Calibri" w:hAnsi="Calibri"/>
                <w:sz w:val="12"/>
                <w:szCs w:val="12"/>
                <w:b w:val="1"/>
                <w:bCs w:val="1"/>
                <w:color w:val="494949"/>
              </w:rPr>
              <w:t>Non-Equity</w:t>
            </w:r>
          </w:p>
        </w:tc>
        <w:tc>
          <w:tcPr>
            <w:tcW w:w="1300" w:type="dxa"/>
            <w:vAlign w:val="bottom"/>
          </w:tcPr>
          <w:p>
            <w:pPr>
              <w:jc w:val="center"/>
              <w:ind w:right="138"/>
              <w:spacing w:after="0" w:line="133" w:lineRule="exact"/>
              <w:rPr>
                <w:sz w:val="20"/>
                <w:szCs w:val="20"/>
                <w:color w:val="auto"/>
              </w:rPr>
            </w:pPr>
            <w:r>
              <w:rPr>
                <w:rFonts w:ascii="Calibri" w:cs="Calibri" w:eastAsia="Calibri" w:hAnsi="Calibri"/>
                <w:sz w:val="12"/>
                <w:szCs w:val="12"/>
                <w:b w:val="1"/>
                <w:bCs w:val="1"/>
                <w:color w:val="494949"/>
              </w:rPr>
              <w:t>Nonqualifed</w:t>
            </w:r>
          </w:p>
        </w:tc>
        <w:tc>
          <w:tcPr>
            <w:tcW w:w="1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880" w:type="dxa"/>
            <w:vAlign w:val="bottom"/>
            <w:vMerge w:val="restart"/>
          </w:tcPr>
          <w:p>
            <w:pPr>
              <w:ind w:left="440"/>
              <w:spacing w:after="0"/>
              <w:rPr>
                <w:sz w:val="20"/>
                <w:szCs w:val="20"/>
                <w:color w:val="auto"/>
              </w:rPr>
            </w:pPr>
            <w:r>
              <w:rPr>
                <w:rFonts w:ascii="Calibri" w:cs="Calibri" w:eastAsia="Calibri" w:hAnsi="Calibri"/>
                <w:sz w:val="12"/>
                <w:szCs w:val="12"/>
                <w:b w:val="1"/>
                <w:bCs w:val="1"/>
                <w:color w:val="494949"/>
              </w:rPr>
              <w:t>Name and Principal</w:t>
            </w: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vMerge w:val="restart"/>
          </w:tcPr>
          <w:p>
            <w:pPr>
              <w:jc w:val="center"/>
              <w:ind w:right="118"/>
              <w:spacing w:after="0"/>
              <w:rPr>
                <w:sz w:val="20"/>
                <w:szCs w:val="20"/>
                <w:color w:val="auto"/>
              </w:rPr>
            </w:pPr>
            <w:r>
              <w:rPr>
                <w:rFonts w:ascii="Calibri" w:cs="Calibri" w:eastAsia="Calibri" w:hAnsi="Calibri"/>
                <w:sz w:val="12"/>
                <w:szCs w:val="12"/>
                <w:b w:val="1"/>
                <w:bCs w:val="1"/>
                <w:color w:val="494949"/>
              </w:rPr>
              <w:t>Stock</w:t>
            </w:r>
          </w:p>
        </w:tc>
        <w:tc>
          <w:tcPr>
            <w:tcW w:w="900" w:type="dxa"/>
            <w:vAlign w:val="bottom"/>
            <w:vMerge w:val="restart"/>
          </w:tcPr>
          <w:p>
            <w:pPr>
              <w:jc w:val="center"/>
              <w:ind w:right="158"/>
              <w:spacing w:after="0"/>
              <w:rPr>
                <w:sz w:val="20"/>
                <w:szCs w:val="20"/>
                <w:color w:val="auto"/>
              </w:rPr>
            </w:pPr>
            <w:r>
              <w:rPr>
                <w:rFonts w:ascii="Calibri" w:cs="Calibri" w:eastAsia="Calibri" w:hAnsi="Calibri"/>
                <w:sz w:val="12"/>
                <w:szCs w:val="12"/>
                <w:b w:val="1"/>
                <w:bCs w:val="1"/>
                <w:color w:val="494949"/>
              </w:rPr>
              <w:t>Opton</w:t>
            </w:r>
          </w:p>
        </w:tc>
        <w:tc>
          <w:tcPr>
            <w:tcW w:w="1380" w:type="dxa"/>
            <w:vAlign w:val="bottom"/>
            <w:vMerge w:val="continue"/>
          </w:tcPr>
          <w:p>
            <w:pPr>
              <w:spacing w:after="0"/>
              <w:rPr>
                <w:sz w:val="10"/>
                <w:szCs w:val="10"/>
                <w:color w:val="auto"/>
              </w:rPr>
            </w:pPr>
          </w:p>
        </w:tc>
        <w:tc>
          <w:tcPr>
            <w:tcW w:w="1300" w:type="dxa"/>
            <w:vAlign w:val="bottom"/>
          </w:tcPr>
          <w:p>
            <w:pPr>
              <w:jc w:val="center"/>
              <w:ind w:right="138"/>
              <w:spacing w:after="0" w:line="120" w:lineRule="exact"/>
              <w:rPr>
                <w:sz w:val="20"/>
                <w:szCs w:val="20"/>
                <w:color w:val="auto"/>
              </w:rPr>
            </w:pPr>
            <w:r>
              <w:rPr>
                <w:rFonts w:ascii="Calibri" w:cs="Calibri" w:eastAsia="Calibri" w:hAnsi="Calibri"/>
                <w:sz w:val="12"/>
                <w:szCs w:val="12"/>
                <w:b w:val="1"/>
                <w:bCs w:val="1"/>
                <w:color w:val="494949"/>
              </w:rPr>
              <w:t>Deferred</w:t>
            </w:r>
          </w:p>
        </w:tc>
        <w:tc>
          <w:tcPr>
            <w:tcW w:w="1440" w:type="dxa"/>
            <w:vAlign w:val="bottom"/>
            <w:vMerge w:val="restart"/>
          </w:tcPr>
          <w:p>
            <w:pPr>
              <w:jc w:val="center"/>
              <w:ind w:right="238"/>
              <w:spacing w:after="0"/>
              <w:rPr>
                <w:sz w:val="20"/>
                <w:szCs w:val="20"/>
                <w:color w:val="auto"/>
              </w:rPr>
            </w:pPr>
            <w:r>
              <w:rPr>
                <w:rFonts w:ascii="Calibri" w:cs="Calibri" w:eastAsia="Calibri" w:hAnsi="Calibri"/>
                <w:sz w:val="12"/>
                <w:szCs w:val="12"/>
                <w:b w:val="1"/>
                <w:bCs w:val="1"/>
                <w:color w:val="494949"/>
              </w:rPr>
              <w:t>All Other</w:t>
            </w: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88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380" w:type="dxa"/>
            <w:vAlign w:val="bottom"/>
          </w:tcPr>
          <w:p>
            <w:pPr>
              <w:jc w:val="center"/>
              <w:ind w:right="158"/>
              <w:spacing w:after="0" w:line="117" w:lineRule="exact"/>
              <w:rPr>
                <w:sz w:val="20"/>
                <w:szCs w:val="20"/>
                <w:color w:val="auto"/>
              </w:rPr>
            </w:pPr>
            <w:r>
              <w:rPr>
                <w:rFonts w:ascii="Calibri" w:cs="Calibri" w:eastAsia="Calibri" w:hAnsi="Calibri"/>
                <w:sz w:val="12"/>
                <w:szCs w:val="12"/>
                <w:b w:val="1"/>
                <w:bCs w:val="1"/>
                <w:color w:val="494949"/>
              </w:rPr>
              <w:t>Incentve Plan</w:t>
            </w:r>
          </w:p>
        </w:tc>
        <w:tc>
          <w:tcPr>
            <w:tcW w:w="1300" w:type="dxa"/>
            <w:vAlign w:val="bottom"/>
          </w:tcPr>
          <w:p>
            <w:pPr>
              <w:jc w:val="center"/>
              <w:ind w:right="138"/>
              <w:spacing w:after="0" w:line="117" w:lineRule="exact"/>
              <w:rPr>
                <w:sz w:val="20"/>
                <w:szCs w:val="20"/>
                <w:color w:val="auto"/>
              </w:rPr>
            </w:pPr>
            <w:r>
              <w:rPr>
                <w:rFonts w:ascii="Calibri" w:cs="Calibri" w:eastAsia="Calibri" w:hAnsi="Calibri"/>
                <w:sz w:val="12"/>
                <w:szCs w:val="12"/>
                <w:b w:val="1"/>
                <w:bCs w:val="1"/>
                <w:color w:val="494949"/>
              </w:rPr>
              <w:t>Compensaton</w:t>
            </w:r>
          </w:p>
        </w:tc>
        <w:tc>
          <w:tcPr>
            <w:tcW w:w="14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880" w:type="dxa"/>
            <w:vAlign w:val="bottom"/>
          </w:tcPr>
          <w:p>
            <w:pPr>
              <w:ind w:left="740"/>
              <w:spacing w:after="0"/>
              <w:rPr>
                <w:sz w:val="20"/>
                <w:szCs w:val="20"/>
                <w:color w:val="auto"/>
              </w:rPr>
            </w:pPr>
            <w:r>
              <w:rPr>
                <w:rFonts w:ascii="Calibri" w:cs="Calibri" w:eastAsia="Calibri" w:hAnsi="Calibri"/>
                <w:sz w:val="12"/>
                <w:szCs w:val="12"/>
                <w:b w:val="1"/>
                <w:bCs w:val="1"/>
                <w:color w:val="494949"/>
              </w:rPr>
              <w:t>Positon</w:t>
            </w:r>
          </w:p>
        </w:tc>
        <w:tc>
          <w:tcPr>
            <w:tcW w:w="640" w:type="dxa"/>
            <w:vAlign w:val="bottom"/>
          </w:tcPr>
          <w:p>
            <w:pPr>
              <w:jc w:val="center"/>
              <w:spacing w:after="0" w:line="175" w:lineRule="exact"/>
              <w:rPr>
                <w:sz w:val="20"/>
                <w:szCs w:val="20"/>
                <w:color w:val="auto"/>
              </w:rPr>
            </w:pPr>
            <w:r>
              <w:rPr>
                <w:rFonts w:ascii="Calibri" w:cs="Calibri" w:eastAsia="Calibri" w:hAnsi="Calibri"/>
                <w:sz w:val="12"/>
                <w:szCs w:val="12"/>
                <w:b w:val="1"/>
                <w:bCs w:val="1"/>
                <w:color w:val="494949"/>
                <w:w w:val="95"/>
              </w:rPr>
              <w:t xml:space="preserve">Fiscal Year </w:t>
            </w:r>
            <w:r>
              <w:rPr>
                <w:rFonts w:ascii="Calibri" w:cs="Calibri" w:eastAsia="Calibri" w:hAnsi="Calibri"/>
                <w:sz w:val="16"/>
                <w:szCs w:val="16"/>
                <w:b w:val="1"/>
                <w:bCs w:val="1"/>
                <w:color w:val="494949"/>
                <w:w w:val="95"/>
                <w:vertAlign w:val="superscript"/>
              </w:rPr>
              <w:t>1</w:t>
            </w:r>
          </w:p>
        </w:tc>
        <w:tc>
          <w:tcPr>
            <w:tcW w:w="960" w:type="dxa"/>
            <w:vAlign w:val="bottom"/>
          </w:tcPr>
          <w:p>
            <w:pPr>
              <w:ind w:left="340"/>
              <w:spacing w:after="0"/>
              <w:rPr>
                <w:sz w:val="20"/>
                <w:szCs w:val="20"/>
                <w:color w:val="auto"/>
              </w:rPr>
            </w:pPr>
            <w:r>
              <w:rPr>
                <w:rFonts w:ascii="Calibri" w:cs="Calibri" w:eastAsia="Calibri" w:hAnsi="Calibri"/>
                <w:sz w:val="12"/>
                <w:szCs w:val="12"/>
                <w:b w:val="1"/>
                <w:bCs w:val="1"/>
                <w:color w:val="494949"/>
              </w:rPr>
              <w:t>Salary</w:t>
            </w:r>
          </w:p>
        </w:tc>
        <w:tc>
          <w:tcPr>
            <w:tcW w:w="840" w:type="dxa"/>
            <w:vAlign w:val="bottom"/>
          </w:tcPr>
          <w:p>
            <w:pPr>
              <w:ind w:left="220"/>
              <w:spacing w:after="0"/>
              <w:rPr>
                <w:sz w:val="20"/>
                <w:szCs w:val="20"/>
                <w:color w:val="auto"/>
              </w:rPr>
            </w:pPr>
            <w:r>
              <w:rPr>
                <w:rFonts w:ascii="Calibri" w:cs="Calibri" w:eastAsia="Calibri" w:hAnsi="Calibri"/>
                <w:sz w:val="12"/>
                <w:szCs w:val="12"/>
                <w:b w:val="1"/>
                <w:bCs w:val="1"/>
                <w:color w:val="494949"/>
              </w:rPr>
              <w:t>Bonus</w:t>
            </w:r>
          </w:p>
        </w:tc>
        <w:tc>
          <w:tcPr>
            <w:tcW w:w="900" w:type="dxa"/>
            <w:vAlign w:val="bottom"/>
          </w:tcPr>
          <w:p>
            <w:pPr>
              <w:jc w:val="center"/>
              <w:ind w:right="118"/>
              <w:spacing w:after="0" w:line="175" w:lineRule="exact"/>
              <w:rPr>
                <w:sz w:val="20"/>
                <w:szCs w:val="20"/>
                <w:color w:val="auto"/>
              </w:rPr>
            </w:pPr>
            <w:r>
              <w:rPr>
                <w:rFonts w:ascii="Calibri" w:cs="Calibri" w:eastAsia="Calibri" w:hAnsi="Calibri"/>
                <w:sz w:val="12"/>
                <w:szCs w:val="12"/>
                <w:b w:val="1"/>
                <w:bCs w:val="1"/>
                <w:color w:val="494949"/>
                <w:w w:val="96"/>
              </w:rPr>
              <w:t xml:space="preserve">Awards </w:t>
            </w:r>
            <w:r>
              <w:rPr>
                <w:rFonts w:ascii="Calibri" w:cs="Calibri" w:eastAsia="Calibri" w:hAnsi="Calibri"/>
                <w:sz w:val="16"/>
                <w:szCs w:val="16"/>
                <w:b w:val="1"/>
                <w:bCs w:val="1"/>
                <w:color w:val="494949"/>
                <w:w w:val="96"/>
                <w:vertAlign w:val="superscript"/>
              </w:rPr>
              <w:t>2</w:t>
            </w:r>
          </w:p>
        </w:tc>
        <w:tc>
          <w:tcPr>
            <w:tcW w:w="900" w:type="dxa"/>
            <w:vAlign w:val="bottom"/>
          </w:tcPr>
          <w:p>
            <w:pPr>
              <w:jc w:val="center"/>
              <w:ind w:right="158"/>
              <w:spacing w:after="0"/>
              <w:rPr>
                <w:sz w:val="20"/>
                <w:szCs w:val="20"/>
                <w:color w:val="auto"/>
              </w:rPr>
            </w:pPr>
            <w:r>
              <w:rPr>
                <w:rFonts w:ascii="Calibri" w:cs="Calibri" w:eastAsia="Calibri" w:hAnsi="Calibri"/>
                <w:sz w:val="12"/>
                <w:szCs w:val="12"/>
                <w:b w:val="1"/>
                <w:bCs w:val="1"/>
                <w:color w:val="494949"/>
              </w:rPr>
              <w:t>Awards</w:t>
            </w:r>
          </w:p>
        </w:tc>
        <w:tc>
          <w:tcPr>
            <w:tcW w:w="1380" w:type="dxa"/>
            <w:vAlign w:val="bottom"/>
          </w:tcPr>
          <w:p>
            <w:pPr>
              <w:jc w:val="center"/>
              <w:ind w:right="158"/>
              <w:spacing w:after="0" w:line="175" w:lineRule="exact"/>
              <w:rPr>
                <w:sz w:val="20"/>
                <w:szCs w:val="20"/>
                <w:color w:val="auto"/>
              </w:rPr>
            </w:pPr>
            <w:r>
              <w:rPr>
                <w:rFonts w:ascii="Calibri" w:cs="Calibri" w:eastAsia="Calibri" w:hAnsi="Calibri"/>
                <w:sz w:val="12"/>
                <w:szCs w:val="12"/>
                <w:b w:val="1"/>
                <w:bCs w:val="1"/>
                <w:color w:val="494949"/>
              </w:rPr>
              <w:t xml:space="preserve">Compensaton </w:t>
            </w:r>
            <w:r>
              <w:rPr>
                <w:rFonts w:ascii="Calibri" w:cs="Calibri" w:eastAsia="Calibri" w:hAnsi="Calibri"/>
                <w:sz w:val="16"/>
                <w:szCs w:val="16"/>
                <w:b w:val="1"/>
                <w:bCs w:val="1"/>
                <w:color w:val="494949"/>
                <w:vertAlign w:val="superscript"/>
              </w:rPr>
              <w:t>3</w:t>
            </w:r>
          </w:p>
        </w:tc>
        <w:tc>
          <w:tcPr>
            <w:tcW w:w="1300" w:type="dxa"/>
            <w:vAlign w:val="bottom"/>
          </w:tcPr>
          <w:p>
            <w:pPr>
              <w:jc w:val="center"/>
              <w:ind w:right="138"/>
              <w:spacing w:after="0" w:line="175" w:lineRule="exact"/>
              <w:rPr>
                <w:sz w:val="20"/>
                <w:szCs w:val="20"/>
                <w:color w:val="auto"/>
              </w:rPr>
            </w:pPr>
            <w:r>
              <w:rPr>
                <w:rFonts w:ascii="Calibri" w:cs="Calibri" w:eastAsia="Calibri" w:hAnsi="Calibri"/>
                <w:sz w:val="12"/>
                <w:szCs w:val="12"/>
                <w:b w:val="1"/>
                <w:bCs w:val="1"/>
                <w:color w:val="494949"/>
                <w:w w:val="98"/>
              </w:rPr>
              <w:t xml:space="preserve">Earnings </w:t>
            </w:r>
            <w:r>
              <w:rPr>
                <w:rFonts w:ascii="Calibri" w:cs="Calibri" w:eastAsia="Calibri" w:hAnsi="Calibri"/>
                <w:sz w:val="16"/>
                <w:szCs w:val="16"/>
                <w:b w:val="1"/>
                <w:bCs w:val="1"/>
                <w:color w:val="494949"/>
                <w:w w:val="98"/>
                <w:vertAlign w:val="superscript"/>
              </w:rPr>
              <w:t>4</w:t>
            </w:r>
          </w:p>
        </w:tc>
        <w:tc>
          <w:tcPr>
            <w:tcW w:w="1440" w:type="dxa"/>
            <w:vAlign w:val="bottom"/>
          </w:tcPr>
          <w:p>
            <w:pPr>
              <w:jc w:val="center"/>
              <w:ind w:right="258"/>
              <w:spacing w:after="0" w:line="175" w:lineRule="exact"/>
              <w:rPr>
                <w:sz w:val="20"/>
                <w:szCs w:val="20"/>
                <w:color w:val="auto"/>
              </w:rPr>
            </w:pPr>
            <w:r>
              <w:rPr>
                <w:rFonts w:ascii="Calibri" w:cs="Calibri" w:eastAsia="Calibri" w:hAnsi="Calibri"/>
                <w:sz w:val="12"/>
                <w:szCs w:val="12"/>
                <w:b w:val="1"/>
                <w:bCs w:val="1"/>
                <w:color w:val="494949"/>
              </w:rPr>
              <w:t xml:space="preserve">Compensaton </w:t>
            </w:r>
            <w:r>
              <w:rPr>
                <w:rFonts w:ascii="Calibri" w:cs="Calibri" w:eastAsia="Calibri" w:hAnsi="Calibri"/>
                <w:sz w:val="16"/>
                <w:szCs w:val="16"/>
                <w:b w:val="1"/>
                <w:bCs w:val="1"/>
                <w:color w:val="494949"/>
                <w:vertAlign w:val="superscript"/>
              </w:rPr>
              <w:t>5</w:t>
            </w:r>
          </w:p>
        </w:tc>
        <w:tc>
          <w:tcPr>
            <w:tcW w:w="1000" w:type="dxa"/>
            <w:vAlign w:val="bottom"/>
          </w:tcPr>
          <w:p>
            <w:pPr>
              <w:jc w:val="right"/>
              <w:ind w:right="438"/>
              <w:spacing w:after="0"/>
              <w:rPr>
                <w:sz w:val="20"/>
                <w:szCs w:val="20"/>
                <w:color w:val="auto"/>
              </w:rPr>
            </w:pPr>
            <w:r>
              <w:rPr>
                <w:rFonts w:ascii="Calibri" w:cs="Calibri" w:eastAsia="Calibri" w:hAnsi="Calibri"/>
                <w:sz w:val="12"/>
                <w:szCs w:val="12"/>
                <w:b w:val="1"/>
                <w:bCs w:val="1"/>
                <w:color w:val="494949"/>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Calibri" w:cs="Calibri" w:eastAsia="Calibri" w:hAnsi="Calibri"/>
                <w:sz w:val="12"/>
                <w:szCs w:val="12"/>
                <w:b w:val="1"/>
                <w:bCs w:val="1"/>
                <w:color w:val="494949"/>
              </w:rPr>
              <w:t>($)</w:t>
            </w:r>
          </w:p>
        </w:tc>
        <w:tc>
          <w:tcPr>
            <w:tcW w:w="840" w:type="dxa"/>
            <w:vAlign w:val="bottom"/>
          </w:tcPr>
          <w:p>
            <w:pPr>
              <w:ind w:left="300"/>
              <w:spacing w:after="0"/>
              <w:rPr>
                <w:sz w:val="20"/>
                <w:szCs w:val="20"/>
                <w:color w:val="auto"/>
              </w:rPr>
            </w:pPr>
            <w:r>
              <w:rPr>
                <w:rFonts w:ascii="Calibri" w:cs="Calibri" w:eastAsia="Calibri" w:hAnsi="Calibri"/>
                <w:sz w:val="12"/>
                <w:szCs w:val="12"/>
                <w:b w:val="1"/>
                <w:bCs w:val="1"/>
                <w:color w:val="494949"/>
              </w:rPr>
              <w:t>($)</w:t>
            </w:r>
          </w:p>
        </w:tc>
        <w:tc>
          <w:tcPr>
            <w:tcW w:w="900" w:type="dxa"/>
            <w:vAlign w:val="bottom"/>
          </w:tcPr>
          <w:p>
            <w:pPr>
              <w:jc w:val="center"/>
              <w:ind w:right="138"/>
              <w:spacing w:after="0"/>
              <w:rPr>
                <w:sz w:val="20"/>
                <w:szCs w:val="20"/>
                <w:color w:val="auto"/>
              </w:rPr>
            </w:pPr>
            <w:r>
              <w:rPr>
                <w:rFonts w:ascii="Calibri" w:cs="Calibri" w:eastAsia="Calibri" w:hAnsi="Calibri"/>
                <w:sz w:val="12"/>
                <w:szCs w:val="12"/>
                <w:b w:val="1"/>
                <w:bCs w:val="1"/>
                <w:color w:val="494949"/>
              </w:rPr>
              <w:t>($)</w:t>
            </w:r>
          </w:p>
        </w:tc>
        <w:tc>
          <w:tcPr>
            <w:tcW w:w="900" w:type="dxa"/>
            <w:vAlign w:val="bottom"/>
          </w:tcPr>
          <w:p>
            <w:pPr>
              <w:jc w:val="center"/>
              <w:ind w:right="178"/>
              <w:spacing w:after="0"/>
              <w:rPr>
                <w:sz w:val="20"/>
                <w:szCs w:val="20"/>
                <w:color w:val="auto"/>
              </w:rPr>
            </w:pPr>
            <w:r>
              <w:rPr>
                <w:rFonts w:ascii="Calibri" w:cs="Calibri" w:eastAsia="Calibri" w:hAnsi="Calibri"/>
                <w:sz w:val="12"/>
                <w:szCs w:val="12"/>
                <w:b w:val="1"/>
                <w:bCs w:val="1"/>
                <w:color w:val="494949"/>
              </w:rPr>
              <w:t>($)</w:t>
            </w:r>
          </w:p>
        </w:tc>
        <w:tc>
          <w:tcPr>
            <w:tcW w:w="1380" w:type="dxa"/>
            <w:vAlign w:val="bottom"/>
          </w:tcPr>
          <w:p>
            <w:pPr>
              <w:jc w:val="center"/>
              <w:ind w:right="178"/>
              <w:spacing w:after="0"/>
              <w:rPr>
                <w:sz w:val="20"/>
                <w:szCs w:val="20"/>
                <w:color w:val="auto"/>
              </w:rPr>
            </w:pPr>
            <w:r>
              <w:rPr>
                <w:rFonts w:ascii="Calibri" w:cs="Calibri" w:eastAsia="Calibri" w:hAnsi="Calibri"/>
                <w:sz w:val="12"/>
                <w:szCs w:val="12"/>
                <w:b w:val="1"/>
                <w:bCs w:val="1"/>
                <w:color w:val="494949"/>
              </w:rPr>
              <w:t>($)</w:t>
            </w:r>
          </w:p>
        </w:tc>
        <w:tc>
          <w:tcPr>
            <w:tcW w:w="1300" w:type="dxa"/>
            <w:vAlign w:val="bottom"/>
          </w:tcPr>
          <w:p>
            <w:pPr>
              <w:jc w:val="center"/>
              <w:ind w:right="138"/>
              <w:spacing w:after="0"/>
              <w:rPr>
                <w:sz w:val="20"/>
                <w:szCs w:val="20"/>
                <w:color w:val="auto"/>
              </w:rPr>
            </w:pPr>
            <w:r>
              <w:rPr>
                <w:rFonts w:ascii="Calibri" w:cs="Calibri" w:eastAsia="Calibri" w:hAnsi="Calibri"/>
                <w:sz w:val="12"/>
                <w:szCs w:val="12"/>
                <w:b w:val="1"/>
                <w:bCs w:val="1"/>
                <w:color w:val="494949"/>
              </w:rPr>
              <w:t>($)</w:t>
            </w:r>
          </w:p>
        </w:tc>
        <w:tc>
          <w:tcPr>
            <w:tcW w:w="1440" w:type="dxa"/>
            <w:vAlign w:val="bottom"/>
          </w:tcPr>
          <w:p>
            <w:pPr>
              <w:jc w:val="center"/>
              <w:ind w:right="238"/>
              <w:spacing w:after="0"/>
              <w:rPr>
                <w:sz w:val="20"/>
                <w:szCs w:val="20"/>
                <w:color w:val="auto"/>
              </w:rPr>
            </w:pPr>
            <w:r>
              <w:rPr>
                <w:rFonts w:ascii="Calibri" w:cs="Calibri" w:eastAsia="Calibri" w:hAnsi="Calibri"/>
                <w:sz w:val="12"/>
                <w:szCs w:val="12"/>
                <w:b w:val="1"/>
                <w:bCs w:val="1"/>
                <w:color w:val="494949"/>
              </w:rPr>
              <w:t>($)</w:t>
            </w:r>
          </w:p>
        </w:tc>
        <w:tc>
          <w:tcPr>
            <w:tcW w:w="1000" w:type="dxa"/>
            <w:vAlign w:val="bottom"/>
          </w:tcPr>
          <w:p>
            <w:pPr>
              <w:jc w:val="right"/>
              <w:ind w:right="478"/>
              <w:spacing w:after="0"/>
              <w:rPr>
                <w:sz w:val="20"/>
                <w:szCs w:val="20"/>
                <w:color w:val="auto"/>
              </w:rPr>
            </w:pPr>
            <w:r>
              <w:rPr>
                <w:rFonts w:ascii="Calibri" w:cs="Calibri" w:eastAsia="Calibri" w:hAnsi="Calibri"/>
                <w:sz w:val="12"/>
                <w:szCs w:val="12"/>
                <w:b w:val="1"/>
                <w:bCs w:val="1"/>
                <w:color w:val="494949"/>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1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CEEFF"/>
          </w:tcPr>
          <w:p>
            <w:pPr>
              <w:ind w:left="40"/>
              <w:spacing w:after="0" w:line="135" w:lineRule="exact"/>
              <w:rPr>
                <w:sz w:val="20"/>
                <w:szCs w:val="20"/>
                <w:color w:val="auto"/>
              </w:rPr>
            </w:pPr>
            <w:r>
              <w:rPr>
                <w:rFonts w:ascii="Calibri" w:cs="Calibri" w:eastAsia="Calibri" w:hAnsi="Calibri"/>
                <w:sz w:val="12"/>
                <w:szCs w:val="12"/>
                <w:b w:val="1"/>
                <w:bCs w:val="1"/>
                <w:color w:val="494949"/>
              </w:rPr>
              <w:t>Horacio D. Rozanski</w:t>
            </w:r>
          </w:p>
        </w:tc>
        <w:tc>
          <w:tcPr>
            <w:tcW w:w="640" w:type="dxa"/>
            <w:vAlign w:val="bottom"/>
            <w:shd w:val="clear" w:color="auto" w:fill="CCEEFF"/>
          </w:tcPr>
          <w:p>
            <w:pPr>
              <w:jc w:val="center"/>
              <w:spacing w:after="0" w:line="135" w:lineRule="exact"/>
              <w:rPr>
                <w:sz w:val="20"/>
                <w:szCs w:val="20"/>
                <w:color w:val="auto"/>
              </w:rPr>
            </w:pPr>
            <w:r>
              <w:rPr>
                <w:rFonts w:ascii="Calibri" w:cs="Calibri" w:eastAsia="Calibri" w:hAnsi="Calibri"/>
                <w:sz w:val="12"/>
                <w:szCs w:val="12"/>
                <w:color w:val="494949"/>
                <w:w w:val="98"/>
              </w:rPr>
              <w:t>2022</w:t>
            </w:r>
          </w:p>
        </w:tc>
        <w:tc>
          <w:tcPr>
            <w:tcW w:w="960" w:type="dxa"/>
            <w:vAlign w:val="bottom"/>
            <w:shd w:val="clear" w:color="auto" w:fill="CCEEFF"/>
          </w:tcPr>
          <w:p>
            <w:pPr>
              <w:jc w:val="center"/>
              <w:spacing w:after="0" w:line="135" w:lineRule="exact"/>
              <w:rPr>
                <w:sz w:val="20"/>
                <w:szCs w:val="20"/>
                <w:color w:val="auto"/>
              </w:rPr>
            </w:pPr>
            <w:r>
              <w:rPr>
                <w:rFonts w:ascii="Calibri" w:cs="Calibri" w:eastAsia="Calibri" w:hAnsi="Calibri"/>
                <w:sz w:val="12"/>
                <w:szCs w:val="12"/>
                <w:color w:val="494949"/>
              </w:rPr>
              <w:t>1,500,000</w:t>
            </w:r>
          </w:p>
        </w:tc>
        <w:tc>
          <w:tcPr>
            <w:tcW w:w="840" w:type="dxa"/>
            <w:vAlign w:val="bottom"/>
            <w:shd w:val="clear" w:color="auto" w:fill="CCEEFF"/>
          </w:tcPr>
          <w:p>
            <w:pPr>
              <w:ind w:left="580"/>
              <w:spacing w:after="0" w:line="135" w:lineRule="exact"/>
              <w:rPr>
                <w:sz w:val="20"/>
                <w:szCs w:val="20"/>
                <w:color w:val="auto"/>
              </w:rPr>
            </w:pPr>
            <w:r>
              <w:rPr>
                <w:rFonts w:ascii="Calibri" w:cs="Calibri" w:eastAsia="Calibri" w:hAnsi="Calibri"/>
                <w:sz w:val="12"/>
                <w:szCs w:val="12"/>
                <w:color w:val="494949"/>
              </w:rPr>
              <w:t>—</w:t>
            </w:r>
          </w:p>
        </w:tc>
        <w:tc>
          <w:tcPr>
            <w:tcW w:w="900" w:type="dxa"/>
            <w:vAlign w:val="bottom"/>
            <w:shd w:val="clear" w:color="auto" w:fill="CCEEFF"/>
          </w:tcPr>
          <w:p>
            <w:pPr>
              <w:jc w:val="right"/>
              <w:ind w:right="98"/>
              <w:spacing w:after="0" w:line="135" w:lineRule="exact"/>
              <w:rPr>
                <w:sz w:val="20"/>
                <w:szCs w:val="20"/>
                <w:color w:val="auto"/>
              </w:rPr>
            </w:pPr>
            <w:r>
              <w:rPr>
                <w:rFonts w:ascii="Calibri" w:cs="Calibri" w:eastAsia="Calibri" w:hAnsi="Calibri"/>
                <w:sz w:val="12"/>
                <w:szCs w:val="12"/>
                <w:color w:val="494949"/>
              </w:rPr>
              <w:t>8,500,101</w:t>
            </w:r>
          </w:p>
        </w:tc>
        <w:tc>
          <w:tcPr>
            <w:tcW w:w="900" w:type="dxa"/>
            <w:vAlign w:val="bottom"/>
            <w:shd w:val="clear" w:color="auto" w:fill="CCEEFF"/>
          </w:tcPr>
          <w:p>
            <w:pPr>
              <w:ind w:left="600"/>
              <w:spacing w:after="0" w:line="135" w:lineRule="exact"/>
              <w:rPr>
                <w:sz w:val="20"/>
                <w:szCs w:val="20"/>
                <w:color w:val="auto"/>
              </w:rPr>
            </w:pPr>
            <w:r>
              <w:rPr>
                <w:rFonts w:ascii="Calibri" w:cs="Calibri" w:eastAsia="Calibri" w:hAnsi="Calibri"/>
                <w:sz w:val="12"/>
                <w:szCs w:val="12"/>
                <w:color w:val="494949"/>
              </w:rPr>
              <w:t>—</w:t>
            </w:r>
          </w:p>
        </w:tc>
        <w:tc>
          <w:tcPr>
            <w:tcW w:w="1380" w:type="dxa"/>
            <w:vAlign w:val="bottom"/>
            <w:shd w:val="clear" w:color="auto" w:fill="CCEEFF"/>
          </w:tcPr>
          <w:p>
            <w:pPr>
              <w:jc w:val="right"/>
              <w:ind w:right="98"/>
              <w:spacing w:after="0" w:line="135" w:lineRule="exact"/>
              <w:rPr>
                <w:sz w:val="20"/>
                <w:szCs w:val="20"/>
                <w:color w:val="auto"/>
              </w:rPr>
            </w:pPr>
            <w:r>
              <w:rPr>
                <w:rFonts w:ascii="Calibri" w:cs="Calibri" w:eastAsia="Calibri" w:hAnsi="Calibri"/>
                <w:sz w:val="12"/>
                <w:szCs w:val="12"/>
                <w:color w:val="494949"/>
              </w:rPr>
              <w:t>1,578,000</w:t>
            </w:r>
          </w:p>
        </w:tc>
        <w:tc>
          <w:tcPr>
            <w:tcW w:w="1300" w:type="dxa"/>
            <w:vAlign w:val="bottom"/>
            <w:shd w:val="clear" w:color="auto" w:fill="CCEEFF"/>
          </w:tcPr>
          <w:p>
            <w:pPr>
              <w:jc w:val="right"/>
              <w:ind w:right="78"/>
              <w:spacing w:after="0" w:line="135" w:lineRule="exact"/>
              <w:rPr>
                <w:sz w:val="20"/>
                <w:szCs w:val="20"/>
                <w:color w:val="auto"/>
              </w:rPr>
            </w:pPr>
            <w:r>
              <w:rPr>
                <w:rFonts w:ascii="Calibri" w:cs="Calibri" w:eastAsia="Calibri" w:hAnsi="Calibri"/>
                <w:sz w:val="12"/>
                <w:szCs w:val="12"/>
                <w:color w:val="494949"/>
              </w:rPr>
              <w:t>10,000</w:t>
            </w:r>
          </w:p>
        </w:tc>
        <w:tc>
          <w:tcPr>
            <w:tcW w:w="1440" w:type="dxa"/>
            <w:vAlign w:val="bottom"/>
            <w:shd w:val="clear" w:color="auto" w:fill="CCEEFF"/>
          </w:tcPr>
          <w:p>
            <w:pPr>
              <w:jc w:val="right"/>
              <w:ind w:right="218"/>
              <w:spacing w:after="0" w:line="135" w:lineRule="exact"/>
              <w:rPr>
                <w:sz w:val="20"/>
                <w:szCs w:val="20"/>
                <w:color w:val="auto"/>
              </w:rPr>
            </w:pPr>
            <w:r>
              <w:rPr>
                <w:rFonts w:ascii="Calibri" w:cs="Calibri" w:eastAsia="Calibri" w:hAnsi="Calibri"/>
                <w:sz w:val="12"/>
                <w:szCs w:val="12"/>
                <w:color w:val="494949"/>
              </w:rPr>
              <w:t>278,236</w:t>
            </w:r>
          </w:p>
        </w:tc>
        <w:tc>
          <w:tcPr>
            <w:tcW w:w="1000" w:type="dxa"/>
            <w:vAlign w:val="bottom"/>
            <w:shd w:val="clear" w:color="auto" w:fill="CCEEFF"/>
          </w:tcPr>
          <w:p>
            <w:pPr>
              <w:jc w:val="right"/>
              <w:spacing w:after="0" w:line="135" w:lineRule="exact"/>
              <w:rPr>
                <w:sz w:val="20"/>
                <w:szCs w:val="20"/>
                <w:color w:val="auto"/>
              </w:rPr>
            </w:pPr>
            <w:r>
              <w:rPr>
                <w:rFonts w:ascii="Calibri" w:cs="Calibri" w:eastAsia="Calibri" w:hAnsi="Calibri"/>
                <w:sz w:val="12"/>
                <w:szCs w:val="12"/>
                <w:color w:val="494949"/>
              </w:rPr>
              <w:t>11,866,337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880" w:type="dxa"/>
            <w:vAlign w:val="bottom"/>
            <w:shd w:val="clear" w:color="auto" w:fill="CCEEFF"/>
          </w:tcPr>
          <w:p>
            <w:pPr>
              <w:ind w:left="40"/>
              <w:spacing w:after="0"/>
              <w:rPr>
                <w:sz w:val="20"/>
                <w:szCs w:val="20"/>
                <w:color w:val="auto"/>
              </w:rPr>
            </w:pPr>
            <w:r>
              <w:rPr>
                <w:rFonts w:ascii="Calibri" w:cs="Calibri" w:eastAsia="Calibri" w:hAnsi="Calibri"/>
                <w:sz w:val="12"/>
                <w:szCs w:val="12"/>
                <w:color w:val="494949"/>
              </w:rPr>
              <w:t>President &amp; Chief Executve Ofcer</w:t>
            </w:r>
          </w:p>
        </w:tc>
        <w:tc>
          <w:tcPr>
            <w:tcW w:w="640" w:type="dxa"/>
            <w:vAlign w:val="bottom"/>
            <w:vMerge w:val="restart"/>
            <w:shd w:val="clear" w:color="auto" w:fill="CCEEFF"/>
          </w:tcPr>
          <w:p>
            <w:pPr>
              <w:jc w:val="center"/>
              <w:spacing w:after="0"/>
              <w:rPr>
                <w:sz w:val="20"/>
                <w:szCs w:val="20"/>
                <w:color w:val="auto"/>
              </w:rPr>
            </w:pPr>
            <w:r>
              <w:rPr>
                <w:rFonts w:ascii="Calibri" w:cs="Calibri" w:eastAsia="Calibri" w:hAnsi="Calibri"/>
                <w:sz w:val="12"/>
                <w:szCs w:val="12"/>
                <w:color w:val="494949"/>
                <w:w w:val="98"/>
              </w:rPr>
              <w:t>2021</w:t>
            </w:r>
          </w:p>
        </w:tc>
        <w:tc>
          <w:tcPr>
            <w:tcW w:w="960" w:type="dxa"/>
            <w:vAlign w:val="bottom"/>
            <w:vMerge w:val="restart"/>
            <w:shd w:val="clear" w:color="auto" w:fill="CCEEFF"/>
          </w:tcPr>
          <w:p>
            <w:pPr>
              <w:jc w:val="center"/>
              <w:spacing w:after="0"/>
              <w:rPr>
                <w:sz w:val="20"/>
                <w:szCs w:val="20"/>
                <w:color w:val="auto"/>
              </w:rPr>
            </w:pPr>
            <w:r>
              <w:rPr>
                <w:rFonts w:ascii="Calibri" w:cs="Calibri" w:eastAsia="Calibri" w:hAnsi="Calibri"/>
                <w:sz w:val="12"/>
                <w:szCs w:val="12"/>
                <w:color w:val="494949"/>
              </w:rPr>
              <w:t>1,500,000</w:t>
            </w:r>
          </w:p>
        </w:tc>
        <w:tc>
          <w:tcPr>
            <w:tcW w:w="840" w:type="dxa"/>
            <w:vAlign w:val="bottom"/>
            <w:vMerge w:val="restart"/>
            <w:shd w:val="clear" w:color="auto" w:fill="CCEEFF"/>
          </w:tcPr>
          <w:p>
            <w:pPr>
              <w:ind w:left="580"/>
              <w:spacing w:after="0"/>
              <w:rPr>
                <w:sz w:val="20"/>
                <w:szCs w:val="20"/>
                <w:color w:val="auto"/>
              </w:rPr>
            </w:pPr>
            <w:r>
              <w:rPr>
                <w:rFonts w:ascii="Calibri" w:cs="Calibri" w:eastAsia="Calibri" w:hAnsi="Calibri"/>
                <w:sz w:val="12"/>
                <w:szCs w:val="12"/>
                <w:color w:val="494949"/>
              </w:rPr>
              <w:t>—</w:t>
            </w:r>
          </w:p>
        </w:tc>
        <w:tc>
          <w:tcPr>
            <w:tcW w:w="900" w:type="dxa"/>
            <w:vAlign w:val="bottom"/>
            <w:vMerge w:val="restart"/>
            <w:shd w:val="clear" w:color="auto" w:fill="CCEEFF"/>
          </w:tcPr>
          <w:p>
            <w:pPr>
              <w:jc w:val="right"/>
              <w:ind w:right="98"/>
              <w:spacing w:after="0"/>
              <w:rPr>
                <w:sz w:val="20"/>
                <w:szCs w:val="20"/>
                <w:color w:val="auto"/>
              </w:rPr>
            </w:pPr>
            <w:r>
              <w:rPr>
                <w:rFonts w:ascii="Calibri" w:cs="Calibri" w:eastAsia="Calibri" w:hAnsi="Calibri"/>
                <w:sz w:val="12"/>
                <w:szCs w:val="12"/>
                <w:color w:val="494949"/>
              </w:rPr>
              <w:t>5,000,076</w:t>
            </w:r>
          </w:p>
        </w:tc>
        <w:tc>
          <w:tcPr>
            <w:tcW w:w="900" w:type="dxa"/>
            <w:vAlign w:val="bottom"/>
            <w:vMerge w:val="restart"/>
            <w:shd w:val="clear" w:color="auto" w:fill="CCEEFF"/>
          </w:tcPr>
          <w:p>
            <w:pPr>
              <w:ind w:left="600"/>
              <w:spacing w:after="0"/>
              <w:rPr>
                <w:sz w:val="20"/>
                <w:szCs w:val="20"/>
                <w:color w:val="auto"/>
              </w:rPr>
            </w:pPr>
            <w:r>
              <w:rPr>
                <w:rFonts w:ascii="Calibri" w:cs="Calibri" w:eastAsia="Calibri" w:hAnsi="Calibri"/>
                <w:sz w:val="12"/>
                <w:szCs w:val="12"/>
                <w:color w:val="494949"/>
              </w:rPr>
              <w:t>—</w:t>
            </w:r>
          </w:p>
        </w:tc>
        <w:tc>
          <w:tcPr>
            <w:tcW w:w="1380" w:type="dxa"/>
            <w:vAlign w:val="bottom"/>
            <w:vMerge w:val="restart"/>
            <w:shd w:val="clear" w:color="auto" w:fill="CCEEFF"/>
          </w:tcPr>
          <w:p>
            <w:pPr>
              <w:jc w:val="right"/>
              <w:ind w:right="98"/>
              <w:spacing w:after="0"/>
              <w:rPr>
                <w:sz w:val="20"/>
                <w:szCs w:val="20"/>
                <w:color w:val="auto"/>
              </w:rPr>
            </w:pPr>
            <w:r>
              <w:rPr>
                <w:rFonts w:ascii="Calibri" w:cs="Calibri" w:eastAsia="Calibri" w:hAnsi="Calibri"/>
                <w:sz w:val="12"/>
                <w:szCs w:val="12"/>
                <w:color w:val="494949"/>
              </w:rPr>
              <w:t>1,687,500</w:t>
            </w:r>
          </w:p>
        </w:tc>
        <w:tc>
          <w:tcPr>
            <w:tcW w:w="1300" w:type="dxa"/>
            <w:vAlign w:val="bottom"/>
            <w:vMerge w:val="restart"/>
            <w:shd w:val="clear" w:color="auto" w:fill="CCEEFF"/>
          </w:tcPr>
          <w:p>
            <w:pPr>
              <w:jc w:val="right"/>
              <w:ind w:right="78"/>
              <w:spacing w:after="0"/>
              <w:rPr>
                <w:sz w:val="20"/>
                <w:szCs w:val="20"/>
                <w:color w:val="auto"/>
              </w:rPr>
            </w:pPr>
            <w:r>
              <w:rPr>
                <w:rFonts w:ascii="Calibri" w:cs="Calibri" w:eastAsia="Calibri" w:hAnsi="Calibri"/>
                <w:sz w:val="12"/>
                <w:szCs w:val="12"/>
                <w:color w:val="494949"/>
              </w:rPr>
              <w:t>10,000</w:t>
            </w:r>
          </w:p>
        </w:tc>
        <w:tc>
          <w:tcPr>
            <w:tcW w:w="1440" w:type="dxa"/>
            <w:vAlign w:val="bottom"/>
            <w:vMerge w:val="restart"/>
            <w:shd w:val="clear" w:color="auto" w:fill="CCEEFF"/>
          </w:tcPr>
          <w:p>
            <w:pPr>
              <w:jc w:val="right"/>
              <w:ind w:right="218"/>
              <w:spacing w:after="0"/>
              <w:rPr>
                <w:sz w:val="20"/>
                <w:szCs w:val="20"/>
                <w:color w:val="auto"/>
              </w:rPr>
            </w:pPr>
            <w:r>
              <w:rPr>
                <w:rFonts w:ascii="Calibri" w:cs="Calibri" w:eastAsia="Calibri" w:hAnsi="Calibri"/>
                <w:sz w:val="12"/>
                <w:szCs w:val="12"/>
                <w:color w:val="494949"/>
              </w:rPr>
              <w:t>157,833</w:t>
            </w:r>
          </w:p>
        </w:tc>
        <w:tc>
          <w:tcPr>
            <w:tcW w:w="1000" w:type="dxa"/>
            <w:vAlign w:val="bottom"/>
            <w:vMerge w:val="restart"/>
            <w:shd w:val="clear" w:color="auto" w:fill="CCEEFF"/>
          </w:tcPr>
          <w:p>
            <w:pPr>
              <w:jc w:val="right"/>
              <w:spacing w:after="0"/>
              <w:rPr>
                <w:sz w:val="20"/>
                <w:szCs w:val="20"/>
                <w:color w:val="auto"/>
              </w:rPr>
            </w:pPr>
            <w:r>
              <w:rPr>
                <w:rFonts w:ascii="Calibri" w:cs="Calibri" w:eastAsia="Calibri" w:hAnsi="Calibri"/>
                <w:sz w:val="12"/>
                <w:szCs w:val="12"/>
                <w:color w:val="494949"/>
              </w:rPr>
              <w:t>8,355,409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880" w:type="dxa"/>
            <w:vAlign w:val="bottom"/>
            <w:shd w:val="clear" w:color="auto" w:fill="CCEEFF"/>
          </w:tcPr>
          <w:p>
            <w:pPr>
              <w:spacing w:after="0"/>
              <w:rPr>
                <w:sz w:val="4"/>
                <w:szCs w:val="4"/>
                <w:color w:val="auto"/>
              </w:rPr>
            </w:pPr>
          </w:p>
        </w:tc>
        <w:tc>
          <w:tcPr>
            <w:tcW w:w="640" w:type="dxa"/>
            <w:vAlign w:val="bottom"/>
            <w:vMerge w:val="continue"/>
            <w:shd w:val="clear" w:color="auto" w:fill="CCEEFF"/>
          </w:tcPr>
          <w:p>
            <w:pPr>
              <w:spacing w:after="0"/>
              <w:rPr>
                <w:sz w:val="4"/>
                <w:szCs w:val="4"/>
                <w:color w:val="auto"/>
              </w:rPr>
            </w:pPr>
          </w:p>
        </w:tc>
        <w:tc>
          <w:tcPr>
            <w:tcW w:w="960" w:type="dxa"/>
            <w:vAlign w:val="bottom"/>
            <w:vMerge w:val="continue"/>
            <w:shd w:val="clear" w:color="auto" w:fill="CCEEFF"/>
          </w:tcPr>
          <w:p>
            <w:pPr>
              <w:spacing w:after="0"/>
              <w:rPr>
                <w:sz w:val="4"/>
                <w:szCs w:val="4"/>
                <w:color w:val="auto"/>
              </w:rPr>
            </w:pPr>
          </w:p>
        </w:tc>
        <w:tc>
          <w:tcPr>
            <w:tcW w:w="840" w:type="dxa"/>
            <w:vAlign w:val="bottom"/>
            <w:vMerge w:val="continue"/>
            <w:shd w:val="clear" w:color="auto" w:fill="CCEEFF"/>
          </w:tcPr>
          <w:p>
            <w:pPr>
              <w:spacing w:after="0"/>
              <w:rPr>
                <w:sz w:val="4"/>
                <w:szCs w:val="4"/>
                <w:color w:val="auto"/>
              </w:rPr>
            </w:pPr>
          </w:p>
        </w:tc>
        <w:tc>
          <w:tcPr>
            <w:tcW w:w="900" w:type="dxa"/>
            <w:vAlign w:val="bottom"/>
            <w:vMerge w:val="continue"/>
            <w:shd w:val="clear" w:color="auto" w:fill="CCEEFF"/>
          </w:tcPr>
          <w:p>
            <w:pPr>
              <w:spacing w:after="0"/>
              <w:rPr>
                <w:sz w:val="4"/>
                <w:szCs w:val="4"/>
                <w:color w:val="auto"/>
              </w:rPr>
            </w:pPr>
          </w:p>
        </w:tc>
        <w:tc>
          <w:tcPr>
            <w:tcW w:w="900" w:type="dxa"/>
            <w:vAlign w:val="bottom"/>
            <w:vMerge w:val="continue"/>
            <w:shd w:val="clear" w:color="auto" w:fill="CCEEFF"/>
          </w:tcPr>
          <w:p>
            <w:pPr>
              <w:spacing w:after="0"/>
              <w:rPr>
                <w:sz w:val="4"/>
                <w:szCs w:val="4"/>
                <w:color w:val="auto"/>
              </w:rPr>
            </w:pPr>
          </w:p>
        </w:tc>
        <w:tc>
          <w:tcPr>
            <w:tcW w:w="1380" w:type="dxa"/>
            <w:vAlign w:val="bottom"/>
            <w:vMerge w:val="continue"/>
            <w:shd w:val="clear" w:color="auto" w:fill="CCEEFF"/>
          </w:tcPr>
          <w:p>
            <w:pPr>
              <w:spacing w:after="0"/>
              <w:rPr>
                <w:sz w:val="4"/>
                <w:szCs w:val="4"/>
                <w:color w:val="auto"/>
              </w:rPr>
            </w:pPr>
          </w:p>
        </w:tc>
        <w:tc>
          <w:tcPr>
            <w:tcW w:w="1300" w:type="dxa"/>
            <w:vAlign w:val="bottom"/>
            <w:vMerge w:val="continue"/>
            <w:shd w:val="clear" w:color="auto" w:fill="CCEEFF"/>
          </w:tcPr>
          <w:p>
            <w:pPr>
              <w:spacing w:after="0"/>
              <w:rPr>
                <w:sz w:val="4"/>
                <w:szCs w:val="4"/>
                <w:color w:val="auto"/>
              </w:rPr>
            </w:pPr>
          </w:p>
        </w:tc>
        <w:tc>
          <w:tcPr>
            <w:tcW w:w="1440" w:type="dxa"/>
            <w:vAlign w:val="bottom"/>
            <w:vMerge w:val="continue"/>
            <w:shd w:val="clear" w:color="auto" w:fill="CCEEFF"/>
          </w:tcPr>
          <w:p>
            <w:pPr>
              <w:spacing w:after="0"/>
              <w:rPr>
                <w:sz w:val="4"/>
                <w:szCs w:val="4"/>
                <w:color w:val="auto"/>
              </w:rPr>
            </w:pPr>
          </w:p>
        </w:tc>
        <w:tc>
          <w:tcPr>
            <w:tcW w:w="1000" w:type="dxa"/>
            <w:vAlign w:val="bottom"/>
            <w:vMerge w:val="continue"/>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8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Calibri" w:cs="Calibri" w:eastAsia="Calibri" w:hAnsi="Calibri"/>
                <w:sz w:val="12"/>
                <w:szCs w:val="12"/>
                <w:color w:val="494949"/>
                <w:w w:val="98"/>
              </w:rPr>
              <w:t>2020</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Calibri" w:cs="Calibri" w:eastAsia="Calibri" w:hAnsi="Calibri"/>
                <w:sz w:val="12"/>
                <w:szCs w:val="12"/>
                <w:color w:val="494949"/>
              </w:rPr>
              <w:t>1,500,000</w:t>
            </w:r>
          </w:p>
        </w:tc>
        <w:tc>
          <w:tcPr>
            <w:tcW w:w="840" w:type="dxa"/>
            <w:vAlign w:val="bottom"/>
            <w:tcBorders>
              <w:bottom w:val="single" w:sz="8" w:color="CCEEFF"/>
            </w:tcBorders>
            <w:shd w:val="clear" w:color="auto" w:fill="CCEEFF"/>
          </w:tcPr>
          <w:p>
            <w:pPr>
              <w:ind w:left="580"/>
              <w:spacing w:after="0"/>
              <w:rPr>
                <w:sz w:val="20"/>
                <w:szCs w:val="20"/>
                <w:color w:val="auto"/>
              </w:rPr>
            </w:pPr>
            <w:r>
              <w:rPr>
                <w:rFonts w:ascii="Calibri" w:cs="Calibri" w:eastAsia="Calibri" w:hAnsi="Calibri"/>
                <w:sz w:val="12"/>
                <w:szCs w:val="12"/>
                <w:color w:val="494949"/>
              </w:rPr>
              <w:t>—</w:t>
            </w:r>
          </w:p>
        </w:tc>
        <w:tc>
          <w:tcPr>
            <w:tcW w:w="900" w:type="dxa"/>
            <w:vAlign w:val="bottom"/>
            <w:tcBorders>
              <w:bottom w:val="single" w:sz="8" w:color="CCEEFF"/>
            </w:tcBorders>
            <w:shd w:val="clear" w:color="auto" w:fill="CCEEFF"/>
          </w:tcPr>
          <w:p>
            <w:pPr>
              <w:jc w:val="right"/>
              <w:ind w:right="98"/>
              <w:spacing w:after="0"/>
              <w:rPr>
                <w:sz w:val="20"/>
                <w:szCs w:val="20"/>
                <w:color w:val="auto"/>
              </w:rPr>
            </w:pPr>
            <w:r>
              <w:rPr>
                <w:rFonts w:ascii="Calibri" w:cs="Calibri" w:eastAsia="Calibri" w:hAnsi="Calibri"/>
                <w:sz w:val="12"/>
                <w:szCs w:val="12"/>
                <w:color w:val="494949"/>
              </w:rPr>
              <w:t>4,999,977</w:t>
            </w:r>
          </w:p>
        </w:tc>
        <w:tc>
          <w:tcPr>
            <w:tcW w:w="900" w:type="dxa"/>
            <w:vAlign w:val="bottom"/>
            <w:tcBorders>
              <w:bottom w:val="single" w:sz="8" w:color="CCEEFF"/>
            </w:tcBorders>
            <w:shd w:val="clear" w:color="auto" w:fill="CCEEFF"/>
          </w:tcPr>
          <w:p>
            <w:pPr>
              <w:ind w:left="600"/>
              <w:spacing w:after="0"/>
              <w:rPr>
                <w:sz w:val="20"/>
                <w:szCs w:val="20"/>
                <w:color w:val="auto"/>
              </w:rPr>
            </w:pPr>
            <w:r>
              <w:rPr>
                <w:rFonts w:ascii="Calibri" w:cs="Calibri" w:eastAsia="Calibri" w:hAnsi="Calibri"/>
                <w:sz w:val="12"/>
                <w:szCs w:val="12"/>
                <w:color w:val="494949"/>
              </w:rPr>
              <w:t>—</w:t>
            </w:r>
          </w:p>
        </w:tc>
        <w:tc>
          <w:tcPr>
            <w:tcW w:w="1380" w:type="dxa"/>
            <w:vAlign w:val="bottom"/>
            <w:tcBorders>
              <w:bottom w:val="single" w:sz="8" w:color="CCEEFF"/>
            </w:tcBorders>
            <w:shd w:val="clear" w:color="auto" w:fill="CCEEFF"/>
          </w:tcPr>
          <w:p>
            <w:pPr>
              <w:jc w:val="right"/>
              <w:ind w:right="98"/>
              <w:spacing w:after="0"/>
              <w:rPr>
                <w:sz w:val="20"/>
                <w:szCs w:val="20"/>
                <w:color w:val="auto"/>
              </w:rPr>
            </w:pPr>
            <w:r>
              <w:rPr>
                <w:rFonts w:ascii="Calibri" w:cs="Calibri" w:eastAsia="Calibri" w:hAnsi="Calibri"/>
                <w:sz w:val="12"/>
                <w:szCs w:val="12"/>
                <w:color w:val="494949"/>
              </w:rPr>
              <w:t>1,305,000</w:t>
            </w:r>
          </w:p>
        </w:tc>
        <w:tc>
          <w:tcPr>
            <w:tcW w:w="1300" w:type="dxa"/>
            <w:vAlign w:val="bottom"/>
            <w:tcBorders>
              <w:bottom w:val="single" w:sz="8" w:color="CCEEFF"/>
            </w:tcBorders>
            <w:shd w:val="clear" w:color="auto" w:fill="CCEEFF"/>
          </w:tcPr>
          <w:p>
            <w:pPr>
              <w:jc w:val="right"/>
              <w:ind w:right="78"/>
              <w:spacing w:after="0"/>
              <w:rPr>
                <w:sz w:val="20"/>
                <w:szCs w:val="20"/>
                <w:color w:val="auto"/>
              </w:rPr>
            </w:pPr>
            <w:r>
              <w:rPr>
                <w:rFonts w:ascii="Calibri" w:cs="Calibri" w:eastAsia="Calibri" w:hAnsi="Calibri"/>
                <w:sz w:val="12"/>
                <w:szCs w:val="12"/>
                <w:color w:val="494949"/>
              </w:rPr>
              <w:t>10,000</w:t>
            </w:r>
          </w:p>
        </w:tc>
        <w:tc>
          <w:tcPr>
            <w:tcW w:w="1440" w:type="dxa"/>
            <w:vAlign w:val="bottom"/>
            <w:tcBorders>
              <w:bottom w:val="single" w:sz="8" w:color="CCEEFF"/>
            </w:tcBorders>
            <w:shd w:val="clear" w:color="auto" w:fill="CCEEFF"/>
          </w:tcPr>
          <w:p>
            <w:pPr>
              <w:jc w:val="right"/>
              <w:ind w:right="218"/>
              <w:spacing w:after="0"/>
              <w:rPr>
                <w:sz w:val="20"/>
                <w:szCs w:val="20"/>
                <w:color w:val="auto"/>
              </w:rPr>
            </w:pPr>
            <w:r>
              <w:rPr>
                <w:rFonts w:ascii="Calibri" w:cs="Calibri" w:eastAsia="Calibri" w:hAnsi="Calibri"/>
                <w:sz w:val="12"/>
                <w:szCs w:val="12"/>
                <w:color w:val="494949"/>
              </w:rPr>
              <w:t>280,457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2"/>
                <w:szCs w:val="12"/>
                <w:color w:val="494949"/>
              </w:rPr>
              <w:t>8,095,434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880" w:type="dxa"/>
            <w:vAlign w:val="bottom"/>
          </w:tcPr>
          <w:p>
            <w:pPr>
              <w:ind w:left="40"/>
              <w:spacing w:after="0" w:line="135" w:lineRule="exact"/>
              <w:rPr>
                <w:sz w:val="20"/>
                <w:szCs w:val="20"/>
                <w:color w:val="auto"/>
              </w:rPr>
            </w:pPr>
            <w:r>
              <w:rPr>
                <w:rFonts w:ascii="Calibri" w:cs="Calibri" w:eastAsia="Calibri" w:hAnsi="Calibri"/>
                <w:sz w:val="12"/>
                <w:szCs w:val="12"/>
                <w:b w:val="1"/>
                <w:bCs w:val="1"/>
                <w:color w:val="494949"/>
              </w:rPr>
              <w:t>Lloyd W. Howell, Jr.</w:t>
            </w:r>
          </w:p>
        </w:tc>
        <w:tc>
          <w:tcPr>
            <w:tcW w:w="640" w:type="dxa"/>
            <w:vAlign w:val="bottom"/>
          </w:tcPr>
          <w:p>
            <w:pPr>
              <w:jc w:val="center"/>
              <w:spacing w:after="0" w:line="135" w:lineRule="exact"/>
              <w:rPr>
                <w:sz w:val="20"/>
                <w:szCs w:val="20"/>
                <w:color w:val="auto"/>
              </w:rPr>
            </w:pPr>
            <w:r>
              <w:rPr>
                <w:rFonts w:ascii="Calibri" w:cs="Calibri" w:eastAsia="Calibri" w:hAnsi="Calibri"/>
                <w:sz w:val="12"/>
                <w:szCs w:val="12"/>
                <w:color w:val="494949"/>
                <w:w w:val="98"/>
              </w:rPr>
              <w:t>2022</w:t>
            </w:r>
          </w:p>
        </w:tc>
        <w:tc>
          <w:tcPr>
            <w:tcW w:w="960" w:type="dxa"/>
            <w:vAlign w:val="bottom"/>
          </w:tcPr>
          <w:p>
            <w:pPr>
              <w:jc w:val="center"/>
              <w:spacing w:after="0" w:line="135" w:lineRule="exact"/>
              <w:rPr>
                <w:sz w:val="20"/>
                <w:szCs w:val="20"/>
                <w:color w:val="auto"/>
              </w:rPr>
            </w:pPr>
            <w:r>
              <w:rPr>
                <w:rFonts w:ascii="Calibri" w:cs="Calibri" w:eastAsia="Calibri" w:hAnsi="Calibri"/>
                <w:sz w:val="12"/>
                <w:szCs w:val="12"/>
                <w:color w:val="494949"/>
              </w:rPr>
              <w:t>1,025,000</w:t>
            </w:r>
          </w:p>
        </w:tc>
        <w:tc>
          <w:tcPr>
            <w:tcW w:w="840" w:type="dxa"/>
            <w:vAlign w:val="bottom"/>
          </w:tcPr>
          <w:p>
            <w:pPr>
              <w:ind w:left="580"/>
              <w:spacing w:after="0" w:line="135" w:lineRule="exact"/>
              <w:rPr>
                <w:sz w:val="20"/>
                <w:szCs w:val="20"/>
                <w:color w:val="auto"/>
              </w:rPr>
            </w:pPr>
            <w:r>
              <w:rPr>
                <w:rFonts w:ascii="Calibri" w:cs="Calibri" w:eastAsia="Calibri" w:hAnsi="Calibri"/>
                <w:sz w:val="12"/>
                <w:szCs w:val="12"/>
                <w:color w:val="494949"/>
              </w:rPr>
              <w:t>—</w:t>
            </w:r>
          </w:p>
        </w:tc>
        <w:tc>
          <w:tcPr>
            <w:tcW w:w="900" w:type="dxa"/>
            <w:vAlign w:val="bottom"/>
          </w:tcPr>
          <w:p>
            <w:pPr>
              <w:jc w:val="right"/>
              <w:ind w:right="98"/>
              <w:spacing w:after="0" w:line="135" w:lineRule="exact"/>
              <w:rPr>
                <w:sz w:val="20"/>
                <w:szCs w:val="20"/>
                <w:color w:val="auto"/>
              </w:rPr>
            </w:pPr>
            <w:r>
              <w:rPr>
                <w:rFonts w:ascii="Calibri" w:cs="Calibri" w:eastAsia="Calibri" w:hAnsi="Calibri"/>
                <w:sz w:val="12"/>
                <w:szCs w:val="12"/>
                <w:color w:val="494949"/>
              </w:rPr>
              <w:t>2,075,106</w:t>
            </w:r>
          </w:p>
        </w:tc>
        <w:tc>
          <w:tcPr>
            <w:tcW w:w="900" w:type="dxa"/>
            <w:vAlign w:val="bottom"/>
          </w:tcPr>
          <w:p>
            <w:pPr>
              <w:ind w:left="600"/>
              <w:spacing w:after="0" w:line="135" w:lineRule="exact"/>
              <w:rPr>
                <w:sz w:val="20"/>
                <w:szCs w:val="20"/>
                <w:color w:val="auto"/>
              </w:rPr>
            </w:pPr>
            <w:r>
              <w:rPr>
                <w:rFonts w:ascii="Calibri" w:cs="Calibri" w:eastAsia="Calibri" w:hAnsi="Calibri"/>
                <w:sz w:val="12"/>
                <w:szCs w:val="12"/>
                <w:color w:val="494949"/>
              </w:rPr>
              <w:t>—</w:t>
            </w:r>
          </w:p>
        </w:tc>
        <w:tc>
          <w:tcPr>
            <w:tcW w:w="1380" w:type="dxa"/>
            <w:vAlign w:val="bottom"/>
          </w:tcPr>
          <w:p>
            <w:pPr>
              <w:jc w:val="right"/>
              <w:ind w:right="98"/>
              <w:spacing w:after="0" w:line="135" w:lineRule="exact"/>
              <w:rPr>
                <w:sz w:val="20"/>
                <w:szCs w:val="20"/>
                <w:color w:val="auto"/>
              </w:rPr>
            </w:pPr>
            <w:r>
              <w:rPr>
                <w:rFonts w:ascii="Calibri" w:cs="Calibri" w:eastAsia="Calibri" w:hAnsi="Calibri"/>
                <w:sz w:val="12"/>
                <w:szCs w:val="12"/>
                <w:color w:val="494949"/>
              </w:rPr>
              <w:t>526,000</w:t>
            </w:r>
          </w:p>
        </w:tc>
        <w:tc>
          <w:tcPr>
            <w:tcW w:w="1300" w:type="dxa"/>
            <w:vAlign w:val="bottom"/>
          </w:tcPr>
          <w:p>
            <w:pPr>
              <w:jc w:val="right"/>
              <w:ind w:right="78"/>
              <w:spacing w:after="0" w:line="135" w:lineRule="exact"/>
              <w:rPr>
                <w:sz w:val="20"/>
                <w:szCs w:val="20"/>
                <w:color w:val="auto"/>
              </w:rPr>
            </w:pPr>
            <w:r>
              <w:rPr>
                <w:rFonts w:ascii="Calibri" w:cs="Calibri" w:eastAsia="Calibri" w:hAnsi="Calibri"/>
                <w:sz w:val="12"/>
                <w:szCs w:val="12"/>
                <w:color w:val="494949"/>
              </w:rPr>
              <w:t>10,000</w:t>
            </w:r>
          </w:p>
        </w:tc>
        <w:tc>
          <w:tcPr>
            <w:tcW w:w="1440" w:type="dxa"/>
            <w:vAlign w:val="bottom"/>
          </w:tcPr>
          <w:p>
            <w:pPr>
              <w:jc w:val="right"/>
              <w:ind w:right="218"/>
              <w:spacing w:after="0" w:line="135" w:lineRule="exact"/>
              <w:rPr>
                <w:sz w:val="20"/>
                <w:szCs w:val="20"/>
                <w:color w:val="auto"/>
              </w:rPr>
            </w:pPr>
            <w:r>
              <w:rPr>
                <w:rFonts w:ascii="Calibri" w:cs="Calibri" w:eastAsia="Calibri" w:hAnsi="Calibri"/>
                <w:sz w:val="12"/>
                <w:szCs w:val="12"/>
                <w:color w:val="494949"/>
              </w:rPr>
              <w:t>162,539</w:t>
            </w:r>
          </w:p>
        </w:tc>
        <w:tc>
          <w:tcPr>
            <w:tcW w:w="1000" w:type="dxa"/>
            <w:vAlign w:val="bottom"/>
          </w:tcPr>
          <w:p>
            <w:pPr>
              <w:jc w:val="right"/>
              <w:spacing w:after="0" w:line="135" w:lineRule="exact"/>
              <w:rPr>
                <w:sz w:val="20"/>
                <w:szCs w:val="20"/>
                <w:color w:val="auto"/>
              </w:rPr>
            </w:pPr>
            <w:r>
              <w:rPr>
                <w:rFonts w:ascii="Calibri" w:cs="Calibri" w:eastAsia="Calibri" w:hAnsi="Calibri"/>
                <w:sz w:val="12"/>
                <w:szCs w:val="12"/>
                <w:color w:val="494949"/>
              </w:rPr>
              <w:t>3,798,645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880" w:type="dxa"/>
            <w:vAlign w:val="bottom"/>
          </w:tcPr>
          <w:p>
            <w:pPr>
              <w:ind w:left="40"/>
              <w:spacing w:after="0" w:line="120" w:lineRule="exact"/>
              <w:rPr>
                <w:sz w:val="20"/>
                <w:szCs w:val="20"/>
                <w:color w:val="auto"/>
              </w:rPr>
            </w:pPr>
            <w:r>
              <w:rPr>
                <w:rFonts w:ascii="Calibri" w:cs="Calibri" w:eastAsia="Calibri" w:hAnsi="Calibri"/>
                <w:sz w:val="12"/>
                <w:szCs w:val="12"/>
                <w:color w:val="494949"/>
              </w:rPr>
              <w:t>Executve Vice President, Chief</w:t>
            </w:r>
          </w:p>
        </w:tc>
        <w:tc>
          <w:tcPr>
            <w:tcW w:w="640" w:type="dxa"/>
            <w:vAlign w:val="bottom"/>
            <w:vMerge w:val="restart"/>
          </w:tcPr>
          <w:p>
            <w:pPr>
              <w:jc w:val="center"/>
              <w:spacing w:after="0"/>
              <w:rPr>
                <w:sz w:val="20"/>
                <w:szCs w:val="20"/>
                <w:color w:val="auto"/>
              </w:rPr>
            </w:pPr>
            <w:r>
              <w:rPr>
                <w:rFonts w:ascii="Calibri" w:cs="Calibri" w:eastAsia="Calibri" w:hAnsi="Calibri"/>
                <w:sz w:val="12"/>
                <w:szCs w:val="12"/>
                <w:color w:val="494949"/>
                <w:w w:val="98"/>
              </w:rPr>
              <w:t>2021</w:t>
            </w:r>
          </w:p>
        </w:tc>
        <w:tc>
          <w:tcPr>
            <w:tcW w:w="960" w:type="dxa"/>
            <w:vAlign w:val="bottom"/>
            <w:vMerge w:val="restart"/>
          </w:tcPr>
          <w:p>
            <w:pPr>
              <w:jc w:val="center"/>
              <w:spacing w:after="0"/>
              <w:rPr>
                <w:sz w:val="20"/>
                <w:szCs w:val="20"/>
                <w:color w:val="auto"/>
              </w:rPr>
            </w:pPr>
            <w:r>
              <w:rPr>
                <w:rFonts w:ascii="Calibri" w:cs="Calibri" w:eastAsia="Calibri" w:hAnsi="Calibri"/>
                <w:sz w:val="12"/>
                <w:szCs w:val="12"/>
                <w:color w:val="494949"/>
              </w:rPr>
              <w:t>1,025,000</w:t>
            </w:r>
          </w:p>
        </w:tc>
        <w:tc>
          <w:tcPr>
            <w:tcW w:w="840" w:type="dxa"/>
            <w:vAlign w:val="bottom"/>
            <w:vMerge w:val="restart"/>
          </w:tcPr>
          <w:p>
            <w:pPr>
              <w:ind w:left="580"/>
              <w:spacing w:after="0"/>
              <w:rPr>
                <w:sz w:val="20"/>
                <w:szCs w:val="20"/>
                <w:color w:val="auto"/>
              </w:rPr>
            </w:pPr>
            <w:r>
              <w:rPr>
                <w:rFonts w:ascii="Calibri" w:cs="Calibri" w:eastAsia="Calibri" w:hAnsi="Calibri"/>
                <w:sz w:val="12"/>
                <w:szCs w:val="12"/>
                <w:color w:val="494949"/>
              </w:rPr>
              <w:t>—</w:t>
            </w:r>
          </w:p>
        </w:tc>
        <w:tc>
          <w:tcPr>
            <w:tcW w:w="900" w:type="dxa"/>
            <w:vAlign w:val="bottom"/>
            <w:vMerge w:val="restart"/>
          </w:tcPr>
          <w:p>
            <w:pPr>
              <w:jc w:val="right"/>
              <w:ind w:right="98"/>
              <w:spacing w:after="0"/>
              <w:rPr>
                <w:sz w:val="20"/>
                <w:szCs w:val="20"/>
                <w:color w:val="auto"/>
              </w:rPr>
            </w:pPr>
            <w:r>
              <w:rPr>
                <w:rFonts w:ascii="Calibri" w:cs="Calibri" w:eastAsia="Calibri" w:hAnsi="Calibri"/>
                <w:sz w:val="12"/>
                <w:szCs w:val="12"/>
                <w:color w:val="494949"/>
              </w:rPr>
              <w:t>1,875,075</w:t>
            </w:r>
          </w:p>
        </w:tc>
        <w:tc>
          <w:tcPr>
            <w:tcW w:w="900" w:type="dxa"/>
            <w:vAlign w:val="bottom"/>
            <w:vMerge w:val="restart"/>
          </w:tcPr>
          <w:p>
            <w:pPr>
              <w:ind w:left="600"/>
              <w:spacing w:after="0"/>
              <w:rPr>
                <w:sz w:val="20"/>
                <w:szCs w:val="20"/>
                <w:color w:val="auto"/>
              </w:rPr>
            </w:pPr>
            <w:r>
              <w:rPr>
                <w:rFonts w:ascii="Calibri" w:cs="Calibri" w:eastAsia="Calibri" w:hAnsi="Calibri"/>
                <w:sz w:val="12"/>
                <w:szCs w:val="12"/>
                <w:color w:val="494949"/>
              </w:rPr>
              <w:t>—</w:t>
            </w:r>
          </w:p>
        </w:tc>
        <w:tc>
          <w:tcPr>
            <w:tcW w:w="1380" w:type="dxa"/>
            <w:vAlign w:val="bottom"/>
            <w:vMerge w:val="restart"/>
          </w:tcPr>
          <w:p>
            <w:pPr>
              <w:jc w:val="right"/>
              <w:ind w:right="98"/>
              <w:spacing w:after="0"/>
              <w:rPr>
                <w:sz w:val="20"/>
                <w:szCs w:val="20"/>
                <w:color w:val="auto"/>
              </w:rPr>
            </w:pPr>
            <w:r>
              <w:rPr>
                <w:rFonts w:ascii="Calibri" w:cs="Calibri" w:eastAsia="Calibri" w:hAnsi="Calibri"/>
                <w:sz w:val="12"/>
                <w:szCs w:val="12"/>
                <w:color w:val="494949"/>
              </w:rPr>
              <w:t>750,000</w:t>
            </w:r>
          </w:p>
        </w:tc>
        <w:tc>
          <w:tcPr>
            <w:tcW w:w="1300" w:type="dxa"/>
            <w:vAlign w:val="bottom"/>
            <w:vMerge w:val="restart"/>
          </w:tcPr>
          <w:p>
            <w:pPr>
              <w:jc w:val="right"/>
              <w:ind w:right="78"/>
              <w:spacing w:after="0"/>
              <w:rPr>
                <w:sz w:val="20"/>
                <w:szCs w:val="20"/>
                <w:color w:val="auto"/>
              </w:rPr>
            </w:pPr>
            <w:r>
              <w:rPr>
                <w:rFonts w:ascii="Calibri" w:cs="Calibri" w:eastAsia="Calibri" w:hAnsi="Calibri"/>
                <w:sz w:val="12"/>
                <w:szCs w:val="12"/>
                <w:color w:val="494949"/>
              </w:rPr>
              <w:t>10,000</w:t>
            </w:r>
          </w:p>
        </w:tc>
        <w:tc>
          <w:tcPr>
            <w:tcW w:w="1440" w:type="dxa"/>
            <w:vAlign w:val="bottom"/>
            <w:vMerge w:val="restart"/>
          </w:tcPr>
          <w:p>
            <w:pPr>
              <w:jc w:val="right"/>
              <w:ind w:right="218"/>
              <w:spacing w:after="0"/>
              <w:rPr>
                <w:sz w:val="20"/>
                <w:szCs w:val="20"/>
                <w:color w:val="auto"/>
              </w:rPr>
            </w:pPr>
            <w:r>
              <w:rPr>
                <w:rFonts w:ascii="Calibri" w:cs="Calibri" w:eastAsia="Calibri" w:hAnsi="Calibri"/>
                <w:sz w:val="12"/>
                <w:szCs w:val="12"/>
                <w:color w:val="494949"/>
              </w:rPr>
              <w:t>142,370</w:t>
            </w:r>
          </w:p>
        </w:tc>
        <w:tc>
          <w:tcPr>
            <w:tcW w:w="1000" w:type="dxa"/>
            <w:vAlign w:val="bottom"/>
            <w:vMerge w:val="restart"/>
          </w:tcPr>
          <w:p>
            <w:pPr>
              <w:jc w:val="right"/>
              <w:spacing w:after="0"/>
              <w:rPr>
                <w:sz w:val="20"/>
                <w:szCs w:val="20"/>
                <w:color w:val="auto"/>
              </w:rPr>
            </w:pPr>
            <w:r>
              <w:rPr>
                <w:rFonts w:ascii="Calibri" w:cs="Calibri" w:eastAsia="Calibri" w:hAnsi="Calibri"/>
                <w:sz w:val="12"/>
                <w:szCs w:val="12"/>
                <w:color w:val="494949"/>
              </w:rPr>
              <w:t>3,802,445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880" w:type="dxa"/>
            <w:vAlign w:val="bottom"/>
            <w:vMerge w:val="restart"/>
          </w:tcPr>
          <w:p>
            <w:pPr>
              <w:ind w:left="40"/>
              <w:spacing w:after="0"/>
              <w:rPr>
                <w:sz w:val="20"/>
                <w:szCs w:val="20"/>
                <w:color w:val="auto"/>
              </w:rPr>
            </w:pPr>
            <w:r>
              <w:rPr>
                <w:rFonts w:ascii="Calibri" w:cs="Calibri" w:eastAsia="Calibri" w:hAnsi="Calibri"/>
                <w:sz w:val="12"/>
                <w:szCs w:val="12"/>
                <w:color w:val="494949"/>
              </w:rPr>
              <w:t>Financial Ofcer</w:t>
            </w:r>
          </w:p>
        </w:tc>
        <w:tc>
          <w:tcPr>
            <w:tcW w:w="6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1880" w:type="dxa"/>
            <w:vAlign w:val="bottom"/>
            <w:vMerge w:val="continue"/>
          </w:tcPr>
          <w:p>
            <w:pPr>
              <w:spacing w:after="0"/>
              <w:rPr>
                <w:sz w:val="4"/>
                <w:szCs w:val="4"/>
                <w:color w:val="auto"/>
              </w:rPr>
            </w:pPr>
          </w:p>
        </w:tc>
        <w:tc>
          <w:tcPr>
            <w:tcW w:w="640" w:type="dxa"/>
            <w:vAlign w:val="bottom"/>
            <w:vMerge w:val="restart"/>
          </w:tcPr>
          <w:p>
            <w:pPr>
              <w:jc w:val="center"/>
              <w:spacing w:after="0"/>
              <w:rPr>
                <w:sz w:val="20"/>
                <w:szCs w:val="20"/>
                <w:color w:val="auto"/>
              </w:rPr>
            </w:pPr>
            <w:r>
              <w:rPr>
                <w:rFonts w:ascii="Calibri" w:cs="Calibri" w:eastAsia="Calibri" w:hAnsi="Calibri"/>
                <w:sz w:val="12"/>
                <w:szCs w:val="12"/>
                <w:color w:val="494949"/>
                <w:w w:val="98"/>
              </w:rPr>
              <w:t>2020</w:t>
            </w:r>
          </w:p>
        </w:tc>
        <w:tc>
          <w:tcPr>
            <w:tcW w:w="960" w:type="dxa"/>
            <w:vAlign w:val="bottom"/>
            <w:vMerge w:val="restart"/>
          </w:tcPr>
          <w:p>
            <w:pPr>
              <w:jc w:val="center"/>
              <w:spacing w:after="0"/>
              <w:rPr>
                <w:sz w:val="20"/>
                <w:szCs w:val="20"/>
                <w:color w:val="auto"/>
              </w:rPr>
            </w:pPr>
            <w:r>
              <w:rPr>
                <w:rFonts w:ascii="Calibri" w:cs="Calibri" w:eastAsia="Calibri" w:hAnsi="Calibri"/>
                <w:sz w:val="12"/>
                <w:szCs w:val="12"/>
                <w:color w:val="494949"/>
              </w:rPr>
              <w:t>1,025,000</w:t>
            </w:r>
          </w:p>
        </w:tc>
        <w:tc>
          <w:tcPr>
            <w:tcW w:w="840" w:type="dxa"/>
            <w:vAlign w:val="bottom"/>
            <w:vMerge w:val="restart"/>
          </w:tcPr>
          <w:p>
            <w:pPr>
              <w:ind w:left="580"/>
              <w:spacing w:after="0"/>
              <w:rPr>
                <w:sz w:val="20"/>
                <w:szCs w:val="20"/>
                <w:color w:val="auto"/>
              </w:rPr>
            </w:pPr>
            <w:r>
              <w:rPr>
                <w:rFonts w:ascii="Calibri" w:cs="Calibri" w:eastAsia="Calibri" w:hAnsi="Calibri"/>
                <w:sz w:val="12"/>
                <w:szCs w:val="12"/>
                <w:color w:val="494949"/>
              </w:rPr>
              <w:t>—</w:t>
            </w:r>
          </w:p>
        </w:tc>
        <w:tc>
          <w:tcPr>
            <w:tcW w:w="900" w:type="dxa"/>
            <w:vAlign w:val="bottom"/>
            <w:vMerge w:val="restart"/>
          </w:tcPr>
          <w:p>
            <w:pPr>
              <w:jc w:val="right"/>
              <w:ind w:right="98"/>
              <w:spacing w:after="0"/>
              <w:rPr>
                <w:sz w:val="20"/>
                <w:szCs w:val="20"/>
                <w:color w:val="auto"/>
              </w:rPr>
            </w:pPr>
            <w:r>
              <w:rPr>
                <w:rFonts w:ascii="Calibri" w:cs="Calibri" w:eastAsia="Calibri" w:hAnsi="Calibri"/>
                <w:sz w:val="12"/>
                <w:szCs w:val="12"/>
                <w:color w:val="494949"/>
              </w:rPr>
              <w:t>1,874,968</w:t>
            </w:r>
          </w:p>
        </w:tc>
        <w:tc>
          <w:tcPr>
            <w:tcW w:w="900" w:type="dxa"/>
            <w:vAlign w:val="bottom"/>
            <w:vMerge w:val="restart"/>
          </w:tcPr>
          <w:p>
            <w:pPr>
              <w:ind w:left="600"/>
              <w:spacing w:after="0"/>
              <w:rPr>
                <w:sz w:val="20"/>
                <w:szCs w:val="20"/>
                <w:color w:val="auto"/>
              </w:rPr>
            </w:pPr>
            <w:r>
              <w:rPr>
                <w:rFonts w:ascii="Calibri" w:cs="Calibri" w:eastAsia="Calibri" w:hAnsi="Calibri"/>
                <w:sz w:val="12"/>
                <w:szCs w:val="12"/>
                <w:color w:val="494949"/>
              </w:rPr>
              <w:t>—</w:t>
            </w:r>
          </w:p>
        </w:tc>
        <w:tc>
          <w:tcPr>
            <w:tcW w:w="1380" w:type="dxa"/>
            <w:vAlign w:val="bottom"/>
            <w:vMerge w:val="restart"/>
          </w:tcPr>
          <w:p>
            <w:pPr>
              <w:jc w:val="right"/>
              <w:ind w:right="98"/>
              <w:spacing w:after="0"/>
              <w:rPr>
                <w:sz w:val="20"/>
                <w:szCs w:val="20"/>
                <w:color w:val="auto"/>
              </w:rPr>
            </w:pPr>
            <w:r>
              <w:rPr>
                <w:rFonts w:ascii="Calibri" w:cs="Calibri" w:eastAsia="Calibri" w:hAnsi="Calibri"/>
                <w:sz w:val="12"/>
                <w:szCs w:val="12"/>
                <w:color w:val="494949"/>
              </w:rPr>
              <w:t>580,000</w:t>
            </w:r>
          </w:p>
        </w:tc>
        <w:tc>
          <w:tcPr>
            <w:tcW w:w="1300" w:type="dxa"/>
            <w:vAlign w:val="bottom"/>
            <w:vMerge w:val="restart"/>
          </w:tcPr>
          <w:p>
            <w:pPr>
              <w:jc w:val="right"/>
              <w:ind w:right="78"/>
              <w:spacing w:after="0"/>
              <w:rPr>
                <w:sz w:val="20"/>
                <w:szCs w:val="20"/>
                <w:color w:val="auto"/>
              </w:rPr>
            </w:pPr>
            <w:r>
              <w:rPr>
                <w:rFonts w:ascii="Calibri" w:cs="Calibri" w:eastAsia="Calibri" w:hAnsi="Calibri"/>
                <w:sz w:val="12"/>
                <w:szCs w:val="12"/>
                <w:color w:val="494949"/>
              </w:rPr>
              <w:t>10,000</w:t>
            </w:r>
          </w:p>
        </w:tc>
        <w:tc>
          <w:tcPr>
            <w:tcW w:w="1440" w:type="dxa"/>
            <w:vAlign w:val="bottom"/>
            <w:vMerge w:val="restart"/>
          </w:tcPr>
          <w:p>
            <w:pPr>
              <w:jc w:val="right"/>
              <w:ind w:right="218"/>
              <w:spacing w:after="0"/>
              <w:rPr>
                <w:sz w:val="20"/>
                <w:szCs w:val="20"/>
                <w:color w:val="auto"/>
              </w:rPr>
            </w:pPr>
            <w:r>
              <w:rPr>
                <w:rFonts w:ascii="Calibri" w:cs="Calibri" w:eastAsia="Calibri" w:hAnsi="Calibri"/>
                <w:sz w:val="12"/>
                <w:szCs w:val="12"/>
                <w:color w:val="494949"/>
              </w:rPr>
              <w:t>164,968</w:t>
            </w:r>
          </w:p>
        </w:tc>
        <w:tc>
          <w:tcPr>
            <w:tcW w:w="1000" w:type="dxa"/>
            <w:vAlign w:val="bottom"/>
            <w:vMerge w:val="restart"/>
          </w:tcPr>
          <w:p>
            <w:pPr>
              <w:jc w:val="right"/>
              <w:spacing w:after="0"/>
              <w:rPr>
                <w:sz w:val="20"/>
                <w:szCs w:val="20"/>
                <w:color w:val="auto"/>
              </w:rPr>
            </w:pPr>
            <w:r>
              <w:rPr>
                <w:rFonts w:ascii="Calibri" w:cs="Calibri" w:eastAsia="Calibri" w:hAnsi="Calibri"/>
                <w:sz w:val="12"/>
                <w:szCs w:val="12"/>
                <w:color w:val="494949"/>
              </w:rPr>
              <w:t>3,654,936</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18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1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CEEFF"/>
          </w:tcPr>
          <w:p>
            <w:pPr>
              <w:ind w:left="40"/>
              <w:spacing w:after="0" w:line="135" w:lineRule="exact"/>
              <w:rPr>
                <w:sz w:val="20"/>
                <w:szCs w:val="20"/>
                <w:color w:val="auto"/>
              </w:rPr>
            </w:pPr>
            <w:r>
              <w:rPr>
                <w:rFonts w:ascii="Calibri" w:cs="Calibri" w:eastAsia="Calibri" w:hAnsi="Calibri"/>
                <w:sz w:val="12"/>
                <w:szCs w:val="12"/>
                <w:b w:val="1"/>
                <w:bCs w:val="1"/>
                <w:color w:val="494949"/>
              </w:rPr>
              <w:t>Karen M. Dahut</w:t>
            </w:r>
          </w:p>
        </w:tc>
        <w:tc>
          <w:tcPr>
            <w:tcW w:w="640" w:type="dxa"/>
            <w:vAlign w:val="bottom"/>
            <w:shd w:val="clear" w:color="auto" w:fill="CCEEFF"/>
          </w:tcPr>
          <w:p>
            <w:pPr>
              <w:jc w:val="center"/>
              <w:spacing w:after="0" w:line="135" w:lineRule="exact"/>
              <w:rPr>
                <w:sz w:val="20"/>
                <w:szCs w:val="20"/>
                <w:color w:val="auto"/>
              </w:rPr>
            </w:pPr>
            <w:r>
              <w:rPr>
                <w:rFonts w:ascii="Calibri" w:cs="Calibri" w:eastAsia="Calibri" w:hAnsi="Calibri"/>
                <w:sz w:val="12"/>
                <w:szCs w:val="12"/>
                <w:color w:val="494949"/>
                <w:w w:val="98"/>
              </w:rPr>
              <w:t>2022</w:t>
            </w:r>
          </w:p>
        </w:tc>
        <w:tc>
          <w:tcPr>
            <w:tcW w:w="960" w:type="dxa"/>
            <w:vAlign w:val="bottom"/>
            <w:shd w:val="clear" w:color="auto" w:fill="CCEEFF"/>
          </w:tcPr>
          <w:p>
            <w:pPr>
              <w:jc w:val="center"/>
              <w:spacing w:after="0" w:line="135" w:lineRule="exact"/>
              <w:rPr>
                <w:sz w:val="20"/>
                <w:szCs w:val="20"/>
                <w:color w:val="auto"/>
              </w:rPr>
            </w:pPr>
            <w:r>
              <w:rPr>
                <w:rFonts w:ascii="Calibri" w:cs="Calibri" w:eastAsia="Calibri" w:hAnsi="Calibri"/>
                <w:sz w:val="12"/>
                <w:szCs w:val="12"/>
                <w:color w:val="494949"/>
              </w:rPr>
              <w:t>1,025,000</w:t>
            </w:r>
          </w:p>
        </w:tc>
        <w:tc>
          <w:tcPr>
            <w:tcW w:w="840" w:type="dxa"/>
            <w:vAlign w:val="bottom"/>
            <w:shd w:val="clear" w:color="auto" w:fill="CCEEFF"/>
          </w:tcPr>
          <w:p>
            <w:pPr>
              <w:ind w:left="580"/>
              <w:spacing w:after="0" w:line="135" w:lineRule="exact"/>
              <w:rPr>
                <w:sz w:val="20"/>
                <w:szCs w:val="20"/>
                <w:color w:val="auto"/>
              </w:rPr>
            </w:pPr>
            <w:r>
              <w:rPr>
                <w:rFonts w:ascii="Calibri" w:cs="Calibri" w:eastAsia="Calibri" w:hAnsi="Calibri"/>
                <w:sz w:val="12"/>
                <w:szCs w:val="12"/>
                <w:color w:val="494949"/>
              </w:rPr>
              <w:t>—</w:t>
            </w:r>
          </w:p>
        </w:tc>
        <w:tc>
          <w:tcPr>
            <w:tcW w:w="900" w:type="dxa"/>
            <w:vAlign w:val="bottom"/>
            <w:shd w:val="clear" w:color="auto" w:fill="CCEEFF"/>
          </w:tcPr>
          <w:p>
            <w:pPr>
              <w:jc w:val="right"/>
              <w:ind w:right="98"/>
              <w:spacing w:after="0" w:line="135" w:lineRule="exact"/>
              <w:rPr>
                <w:sz w:val="20"/>
                <w:szCs w:val="20"/>
                <w:color w:val="auto"/>
              </w:rPr>
            </w:pPr>
            <w:r>
              <w:rPr>
                <w:rFonts w:ascii="Calibri" w:cs="Calibri" w:eastAsia="Calibri" w:hAnsi="Calibri"/>
                <w:sz w:val="12"/>
                <w:szCs w:val="12"/>
                <w:color w:val="494949"/>
              </w:rPr>
              <w:t>2,075,106</w:t>
            </w:r>
          </w:p>
        </w:tc>
        <w:tc>
          <w:tcPr>
            <w:tcW w:w="900" w:type="dxa"/>
            <w:vAlign w:val="bottom"/>
            <w:shd w:val="clear" w:color="auto" w:fill="CCEEFF"/>
          </w:tcPr>
          <w:p>
            <w:pPr>
              <w:ind w:left="600"/>
              <w:spacing w:after="0" w:line="135" w:lineRule="exact"/>
              <w:rPr>
                <w:sz w:val="20"/>
                <w:szCs w:val="20"/>
                <w:color w:val="auto"/>
              </w:rPr>
            </w:pPr>
            <w:r>
              <w:rPr>
                <w:rFonts w:ascii="Calibri" w:cs="Calibri" w:eastAsia="Calibri" w:hAnsi="Calibri"/>
                <w:sz w:val="12"/>
                <w:szCs w:val="12"/>
                <w:color w:val="494949"/>
              </w:rPr>
              <w:t>—</w:t>
            </w:r>
          </w:p>
        </w:tc>
        <w:tc>
          <w:tcPr>
            <w:tcW w:w="1380" w:type="dxa"/>
            <w:vAlign w:val="bottom"/>
            <w:shd w:val="clear" w:color="auto" w:fill="CCEEFF"/>
          </w:tcPr>
          <w:p>
            <w:pPr>
              <w:jc w:val="right"/>
              <w:ind w:right="98"/>
              <w:spacing w:after="0" w:line="135" w:lineRule="exact"/>
              <w:rPr>
                <w:sz w:val="20"/>
                <w:szCs w:val="20"/>
                <w:color w:val="auto"/>
              </w:rPr>
            </w:pPr>
            <w:r>
              <w:rPr>
                <w:rFonts w:ascii="Calibri" w:cs="Calibri" w:eastAsia="Calibri" w:hAnsi="Calibri"/>
                <w:sz w:val="12"/>
                <w:szCs w:val="12"/>
                <w:color w:val="494949"/>
              </w:rPr>
              <w:t>526,000</w:t>
            </w:r>
          </w:p>
        </w:tc>
        <w:tc>
          <w:tcPr>
            <w:tcW w:w="1300" w:type="dxa"/>
            <w:vAlign w:val="bottom"/>
            <w:shd w:val="clear" w:color="auto" w:fill="CCEEFF"/>
          </w:tcPr>
          <w:p>
            <w:pPr>
              <w:jc w:val="right"/>
              <w:ind w:right="78"/>
              <w:spacing w:after="0" w:line="135" w:lineRule="exact"/>
              <w:rPr>
                <w:sz w:val="20"/>
                <w:szCs w:val="20"/>
                <w:color w:val="auto"/>
              </w:rPr>
            </w:pPr>
            <w:r>
              <w:rPr>
                <w:rFonts w:ascii="Calibri" w:cs="Calibri" w:eastAsia="Calibri" w:hAnsi="Calibri"/>
                <w:sz w:val="12"/>
                <w:szCs w:val="12"/>
                <w:color w:val="494949"/>
              </w:rPr>
              <w:t>10,000</w:t>
            </w:r>
          </w:p>
        </w:tc>
        <w:tc>
          <w:tcPr>
            <w:tcW w:w="1440" w:type="dxa"/>
            <w:vAlign w:val="bottom"/>
            <w:shd w:val="clear" w:color="auto" w:fill="CCEEFF"/>
          </w:tcPr>
          <w:p>
            <w:pPr>
              <w:jc w:val="right"/>
              <w:ind w:right="218"/>
              <w:spacing w:after="0" w:line="135" w:lineRule="exact"/>
              <w:rPr>
                <w:sz w:val="20"/>
                <w:szCs w:val="20"/>
                <w:color w:val="auto"/>
              </w:rPr>
            </w:pPr>
            <w:r>
              <w:rPr>
                <w:rFonts w:ascii="Calibri" w:cs="Calibri" w:eastAsia="Calibri" w:hAnsi="Calibri"/>
                <w:sz w:val="12"/>
                <w:szCs w:val="12"/>
                <w:color w:val="494949"/>
              </w:rPr>
              <w:t>171,902</w:t>
            </w:r>
          </w:p>
        </w:tc>
        <w:tc>
          <w:tcPr>
            <w:tcW w:w="1000" w:type="dxa"/>
            <w:vAlign w:val="bottom"/>
            <w:shd w:val="clear" w:color="auto" w:fill="CCEEFF"/>
          </w:tcPr>
          <w:p>
            <w:pPr>
              <w:jc w:val="right"/>
              <w:spacing w:after="0" w:line="135" w:lineRule="exact"/>
              <w:rPr>
                <w:sz w:val="20"/>
                <w:szCs w:val="20"/>
                <w:color w:val="auto"/>
              </w:rPr>
            </w:pPr>
            <w:r>
              <w:rPr>
                <w:rFonts w:ascii="Calibri" w:cs="Calibri" w:eastAsia="Calibri" w:hAnsi="Calibri"/>
                <w:sz w:val="12"/>
                <w:szCs w:val="12"/>
                <w:color w:val="494949"/>
              </w:rPr>
              <w:t>3,808,008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880" w:type="dxa"/>
            <w:vAlign w:val="bottom"/>
            <w:shd w:val="clear" w:color="auto" w:fill="CCEEFF"/>
          </w:tcPr>
          <w:p>
            <w:pPr>
              <w:ind w:left="40"/>
              <w:spacing w:after="0" w:line="120" w:lineRule="exact"/>
              <w:rPr>
                <w:sz w:val="20"/>
                <w:szCs w:val="20"/>
                <w:color w:val="auto"/>
              </w:rPr>
            </w:pPr>
            <w:r>
              <w:rPr>
                <w:rFonts w:ascii="Calibri" w:cs="Calibri" w:eastAsia="Calibri" w:hAnsi="Calibri"/>
                <w:sz w:val="12"/>
                <w:szCs w:val="12"/>
                <w:color w:val="494949"/>
              </w:rPr>
              <w:t>Executve Vice President, President</w:t>
            </w:r>
          </w:p>
        </w:tc>
        <w:tc>
          <w:tcPr>
            <w:tcW w:w="640" w:type="dxa"/>
            <w:vAlign w:val="bottom"/>
            <w:vMerge w:val="restart"/>
            <w:shd w:val="clear" w:color="auto" w:fill="CCEEFF"/>
          </w:tcPr>
          <w:p>
            <w:pPr>
              <w:jc w:val="center"/>
              <w:spacing w:after="0"/>
              <w:rPr>
                <w:sz w:val="20"/>
                <w:szCs w:val="20"/>
                <w:color w:val="auto"/>
              </w:rPr>
            </w:pPr>
            <w:r>
              <w:rPr>
                <w:rFonts w:ascii="Calibri" w:cs="Calibri" w:eastAsia="Calibri" w:hAnsi="Calibri"/>
                <w:sz w:val="12"/>
                <w:szCs w:val="12"/>
                <w:color w:val="494949"/>
                <w:w w:val="98"/>
              </w:rPr>
              <w:t>2021</w:t>
            </w:r>
          </w:p>
        </w:tc>
        <w:tc>
          <w:tcPr>
            <w:tcW w:w="960" w:type="dxa"/>
            <w:vAlign w:val="bottom"/>
            <w:vMerge w:val="restart"/>
            <w:shd w:val="clear" w:color="auto" w:fill="CCEEFF"/>
          </w:tcPr>
          <w:p>
            <w:pPr>
              <w:jc w:val="center"/>
              <w:spacing w:after="0"/>
              <w:rPr>
                <w:sz w:val="20"/>
                <w:szCs w:val="20"/>
                <w:color w:val="auto"/>
              </w:rPr>
            </w:pPr>
            <w:r>
              <w:rPr>
                <w:rFonts w:ascii="Calibri" w:cs="Calibri" w:eastAsia="Calibri" w:hAnsi="Calibri"/>
                <w:sz w:val="12"/>
                <w:szCs w:val="12"/>
                <w:color w:val="494949"/>
              </w:rPr>
              <w:t>1,025,000</w:t>
            </w:r>
          </w:p>
        </w:tc>
        <w:tc>
          <w:tcPr>
            <w:tcW w:w="840" w:type="dxa"/>
            <w:vAlign w:val="bottom"/>
            <w:vMerge w:val="restart"/>
            <w:shd w:val="clear" w:color="auto" w:fill="CCEEFF"/>
          </w:tcPr>
          <w:p>
            <w:pPr>
              <w:ind w:left="580"/>
              <w:spacing w:after="0"/>
              <w:rPr>
                <w:sz w:val="20"/>
                <w:szCs w:val="20"/>
                <w:color w:val="auto"/>
              </w:rPr>
            </w:pPr>
            <w:r>
              <w:rPr>
                <w:rFonts w:ascii="Calibri" w:cs="Calibri" w:eastAsia="Calibri" w:hAnsi="Calibri"/>
                <w:sz w:val="12"/>
                <w:szCs w:val="12"/>
                <w:color w:val="494949"/>
              </w:rPr>
              <w:t>—</w:t>
            </w:r>
          </w:p>
        </w:tc>
        <w:tc>
          <w:tcPr>
            <w:tcW w:w="900" w:type="dxa"/>
            <w:vAlign w:val="bottom"/>
            <w:vMerge w:val="restart"/>
            <w:shd w:val="clear" w:color="auto" w:fill="CCEEFF"/>
          </w:tcPr>
          <w:p>
            <w:pPr>
              <w:jc w:val="right"/>
              <w:ind w:right="98"/>
              <w:spacing w:after="0"/>
              <w:rPr>
                <w:sz w:val="20"/>
                <w:szCs w:val="20"/>
                <w:color w:val="auto"/>
              </w:rPr>
            </w:pPr>
            <w:r>
              <w:rPr>
                <w:rFonts w:ascii="Calibri" w:cs="Calibri" w:eastAsia="Calibri" w:hAnsi="Calibri"/>
                <w:sz w:val="12"/>
                <w:szCs w:val="12"/>
                <w:color w:val="494949"/>
              </w:rPr>
              <w:t>1,875,075</w:t>
            </w:r>
          </w:p>
        </w:tc>
        <w:tc>
          <w:tcPr>
            <w:tcW w:w="900" w:type="dxa"/>
            <w:vAlign w:val="bottom"/>
            <w:vMerge w:val="restart"/>
            <w:shd w:val="clear" w:color="auto" w:fill="CCEEFF"/>
          </w:tcPr>
          <w:p>
            <w:pPr>
              <w:ind w:left="600"/>
              <w:spacing w:after="0"/>
              <w:rPr>
                <w:sz w:val="20"/>
                <w:szCs w:val="20"/>
                <w:color w:val="auto"/>
              </w:rPr>
            </w:pPr>
            <w:r>
              <w:rPr>
                <w:rFonts w:ascii="Calibri" w:cs="Calibri" w:eastAsia="Calibri" w:hAnsi="Calibri"/>
                <w:sz w:val="12"/>
                <w:szCs w:val="12"/>
                <w:color w:val="494949"/>
              </w:rPr>
              <w:t>—</w:t>
            </w:r>
          </w:p>
        </w:tc>
        <w:tc>
          <w:tcPr>
            <w:tcW w:w="1380" w:type="dxa"/>
            <w:vAlign w:val="bottom"/>
            <w:vMerge w:val="restart"/>
            <w:shd w:val="clear" w:color="auto" w:fill="CCEEFF"/>
          </w:tcPr>
          <w:p>
            <w:pPr>
              <w:jc w:val="right"/>
              <w:ind w:right="98"/>
              <w:spacing w:after="0"/>
              <w:rPr>
                <w:sz w:val="20"/>
                <w:szCs w:val="20"/>
                <w:color w:val="auto"/>
              </w:rPr>
            </w:pPr>
            <w:r>
              <w:rPr>
                <w:rFonts w:ascii="Calibri" w:cs="Calibri" w:eastAsia="Calibri" w:hAnsi="Calibri"/>
                <w:sz w:val="12"/>
                <w:szCs w:val="12"/>
                <w:color w:val="494949"/>
              </w:rPr>
              <w:t>750,000</w:t>
            </w:r>
          </w:p>
        </w:tc>
        <w:tc>
          <w:tcPr>
            <w:tcW w:w="1300" w:type="dxa"/>
            <w:vAlign w:val="bottom"/>
            <w:vMerge w:val="restart"/>
            <w:shd w:val="clear" w:color="auto" w:fill="CCEEFF"/>
          </w:tcPr>
          <w:p>
            <w:pPr>
              <w:jc w:val="right"/>
              <w:ind w:right="78"/>
              <w:spacing w:after="0"/>
              <w:rPr>
                <w:sz w:val="20"/>
                <w:szCs w:val="20"/>
                <w:color w:val="auto"/>
              </w:rPr>
            </w:pPr>
            <w:r>
              <w:rPr>
                <w:rFonts w:ascii="Calibri" w:cs="Calibri" w:eastAsia="Calibri" w:hAnsi="Calibri"/>
                <w:sz w:val="12"/>
                <w:szCs w:val="12"/>
                <w:color w:val="494949"/>
              </w:rPr>
              <w:t>10,000</w:t>
            </w:r>
          </w:p>
        </w:tc>
        <w:tc>
          <w:tcPr>
            <w:tcW w:w="1440" w:type="dxa"/>
            <w:vAlign w:val="bottom"/>
            <w:vMerge w:val="restart"/>
            <w:shd w:val="clear" w:color="auto" w:fill="CCEEFF"/>
          </w:tcPr>
          <w:p>
            <w:pPr>
              <w:jc w:val="right"/>
              <w:ind w:right="218"/>
              <w:spacing w:after="0"/>
              <w:rPr>
                <w:sz w:val="20"/>
                <w:szCs w:val="20"/>
                <w:color w:val="auto"/>
              </w:rPr>
            </w:pPr>
            <w:r>
              <w:rPr>
                <w:rFonts w:ascii="Calibri" w:cs="Calibri" w:eastAsia="Calibri" w:hAnsi="Calibri"/>
                <w:sz w:val="12"/>
                <w:szCs w:val="12"/>
                <w:color w:val="494949"/>
              </w:rPr>
              <w:t>143,954</w:t>
            </w:r>
          </w:p>
        </w:tc>
        <w:tc>
          <w:tcPr>
            <w:tcW w:w="1000" w:type="dxa"/>
            <w:vAlign w:val="bottom"/>
            <w:vMerge w:val="restart"/>
            <w:shd w:val="clear" w:color="auto" w:fill="CCEEFF"/>
          </w:tcPr>
          <w:p>
            <w:pPr>
              <w:jc w:val="right"/>
              <w:spacing w:after="0"/>
              <w:rPr>
                <w:sz w:val="20"/>
                <w:szCs w:val="20"/>
                <w:color w:val="auto"/>
              </w:rPr>
            </w:pPr>
            <w:r>
              <w:rPr>
                <w:rFonts w:ascii="Calibri" w:cs="Calibri" w:eastAsia="Calibri" w:hAnsi="Calibri"/>
                <w:sz w:val="12"/>
                <w:szCs w:val="12"/>
                <w:color w:val="494949"/>
              </w:rPr>
              <w:t>3,804,029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880" w:type="dxa"/>
            <w:vAlign w:val="bottom"/>
            <w:vMerge w:val="restart"/>
            <w:shd w:val="clear" w:color="auto" w:fill="CCEEFF"/>
          </w:tcPr>
          <w:p>
            <w:pPr>
              <w:ind w:left="40"/>
              <w:spacing w:after="0" w:line="144" w:lineRule="exact"/>
              <w:rPr>
                <w:sz w:val="20"/>
                <w:szCs w:val="20"/>
                <w:color w:val="auto"/>
              </w:rPr>
            </w:pPr>
            <w:r>
              <w:rPr>
                <w:rFonts w:ascii="Calibri" w:cs="Calibri" w:eastAsia="Calibri" w:hAnsi="Calibri"/>
                <w:sz w:val="12"/>
                <w:szCs w:val="12"/>
                <w:color w:val="494949"/>
              </w:rPr>
              <w:t>of Global Defense Sector</w:t>
            </w:r>
          </w:p>
        </w:tc>
        <w:tc>
          <w:tcPr>
            <w:tcW w:w="640" w:type="dxa"/>
            <w:vAlign w:val="bottom"/>
            <w:vMerge w:val="continue"/>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380" w:type="dxa"/>
            <w:vAlign w:val="bottom"/>
            <w:vMerge w:val="continue"/>
            <w:shd w:val="clear" w:color="auto" w:fill="CCEEFF"/>
          </w:tcPr>
          <w:p>
            <w:pPr>
              <w:spacing w:after="0"/>
              <w:rPr>
                <w:sz w:val="8"/>
                <w:szCs w:val="8"/>
                <w:color w:val="auto"/>
              </w:rPr>
            </w:pPr>
          </w:p>
        </w:tc>
        <w:tc>
          <w:tcPr>
            <w:tcW w:w="1300" w:type="dxa"/>
            <w:vAlign w:val="bottom"/>
            <w:vMerge w:val="continue"/>
            <w:shd w:val="clear" w:color="auto" w:fill="CCEEFF"/>
          </w:tcPr>
          <w:p>
            <w:pPr>
              <w:spacing w:after="0"/>
              <w:rPr>
                <w:sz w:val="8"/>
                <w:szCs w:val="8"/>
                <w:color w:val="auto"/>
              </w:rPr>
            </w:pPr>
          </w:p>
        </w:tc>
        <w:tc>
          <w:tcPr>
            <w:tcW w:w="144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1880" w:type="dxa"/>
            <w:vAlign w:val="bottom"/>
            <w:vMerge w:val="continue"/>
            <w:shd w:val="clear" w:color="auto" w:fill="CCEEFF"/>
          </w:tcPr>
          <w:p>
            <w:pPr>
              <w:spacing w:after="0"/>
              <w:rPr>
                <w:sz w:val="4"/>
                <w:szCs w:val="4"/>
                <w:color w:val="auto"/>
              </w:rPr>
            </w:pPr>
          </w:p>
        </w:tc>
        <w:tc>
          <w:tcPr>
            <w:tcW w:w="640" w:type="dxa"/>
            <w:vAlign w:val="bottom"/>
            <w:vMerge w:val="restart"/>
            <w:shd w:val="clear" w:color="auto" w:fill="CCEEFF"/>
          </w:tcPr>
          <w:p>
            <w:pPr>
              <w:jc w:val="center"/>
              <w:spacing w:after="0"/>
              <w:rPr>
                <w:sz w:val="20"/>
                <w:szCs w:val="20"/>
                <w:color w:val="auto"/>
              </w:rPr>
            </w:pPr>
            <w:r>
              <w:rPr>
                <w:rFonts w:ascii="Calibri" w:cs="Calibri" w:eastAsia="Calibri" w:hAnsi="Calibri"/>
                <w:sz w:val="12"/>
                <w:szCs w:val="12"/>
                <w:color w:val="494949"/>
                <w:w w:val="98"/>
              </w:rPr>
              <w:t>2020</w:t>
            </w:r>
          </w:p>
        </w:tc>
        <w:tc>
          <w:tcPr>
            <w:tcW w:w="960" w:type="dxa"/>
            <w:vAlign w:val="bottom"/>
            <w:vMerge w:val="restart"/>
            <w:shd w:val="clear" w:color="auto" w:fill="CCEEFF"/>
          </w:tcPr>
          <w:p>
            <w:pPr>
              <w:jc w:val="center"/>
              <w:spacing w:after="0"/>
              <w:rPr>
                <w:sz w:val="20"/>
                <w:szCs w:val="20"/>
                <w:color w:val="auto"/>
              </w:rPr>
            </w:pPr>
            <w:r>
              <w:rPr>
                <w:rFonts w:ascii="Calibri" w:cs="Calibri" w:eastAsia="Calibri" w:hAnsi="Calibri"/>
                <w:sz w:val="12"/>
                <w:szCs w:val="12"/>
                <w:color w:val="494949"/>
              </w:rPr>
              <w:t>1,025,000</w:t>
            </w:r>
          </w:p>
        </w:tc>
        <w:tc>
          <w:tcPr>
            <w:tcW w:w="840" w:type="dxa"/>
            <w:vAlign w:val="bottom"/>
            <w:vMerge w:val="restart"/>
            <w:shd w:val="clear" w:color="auto" w:fill="CCEEFF"/>
          </w:tcPr>
          <w:p>
            <w:pPr>
              <w:ind w:left="580"/>
              <w:spacing w:after="0"/>
              <w:rPr>
                <w:sz w:val="20"/>
                <w:szCs w:val="20"/>
                <w:color w:val="auto"/>
              </w:rPr>
            </w:pPr>
            <w:r>
              <w:rPr>
                <w:rFonts w:ascii="Calibri" w:cs="Calibri" w:eastAsia="Calibri" w:hAnsi="Calibri"/>
                <w:sz w:val="12"/>
                <w:szCs w:val="12"/>
                <w:color w:val="494949"/>
              </w:rPr>
              <w:t>—</w:t>
            </w:r>
          </w:p>
        </w:tc>
        <w:tc>
          <w:tcPr>
            <w:tcW w:w="900" w:type="dxa"/>
            <w:vAlign w:val="bottom"/>
            <w:vMerge w:val="restart"/>
            <w:shd w:val="clear" w:color="auto" w:fill="CCEEFF"/>
          </w:tcPr>
          <w:p>
            <w:pPr>
              <w:jc w:val="right"/>
              <w:ind w:right="98"/>
              <w:spacing w:after="0"/>
              <w:rPr>
                <w:sz w:val="20"/>
                <w:szCs w:val="20"/>
                <w:color w:val="auto"/>
              </w:rPr>
            </w:pPr>
            <w:r>
              <w:rPr>
                <w:rFonts w:ascii="Calibri" w:cs="Calibri" w:eastAsia="Calibri" w:hAnsi="Calibri"/>
                <w:sz w:val="12"/>
                <w:szCs w:val="12"/>
                <w:color w:val="494949"/>
              </w:rPr>
              <w:t>1,874,968</w:t>
            </w:r>
          </w:p>
        </w:tc>
        <w:tc>
          <w:tcPr>
            <w:tcW w:w="900" w:type="dxa"/>
            <w:vAlign w:val="bottom"/>
            <w:vMerge w:val="restart"/>
            <w:shd w:val="clear" w:color="auto" w:fill="CCEEFF"/>
          </w:tcPr>
          <w:p>
            <w:pPr>
              <w:ind w:left="600"/>
              <w:spacing w:after="0"/>
              <w:rPr>
                <w:sz w:val="20"/>
                <w:szCs w:val="20"/>
                <w:color w:val="auto"/>
              </w:rPr>
            </w:pPr>
            <w:r>
              <w:rPr>
                <w:rFonts w:ascii="Calibri" w:cs="Calibri" w:eastAsia="Calibri" w:hAnsi="Calibri"/>
                <w:sz w:val="12"/>
                <w:szCs w:val="12"/>
                <w:color w:val="494949"/>
              </w:rPr>
              <w:t>—</w:t>
            </w:r>
          </w:p>
        </w:tc>
        <w:tc>
          <w:tcPr>
            <w:tcW w:w="1380" w:type="dxa"/>
            <w:vAlign w:val="bottom"/>
            <w:vMerge w:val="restart"/>
            <w:shd w:val="clear" w:color="auto" w:fill="CCEEFF"/>
          </w:tcPr>
          <w:p>
            <w:pPr>
              <w:jc w:val="right"/>
              <w:ind w:right="98"/>
              <w:spacing w:after="0"/>
              <w:rPr>
                <w:sz w:val="20"/>
                <w:szCs w:val="20"/>
                <w:color w:val="auto"/>
              </w:rPr>
            </w:pPr>
            <w:r>
              <w:rPr>
                <w:rFonts w:ascii="Calibri" w:cs="Calibri" w:eastAsia="Calibri" w:hAnsi="Calibri"/>
                <w:sz w:val="12"/>
                <w:szCs w:val="12"/>
                <w:color w:val="494949"/>
              </w:rPr>
              <w:t>580,000</w:t>
            </w:r>
          </w:p>
        </w:tc>
        <w:tc>
          <w:tcPr>
            <w:tcW w:w="1300" w:type="dxa"/>
            <w:vAlign w:val="bottom"/>
            <w:vMerge w:val="restart"/>
            <w:shd w:val="clear" w:color="auto" w:fill="CCEEFF"/>
          </w:tcPr>
          <w:p>
            <w:pPr>
              <w:jc w:val="right"/>
              <w:ind w:right="78"/>
              <w:spacing w:after="0"/>
              <w:rPr>
                <w:sz w:val="20"/>
                <w:szCs w:val="20"/>
                <w:color w:val="auto"/>
              </w:rPr>
            </w:pPr>
            <w:r>
              <w:rPr>
                <w:rFonts w:ascii="Calibri" w:cs="Calibri" w:eastAsia="Calibri" w:hAnsi="Calibri"/>
                <w:sz w:val="12"/>
                <w:szCs w:val="12"/>
                <w:color w:val="494949"/>
              </w:rPr>
              <w:t>10,000</w:t>
            </w:r>
          </w:p>
        </w:tc>
        <w:tc>
          <w:tcPr>
            <w:tcW w:w="1440" w:type="dxa"/>
            <w:vAlign w:val="bottom"/>
            <w:vMerge w:val="restart"/>
            <w:shd w:val="clear" w:color="auto" w:fill="CCEEFF"/>
          </w:tcPr>
          <w:p>
            <w:pPr>
              <w:jc w:val="right"/>
              <w:ind w:right="218"/>
              <w:spacing w:after="0"/>
              <w:rPr>
                <w:sz w:val="20"/>
                <w:szCs w:val="20"/>
                <w:color w:val="auto"/>
              </w:rPr>
            </w:pPr>
            <w:r>
              <w:rPr>
                <w:rFonts w:ascii="Calibri" w:cs="Calibri" w:eastAsia="Calibri" w:hAnsi="Calibri"/>
                <w:sz w:val="12"/>
                <w:szCs w:val="12"/>
                <w:color w:val="494949"/>
              </w:rPr>
              <w:t>186,693</w:t>
            </w:r>
          </w:p>
        </w:tc>
        <w:tc>
          <w:tcPr>
            <w:tcW w:w="1000" w:type="dxa"/>
            <w:vAlign w:val="bottom"/>
            <w:vMerge w:val="restart"/>
            <w:shd w:val="clear" w:color="auto" w:fill="CCEEFF"/>
          </w:tcPr>
          <w:p>
            <w:pPr>
              <w:jc w:val="right"/>
              <w:spacing w:after="0"/>
              <w:rPr>
                <w:sz w:val="20"/>
                <w:szCs w:val="20"/>
                <w:color w:val="auto"/>
              </w:rPr>
            </w:pPr>
            <w:r>
              <w:rPr>
                <w:rFonts w:ascii="Calibri" w:cs="Calibri" w:eastAsia="Calibri" w:hAnsi="Calibri"/>
                <w:sz w:val="12"/>
                <w:szCs w:val="12"/>
                <w:color w:val="494949"/>
              </w:rPr>
              <w:t>3,676,661</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18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vMerge w:val="continue"/>
            <w:shd w:val="clear" w:color="auto" w:fill="CCEEFF"/>
          </w:tcPr>
          <w:p>
            <w:pPr>
              <w:spacing w:after="0"/>
              <w:rPr>
                <w:sz w:val="15"/>
                <w:szCs w:val="15"/>
                <w:color w:val="auto"/>
              </w:rPr>
            </w:pPr>
          </w:p>
        </w:tc>
        <w:tc>
          <w:tcPr>
            <w:tcW w:w="960" w:type="dxa"/>
            <w:vAlign w:val="bottom"/>
            <w:tcBorders>
              <w:bottom w:val="single" w:sz="8" w:color="CCEEFF"/>
            </w:tcBorders>
            <w:vMerge w:val="continue"/>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1380" w:type="dxa"/>
            <w:vAlign w:val="bottom"/>
            <w:tcBorders>
              <w:bottom w:val="single" w:sz="8" w:color="CCEEFF"/>
            </w:tcBorders>
            <w:vMerge w:val="continue"/>
            <w:shd w:val="clear" w:color="auto" w:fill="CCEEFF"/>
          </w:tcPr>
          <w:p>
            <w:pPr>
              <w:spacing w:after="0"/>
              <w:rPr>
                <w:sz w:val="15"/>
                <w:szCs w:val="15"/>
                <w:color w:val="auto"/>
              </w:rPr>
            </w:pPr>
          </w:p>
        </w:tc>
        <w:tc>
          <w:tcPr>
            <w:tcW w:w="1300" w:type="dxa"/>
            <w:vAlign w:val="bottom"/>
            <w:tcBorders>
              <w:bottom w:val="single" w:sz="8" w:color="CCEEFF"/>
            </w:tcBorders>
            <w:vMerge w:val="continue"/>
            <w:shd w:val="clear" w:color="auto" w:fill="CCEEFF"/>
          </w:tcPr>
          <w:p>
            <w:pPr>
              <w:spacing w:after="0"/>
              <w:rPr>
                <w:sz w:val="15"/>
                <w:szCs w:val="15"/>
                <w:color w:val="auto"/>
              </w:rPr>
            </w:pPr>
          </w:p>
        </w:tc>
        <w:tc>
          <w:tcPr>
            <w:tcW w:w="1440" w:type="dxa"/>
            <w:vAlign w:val="bottom"/>
            <w:tcBorders>
              <w:bottom w:val="single" w:sz="8" w:color="CCEEFF"/>
            </w:tcBorders>
            <w:vMerge w:val="continue"/>
            <w:shd w:val="clear" w:color="auto" w:fill="CCEEFF"/>
          </w:tcPr>
          <w:p>
            <w:pPr>
              <w:spacing w:after="0"/>
              <w:rPr>
                <w:sz w:val="15"/>
                <w:szCs w:val="15"/>
                <w:color w:val="auto"/>
              </w:rPr>
            </w:pPr>
          </w:p>
        </w:tc>
        <w:tc>
          <w:tcPr>
            <w:tcW w:w="1000" w:type="dxa"/>
            <w:vAlign w:val="bottom"/>
            <w:tcBorders>
              <w:bottom w:val="single" w:sz="8" w:color="CCEEFF"/>
            </w:tcBorders>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880" w:type="dxa"/>
            <w:vAlign w:val="bottom"/>
          </w:tcPr>
          <w:p>
            <w:pPr>
              <w:ind w:left="40"/>
              <w:spacing w:after="0" w:line="135" w:lineRule="exact"/>
              <w:rPr>
                <w:sz w:val="20"/>
                <w:szCs w:val="20"/>
                <w:color w:val="auto"/>
              </w:rPr>
            </w:pPr>
            <w:r>
              <w:rPr>
                <w:rFonts w:ascii="Calibri" w:cs="Calibri" w:eastAsia="Calibri" w:hAnsi="Calibri"/>
                <w:sz w:val="12"/>
                <w:szCs w:val="12"/>
                <w:b w:val="1"/>
                <w:bCs w:val="1"/>
                <w:color w:val="494949"/>
              </w:rPr>
              <w:t>Nancy J. Laben</w:t>
            </w:r>
          </w:p>
        </w:tc>
        <w:tc>
          <w:tcPr>
            <w:tcW w:w="640" w:type="dxa"/>
            <w:vAlign w:val="bottom"/>
          </w:tcPr>
          <w:p>
            <w:pPr>
              <w:jc w:val="center"/>
              <w:spacing w:after="0" w:line="135" w:lineRule="exact"/>
              <w:rPr>
                <w:sz w:val="20"/>
                <w:szCs w:val="20"/>
                <w:color w:val="auto"/>
              </w:rPr>
            </w:pPr>
            <w:r>
              <w:rPr>
                <w:rFonts w:ascii="Calibri" w:cs="Calibri" w:eastAsia="Calibri" w:hAnsi="Calibri"/>
                <w:sz w:val="12"/>
                <w:szCs w:val="12"/>
                <w:color w:val="494949"/>
                <w:w w:val="98"/>
              </w:rPr>
              <w:t>2022</w:t>
            </w:r>
          </w:p>
        </w:tc>
        <w:tc>
          <w:tcPr>
            <w:tcW w:w="960" w:type="dxa"/>
            <w:vAlign w:val="bottom"/>
          </w:tcPr>
          <w:p>
            <w:pPr>
              <w:jc w:val="center"/>
              <w:spacing w:after="0" w:line="135" w:lineRule="exact"/>
              <w:rPr>
                <w:sz w:val="20"/>
                <w:szCs w:val="20"/>
                <w:color w:val="auto"/>
              </w:rPr>
            </w:pPr>
            <w:r>
              <w:rPr>
                <w:rFonts w:ascii="Calibri" w:cs="Calibri" w:eastAsia="Calibri" w:hAnsi="Calibri"/>
                <w:sz w:val="12"/>
                <w:szCs w:val="12"/>
                <w:color w:val="494949"/>
              </w:rPr>
              <w:t>650,000</w:t>
            </w:r>
          </w:p>
        </w:tc>
        <w:tc>
          <w:tcPr>
            <w:tcW w:w="840" w:type="dxa"/>
            <w:vAlign w:val="bottom"/>
          </w:tcPr>
          <w:p>
            <w:pPr>
              <w:ind w:left="580"/>
              <w:spacing w:after="0" w:line="135" w:lineRule="exact"/>
              <w:rPr>
                <w:sz w:val="20"/>
                <w:szCs w:val="20"/>
                <w:color w:val="auto"/>
              </w:rPr>
            </w:pPr>
            <w:r>
              <w:rPr>
                <w:rFonts w:ascii="Calibri" w:cs="Calibri" w:eastAsia="Calibri" w:hAnsi="Calibri"/>
                <w:sz w:val="12"/>
                <w:szCs w:val="12"/>
                <w:color w:val="494949"/>
              </w:rPr>
              <w:t>—</w:t>
            </w:r>
          </w:p>
        </w:tc>
        <w:tc>
          <w:tcPr>
            <w:tcW w:w="900" w:type="dxa"/>
            <w:vAlign w:val="bottom"/>
          </w:tcPr>
          <w:p>
            <w:pPr>
              <w:jc w:val="right"/>
              <w:ind w:right="98"/>
              <w:spacing w:after="0" w:line="135" w:lineRule="exact"/>
              <w:rPr>
                <w:sz w:val="20"/>
                <w:szCs w:val="20"/>
                <w:color w:val="auto"/>
              </w:rPr>
            </w:pPr>
            <w:r>
              <w:rPr>
                <w:rFonts w:ascii="Calibri" w:cs="Calibri" w:eastAsia="Calibri" w:hAnsi="Calibri"/>
                <w:sz w:val="12"/>
                <w:szCs w:val="12"/>
                <w:color w:val="494949"/>
              </w:rPr>
              <w:t>1,125,073</w:t>
            </w:r>
          </w:p>
        </w:tc>
        <w:tc>
          <w:tcPr>
            <w:tcW w:w="900" w:type="dxa"/>
            <w:vAlign w:val="bottom"/>
          </w:tcPr>
          <w:p>
            <w:pPr>
              <w:ind w:left="600"/>
              <w:spacing w:after="0" w:line="135" w:lineRule="exact"/>
              <w:rPr>
                <w:sz w:val="20"/>
                <w:szCs w:val="20"/>
                <w:color w:val="auto"/>
              </w:rPr>
            </w:pPr>
            <w:r>
              <w:rPr>
                <w:rFonts w:ascii="Calibri" w:cs="Calibri" w:eastAsia="Calibri" w:hAnsi="Calibri"/>
                <w:sz w:val="12"/>
                <w:szCs w:val="12"/>
                <w:color w:val="494949"/>
              </w:rPr>
              <w:t>—</w:t>
            </w:r>
          </w:p>
        </w:tc>
        <w:tc>
          <w:tcPr>
            <w:tcW w:w="1380" w:type="dxa"/>
            <w:vAlign w:val="bottom"/>
          </w:tcPr>
          <w:p>
            <w:pPr>
              <w:jc w:val="right"/>
              <w:ind w:right="98"/>
              <w:spacing w:after="0" w:line="135" w:lineRule="exact"/>
              <w:rPr>
                <w:sz w:val="20"/>
                <w:szCs w:val="20"/>
                <w:color w:val="auto"/>
              </w:rPr>
            </w:pPr>
            <w:r>
              <w:rPr>
                <w:rFonts w:ascii="Calibri" w:cs="Calibri" w:eastAsia="Calibri" w:hAnsi="Calibri"/>
                <w:sz w:val="12"/>
                <w:szCs w:val="12"/>
                <w:color w:val="494949"/>
              </w:rPr>
              <w:t>499,700</w:t>
            </w:r>
          </w:p>
        </w:tc>
        <w:tc>
          <w:tcPr>
            <w:tcW w:w="1300" w:type="dxa"/>
            <w:vAlign w:val="bottom"/>
          </w:tcPr>
          <w:p>
            <w:pPr>
              <w:jc w:val="right"/>
              <w:ind w:right="78"/>
              <w:spacing w:after="0" w:line="135" w:lineRule="exact"/>
              <w:rPr>
                <w:sz w:val="20"/>
                <w:szCs w:val="20"/>
                <w:color w:val="auto"/>
              </w:rPr>
            </w:pPr>
            <w:r>
              <w:rPr>
                <w:rFonts w:ascii="Calibri" w:cs="Calibri" w:eastAsia="Calibri" w:hAnsi="Calibri"/>
                <w:sz w:val="12"/>
                <w:szCs w:val="12"/>
                <w:color w:val="494949"/>
              </w:rPr>
              <w:t>11,490</w:t>
            </w:r>
          </w:p>
        </w:tc>
        <w:tc>
          <w:tcPr>
            <w:tcW w:w="1440" w:type="dxa"/>
            <w:vAlign w:val="bottom"/>
          </w:tcPr>
          <w:p>
            <w:pPr>
              <w:jc w:val="right"/>
              <w:ind w:right="218"/>
              <w:spacing w:after="0" w:line="135" w:lineRule="exact"/>
              <w:rPr>
                <w:sz w:val="20"/>
                <w:szCs w:val="20"/>
                <w:color w:val="auto"/>
              </w:rPr>
            </w:pPr>
            <w:r>
              <w:rPr>
                <w:rFonts w:ascii="Calibri" w:cs="Calibri" w:eastAsia="Calibri" w:hAnsi="Calibri"/>
                <w:sz w:val="12"/>
                <w:szCs w:val="12"/>
                <w:color w:val="494949"/>
              </w:rPr>
              <w:t>149,880</w:t>
            </w:r>
          </w:p>
        </w:tc>
        <w:tc>
          <w:tcPr>
            <w:tcW w:w="1000" w:type="dxa"/>
            <w:vAlign w:val="bottom"/>
          </w:tcPr>
          <w:p>
            <w:pPr>
              <w:jc w:val="right"/>
              <w:spacing w:after="0" w:line="135" w:lineRule="exact"/>
              <w:rPr>
                <w:sz w:val="20"/>
                <w:szCs w:val="20"/>
                <w:color w:val="auto"/>
              </w:rPr>
            </w:pPr>
            <w:r>
              <w:rPr>
                <w:rFonts w:ascii="Calibri" w:cs="Calibri" w:eastAsia="Calibri" w:hAnsi="Calibri"/>
                <w:sz w:val="12"/>
                <w:szCs w:val="12"/>
                <w:color w:val="494949"/>
              </w:rPr>
              <w:t>2,436,143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880" w:type="dxa"/>
            <w:vAlign w:val="bottom"/>
          </w:tcPr>
          <w:p>
            <w:pPr>
              <w:ind w:left="40"/>
              <w:spacing w:after="0" w:line="120" w:lineRule="exact"/>
              <w:rPr>
                <w:sz w:val="20"/>
                <w:szCs w:val="20"/>
                <w:color w:val="auto"/>
              </w:rPr>
            </w:pPr>
            <w:r>
              <w:rPr>
                <w:rFonts w:ascii="Calibri" w:cs="Calibri" w:eastAsia="Calibri" w:hAnsi="Calibri"/>
                <w:sz w:val="12"/>
                <w:szCs w:val="12"/>
                <w:color w:val="494949"/>
              </w:rPr>
              <w:t>Executve Vice President, Chief Legal</w:t>
            </w:r>
          </w:p>
        </w:tc>
        <w:tc>
          <w:tcPr>
            <w:tcW w:w="640" w:type="dxa"/>
            <w:vAlign w:val="bottom"/>
            <w:vMerge w:val="restart"/>
          </w:tcPr>
          <w:p>
            <w:pPr>
              <w:jc w:val="center"/>
              <w:spacing w:after="0"/>
              <w:rPr>
                <w:sz w:val="20"/>
                <w:szCs w:val="20"/>
                <w:color w:val="auto"/>
              </w:rPr>
            </w:pPr>
            <w:r>
              <w:rPr>
                <w:rFonts w:ascii="Calibri" w:cs="Calibri" w:eastAsia="Calibri" w:hAnsi="Calibri"/>
                <w:sz w:val="12"/>
                <w:szCs w:val="12"/>
                <w:color w:val="494949"/>
                <w:w w:val="98"/>
              </w:rPr>
              <w:t>2021</w:t>
            </w:r>
          </w:p>
        </w:tc>
        <w:tc>
          <w:tcPr>
            <w:tcW w:w="960" w:type="dxa"/>
            <w:vAlign w:val="bottom"/>
            <w:vMerge w:val="restart"/>
          </w:tcPr>
          <w:p>
            <w:pPr>
              <w:jc w:val="center"/>
              <w:spacing w:after="0"/>
              <w:rPr>
                <w:sz w:val="20"/>
                <w:szCs w:val="20"/>
                <w:color w:val="auto"/>
              </w:rPr>
            </w:pPr>
            <w:r>
              <w:rPr>
                <w:rFonts w:ascii="Calibri" w:cs="Calibri" w:eastAsia="Calibri" w:hAnsi="Calibri"/>
                <w:sz w:val="12"/>
                <w:szCs w:val="12"/>
                <w:color w:val="494949"/>
              </w:rPr>
              <w:t>650,000</w:t>
            </w:r>
          </w:p>
        </w:tc>
        <w:tc>
          <w:tcPr>
            <w:tcW w:w="840" w:type="dxa"/>
            <w:vAlign w:val="bottom"/>
            <w:vMerge w:val="restart"/>
          </w:tcPr>
          <w:p>
            <w:pPr>
              <w:ind w:left="580"/>
              <w:spacing w:after="0"/>
              <w:rPr>
                <w:sz w:val="20"/>
                <w:szCs w:val="20"/>
                <w:color w:val="auto"/>
              </w:rPr>
            </w:pPr>
            <w:r>
              <w:rPr>
                <w:rFonts w:ascii="Calibri" w:cs="Calibri" w:eastAsia="Calibri" w:hAnsi="Calibri"/>
                <w:sz w:val="12"/>
                <w:szCs w:val="12"/>
                <w:color w:val="494949"/>
              </w:rPr>
              <w:t>—</w:t>
            </w:r>
          </w:p>
        </w:tc>
        <w:tc>
          <w:tcPr>
            <w:tcW w:w="900" w:type="dxa"/>
            <w:vAlign w:val="bottom"/>
            <w:vMerge w:val="restart"/>
          </w:tcPr>
          <w:p>
            <w:pPr>
              <w:jc w:val="right"/>
              <w:ind w:right="98"/>
              <w:spacing w:after="0"/>
              <w:rPr>
                <w:sz w:val="20"/>
                <w:szCs w:val="20"/>
                <w:color w:val="auto"/>
              </w:rPr>
            </w:pPr>
            <w:r>
              <w:rPr>
                <w:rFonts w:ascii="Calibri" w:cs="Calibri" w:eastAsia="Calibri" w:hAnsi="Calibri"/>
                <w:sz w:val="12"/>
                <w:szCs w:val="12"/>
                <w:color w:val="494949"/>
              </w:rPr>
              <w:t>975,063</w:t>
            </w:r>
          </w:p>
        </w:tc>
        <w:tc>
          <w:tcPr>
            <w:tcW w:w="900" w:type="dxa"/>
            <w:vAlign w:val="bottom"/>
            <w:vMerge w:val="restart"/>
          </w:tcPr>
          <w:p>
            <w:pPr>
              <w:ind w:left="600"/>
              <w:spacing w:after="0"/>
              <w:rPr>
                <w:sz w:val="20"/>
                <w:szCs w:val="20"/>
                <w:color w:val="auto"/>
              </w:rPr>
            </w:pPr>
            <w:r>
              <w:rPr>
                <w:rFonts w:ascii="Calibri" w:cs="Calibri" w:eastAsia="Calibri" w:hAnsi="Calibri"/>
                <w:sz w:val="12"/>
                <w:szCs w:val="12"/>
                <w:color w:val="494949"/>
              </w:rPr>
              <w:t>—</w:t>
            </w:r>
          </w:p>
        </w:tc>
        <w:tc>
          <w:tcPr>
            <w:tcW w:w="1380" w:type="dxa"/>
            <w:vAlign w:val="bottom"/>
            <w:vMerge w:val="restart"/>
          </w:tcPr>
          <w:p>
            <w:pPr>
              <w:jc w:val="right"/>
              <w:ind w:right="98"/>
              <w:spacing w:after="0"/>
              <w:rPr>
                <w:sz w:val="20"/>
                <w:szCs w:val="20"/>
                <w:color w:val="auto"/>
              </w:rPr>
            </w:pPr>
            <w:r>
              <w:rPr>
                <w:rFonts w:ascii="Calibri" w:cs="Calibri" w:eastAsia="Calibri" w:hAnsi="Calibri"/>
                <w:sz w:val="12"/>
                <w:szCs w:val="12"/>
                <w:color w:val="494949"/>
              </w:rPr>
              <w:t>712,500</w:t>
            </w:r>
          </w:p>
        </w:tc>
        <w:tc>
          <w:tcPr>
            <w:tcW w:w="1300" w:type="dxa"/>
            <w:vAlign w:val="bottom"/>
            <w:vMerge w:val="restart"/>
          </w:tcPr>
          <w:p>
            <w:pPr>
              <w:jc w:val="right"/>
              <w:ind w:right="78"/>
              <w:spacing w:after="0"/>
              <w:rPr>
                <w:sz w:val="20"/>
                <w:szCs w:val="20"/>
                <w:color w:val="auto"/>
              </w:rPr>
            </w:pPr>
            <w:r>
              <w:rPr>
                <w:rFonts w:ascii="Calibri" w:cs="Calibri" w:eastAsia="Calibri" w:hAnsi="Calibri"/>
                <w:sz w:val="12"/>
                <w:szCs w:val="12"/>
                <w:color w:val="494949"/>
              </w:rPr>
              <w:t>12,086</w:t>
            </w:r>
          </w:p>
        </w:tc>
        <w:tc>
          <w:tcPr>
            <w:tcW w:w="1440" w:type="dxa"/>
            <w:vAlign w:val="bottom"/>
            <w:vMerge w:val="restart"/>
          </w:tcPr>
          <w:p>
            <w:pPr>
              <w:jc w:val="right"/>
              <w:ind w:right="218"/>
              <w:spacing w:after="0"/>
              <w:rPr>
                <w:sz w:val="20"/>
                <w:szCs w:val="20"/>
                <w:color w:val="auto"/>
              </w:rPr>
            </w:pPr>
            <w:r>
              <w:rPr>
                <w:rFonts w:ascii="Calibri" w:cs="Calibri" w:eastAsia="Calibri" w:hAnsi="Calibri"/>
                <w:sz w:val="12"/>
                <w:szCs w:val="12"/>
                <w:color w:val="494949"/>
              </w:rPr>
              <w:t>142,719</w:t>
            </w:r>
          </w:p>
        </w:tc>
        <w:tc>
          <w:tcPr>
            <w:tcW w:w="1000" w:type="dxa"/>
            <w:vAlign w:val="bottom"/>
            <w:vMerge w:val="restart"/>
          </w:tcPr>
          <w:p>
            <w:pPr>
              <w:jc w:val="right"/>
              <w:spacing w:after="0"/>
              <w:rPr>
                <w:sz w:val="20"/>
                <w:szCs w:val="20"/>
                <w:color w:val="auto"/>
              </w:rPr>
            </w:pPr>
            <w:r>
              <w:rPr>
                <w:rFonts w:ascii="Calibri" w:cs="Calibri" w:eastAsia="Calibri" w:hAnsi="Calibri"/>
                <w:sz w:val="12"/>
                <w:szCs w:val="12"/>
                <w:color w:val="494949"/>
              </w:rPr>
              <w:t>2,492,368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880" w:type="dxa"/>
            <w:vAlign w:val="bottom"/>
            <w:vMerge w:val="restart"/>
          </w:tcPr>
          <w:p>
            <w:pPr>
              <w:ind w:left="40"/>
              <w:spacing w:after="0"/>
              <w:rPr>
                <w:sz w:val="20"/>
                <w:szCs w:val="20"/>
                <w:color w:val="auto"/>
              </w:rPr>
            </w:pPr>
            <w:r>
              <w:rPr>
                <w:rFonts w:ascii="Calibri" w:cs="Calibri" w:eastAsia="Calibri" w:hAnsi="Calibri"/>
                <w:sz w:val="12"/>
                <w:szCs w:val="12"/>
                <w:color w:val="494949"/>
              </w:rPr>
              <w:t>Ofcer</w:t>
            </w:r>
          </w:p>
        </w:tc>
        <w:tc>
          <w:tcPr>
            <w:tcW w:w="6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1880" w:type="dxa"/>
            <w:vAlign w:val="bottom"/>
            <w:vMerge w:val="continue"/>
          </w:tcPr>
          <w:p>
            <w:pPr>
              <w:spacing w:after="0"/>
              <w:rPr>
                <w:sz w:val="4"/>
                <w:szCs w:val="4"/>
                <w:color w:val="auto"/>
              </w:rPr>
            </w:pPr>
          </w:p>
        </w:tc>
        <w:tc>
          <w:tcPr>
            <w:tcW w:w="640" w:type="dxa"/>
            <w:vAlign w:val="bottom"/>
            <w:vMerge w:val="restart"/>
          </w:tcPr>
          <w:p>
            <w:pPr>
              <w:jc w:val="center"/>
              <w:spacing w:after="0"/>
              <w:rPr>
                <w:sz w:val="20"/>
                <w:szCs w:val="20"/>
                <w:color w:val="auto"/>
              </w:rPr>
            </w:pPr>
            <w:r>
              <w:rPr>
                <w:rFonts w:ascii="Calibri" w:cs="Calibri" w:eastAsia="Calibri" w:hAnsi="Calibri"/>
                <w:sz w:val="12"/>
                <w:szCs w:val="12"/>
                <w:color w:val="494949"/>
                <w:w w:val="98"/>
              </w:rPr>
              <w:t>2020</w:t>
            </w:r>
          </w:p>
        </w:tc>
        <w:tc>
          <w:tcPr>
            <w:tcW w:w="960" w:type="dxa"/>
            <w:vAlign w:val="bottom"/>
            <w:vMerge w:val="restart"/>
          </w:tcPr>
          <w:p>
            <w:pPr>
              <w:jc w:val="center"/>
              <w:spacing w:after="0"/>
              <w:rPr>
                <w:sz w:val="20"/>
                <w:szCs w:val="20"/>
                <w:color w:val="auto"/>
              </w:rPr>
            </w:pPr>
            <w:r>
              <w:rPr>
                <w:rFonts w:ascii="Calibri" w:cs="Calibri" w:eastAsia="Calibri" w:hAnsi="Calibri"/>
                <w:sz w:val="12"/>
                <w:szCs w:val="12"/>
                <w:color w:val="494949"/>
              </w:rPr>
              <w:t>650,000</w:t>
            </w:r>
          </w:p>
        </w:tc>
        <w:tc>
          <w:tcPr>
            <w:tcW w:w="840" w:type="dxa"/>
            <w:vAlign w:val="bottom"/>
            <w:vMerge w:val="restart"/>
          </w:tcPr>
          <w:p>
            <w:pPr>
              <w:ind w:left="580"/>
              <w:spacing w:after="0"/>
              <w:rPr>
                <w:sz w:val="20"/>
                <w:szCs w:val="20"/>
                <w:color w:val="auto"/>
              </w:rPr>
            </w:pPr>
            <w:r>
              <w:rPr>
                <w:rFonts w:ascii="Calibri" w:cs="Calibri" w:eastAsia="Calibri" w:hAnsi="Calibri"/>
                <w:sz w:val="12"/>
                <w:szCs w:val="12"/>
                <w:color w:val="494949"/>
              </w:rPr>
              <w:t>—</w:t>
            </w:r>
          </w:p>
        </w:tc>
        <w:tc>
          <w:tcPr>
            <w:tcW w:w="900" w:type="dxa"/>
            <w:vAlign w:val="bottom"/>
            <w:vMerge w:val="restart"/>
          </w:tcPr>
          <w:p>
            <w:pPr>
              <w:jc w:val="right"/>
              <w:ind w:right="98"/>
              <w:spacing w:after="0"/>
              <w:rPr>
                <w:sz w:val="20"/>
                <w:szCs w:val="20"/>
                <w:color w:val="auto"/>
              </w:rPr>
            </w:pPr>
            <w:r>
              <w:rPr>
                <w:rFonts w:ascii="Calibri" w:cs="Calibri" w:eastAsia="Calibri" w:hAnsi="Calibri"/>
                <w:sz w:val="12"/>
                <w:szCs w:val="12"/>
                <w:color w:val="494949"/>
              </w:rPr>
              <w:t>974,973</w:t>
            </w:r>
          </w:p>
        </w:tc>
        <w:tc>
          <w:tcPr>
            <w:tcW w:w="900" w:type="dxa"/>
            <w:vAlign w:val="bottom"/>
            <w:vMerge w:val="restart"/>
          </w:tcPr>
          <w:p>
            <w:pPr>
              <w:ind w:left="600"/>
              <w:spacing w:after="0"/>
              <w:rPr>
                <w:sz w:val="20"/>
                <w:szCs w:val="20"/>
                <w:color w:val="auto"/>
              </w:rPr>
            </w:pPr>
            <w:r>
              <w:rPr>
                <w:rFonts w:ascii="Calibri" w:cs="Calibri" w:eastAsia="Calibri" w:hAnsi="Calibri"/>
                <w:sz w:val="12"/>
                <w:szCs w:val="12"/>
                <w:color w:val="494949"/>
              </w:rPr>
              <w:t>—</w:t>
            </w:r>
          </w:p>
        </w:tc>
        <w:tc>
          <w:tcPr>
            <w:tcW w:w="1380" w:type="dxa"/>
            <w:vAlign w:val="bottom"/>
            <w:vMerge w:val="restart"/>
          </w:tcPr>
          <w:p>
            <w:pPr>
              <w:jc w:val="right"/>
              <w:ind w:right="98"/>
              <w:spacing w:after="0"/>
              <w:rPr>
                <w:sz w:val="20"/>
                <w:szCs w:val="20"/>
                <w:color w:val="auto"/>
              </w:rPr>
            </w:pPr>
            <w:r>
              <w:rPr>
                <w:rFonts w:ascii="Calibri" w:cs="Calibri" w:eastAsia="Calibri" w:hAnsi="Calibri"/>
                <w:sz w:val="12"/>
                <w:szCs w:val="12"/>
                <w:color w:val="494949"/>
              </w:rPr>
              <w:t>551,000</w:t>
            </w:r>
          </w:p>
        </w:tc>
        <w:tc>
          <w:tcPr>
            <w:tcW w:w="1300" w:type="dxa"/>
            <w:vAlign w:val="bottom"/>
            <w:vMerge w:val="restart"/>
          </w:tcPr>
          <w:p>
            <w:pPr>
              <w:jc w:val="right"/>
              <w:ind w:right="78"/>
              <w:spacing w:after="0"/>
              <w:rPr>
                <w:sz w:val="20"/>
                <w:szCs w:val="20"/>
                <w:color w:val="auto"/>
              </w:rPr>
            </w:pPr>
            <w:r>
              <w:rPr>
                <w:rFonts w:ascii="Calibri" w:cs="Calibri" w:eastAsia="Calibri" w:hAnsi="Calibri"/>
                <w:sz w:val="12"/>
                <w:szCs w:val="12"/>
                <w:color w:val="494949"/>
              </w:rPr>
              <w:t>11,880</w:t>
            </w:r>
          </w:p>
        </w:tc>
        <w:tc>
          <w:tcPr>
            <w:tcW w:w="1440" w:type="dxa"/>
            <w:vAlign w:val="bottom"/>
            <w:vMerge w:val="restart"/>
          </w:tcPr>
          <w:p>
            <w:pPr>
              <w:jc w:val="right"/>
              <w:ind w:right="218"/>
              <w:spacing w:after="0"/>
              <w:rPr>
                <w:sz w:val="20"/>
                <w:szCs w:val="20"/>
                <w:color w:val="auto"/>
              </w:rPr>
            </w:pPr>
            <w:r>
              <w:rPr>
                <w:rFonts w:ascii="Calibri" w:cs="Calibri" w:eastAsia="Calibri" w:hAnsi="Calibri"/>
                <w:sz w:val="12"/>
                <w:szCs w:val="12"/>
                <w:color w:val="494949"/>
              </w:rPr>
              <w:t>170,018</w:t>
            </w:r>
          </w:p>
        </w:tc>
        <w:tc>
          <w:tcPr>
            <w:tcW w:w="1000" w:type="dxa"/>
            <w:vAlign w:val="bottom"/>
            <w:vMerge w:val="restart"/>
          </w:tcPr>
          <w:p>
            <w:pPr>
              <w:jc w:val="right"/>
              <w:spacing w:after="0"/>
              <w:rPr>
                <w:sz w:val="20"/>
                <w:szCs w:val="20"/>
                <w:color w:val="auto"/>
              </w:rPr>
            </w:pPr>
            <w:r>
              <w:rPr>
                <w:rFonts w:ascii="Calibri" w:cs="Calibri" w:eastAsia="Calibri" w:hAnsi="Calibri"/>
                <w:sz w:val="12"/>
                <w:szCs w:val="12"/>
                <w:color w:val="494949"/>
              </w:rPr>
              <w:t>2,357,871</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18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1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CEEFF"/>
          </w:tcPr>
          <w:p>
            <w:pPr>
              <w:ind w:left="40"/>
              <w:spacing w:after="0" w:line="135" w:lineRule="exact"/>
              <w:rPr>
                <w:sz w:val="20"/>
                <w:szCs w:val="20"/>
                <w:color w:val="auto"/>
              </w:rPr>
            </w:pPr>
            <w:r>
              <w:rPr>
                <w:rFonts w:ascii="Calibri" w:cs="Calibri" w:eastAsia="Calibri" w:hAnsi="Calibri"/>
                <w:sz w:val="12"/>
                <w:szCs w:val="12"/>
                <w:b w:val="1"/>
                <w:bCs w:val="1"/>
                <w:color w:val="494949"/>
              </w:rPr>
              <w:t>Susan L. Penfeld</w:t>
            </w:r>
          </w:p>
        </w:tc>
        <w:tc>
          <w:tcPr>
            <w:tcW w:w="640" w:type="dxa"/>
            <w:vAlign w:val="bottom"/>
            <w:shd w:val="clear" w:color="auto" w:fill="CCEEFF"/>
          </w:tcPr>
          <w:p>
            <w:pPr>
              <w:jc w:val="center"/>
              <w:spacing w:after="0" w:line="135" w:lineRule="exact"/>
              <w:rPr>
                <w:sz w:val="20"/>
                <w:szCs w:val="20"/>
                <w:color w:val="auto"/>
              </w:rPr>
            </w:pPr>
            <w:r>
              <w:rPr>
                <w:rFonts w:ascii="Calibri" w:cs="Calibri" w:eastAsia="Calibri" w:hAnsi="Calibri"/>
                <w:sz w:val="12"/>
                <w:szCs w:val="12"/>
                <w:color w:val="494949"/>
                <w:w w:val="98"/>
              </w:rPr>
              <w:t>2022</w:t>
            </w:r>
          </w:p>
        </w:tc>
        <w:tc>
          <w:tcPr>
            <w:tcW w:w="960" w:type="dxa"/>
            <w:vAlign w:val="bottom"/>
            <w:shd w:val="clear" w:color="auto" w:fill="CCEEFF"/>
          </w:tcPr>
          <w:p>
            <w:pPr>
              <w:jc w:val="center"/>
              <w:spacing w:after="0" w:line="135" w:lineRule="exact"/>
              <w:rPr>
                <w:sz w:val="20"/>
                <w:szCs w:val="20"/>
                <w:color w:val="auto"/>
              </w:rPr>
            </w:pPr>
            <w:r>
              <w:rPr>
                <w:rFonts w:ascii="Calibri" w:cs="Calibri" w:eastAsia="Calibri" w:hAnsi="Calibri"/>
                <w:sz w:val="12"/>
                <w:szCs w:val="12"/>
                <w:color w:val="494949"/>
              </w:rPr>
              <w:t>800,000</w:t>
            </w:r>
          </w:p>
        </w:tc>
        <w:tc>
          <w:tcPr>
            <w:tcW w:w="840" w:type="dxa"/>
            <w:vAlign w:val="bottom"/>
            <w:shd w:val="clear" w:color="auto" w:fill="CCEEFF"/>
          </w:tcPr>
          <w:p>
            <w:pPr>
              <w:ind w:left="580"/>
              <w:spacing w:after="0" w:line="135" w:lineRule="exact"/>
              <w:rPr>
                <w:sz w:val="20"/>
                <w:szCs w:val="20"/>
                <w:color w:val="auto"/>
              </w:rPr>
            </w:pPr>
            <w:r>
              <w:rPr>
                <w:rFonts w:ascii="Calibri" w:cs="Calibri" w:eastAsia="Calibri" w:hAnsi="Calibri"/>
                <w:sz w:val="12"/>
                <w:szCs w:val="12"/>
                <w:color w:val="494949"/>
              </w:rPr>
              <w:t>—</w:t>
            </w:r>
          </w:p>
        </w:tc>
        <w:tc>
          <w:tcPr>
            <w:tcW w:w="900" w:type="dxa"/>
            <w:vAlign w:val="bottom"/>
            <w:shd w:val="clear" w:color="auto" w:fill="CCEEFF"/>
          </w:tcPr>
          <w:p>
            <w:pPr>
              <w:jc w:val="right"/>
              <w:ind w:right="98"/>
              <w:spacing w:after="0" w:line="135" w:lineRule="exact"/>
              <w:rPr>
                <w:sz w:val="20"/>
                <w:szCs w:val="20"/>
                <w:color w:val="auto"/>
              </w:rPr>
            </w:pPr>
            <w:r>
              <w:rPr>
                <w:rFonts w:ascii="Calibri" w:cs="Calibri" w:eastAsia="Calibri" w:hAnsi="Calibri"/>
                <w:sz w:val="12"/>
                <w:szCs w:val="12"/>
                <w:color w:val="494949"/>
              </w:rPr>
              <w:t>1,025,137</w:t>
            </w:r>
          </w:p>
        </w:tc>
        <w:tc>
          <w:tcPr>
            <w:tcW w:w="900" w:type="dxa"/>
            <w:vAlign w:val="bottom"/>
            <w:shd w:val="clear" w:color="auto" w:fill="CCEEFF"/>
          </w:tcPr>
          <w:p>
            <w:pPr>
              <w:ind w:left="600"/>
              <w:spacing w:after="0" w:line="135" w:lineRule="exact"/>
              <w:rPr>
                <w:sz w:val="20"/>
                <w:szCs w:val="20"/>
                <w:color w:val="auto"/>
              </w:rPr>
            </w:pPr>
            <w:r>
              <w:rPr>
                <w:rFonts w:ascii="Calibri" w:cs="Calibri" w:eastAsia="Calibri" w:hAnsi="Calibri"/>
                <w:sz w:val="12"/>
                <w:szCs w:val="12"/>
                <w:color w:val="494949"/>
              </w:rPr>
              <w:t>—</w:t>
            </w:r>
          </w:p>
        </w:tc>
        <w:tc>
          <w:tcPr>
            <w:tcW w:w="1380" w:type="dxa"/>
            <w:vAlign w:val="bottom"/>
            <w:shd w:val="clear" w:color="auto" w:fill="CCEEFF"/>
          </w:tcPr>
          <w:p>
            <w:pPr>
              <w:jc w:val="right"/>
              <w:ind w:right="98"/>
              <w:spacing w:after="0" w:line="135" w:lineRule="exact"/>
              <w:rPr>
                <w:sz w:val="20"/>
                <w:szCs w:val="20"/>
                <w:color w:val="auto"/>
              </w:rPr>
            </w:pPr>
            <w:r>
              <w:rPr>
                <w:rFonts w:ascii="Calibri" w:cs="Calibri" w:eastAsia="Calibri" w:hAnsi="Calibri"/>
                <w:sz w:val="12"/>
                <w:szCs w:val="12"/>
                <w:color w:val="494949"/>
              </w:rPr>
              <w:t>449,700</w:t>
            </w:r>
          </w:p>
        </w:tc>
        <w:tc>
          <w:tcPr>
            <w:tcW w:w="1300" w:type="dxa"/>
            <w:vAlign w:val="bottom"/>
            <w:shd w:val="clear" w:color="auto" w:fill="CCEEFF"/>
          </w:tcPr>
          <w:p>
            <w:pPr>
              <w:jc w:val="right"/>
              <w:ind w:right="78"/>
              <w:spacing w:after="0" w:line="135" w:lineRule="exact"/>
              <w:rPr>
                <w:sz w:val="20"/>
                <w:szCs w:val="20"/>
                <w:color w:val="auto"/>
              </w:rPr>
            </w:pPr>
            <w:r>
              <w:rPr>
                <w:rFonts w:ascii="Calibri" w:cs="Calibri" w:eastAsia="Calibri" w:hAnsi="Calibri"/>
                <w:sz w:val="12"/>
                <w:szCs w:val="12"/>
                <w:color w:val="494949"/>
              </w:rPr>
              <w:t>10,000</w:t>
            </w:r>
          </w:p>
        </w:tc>
        <w:tc>
          <w:tcPr>
            <w:tcW w:w="1440" w:type="dxa"/>
            <w:vAlign w:val="bottom"/>
            <w:shd w:val="clear" w:color="auto" w:fill="CCEEFF"/>
          </w:tcPr>
          <w:p>
            <w:pPr>
              <w:jc w:val="right"/>
              <w:ind w:right="218"/>
              <w:spacing w:after="0" w:line="135" w:lineRule="exact"/>
              <w:rPr>
                <w:sz w:val="20"/>
                <w:szCs w:val="20"/>
                <w:color w:val="auto"/>
              </w:rPr>
            </w:pPr>
            <w:r>
              <w:rPr>
                <w:rFonts w:ascii="Calibri" w:cs="Calibri" w:eastAsia="Calibri" w:hAnsi="Calibri"/>
                <w:sz w:val="12"/>
                <w:szCs w:val="12"/>
                <w:color w:val="494949"/>
              </w:rPr>
              <w:t>171,737</w:t>
            </w:r>
          </w:p>
        </w:tc>
        <w:tc>
          <w:tcPr>
            <w:tcW w:w="1000" w:type="dxa"/>
            <w:vAlign w:val="bottom"/>
            <w:shd w:val="clear" w:color="auto" w:fill="CCEEFF"/>
          </w:tcPr>
          <w:p>
            <w:pPr>
              <w:jc w:val="right"/>
              <w:spacing w:after="0" w:line="135" w:lineRule="exact"/>
              <w:rPr>
                <w:sz w:val="20"/>
                <w:szCs w:val="20"/>
                <w:color w:val="auto"/>
              </w:rPr>
            </w:pPr>
            <w:r>
              <w:rPr>
                <w:rFonts w:ascii="Calibri" w:cs="Calibri" w:eastAsia="Calibri" w:hAnsi="Calibri"/>
                <w:sz w:val="12"/>
                <w:szCs w:val="12"/>
                <w:color w:val="494949"/>
              </w:rPr>
              <w:t>2,456,574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880" w:type="dxa"/>
            <w:vAlign w:val="bottom"/>
            <w:shd w:val="clear" w:color="auto" w:fill="CCEEFF"/>
          </w:tcPr>
          <w:p>
            <w:pPr>
              <w:ind w:left="40"/>
              <w:spacing w:after="0" w:line="120" w:lineRule="exact"/>
              <w:rPr>
                <w:sz w:val="20"/>
                <w:szCs w:val="20"/>
                <w:color w:val="auto"/>
              </w:rPr>
            </w:pPr>
            <w:r>
              <w:rPr>
                <w:rFonts w:ascii="Calibri" w:cs="Calibri" w:eastAsia="Calibri" w:hAnsi="Calibri"/>
                <w:sz w:val="12"/>
                <w:szCs w:val="12"/>
                <w:color w:val="494949"/>
              </w:rPr>
              <w:t>Executve Vice President, Chief</w:t>
            </w:r>
          </w:p>
        </w:tc>
        <w:tc>
          <w:tcPr>
            <w:tcW w:w="640" w:type="dxa"/>
            <w:vAlign w:val="bottom"/>
            <w:vMerge w:val="restart"/>
            <w:shd w:val="clear" w:color="auto" w:fill="CCEEFF"/>
          </w:tcPr>
          <w:p>
            <w:pPr>
              <w:jc w:val="center"/>
              <w:spacing w:after="0"/>
              <w:rPr>
                <w:sz w:val="20"/>
                <w:szCs w:val="20"/>
                <w:color w:val="auto"/>
              </w:rPr>
            </w:pPr>
            <w:r>
              <w:rPr>
                <w:rFonts w:ascii="Calibri" w:cs="Calibri" w:eastAsia="Calibri" w:hAnsi="Calibri"/>
                <w:sz w:val="12"/>
                <w:szCs w:val="12"/>
                <w:color w:val="494949"/>
                <w:w w:val="98"/>
              </w:rPr>
              <w:t>2021</w:t>
            </w:r>
          </w:p>
        </w:tc>
        <w:tc>
          <w:tcPr>
            <w:tcW w:w="960" w:type="dxa"/>
            <w:vAlign w:val="bottom"/>
            <w:vMerge w:val="restart"/>
            <w:shd w:val="clear" w:color="auto" w:fill="CCEEFF"/>
          </w:tcPr>
          <w:p>
            <w:pPr>
              <w:jc w:val="center"/>
              <w:spacing w:after="0"/>
              <w:rPr>
                <w:sz w:val="20"/>
                <w:szCs w:val="20"/>
                <w:color w:val="auto"/>
              </w:rPr>
            </w:pPr>
            <w:r>
              <w:rPr>
                <w:rFonts w:ascii="Calibri" w:cs="Calibri" w:eastAsia="Calibri" w:hAnsi="Calibri"/>
                <w:sz w:val="12"/>
                <w:szCs w:val="12"/>
                <w:color w:val="494949"/>
              </w:rPr>
              <w:t>800,000</w:t>
            </w:r>
          </w:p>
        </w:tc>
        <w:tc>
          <w:tcPr>
            <w:tcW w:w="840" w:type="dxa"/>
            <w:vAlign w:val="bottom"/>
            <w:vMerge w:val="restart"/>
            <w:shd w:val="clear" w:color="auto" w:fill="CCEEFF"/>
          </w:tcPr>
          <w:p>
            <w:pPr>
              <w:ind w:left="580"/>
              <w:spacing w:after="0"/>
              <w:rPr>
                <w:sz w:val="20"/>
                <w:szCs w:val="20"/>
                <w:color w:val="auto"/>
              </w:rPr>
            </w:pPr>
            <w:r>
              <w:rPr>
                <w:rFonts w:ascii="Calibri" w:cs="Calibri" w:eastAsia="Calibri" w:hAnsi="Calibri"/>
                <w:sz w:val="12"/>
                <w:szCs w:val="12"/>
                <w:color w:val="494949"/>
              </w:rPr>
              <w:t>—</w:t>
            </w:r>
          </w:p>
        </w:tc>
        <w:tc>
          <w:tcPr>
            <w:tcW w:w="900" w:type="dxa"/>
            <w:vAlign w:val="bottom"/>
            <w:vMerge w:val="restart"/>
            <w:shd w:val="clear" w:color="auto" w:fill="CCEEFF"/>
          </w:tcPr>
          <w:p>
            <w:pPr>
              <w:jc w:val="right"/>
              <w:ind w:right="98"/>
              <w:spacing w:after="0"/>
              <w:rPr>
                <w:sz w:val="20"/>
                <w:szCs w:val="20"/>
                <w:color w:val="auto"/>
              </w:rPr>
            </w:pPr>
            <w:r>
              <w:rPr>
                <w:rFonts w:ascii="Calibri" w:cs="Calibri" w:eastAsia="Calibri" w:hAnsi="Calibri"/>
                <w:sz w:val="12"/>
                <w:szCs w:val="12"/>
                <w:color w:val="494949"/>
              </w:rPr>
              <w:t>875,070</w:t>
            </w:r>
          </w:p>
        </w:tc>
        <w:tc>
          <w:tcPr>
            <w:tcW w:w="900" w:type="dxa"/>
            <w:vAlign w:val="bottom"/>
            <w:vMerge w:val="restart"/>
            <w:shd w:val="clear" w:color="auto" w:fill="CCEEFF"/>
          </w:tcPr>
          <w:p>
            <w:pPr>
              <w:ind w:left="600"/>
              <w:spacing w:after="0"/>
              <w:rPr>
                <w:sz w:val="20"/>
                <w:szCs w:val="20"/>
                <w:color w:val="auto"/>
              </w:rPr>
            </w:pPr>
            <w:r>
              <w:rPr>
                <w:rFonts w:ascii="Calibri" w:cs="Calibri" w:eastAsia="Calibri" w:hAnsi="Calibri"/>
                <w:sz w:val="12"/>
                <w:szCs w:val="12"/>
                <w:color w:val="494949"/>
              </w:rPr>
              <w:t>—</w:t>
            </w:r>
          </w:p>
        </w:tc>
        <w:tc>
          <w:tcPr>
            <w:tcW w:w="1380" w:type="dxa"/>
            <w:vAlign w:val="bottom"/>
            <w:vMerge w:val="restart"/>
            <w:shd w:val="clear" w:color="auto" w:fill="CCEEFF"/>
          </w:tcPr>
          <w:p>
            <w:pPr>
              <w:jc w:val="right"/>
              <w:ind w:right="98"/>
              <w:spacing w:after="0"/>
              <w:rPr>
                <w:sz w:val="20"/>
                <w:szCs w:val="20"/>
                <w:color w:val="auto"/>
              </w:rPr>
            </w:pPr>
            <w:r>
              <w:rPr>
                <w:rFonts w:ascii="Calibri" w:cs="Calibri" w:eastAsia="Calibri" w:hAnsi="Calibri"/>
                <w:sz w:val="12"/>
                <w:szCs w:val="12"/>
                <w:color w:val="494949"/>
              </w:rPr>
              <w:t>662,500</w:t>
            </w:r>
          </w:p>
        </w:tc>
        <w:tc>
          <w:tcPr>
            <w:tcW w:w="1300" w:type="dxa"/>
            <w:vAlign w:val="bottom"/>
            <w:vMerge w:val="restart"/>
            <w:shd w:val="clear" w:color="auto" w:fill="CCEEFF"/>
          </w:tcPr>
          <w:p>
            <w:pPr>
              <w:jc w:val="right"/>
              <w:ind w:right="78"/>
              <w:spacing w:after="0"/>
              <w:rPr>
                <w:sz w:val="20"/>
                <w:szCs w:val="20"/>
                <w:color w:val="auto"/>
              </w:rPr>
            </w:pPr>
            <w:r>
              <w:rPr>
                <w:rFonts w:ascii="Calibri" w:cs="Calibri" w:eastAsia="Calibri" w:hAnsi="Calibri"/>
                <w:sz w:val="12"/>
                <w:szCs w:val="12"/>
                <w:color w:val="494949"/>
              </w:rPr>
              <w:t>10,000</w:t>
            </w:r>
          </w:p>
        </w:tc>
        <w:tc>
          <w:tcPr>
            <w:tcW w:w="1440" w:type="dxa"/>
            <w:vAlign w:val="bottom"/>
            <w:vMerge w:val="restart"/>
            <w:shd w:val="clear" w:color="auto" w:fill="CCEEFF"/>
          </w:tcPr>
          <w:p>
            <w:pPr>
              <w:jc w:val="right"/>
              <w:ind w:right="218"/>
              <w:spacing w:after="0"/>
              <w:rPr>
                <w:sz w:val="20"/>
                <w:szCs w:val="20"/>
                <w:color w:val="auto"/>
              </w:rPr>
            </w:pPr>
            <w:r>
              <w:rPr>
                <w:rFonts w:ascii="Calibri" w:cs="Calibri" w:eastAsia="Calibri" w:hAnsi="Calibri"/>
                <w:sz w:val="12"/>
                <w:szCs w:val="12"/>
                <w:color w:val="494949"/>
              </w:rPr>
              <w:t>143,494</w:t>
            </w:r>
          </w:p>
        </w:tc>
        <w:tc>
          <w:tcPr>
            <w:tcW w:w="1000" w:type="dxa"/>
            <w:vAlign w:val="bottom"/>
            <w:vMerge w:val="restart"/>
            <w:shd w:val="clear" w:color="auto" w:fill="CCEEFF"/>
          </w:tcPr>
          <w:p>
            <w:pPr>
              <w:jc w:val="right"/>
              <w:spacing w:after="0"/>
              <w:rPr>
                <w:sz w:val="20"/>
                <w:szCs w:val="20"/>
                <w:color w:val="auto"/>
              </w:rPr>
            </w:pPr>
            <w:r>
              <w:rPr>
                <w:rFonts w:ascii="Calibri" w:cs="Calibri" w:eastAsia="Calibri" w:hAnsi="Calibri"/>
                <w:sz w:val="12"/>
                <w:szCs w:val="12"/>
                <w:color w:val="494949"/>
              </w:rPr>
              <w:t>2,491,064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880" w:type="dxa"/>
            <w:vAlign w:val="bottom"/>
            <w:vMerge w:val="restart"/>
            <w:shd w:val="clear" w:color="auto" w:fill="CCEEFF"/>
          </w:tcPr>
          <w:p>
            <w:pPr>
              <w:ind w:left="40"/>
              <w:spacing w:after="0" w:line="144" w:lineRule="exact"/>
              <w:rPr>
                <w:sz w:val="20"/>
                <w:szCs w:val="20"/>
                <w:color w:val="auto"/>
              </w:rPr>
            </w:pPr>
            <w:r>
              <w:rPr>
                <w:rFonts w:ascii="Calibri" w:cs="Calibri" w:eastAsia="Calibri" w:hAnsi="Calibri"/>
                <w:sz w:val="12"/>
                <w:szCs w:val="12"/>
                <w:color w:val="494949"/>
              </w:rPr>
              <w:t>Technology Ofcer</w:t>
            </w:r>
          </w:p>
        </w:tc>
        <w:tc>
          <w:tcPr>
            <w:tcW w:w="640" w:type="dxa"/>
            <w:vAlign w:val="bottom"/>
            <w:vMerge w:val="continue"/>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380" w:type="dxa"/>
            <w:vAlign w:val="bottom"/>
            <w:vMerge w:val="continue"/>
            <w:shd w:val="clear" w:color="auto" w:fill="CCEEFF"/>
          </w:tcPr>
          <w:p>
            <w:pPr>
              <w:spacing w:after="0"/>
              <w:rPr>
                <w:sz w:val="8"/>
                <w:szCs w:val="8"/>
                <w:color w:val="auto"/>
              </w:rPr>
            </w:pPr>
          </w:p>
        </w:tc>
        <w:tc>
          <w:tcPr>
            <w:tcW w:w="1300" w:type="dxa"/>
            <w:vAlign w:val="bottom"/>
            <w:vMerge w:val="continue"/>
            <w:shd w:val="clear" w:color="auto" w:fill="CCEEFF"/>
          </w:tcPr>
          <w:p>
            <w:pPr>
              <w:spacing w:after="0"/>
              <w:rPr>
                <w:sz w:val="8"/>
                <w:szCs w:val="8"/>
                <w:color w:val="auto"/>
              </w:rPr>
            </w:pPr>
          </w:p>
        </w:tc>
        <w:tc>
          <w:tcPr>
            <w:tcW w:w="144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1880" w:type="dxa"/>
            <w:vAlign w:val="bottom"/>
            <w:vMerge w:val="continue"/>
            <w:shd w:val="clear" w:color="auto" w:fill="CCEEFF"/>
          </w:tcPr>
          <w:p>
            <w:pPr>
              <w:spacing w:after="0"/>
              <w:rPr>
                <w:sz w:val="4"/>
                <w:szCs w:val="4"/>
                <w:color w:val="auto"/>
              </w:rPr>
            </w:pPr>
          </w:p>
        </w:tc>
        <w:tc>
          <w:tcPr>
            <w:tcW w:w="640" w:type="dxa"/>
            <w:vAlign w:val="bottom"/>
            <w:vMerge w:val="restart"/>
            <w:shd w:val="clear" w:color="auto" w:fill="CCEEFF"/>
          </w:tcPr>
          <w:p>
            <w:pPr>
              <w:jc w:val="center"/>
              <w:spacing w:after="0"/>
              <w:rPr>
                <w:sz w:val="20"/>
                <w:szCs w:val="20"/>
                <w:color w:val="auto"/>
              </w:rPr>
            </w:pPr>
            <w:r>
              <w:rPr>
                <w:rFonts w:ascii="Calibri" w:cs="Calibri" w:eastAsia="Calibri" w:hAnsi="Calibri"/>
                <w:sz w:val="12"/>
                <w:szCs w:val="12"/>
                <w:color w:val="494949"/>
                <w:w w:val="98"/>
              </w:rPr>
              <w:t>2020</w:t>
            </w:r>
          </w:p>
        </w:tc>
        <w:tc>
          <w:tcPr>
            <w:tcW w:w="960" w:type="dxa"/>
            <w:vAlign w:val="bottom"/>
            <w:vMerge w:val="restart"/>
            <w:shd w:val="clear" w:color="auto" w:fill="CCEEFF"/>
          </w:tcPr>
          <w:p>
            <w:pPr>
              <w:jc w:val="center"/>
              <w:spacing w:after="0"/>
              <w:rPr>
                <w:sz w:val="20"/>
                <w:szCs w:val="20"/>
                <w:color w:val="auto"/>
              </w:rPr>
            </w:pPr>
            <w:r>
              <w:rPr>
                <w:rFonts w:ascii="Calibri" w:cs="Calibri" w:eastAsia="Calibri" w:hAnsi="Calibri"/>
                <w:sz w:val="12"/>
                <w:szCs w:val="12"/>
                <w:color w:val="494949"/>
              </w:rPr>
              <w:t>800,000</w:t>
            </w:r>
          </w:p>
        </w:tc>
        <w:tc>
          <w:tcPr>
            <w:tcW w:w="840" w:type="dxa"/>
            <w:vAlign w:val="bottom"/>
            <w:vMerge w:val="restart"/>
            <w:shd w:val="clear" w:color="auto" w:fill="CCEEFF"/>
          </w:tcPr>
          <w:p>
            <w:pPr>
              <w:ind w:left="580"/>
              <w:spacing w:after="0"/>
              <w:rPr>
                <w:sz w:val="20"/>
                <w:szCs w:val="20"/>
                <w:color w:val="auto"/>
              </w:rPr>
            </w:pPr>
            <w:r>
              <w:rPr>
                <w:rFonts w:ascii="Calibri" w:cs="Calibri" w:eastAsia="Calibri" w:hAnsi="Calibri"/>
                <w:sz w:val="12"/>
                <w:szCs w:val="12"/>
                <w:color w:val="494949"/>
              </w:rPr>
              <w:t>—</w:t>
            </w:r>
          </w:p>
        </w:tc>
        <w:tc>
          <w:tcPr>
            <w:tcW w:w="900" w:type="dxa"/>
            <w:vAlign w:val="bottom"/>
            <w:vMerge w:val="restart"/>
            <w:shd w:val="clear" w:color="auto" w:fill="CCEEFF"/>
          </w:tcPr>
          <w:p>
            <w:pPr>
              <w:jc w:val="right"/>
              <w:ind w:right="98"/>
              <w:spacing w:after="0"/>
              <w:rPr>
                <w:sz w:val="20"/>
                <w:szCs w:val="20"/>
                <w:color w:val="auto"/>
              </w:rPr>
            </w:pPr>
            <w:r>
              <w:rPr>
                <w:rFonts w:ascii="Calibri" w:cs="Calibri" w:eastAsia="Calibri" w:hAnsi="Calibri"/>
                <w:sz w:val="12"/>
                <w:szCs w:val="12"/>
                <w:color w:val="494949"/>
              </w:rPr>
              <w:t>874,960</w:t>
            </w:r>
          </w:p>
        </w:tc>
        <w:tc>
          <w:tcPr>
            <w:tcW w:w="900" w:type="dxa"/>
            <w:vAlign w:val="bottom"/>
            <w:vMerge w:val="restart"/>
            <w:shd w:val="clear" w:color="auto" w:fill="CCEEFF"/>
          </w:tcPr>
          <w:p>
            <w:pPr>
              <w:ind w:left="600"/>
              <w:spacing w:after="0"/>
              <w:rPr>
                <w:sz w:val="20"/>
                <w:szCs w:val="20"/>
                <w:color w:val="auto"/>
              </w:rPr>
            </w:pPr>
            <w:r>
              <w:rPr>
                <w:rFonts w:ascii="Calibri" w:cs="Calibri" w:eastAsia="Calibri" w:hAnsi="Calibri"/>
                <w:sz w:val="12"/>
                <w:szCs w:val="12"/>
                <w:color w:val="494949"/>
              </w:rPr>
              <w:t>—</w:t>
            </w:r>
          </w:p>
        </w:tc>
        <w:tc>
          <w:tcPr>
            <w:tcW w:w="1380" w:type="dxa"/>
            <w:vAlign w:val="bottom"/>
            <w:vMerge w:val="restart"/>
            <w:shd w:val="clear" w:color="auto" w:fill="CCEEFF"/>
          </w:tcPr>
          <w:p>
            <w:pPr>
              <w:jc w:val="right"/>
              <w:ind w:right="98"/>
              <w:spacing w:after="0"/>
              <w:rPr>
                <w:sz w:val="20"/>
                <w:szCs w:val="20"/>
                <w:color w:val="auto"/>
              </w:rPr>
            </w:pPr>
            <w:r>
              <w:rPr>
                <w:rFonts w:ascii="Calibri" w:cs="Calibri" w:eastAsia="Calibri" w:hAnsi="Calibri"/>
                <w:sz w:val="12"/>
                <w:szCs w:val="12"/>
                <w:color w:val="494949"/>
              </w:rPr>
              <w:t>501,000</w:t>
            </w:r>
          </w:p>
        </w:tc>
        <w:tc>
          <w:tcPr>
            <w:tcW w:w="1300" w:type="dxa"/>
            <w:vAlign w:val="bottom"/>
            <w:vMerge w:val="restart"/>
            <w:shd w:val="clear" w:color="auto" w:fill="CCEEFF"/>
          </w:tcPr>
          <w:p>
            <w:pPr>
              <w:jc w:val="right"/>
              <w:ind w:right="78"/>
              <w:spacing w:after="0"/>
              <w:rPr>
                <w:sz w:val="20"/>
                <w:szCs w:val="20"/>
                <w:color w:val="auto"/>
              </w:rPr>
            </w:pPr>
            <w:r>
              <w:rPr>
                <w:rFonts w:ascii="Calibri" w:cs="Calibri" w:eastAsia="Calibri" w:hAnsi="Calibri"/>
                <w:sz w:val="12"/>
                <w:szCs w:val="12"/>
                <w:color w:val="494949"/>
              </w:rPr>
              <w:t>10,000</w:t>
            </w:r>
          </w:p>
        </w:tc>
        <w:tc>
          <w:tcPr>
            <w:tcW w:w="1440" w:type="dxa"/>
            <w:vAlign w:val="bottom"/>
            <w:vMerge w:val="restart"/>
            <w:shd w:val="clear" w:color="auto" w:fill="CCEEFF"/>
          </w:tcPr>
          <w:p>
            <w:pPr>
              <w:jc w:val="right"/>
              <w:ind w:right="218"/>
              <w:spacing w:after="0"/>
              <w:rPr>
                <w:sz w:val="20"/>
                <w:szCs w:val="20"/>
                <w:color w:val="auto"/>
              </w:rPr>
            </w:pPr>
            <w:r>
              <w:rPr>
                <w:rFonts w:ascii="Calibri" w:cs="Calibri" w:eastAsia="Calibri" w:hAnsi="Calibri"/>
                <w:sz w:val="12"/>
                <w:szCs w:val="12"/>
                <w:color w:val="494949"/>
              </w:rPr>
              <w:t>146,157</w:t>
            </w:r>
          </w:p>
        </w:tc>
        <w:tc>
          <w:tcPr>
            <w:tcW w:w="1000" w:type="dxa"/>
            <w:vAlign w:val="bottom"/>
            <w:vMerge w:val="restart"/>
            <w:shd w:val="clear" w:color="auto" w:fill="CCEEFF"/>
          </w:tcPr>
          <w:p>
            <w:pPr>
              <w:jc w:val="right"/>
              <w:spacing w:after="0"/>
              <w:rPr>
                <w:sz w:val="20"/>
                <w:szCs w:val="20"/>
                <w:color w:val="auto"/>
              </w:rPr>
            </w:pPr>
            <w:r>
              <w:rPr>
                <w:rFonts w:ascii="Calibri" w:cs="Calibri" w:eastAsia="Calibri" w:hAnsi="Calibri"/>
                <w:sz w:val="12"/>
                <w:szCs w:val="12"/>
                <w:color w:val="494949"/>
              </w:rPr>
              <w:t>2,332,117</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188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1380" w:type="dxa"/>
            <w:vAlign w:val="bottom"/>
            <w:vMerge w:val="continue"/>
            <w:shd w:val="clear" w:color="auto" w:fill="CCEEFF"/>
          </w:tcPr>
          <w:p>
            <w:pPr>
              <w:spacing w:after="0"/>
              <w:rPr>
                <w:sz w:val="13"/>
                <w:szCs w:val="13"/>
                <w:color w:val="auto"/>
              </w:rPr>
            </w:pPr>
          </w:p>
        </w:tc>
        <w:tc>
          <w:tcPr>
            <w:tcW w:w="1300" w:type="dxa"/>
            <w:vAlign w:val="bottom"/>
            <w:vMerge w:val="continue"/>
            <w:shd w:val="clear" w:color="auto" w:fill="CCEEFF"/>
          </w:tcPr>
          <w:p>
            <w:pPr>
              <w:spacing w:after="0"/>
              <w:rPr>
                <w:sz w:val="13"/>
                <w:szCs w:val="13"/>
                <w:color w:val="auto"/>
              </w:rPr>
            </w:pPr>
          </w:p>
        </w:tc>
        <w:tc>
          <w:tcPr>
            <w:tcW w:w="1440" w:type="dxa"/>
            <w:vAlign w:val="bottom"/>
            <w:vMerge w:val="continue"/>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18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38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144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80" w:hanging="314"/>
        <w:spacing w:after="0"/>
        <w:tabs>
          <w:tab w:leader="none" w:pos="480" w:val="left"/>
        </w:tabs>
        <w:numPr>
          <w:ilvl w:val="0"/>
          <w:numId w:val="48"/>
        </w:numPr>
        <w:rPr>
          <w:rFonts w:ascii="Calibri" w:cs="Calibri" w:eastAsia="Calibri" w:hAnsi="Calibri"/>
          <w:sz w:val="13"/>
          <w:szCs w:val="13"/>
          <w:color w:val="666666"/>
        </w:rPr>
      </w:pPr>
      <w:r>
        <w:rPr>
          <w:rFonts w:ascii="Calibri" w:cs="Calibri" w:eastAsia="Calibri" w:hAnsi="Calibri"/>
          <w:sz w:val="13"/>
          <w:szCs w:val="13"/>
          <w:color w:val="666666"/>
        </w:rPr>
        <w:t>Compensaton is provided only for fscal years for which each individual qualifed as a named executve ofcer. The fscal year runs from April 1 through March 31 of the subsequent year.</w:t>
      </w:r>
    </w:p>
    <w:p>
      <w:pPr>
        <w:spacing w:after="0" w:line="108" w:lineRule="exact"/>
        <w:rPr>
          <w:rFonts w:ascii="Calibri" w:cs="Calibri" w:eastAsia="Calibri" w:hAnsi="Calibri"/>
          <w:sz w:val="13"/>
          <w:szCs w:val="13"/>
          <w:color w:val="666666"/>
        </w:rPr>
      </w:pPr>
    </w:p>
    <w:p>
      <w:pPr>
        <w:jc w:val="both"/>
        <w:ind w:left="480" w:right="20" w:hanging="314"/>
        <w:spacing w:after="0"/>
        <w:tabs>
          <w:tab w:leader="none" w:pos="468" w:val="left"/>
        </w:tabs>
        <w:numPr>
          <w:ilvl w:val="0"/>
          <w:numId w:val="48"/>
        </w:numPr>
        <w:rPr>
          <w:rFonts w:ascii="Calibri" w:cs="Calibri" w:eastAsia="Calibri" w:hAnsi="Calibri"/>
          <w:sz w:val="13"/>
          <w:szCs w:val="13"/>
          <w:color w:val="666666"/>
        </w:rPr>
      </w:pPr>
      <w:r>
        <w:rPr>
          <w:rFonts w:ascii="Calibri" w:cs="Calibri" w:eastAsia="Calibri" w:hAnsi="Calibri"/>
          <w:sz w:val="13"/>
          <w:szCs w:val="13"/>
          <w:color w:val="666666"/>
        </w:rPr>
        <w:t>This column refects the aggregate grant date fair value of the annual tme- and performance-based restricted stock units computed in accordance with FASB ASC Topic 718 using the valuaton methodology and assumptons set forth in Note 18 to our fnancial statements for the fscal year ended March 31, 2022, which are incorporated by reference herein, modifed to exclude any forfeiture assumptons related to service-based vestng conditons. The amounts in this column do not refect the value, if any, that ultmately may be realized by the executve. Values for the performance-based restricted stock units are computed based on the target number of shares. Assuming the maximum level of performance is achieved, the value of the fscal year 2022 performance-based restricted stock units refected in this column would be as follows: Mr. Rozanski, $13,173,101; Mr. Howell, $2,679,911; Ms. Dahut, $2,679,911; Ms. Laben $1,452,961; and Ms. Penfeld, $1,323,924.</w:t>
      </w:r>
    </w:p>
    <w:p>
      <w:pPr>
        <w:spacing w:after="0" w:line="109" w:lineRule="exact"/>
        <w:rPr>
          <w:rFonts w:ascii="Calibri" w:cs="Calibri" w:eastAsia="Calibri" w:hAnsi="Calibri"/>
          <w:sz w:val="13"/>
          <w:szCs w:val="13"/>
          <w:color w:val="666666"/>
        </w:rPr>
      </w:pPr>
    </w:p>
    <w:p>
      <w:pPr>
        <w:jc w:val="both"/>
        <w:ind w:left="480" w:right="20" w:hanging="314"/>
        <w:spacing w:after="0"/>
        <w:tabs>
          <w:tab w:leader="none" w:pos="468" w:val="left"/>
        </w:tabs>
        <w:numPr>
          <w:ilvl w:val="0"/>
          <w:numId w:val="48"/>
        </w:numPr>
        <w:rPr>
          <w:rFonts w:ascii="Calibri" w:cs="Calibri" w:eastAsia="Calibri" w:hAnsi="Calibri"/>
          <w:sz w:val="13"/>
          <w:szCs w:val="13"/>
          <w:color w:val="666666"/>
        </w:rPr>
      </w:pPr>
      <w:r>
        <w:rPr>
          <w:rFonts w:ascii="Calibri" w:cs="Calibri" w:eastAsia="Calibri" w:hAnsi="Calibri"/>
          <w:sz w:val="13"/>
          <w:szCs w:val="13"/>
          <w:color w:val="666666"/>
        </w:rPr>
        <w:t>This column refects the fscal year 2022 annual cash incentve bonus program, which provides awards based on the achievement of corporate performance objectves. The amounts reported in this column relate to the year in which such bonuses were earned by each of our named executve ofcers. See “Compensaton Discussion and Analysis—Compensaton Elements—Annual Cash Incentve” for additonal detail regarding the annual performance bonus program.</w:t>
      </w:r>
    </w:p>
    <w:p>
      <w:pPr>
        <w:spacing w:after="0" w:line="108" w:lineRule="exact"/>
        <w:rPr>
          <w:rFonts w:ascii="Calibri" w:cs="Calibri" w:eastAsia="Calibri" w:hAnsi="Calibri"/>
          <w:sz w:val="13"/>
          <w:szCs w:val="13"/>
          <w:color w:val="666666"/>
        </w:rPr>
      </w:pPr>
    </w:p>
    <w:p>
      <w:pPr>
        <w:ind w:left="480" w:right="20" w:hanging="314"/>
        <w:spacing w:after="0" w:line="239" w:lineRule="auto"/>
        <w:tabs>
          <w:tab w:leader="none" w:pos="468" w:val="left"/>
        </w:tabs>
        <w:numPr>
          <w:ilvl w:val="0"/>
          <w:numId w:val="48"/>
        </w:numPr>
        <w:rPr>
          <w:rFonts w:ascii="Calibri" w:cs="Calibri" w:eastAsia="Calibri" w:hAnsi="Calibri"/>
          <w:sz w:val="13"/>
          <w:szCs w:val="13"/>
          <w:color w:val="666666"/>
        </w:rPr>
      </w:pPr>
      <w:r>
        <w:rPr>
          <w:rFonts w:ascii="Calibri" w:cs="Calibri" w:eastAsia="Calibri" w:hAnsi="Calibri"/>
          <w:sz w:val="13"/>
          <w:szCs w:val="13"/>
          <w:color w:val="666666"/>
        </w:rPr>
        <w:t>This column refects the change in the actuarial present value of the cash retrement beneft accrued under the Ofcers' Retrement Plan for each of our named executve ofcers from fscal year-end 2021 to fscal year-end 2022.</w:t>
      </w:r>
    </w:p>
    <w:p>
      <w:pPr>
        <w:spacing w:after="0" w:line="107" w:lineRule="exact"/>
        <w:rPr>
          <w:rFonts w:ascii="Calibri" w:cs="Calibri" w:eastAsia="Calibri" w:hAnsi="Calibri"/>
          <w:sz w:val="13"/>
          <w:szCs w:val="13"/>
          <w:color w:val="666666"/>
        </w:rPr>
      </w:pPr>
    </w:p>
    <w:p>
      <w:pPr>
        <w:ind w:left="480" w:hanging="314"/>
        <w:spacing w:after="0"/>
        <w:tabs>
          <w:tab w:leader="none" w:pos="480" w:val="left"/>
        </w:tabs>
        <w:numPr>
          <w:ilvl w:val="0"/>
          <w:numId w:val="48"/>
        </w:numPr>
        <w:rPr>
          <w:rFonts w:ascii="Calibri" w:cs="Calibri" w:eastAsia="Calibri" w:hAnsi="Calibri"/>
          <w:sz w:val="13"/>
          <w:szCs w:val="13"/>
          <w:color w:val="666666"/>
        </w:rPr>
      </w:pPr>
      <w:r>
        <w:rPr>
          <w:rFonts w:ascii="Calibri" w:cs="Calibri" w:eastAsia="Calibri" w:hAnsi="Calibri"/>
          <w:sz w:val="13"/>
          <w:szCs w:val="13"/>
          <w:color w:val="666666"/>
        </w:rPr>
        <w:t>The table below describes the elements included in All Other Compensaton for fscal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283210</wp:posOffset>
            </wp:positionV>
            <wp:extent cx="5903595" cy="129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03595" cy="129032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Calibri" w:cs="Calibri" w:eastAsia="Calibri" w:hAnsi="Calibri"/>
          <w:sz w:val="16"/>
          <w:szCs w:val="16"/>
          <w:b w:val="1"/>
          <w:bCs w:val="1"/>
          <w:color w:val="494949"/>
        </w:rPr>
        <w:t>OTHER COMPENSATION TABLE</w:t>
      </w:r>
    </w:p>
    <w:p>
      <w:pPr>
        <w:spacing w:after="0" w:line="31" w:lineRule="exact"/>
        <w:rPr>
          <w:sz w:val="20"/>
          <w:szCs w:val="20"/>
          <w:color w:val="auto"/>
        </w:rPr>
      </w:pPr>
    </w:p>
    <w:tbl>
      <w:tblPr>
        <w:tblLayout w:type="fixed"/>
        <w:tblInd w:w="980" w:type="dxa"/>
        <w:tblCellMar>
          <w:top w:w="0" w:type="dxa"/>
          <w:left w:w="0" w:type="dxa"/>
          <w:bottom w:w="0" w:type="dxa"/>
          <w:right w:w="0" w:type="dxa"/>
        </w:tblCellMar>
      </w:tblPr>
      <w:tr>
        <w:trPr>
          <w:trHeight w:val="146"/>
        </w:trPr>
        <w:tc>
          <w:tcPr>
            <w:tcW w:w="15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tcPr>
          <w:p>
            <w:pPr>
              <w:jc w:val="center"/>
              <w:ind w:right="38"/>
              <w:spacing w:after="0"/>
              <w:rPr>
                <w:sz w:val="20"/>
                <w:szCs w:val="20"/>
                <w:color w:val="auto"/>
              </w:rPr>
            </w:pPr>
            <w:r>
              <w:rPr>
                <w:rFonts w:ascii="Calibri" w:cs="Calibri" w:eastAsia="Calibri" w:hAnsi="Calibri"/>
                <w:sz w:val="12"/>
                <w:szCs w:val="12"/>
                <w:b w:val="1"/>
                <w:bCs w:val="1"/>
                <w:color w:val="494949"/>
              </w:rPr>
              <w:t>Company Non-</w:t>
            </w: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3"/>
        </w:trPr>
        <w:tc>
          <w:tcPr>
            <w:tcW w:w="15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40" w:type="dxa"/>
            <w:vAlign w:val="bottom"/>
          </w:tcPr>
          <w:p>
            <w:pPr>
              <w:jc w:val="center"/>
              <w:ind w:right="98"/>
              <w:spacing w:after="0" w:line="133" w:lineRule="exact"/>
              <w:rPr>
                <w:sz w:val="20"/>
                <w:szCs w:val="20"/>
                <w:color w:val="auto"/>
              </w:rPr>
            </w:pPr>
            <w:r>
              <w:rPr>
                <w:rFonts w:ascii="Calibri" w:cs="Calibri" w:eastAsia="Calibri" w:hAnsi="Calibri"/>
                <w:sz w:val="12"/>
                <w:szCs w:val="12"/>
                <w:b w:val="1"/>
                <w:bCs w:val="1"/>
                <w:color w:val="494949"/>
              </w:rPr>
              <w:t>Qualifed</w:t>
            </w:r>
          </w:p>
        </w:tc>
        <w:tc>
          <w:tcPr>
            <w:tcW w:w="1180" w:type="dxa"/>
            <w:vAlign w:val="bottom"/>
          </w:tcPr>
          <w:p>
            <w:pPr>
              <w:jc w:val="center"/>
              <w:ind w:right="38"/>
              <w:spacing w:after="0" w:line="133" w:lineRule="exact"/>
              <w:rPr>
                <w:sz w:val="20"/>
                <w:szCs w:val="20"/>
                <w:color w:val="auto"/>
              </w:rPr>
            </w:pPr>
            <w:r>
              <w:rPr>
                <w:rFonts w:ascii="Calibri" w:cs="Calibri" w:eastAsia="Calibri" w:hAnsi="Calibri"/>
                <w:sz w:val="12"/>
                <w:szCs w:val="12"/>
                <w:b w:val="1"/>
                <w:bCs w:val="1"/>
                <w:color w:val="494949"/>
              </w:rPr>
              <w:t>Qualifed</w:t>
            </w:r>
          </w:p>
        </w:tc>
        <w:tc>
          <w:tcPr>
            <w:tcW w:w="1320" w:type="dxa"/>
            <w:vAlign w:val="bottom"/>
          </w:tcPr>
          <w:p>
            <w:pPr>
              <w:jc w:val="center"/>
              <w:ind w:right="58"/>
              <w:spacing w:after="0" w:line="133" w:lineRule="exact"/>
              <w:rPr>
                <w:sz w:val="20"/>
                <w:szCs w:val="20"/>
                <w:color w:val="auto"/>
              </w:rPr>
            </w:pPr>
            <w:r>
              <w:rPr>
                <w:rFonts w:ascii="Calibri" w:cs="Calibri" w:eastAsia="Calibri" w:hAnsi="Calibri"/>
                <w:sz w:val="12"/>
                <w:szCs w:val="12"/>
                <w:b w:val="1"/>
                <w:bCs w:val="1"/>
                <w:color w:val="494949"/>
              </w:rPr>
              <w:t>Executve</w:t>
            </w: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0"/>
        </w:trPr>
        <w:tc>
          <w:tcPr>
            <w:tcW w:w="15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140" w:type="dxa"/>
            <w:vAlign w:val="bottom"/>
          </w:tcPr>
          <w:p>
            <w:pPr>
              <w:jc w:val="center"/>
              <w:ind w:right="98"/>
              <w:spacing w:after="0" w:line="120" w:lineRule="exact"/>
              <w:rPr>
                <w:sz w:val="20"/>
                <w:szCs w:val="20"/>
                <w:color w:val="auto"/>
              </w:rPr>
            </w:pPr>
            <w:r>
              <w:rPr>
                <w:rFonts w:ascii="Calibri" w:cs="Calibri" w:eastAsia="Calibri" w:hAnsi="Calibri"/>
                <w:sz w:val="12"/>
                <w:szCs w:val="12"/>
                <w:b w:val="1"/>
                <w:bCs w:val="1"/>
                <w:color w:val="494949"/>
              </w:rPr>
              <w:t>Company</w:t>
            </w:r>
          </w:p>
        </w:tc>
        <w:tc>
          <w:tcPr>
            <w:tcW w:w="1180" w:type="dxa"/>
            <w:vAlign w:val="bottom"/>
          </w:tcPr>
          <w:p>
            <w:pPr>
              <w:jc w:val="center"/>
              <w:ind w:right="58"/>
              <w:spacing w:after="0" w:line="120" w:lineRule="exact"/>
              <w:rPr>
                <w:sz w:val="20"/>
                <w:szCs w:val="20"/>
                <w:color w:val="auto"/>
              </w:rPr>
            </w:pPr>
            <w:r>
              <w:rPr>
                <w:rFonts w:ascii="Calibri" w:cs="Calibri" w:eastAsia="Calibri" w:hAnsi="Calibri"/>
                <w:sz w:val="12"/>
                <w:szCs w:val="12"/>
                <w:b w:val="1"/>
                <w:bCs w:val="1"/>
                <w:color w:val="494949"/>
              </w:rPr>
              <w:t>Retrement</w:t>
            </w:r>
          </w:p>
        </w:tc>
        <w:tc>
          <w:tcPr>
            <w:tcW w:w="1320" w:type="dxa"/>
            <w:vAlign w:val="bottom"/>
          </w:tcPr>
          <w:p>
            <w:pPr>
              <w:jc w:val="center"/>
              <w:ind w:right="38"/>
              <w:spacing w:after="0" w:line="120" w:lineRule="exact"/>
              <w:rPr>
                <w:sz w:val="20"/>
                <w:szCs w:val="20"/>
                <w:color w:val="auto"/>
              </w:rPr>
            </w:pPr>
            <w:r>
              <w:rPr>
                <w:rFonts w:ascii="Calibri" w:cs="Calibri" w:eastAsia="Calibri" w:hAnsi="Calibri"/>
                <w:sz w:val="12"/>
                <w:szCs w:val="12"/>
                <w:b w:val="1"/>
                <w:bCs w:val="1"/>
                <w:color w:val="494949"/>
              </w:rPr>
              <w:t>Medical and Retree</w:t>
            </w:r>
          </w:p>
        </w:tc>
        <w:tc>
          <w:tcPr>
            <w:tcW w:w="1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0"/>
        </w:trPr>
        <w:tc>
          <w:tcPr>
            <w:tcW w:w="1520" w:type="dxa"/>
            <w:vAlign w:val="bottom"/>
          </w:tcPr>
          <w:p>
            <w:pPr>
              <w:spacing w:after="0"/>
              <w:rPr>
                <w:sz w:val="11"/>
                <w:szCs w:val="11"/>
                <w:color w:val="auto"/>
              </w:rPr>
            </w:pPr>
          </w:p>
        </w:tc>
        <w:tc>
          <w:tcPr>
            <w:tcW w:w="1380" w:type="dxa"/>
            <w:vAlign w:val="bottom"/>
          </w:tcPr>
          <w:p>
            <w:pPr>
              <w:jc w:val="center"/>
              <w:ind w:left="58"/>
              <w:spacing w:after="0" w:line="131" w:lineRule="exact"/>
              <w:rPr>
                <w:sz w:val="20"/>
                <w:szCs w:val="20"/>
                <w:color w:val="auto"/>
              </w:rPr>
            </w:pPr>
            <w:r>
              <w:rPr>
                <w:rFonts w:ascii="Calibri" w:cs="Calibri" w:eastAsia="Calibri" w:hAnsi="Calibri"/>
                <w:sz w:val="12"/>
                <w:szCs w:val="12"/>
                <w:b w:val="1"/>
                <w:bCs w:val="1"/>
                <w:color w:val="494949"/>
              </w:rPr>
              <w:t>Financial</w:t>
            </w:r>
          </w:p>
        </w:tc>
        <w:tc>
          <w:tcPr>
            <w:tcW w:w="1140" w:type="dxa"/>
            <w:vAlign w:val="bottom"/>
          </w:tcPr>
          <w:p>
            <w:pPr>
              <w:jc w:val="center"/>
              <w:ind w:right="98"/>
              <w:spacing w:after="0" w:line="131" w:lineRule="exact"/>
              <w:rPr>
                <w:sz w:val="20"/>
                <w:szCs w:val="20"/>
                <w:color w:val="auto"/>
              </w:rPr>
            </w:pPr>
            <w:r>
              <w:rPr>
                <w:rFonts w:ascii="Calibri" w:cs="Calibri" w:eastAsia="Calibri" w:hAnsi="Calibri"/>
                <w:sz w:val="12"/>
                <w:szCs w:val="12"/>
                <w:b w:val="1"/>
                <w:bCs w:val="1"/>
                <w:color w:val="494949"/>
              </w:rPr>
              <w:t>Contributons</w:t>
            </w:r>
          </w:p>
        </w:tc>
        <w:tc>
          <w:tcPr>
            <w:tcW w:w="1180" w:type="dxa"/>
            <w:vAlign w:val="bottom"/>
          </w:tcPr>
          <w:p>
            <w:pPr>
              <w:jc w:val="center"/>
              <w:ind w:right="58"/>
              <w:spacing w:after="0" w:line="131" w:lineRule="exact"/>
              <w:rPr>
                <w:sz w:val="20"/>
                <w:szCs w:val="20"/>
                <w:color w:val="auto"/>
              </w:rPr>
            </w:pPr>
            <w:r>
              <w:rPr>
                <w:rFonts w:ascii="Calibri" w:cs="Calibri" w:eastAsia="Calibri" w:hAnsi="Calibri"/>
                <w:sz w:val="12"/>
                <w:szCs w:val="12"/>
                <w:b w:val="1"/>
                <w:bCs w:val="1"/>
                <w:color w:val="494949"/>
              </w:rPr>
              <w:t>Contributons</w:t>
            </w:r>
          </w:p>
        </w:tc>
        <w:tc>
          <w:tcPr>
            <w:tcW w:w="1320" w:type="dxa"/>
            <w:vAlign w:val="bottom"/>
          </w:tcPr>
          <w:p>
            <w:pPr>
              <w:jc w:val="center"/>
              <w:ind w:right="38"/>
              <w:spacing w:after="0" w:line="131" w:lineRule="exact"/>
              <w:rPr>
                <w:sz w:val="20"/>
                <w:szCs w:val="20"/>
                <w:color w:val="auto"/>
              </w:rPr>
            </w:pPr>
            <w:r>
              <w:rPr>
                <w:rFonts w:ascii="Calibri" w:cs="Calibri" w:eastAsia="Calibri" w:hAnsi="Calibri"/>
                <w:sz w:val="12"/>
                <w:szCs w:val="12"/>
                <w:b w:val="1"/>
                <w:bCs w:val="1"/>
                <w:color w:val="494949"/>
              </w:rPr>
              <w:t>Plan</w:t>
            </w:r>
          </w:p>
        </w:tc>
        <w:tc>
          <w:tcPr>
            <w:tcW w:w="1020" w:type="dxa"/>
            <w:vAlign w:val="bottom"/>
          </w:tcPr>
          <w:p>
            <w:pPr>
              <w:jc w:val="center"/>
              <w:ind w:right="138"/>
              <w:spacing w:after="0" w:line="131" w:lineRule="exact"/>
              <w:rPr>
                <w:sz w:val="20"/>
                <w:szCs w:val="20"/>
                <w:color w:val="auto"/>
              </w:rPr>
            </w:pPr>
            <w:r>
              <w:rPr>
                <w:rFonts w:ascii="Calibri" w:cs="Calibri" w:eastAsia="Calibri" w:hAnsi="Calibri"/>
                <w:sz w:val="12"/>
                <w:szCs w:val="12"/>
                <w:b w:val="1"/>
                <w:bCs w:val="1"/>
                <w:color w:val="494949"/>
              </w:rPr>
              <w:t>Life</w:t>
            </w: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5"/>
        </w:trPr>
        <w:tc>
          <w:tcPr>
            <w:tcW w:w="1520" w:type="dxa"/>
            <w:vAlign w:val="bottom"/>
          </w:tcPr>
          <w:p>
            <w:pPr>
              <w:ind w:left="40"/>
              <w:spacing w:after="0"/>
              <w:rPr>
                <w:sz w:val="20"/>
                <w:szCs w:val="20"/>
                <w:color w:val="auto"/>
              </w:rPr>
            </w:pPr>
            <w:r>
              <w:rPr>
                <w:rFonts w:ascii="Calibri" w:cs="Calibri" w:eastAsia="Calibri" w:hAnsi="Calibri"/>
                <w:sz w:val="12"/>
                <w:szCs w:val="12"/>
                <w:b w:val="1"/>
                <w:bCs w:val="1"/>
                <w:color w:val="494949"/>
              </w:rPr>
              <w:t>Name</w:t>
            </w:r>
          </w:p>
        </w:tc>
        <w:tc>
          <w:tcPr>
            <w:tcW w:w="1380" w:type="dxa"/>
            <w:vAlign w:val="bottom"/>
          </w:tcPr>
          <w:p>
            <w:pPr>
              <w:jc w:val="center"/>
              <w:ind w:left="38"/>
              <w:spacing w:after="0"/>
              <w:rPr>
                <w:sz w:val="20"/>
                <w:szCs w:val="20"/>
                <w:color w:val="auto"/>
              </w:rPr>
            </w:pPr>
            <w:r>
              <w:rPr>
                <w:rFonts w:ascii="Calibri" w:cs="Calibri" w:eastAsia="Calibri" w:hAnsi="Calibri"/>
                <w:sz w:val="12"/>
                <w:szCs w:val="12"/>
                <w:b w:val="1"/>
                <w:bCs w:val="1"/>
                <w:color w:val="494949"/>
              </w:rPr>
              <w:t>Counseling</w:t>
            </w:r>
          </w:p>
        </w:tc>
        <w:tc>
          <w:tcPr>
            <w:tcW w:w="1140" w:type="dxa"/>
            <w:vAlign w:val="bottom"/>
          </w:tcPr>
          <w:p>
            <w:pPr>
              <w:jc w:val="center"/>
              <w:ind w:right="98"/>
              <w:spacing w:after="0"/>
              <w:rPr>
                <w:sz w:val="20"/>
                <w:szCs w:val="20"/>
                <w:color w:val="auto"/>
              </w:rPr>
            </w:pPr>
            <w:r>
              <w:rPr>
                <w:rFonts w:ascii="Calibri" w:cs="Calibri" w:eastAsia="Calibri" w:hAnsi="Calibri"/>
                <w:sz w:val="12"/>
                <w:szCs w:val="12"/>
                <w:b w:val="1"/>
                <w:bCs w:val="1"/>
                <w:color w:val="494949"/>
              </w:rPr>
              <w:t>to 401(k)</w:t>
            </w:r>
          </w:p>
        </w:tc>
        <w:tc>
          <w:tcPr>
            <w:tcW w:w="1180" w:type="dxa"/>
            <w:vAlign w:val="bottom"/>
          </w:tcPr>
          <w:p>
            <w:pPr>
              <w:jc w:val="center"/>
              <w:ind w:right="38"/>
              <w:spacing w:after="0" w:line="175" w:lineRule="exact"/>
              <w:rPr>
                <w:sz w:val="20"/>
                <w:szCs w:val="20"/>
                <w:color w:val="auto"/>
              </w:rPr>
            </w:pPr>
            <w:r>
              <w:rPr>
                <w:rFonts w:ascii="Calibri" w:cs="Calibri" w:eastAsia="Calibri" w:hAnsi="Calibri"/>
                <w:sz w:val="12"/>
                <w:szCs w:val="12"/>
                <w:b w:val="1"/>
                <w:bCs w:val="1"/>
                <w:color w:val="494949"/>
              </w:rPr>
              <w:t xml:space="preserve">to Employees </w:t>
            </w:r>
            <w:r>
              <w:rPr>
                <w:rFonts w:ascii="Calibri" w:cs="Calibri" w:eastAsia="Calibri" w:hAnsi="Calibri"/>
                <w:sz w:val="16"/>
                <w:szCs w:val="16"/>
                <w:b w:val="1"/>
                <w:bCs w:val="1"/>
                <w:color w:val="494949"/>
                <w:vertAlign w:val="superscript"/>
              </w:rPr>
              <w:t>a</w:t>
            </w:r>
          </w:p>
        </w:tc>
        <w:tc>
          <w:tcPr>
            <w:tcW w:w="1320" w:type="dxa"/>
            <w:vAlign w:val="bottom"/>
          </w:tcPr>
          <w:p>
            <w:pPr>
              <w:jc w:val="center"/>
              <w:ind w:right="38"/>
              <w:spacing w:after="0"/>
              <w:rPr>
                <w:sz w:val="20"/>
                <w:szCs w:val="20"/>
                <w:color w:val="auto"/>
              </w:rPr>
            </w:pPr>
            <w:r>
              <w:rPr>
                <w:rFonts w:ascii="Calibri" w:cs="Calibri" w:eastAsia="Calibri" w:hAnsi="Calibri"/>
                <w:sz w:val="12"/>
                <w:szCs w:val="12"/>
                <w:b w:val="1"/>
                <w:bCs w:val="1"/>
                <w:color w:val="494949"/>
              </w:rPr>
              <w:t>Contributons</w:t>
            </w:r>
          </w:p>
        </w:tc>
        <w:tc>
          <w:tcPr>
            <w:tcW w:w="1020" w:type="dxa"/>
            <w:vAlign w:val="bottom"/>
          </w:tcPr>
          <w:p>
            <w:pPr>
              <w:jc w:val="center"/>
              <w:ind w:right="138"/>
              <w:spacing w:after="0"/>
              <w:rPr>
                <w:sz w:val="20"/>
                <w:szCs w:val="20"/>
                <w:color w:val="auto"/>
              </w:rPr>
            </w:pPr>
            <w:r>
              <w:rPr>
                <w:rFonts w:ascii="Calibri" w:cs="Calibri" w:eastAsia="Calibri" w:hAnsi="Calibri"/>
                <w:sz w:val="12"/>
                <w:szCs w:val="12"/>
                <w:b w:val="1"/>
                <w:bCs w:val="1"/>
                <w:color w:val="494949"/>
              </w:rPr>
              <w:t>Insurance</w:t>
            </w:r>
          </w:p>
        </w:tc>
        <w:tc>
          <w:tcPr>
            <w:tcW w:w="920" w:type="dxa"/>
            <w:vAlign w:val="bottom"/>
          </w:tcPr>
          <w:p>
            <w:pPr>
              <w:jc w:val="right"/>
              <w:ind w:right="338"/>
              <w:spacing w:after="0" w:line="175" w:lineRule="exact"/>
              <w:rPr>
                <w:sz w:val="20"/>
                <w:szCs w:val="20"/>
                <w:color w:val="auto"/>
              </w:rPr>
            </w:pPr>
            <w:r>
              <w:rPr>
                <w:rFonts w:ascii="Calibri" w:cs="Calibri" w:eastAsia="Calibri" w:hAnsi="Calibri"/>
                <w:sz w:val="12"/>
                <w:szCs w:val="12"/>
                <w:b w:val="1"/>
                <w:bCs w:val="1"/>
                <w:color w:val="494949"/>
              </w:rPr>
              <w:t xml:space="preserve">Other </w:t>
            </w:r>
            <w:r>
              <w:rPr>
                <w:rFonts w:ascii="Calibri" w:cs="Calibri" w:eastAsia="Calibri" w:hAnsi="Calibri"/>
                <w:sz w:val="16"/>
                <w:szCs w:val="16"/>
                <w:b w:val="1"/>
                <w:bCs w:val="1"/>
                <w:color w:val="494949"/>
                <w:vertAlign w:val="superscript"/>
              </w:rPr>
              <w:t>b</w:t>
            </w:r>
          </w:p>
        </w:tc>
        <w:tc>
          <w:tcPr>
            <w:tcW w:w="800" w:type="dxa"/>
            <w:vAlign w:val="bottom"/>
          </w:tcPr>
          <w:p>
            <w:pPr>
              <w:jc w:val="right"/>
              <w:ind w:right="278"/>
              <w:spacing w:after="0"/>
              <w:rPr>
                <w:sz w:val="20"/>
                <w:szCs w:val="20"/>
                <w:color w:val="auto"/>
              </w:rPr>
            </w:pPr>
            <w:r>
              <w:rPr>
                <w:rFonts w:ascii="Calibri" w:cs="Calibri" w:eastAsia="Calibri" w:hAnsi="Calibri"/>
                <w:sz w:val="12"/>
                <w:szCs w:val="12"/>
                <w:b w:val="1"/>
                <w:bCs w:val="1"/>
                <w:color w:val="494949"/>
              </w:rPr>
              <w:t>Total</w:t>
            </w:r>
          </w:p>
        </w:tc>
        <w:tc>
          <w:tcPr>
            <w:tcW w:w="20" w:type="dxa"/>
            <w:vAlign w:val="bottom"/>
          </w:tcPr>
          <w:p>
            <w:pPr>
              <w:spacing w:after="0"/>
              <w:rPr>
                <w:sz w:val="15"/>
                <w:szCs w:val="15"/>
                <w:color w:val="auto"/>
              </w:rPr>
            </w:pPr>
          </w:p>
        </w:tc>
      </w:tr>
      <w:tr>
        <w:trPr>
          <w:trHeight w:val="147"/>
        </w:trPr>
        <w:tc>
          <w:tcPr>
            <w:tcW w:w="1520" w:type="dxa"/>
            <w:vAlign w:val="bottom"/>
          </w:tcPr>
          <w:p>
            <w:pPr>
              <w:spacing w:after="0"/>
              <w:rPr>
                <w:sz w:val="12"/>
                <w:szCs w:val="12"/>
                <w:color w:val="auto"/>
              </w:rPr>
            </w:pPr>
          </w:p>
        </w:tc>
        <w:tc>
          <w:tcPr>
            <w:tcW w:w="1380" w:type="dxa"/>
            <w:vAlign w:val="bottom"/>
          </w:tcPr>
          <w:p>
            <w:pPr>
              <w:jc w:val="center"/>
              <w:ind w:left="58"/>
              <w:spacing w:after="0"/>
              <w:rPr>
                <w:sz w:val="20"/>
                <w:szCs w:val="20"/>
                <w:color w:val="auto"/>
              </w:rPr>
            </w:pPr>
            <w:r>
              <w:rPr>
                <w:rFonts w:ascii="Calibri" w:cs="Calibri" w:eastAsia="Calibri" w:hAnsi="Calibri"/>
                <w:sz w:val="12"/>
                <w:szCs w:val="12"/>
                <w:b w:val="1"/>
                <w:bCs w:val="1"/>
                <w:color w:val="494949"/>
              </w:rPr>
              <w:t>($)</w:t>
            </w:r>
          </w:p>
        </w:tc>
        <w:tc>
          <w:tcPr>
            <w:tcW w:w="1140" w:type="dxa"/>
            <w:vAlign w:val="bottom"/>
          </w:tcPr>
          <w:p>
            <w:pPr>
              <w:jc w:val="center"/>
              <w:ind w:right="98"/>
              <w:spacing w:after="0"/>
              <w:rPr>
                <w:sz w:val="20"/>
                <w:szCs w:val="20"/>
                <w:color w:val="auto"/>
              </w:rPr>
            </w:pPr>
            <w:r>
              <w:rPr>
                <w:rFonts w:ascii="Calibri" w:cs="Calibri" w:eastAsia="Calibri" w:hAnsi="Calibri"/>
                <w:sz w:val="12"/>
                <w:szCs w:val="12"/>
                <w:b w:val="1"/>
                <w:bCs w:val="1"/>
                <w:color w:val="494949"/>
              </w:rPr>
              <w:t>($)</w:t>
            </w:r>
          </w:p>
        </w:tc>
        <w:tc>
          <w:tcPr>
            <w:tcW w:w="1180" w:type="dxa"/>
            <w:vAlign w:val="bottom"/>
          </w:tcPr>
          <w:p>
            <w:pPr>
              <w:jc w:val="center"/>
              <w:ind w:right="58"/>
              <w:spacing w:after="0"/>
              <w:rPr>
                <w:sz w:val="20"/>
                <w:szCs w:val="20"/>
                <w:color w:val="auto"/>
              </w:rPr>
            </w:pPr>
            <w:r>
              <w:rPr>
                <w:rFonts w:ascii="Calibri" w:cs="Calibri" w:eastAsia="Calibri" w:hAnsi="Calibri"/>
                <w:sz w:val="12"/>
                <w:szCs w:val="12"/>
                <w:b w:val="1"/>
                <w:bCs w:val="1"/>
                <w:color w:val="494949"/>
              </w:rPr>
              <w:t>($)</w:t>
            </w:r>
          </w:p>
        </w:tc>
        <w:tc>
          <w:tcPr>
            <w:tcW w:w="1320" w:type="dxa"/>
            <w:vAlign w:val="bottom"/>
          </w:tcPr>
          <w:p>
            <w:pPr>
              <w:jc w:val="center"/>
              <w:ind w:right="38"/>
              <w:spacing w:after="0"/>
              <w:rPr>
                <w:sz w:val="20"/>
                <w:szCs w:val="20"/>
                <w:color w:val="auto"/>
              </w:rPr>
            </w:pPr>
            <w:r>
              <w:rPr>
                <w:rFonts w:ascii="Calibri" w:cs="Calibri" w:eastAsia="Calibri" w:hAnsi="Calibri"/>
                <w:sz w:val="12"/>
                <w:szCs w:val="12"/>
                <w:b w:val="1"/>
                <w:bCs w:val="1"/>
                <w:color w:val="494949"/>
              </w:rPr>
              <w:t>($)</w:t>
            </w:r>
          </w:p>
        </w:tc>
        <w:tc>
          <w:tcPr>
            <w:tcW w:w="1020" w:type="dxa"/>
            <w:vAlign w:val="bottom"/>
          </w:tcPr>
          <w:p>
            <w:pPr>
              <w:jc w:val="center"/>
              <w:ind w:right="138"/>
              <w:spacing w:after="0"/>
              <w:rPr>
                <w:sz w:val="20"/>
                <w:szCs w:val="20"/>
                <w:color w:val="auto"/>
              </w:rPr>
            </w:pPr>
            <w:r>
              <w:rPr>
                <w:rFonts w:ascii="Calibri" w:cs="Calibri" w:eastAsia="Calibri" w:hAnsi="Calibri"/>
                <w:sz w:val="12"/>
                <w:szCs w:val="12"/>
                <w:b w:val="1"/>
                <w:bCs w:val="1"/>
                <w:color w:val="494949"/>
              </w:rPr>
              <w:t>($)</w:t>
            </w:r>
          </w:p>
        </w:tc>
        <w:tc>
          <w:tcPr>
            <w:tcW w:w="920" w:type="dxa"/>
            <w:vAlign w:val="bottom"/>
          </w:tcPr>
          <w:p>
            <w:pPr>
              <w:jc w:val="right"/>
              <w:ind w:right="458"/>
              <w:spacing w:after="0"/>
              <w:rPr>
                <w:sz w:val="20"/>
                <w:szCs w:val="20"/>
                <w:color w:val="auto"/>
              </w:rPr>
            </w:pPr>
            <w:r>
              <w:rPr>
                <w:rFonts w:ascii="Calibri" w:cs="Calibri" w:eastAsia="Calibri" w:hAnsi="Calibri"/>
                <w:sz w:val="12"/>
                <w:szCs w:val="12"/>
                <w:b w:val="1"/>
                <w:bCs w:val="1"/>
                <w:color w:val="494949"/>
              </w:rPr>
              <w:t>($)</w:t>
            </w:r>
          </w:p>
        </w:tc>
        <w:tc>
          <w:tcPr>
            <w:tcW w:w="800" w:type="dxa"/>
            <w:vAlign w:val="bottom"/>
          </w:tcPr>
          <w:p>
            <w:pPr>
              <w:jc w:val="right"/>
              <w:ind w:right="338"/>
              <w:spacing w:after="0"/>
              <w:rPr>
                <w:sz w:val="20"/>
                <w:szCs w:val="20"/>
                <w:color w:val="auto"/>
              </w:rPr>
            </w:pPr>
            <w:r>
              <w:rPr>
                <w:rFonts w:ascii="Calibri" w:cs="Calibri" w:eastAsia="Calibri" w:hAnsi="Calibri"/>
                <w:sz w:val="12"/>
                <w:szCs w:val="12"/>
                <w:b w:val="1"/>
                <w:bCs w:val="1"/>
                <w:color w:val="494949"/>
              </w:rPr>
              <w:t>($)</w:t>
            </w:r>
          </w:p>
        </w:tc>
        <w:tc>
          <w:tcPr>
            <w:tcW w:w="20" w:type="dxa"/>
            <w:vAlign w:val="bottom"/>
          </w:tcPr>
          <w:p>
            <w:pPr>
              <w:spacing w:after="0"/>
              <w:rPr>
                <w:sz w:val="12"/>
                <w:szCs w:val="12"/>
                <w:color w:val="auto"/>
              </w:rPr>
            </w:pPr>
          </w:p>
        </w:tc>
      </w:tr>
      <w:tr>
        <w:trPr>
          <w:trHeight w:val="30"/>
        </w:trPr>
        <w:tc>
          <w:tcPr>
            <w:tcW w:w="1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53"/>
        </w:trPr>
        <w:tc>
          <w:tcPr>
            <w:tcW w:w="1520" w:type="dxa"/>
            <w:vAlign w:val="bottom"/>
            <w:tcBorders>
              <w:bottom w:val="single" w:sz="8" w:color="CCEEFF"/>
            </w:tcBorders>
            <w:shd w:val="clear" w:color="auto" w:fill="CCEEFF"/>
          </w:tcPr>
          <w:p>
            <w:pPr>
              <w:ind w:left="40"/>
              <w:spacing w:after="0"/>
              <w:rPr>
                <w:sz w:val="20"/>
                <w:szCs w:val="20"/>
                <w:color w:val="auto"/>
              </w:rPr>
            </w:pPr>
            <w:r>
              <w:rPr>
                <w:rFonts w:ascii="Calibri" w:cs="Calibri" w:eastAsia="Calibri" w:hAnsi="Calibri"/>
                <w:sz w:val="12"/>
                <w:szCs w:val="12"/>
                <w:b w:val="1"/>
                <w:bCs w:val="1"/>
                <w:color w:val="494949"/>
              </w:rPr>
              <w:t>Horacio D. Rozanski</w:t>
            </w:r>
          </w:p>
        </w:tc>
        <w:tc>
          <w:tcPr>
            <w:tcW w:w="1380" w:type="dxa"/>
            <w:vAlign w:val="bottom"/>
            <w:tcBorders>
              <w:bottom w:val="single" w:sz="8" w:color="CCEEFF"/>
            </w:tcBorders>
            <w:shd w:val="clear" w:color="auto" w:fill="CCEEFF"/>
          </w:tcPr>
          <w:p>
            <w:pPr>
              <w:jc w:val="right"/>
              <w:ind w:right="58"/>
              <w:spacing w:after="0"/>
              <w:rPr>
                <w:sz w:val="20"/>
                <w:szCs w:val="20"/>
                <w:color w:val="auto"/>
              </w:rPr>
            </w:pPr>
            <w:r>
              <w:rPr>
                <w:rFonts w:ascii="Calibri" w:cs="Calibri" w:eastAsia="Calibri" w:hAnsi="Calibri"/>
                <w:sz w:val="12"/>
                <w:szCs w:val="12"/>
                <w:color w:val="494949"/>
              </w:rPr>
              <w:t>12,000</w:t>
            </w:r>
          </w:p>
        </w:tc>
        <w:tc>
          <w:tcPr>
            <w:tcW w:w="1140" w:type="dxa"/>
            <w:vAlign w:val="bottom"/>
            <w:tcBorders>
              <w:bottom w:val="single" w:sz="8" w:color="CCEEFF"/>
            </w:tcBorders>
            <w:shd w:val="clear" w:color="auto" w:fill="CCEEFF"/>
          </w:tcPr>
          <w:p>
            <w:pPr>
              <w:jc w:val="right"/>
              <w:ind w:right="78"/>
              <w:spacing w:after="0"/>
              <w:rPr>
                <w:sz w:val="20"/>
                <w:szCs w:val="20"/>
                <w:color w:val="auto"/>
              </w:rPr>
            </w:pPr>
            <w:r>
              <w:rPr>
                <w:rFonts w:ascii="Calibri" w:cs="Calibri" w:eastAsia="Calibri" w:hAnsi="Calibri"/>
                <w:sz w:val="12"/>
                <w:szCs w:val="12"/>
                <w:color w:val="494949"/>
              </w:rPr>
              <w:t>17,400</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Calibri" w:cs="Calibri" w:eastAsia="Calibri" w:hAnsi="Calibri"/>
                <w:sz w:val="12"/>
                <w:szCs w:val="12"/>
                <w:color w:val="494949"/>
              </w:rPr>
              <w:t>26,000</w:t>
            </w:r>
          </w:p>
        </w:tc>
        <w:tc>
          <w:tcPr>
            <w:tcW w:w="1320" w:type="dxa"/>
            <w:vAlign w:val="bottom"/>
            <w:tcBorders>
              <w:bottom w:val="single" w:sz="8" w:color="CCEEFF"/>
            </w:tcBorders>
            <w:shd w:val="clear" w:color="auto" w:fill="CCEEFF"/>
          </w:tcPr>
          <w:p>
            <w:pPr>
              <w:jc w:val="right"/>
              <w:ind w:right="78"/>
              <w:spacing w:after="0"/>
              <w:rPr>
                <w:sz w:val="20"/>
                <w:szCs w:val="20"/>
                <w:color w:val="auto"/>
              </w:rPr>
            </w:pPr>
            <w:r>
              <w:rPr>
                <w:rFonts w:ascii="Calibri" w:cs="Calibri" w:eastAsia="Calibri" w:hAnsi="Calibri"/>
                <w:sz w:val="12"/>
                <w:szCs w:val="12"/>
                <w:color w:val="494949"/>
              </w:rPr>
              <w:t>62,965</w:t>
            </w:r>
          </w:p>
        </w:tc>
        <w:tc>
          <w:tcPr>
            <w:tcW w:w="1020" w:type="dxa"/>
            <w:vAlign w:val="bottom"/>
            <w:tcBorders>
              <w:bottom w:val="single" w:sz="8" w:color="CCEEFF"/>
            </w:tcBorders>
            <w:shd w:val="clear" w:color="auto" w:fill="CCEEFF"/>
          </w:tcPr>
          <w:p>
            <w:pPr>
              <w:jc w:val="right"/>
              <w:ind w:right="98"/>
              <w:spacing w:after="0"/>
              <w:rPr>
                <w:sz w:val="20"/>
                <w:szCs w:val="20"/>
                <w:color w:val="auto"/>
              </w:rPr>
            </w:pPr>
            <w:r>
              <w:rPr>
                <w:rFonts w:ascii="Calibri" w:cs="Calibri" w:eastAsia="Calibri" w:hAnsi="Calibri"/>
                <w:sz w:val="12"/>
                <w:szCs w:val="12"/>
                <w:color w:val="494949"/>
              </w:rPr>
              <w:t>4,116</w:t>
            </w:r>
          </w:p>
        </w:tc>
        <w:tc>
          <w:tcPr>
            <w:tcW w:w="920" w:type="dxa"/>
            <w:vAlign w:val="bottom"/>
            <w:tcBorders>
              <w:bottom w:val="single" w:sz="8" w:color="CCEEFF"/>
            </w:tcBorders>
            <w:shd w:val="clear" w:color="auto" w:fill="CCEEFF"/>
          </w:tcPr>
          <w:p>
            <w:pPr>
              <w:jc w:val="right"/>
              <w:ind w:right="118"/>
              <w:spacing w:after="0"/>
              <w:rPr>
                <w:sz w:val="20"/>
                <w:szCs w:val="20"/>
                <w:color w:val="auto"/>
              </w:rPr>
            </w:pPr>
            <w:r>
              <w:rPr>
                <w:rFonts w:ascii="Calibri" w:cs="Calibri" w:eastAsia="Calibri" w:hAnsi="Calibri"/>
                <w:sz w:val="12"/>
                <w:szCs w:val="12"/>
                <w:color w:val="494949"/>
              </w:rPr>
              <w:t>155,755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2"/>
                <w:szCs w:val="12"/>
                <w:color w:val="494949"/>
              </w:rPr>
              <w:t>278,236</w:t>
            </w:r>
          </w:p>
        </w:tc>
        <w:tc>
          <w:tcPr>
            <w:tcW w:w="20" w:type="dxa"/>
            <w:vAlign w:val="bottom"/>
          </w:tcPr>
          <w:p>
            <w:pPr>
              <w:spacing w:after="0"/>
              <w:rPr>
                <w:sz w:val="13"/>
                <w:szCs w:val="13"/>
                <w:color w:val="auto"/>
              </w:rPr>
            </w:pPr>
          </w:p>
        </w:tc>
      </w:tr>
      <w:tr>
        <w:trPr>
          <w:trHeight w:val="150"/>
        </w:trPr>
        <w:tc>
          <w:tcPr>
            <w:tcW w:w="1520" w:type="dxa"/>
            <w:vAlign w:val="bottom"/>
          </w:tcPr>
          <w:p>
            <w:pPr>
              <w:ind w:left="40"/>
              <w:spacing w:after="0"/>
              <w:rPr>
                <w:sz w:val="20"/>
                <w:szCs w:val="20"/>
                <w:color w:val="auto"/>
              </w:rPr>
            </w:pPr>
            <w:r>
              <w:rPr>
                <w:rFonts w:ascii="Calibri" w:cs="Calibri" w:eastAsia="Calibri" w:hAnsi="Calibri"/>
                <w:sz w:val="12"/>
                <w:szCs w:val="12"/>
                <w:b w:val="1"/>
                <w:bCs w:val="1"/>
                <w:color w:val="494949"/>
              </w:rPr>
              <w:t>Lloyd W. Howell, Jr.</w:t>
            </w:r>
          </w:p>
        </w:tc>
        <w:tc>
          <w:tcPr>
            <w:tcW w:w="1380" w:type="dxa"/>
            <w:vAlign w:val="bottom"/>
          </w:tcPr>
          <w:p>
            <w:pPr>
              <w:jc w:val="right"/>
              <w:ind w:right="58"/>
              <w:spacing w:after="0"/>
              <w:rPr>
                <w:sz w:val="20"/>
                <w:szCs w:val="20"/>
                <w:color w:val="auto"/>
              </w:rPr>
            </w:pPr>
            <w:r>
              <w:rPr>
                <w:rFonts w:ascii="Calibri" w:cs="Calibri" w:eastAsia="Calibri" w:hAnsi="Calibri"/>
                <w:sz w:val="12"/>
                <w:szCs w:val="12"/>
                <w:color w:val="494949"/>
              </w:rPr>
              <w:t>15,000</w:t>
            </w:r>
          </w:p>
        </w:tc>
        <w:tc>
          <w:tcPr>
            <w:tcW w:w="1140" w:type="dxa"/>
            <w:vAlign w:val="bottom"/>
          </w:tcPr>
          <w:p>
            <w:pPr>
              <w:jc w:val="right"/>
              <w:ind w:right="78"/>
              <w:spacing w:after="0"/>
              <w:rPr>
                <w:sz w:val="20"/>
                <w:szCs w:val="20"/>
                <w:color w:val="auto"/>
              </w:rPr>
            </w:pPr>
            <w:r>
              <w:rPr>
                <w:rFonts w:ascii="Calibri" w:cs="Calibri" w:eastAsia="Calibri" w:hAnsi="Calibri"/>
                <w:sz w:val="12"/>
                <w:szCs w:val="12"/>
                <w:color w:val="494949"/>
              </w:rPr>
              <w:t>17,400</w:t>
            </w:r>
          </w:p>
        </w:tc>
        <w:tc>
          <w:tcPr>
            <w:tcW w:w="1180" w:type="dxa"/>
            <w:vAlign w:val="bottom"/>
          </w:tcPr>
          <w:p>
            <w:pPr>
              <w:jc w:val="right"/>
              <w:ind w:right="18"/>
              <w:spacing w:after="0"/>
              <w:rPr>
                <w:sz w:val="20"/>
                <w:szCs w:val="20"/>
                <w:color w:val="auto"/>
              </w:rPr>
            </w:pPr>
            <w:r>
              <w:rPr>
                <w:rFonts w:ascii="Calibri" w:cs="Calibri" w:eastAsia="Calibri" w:hAnsi="Calibri"/>
                <w:sz w:val="12"/>
                <w:szCs w:val="12"/>
                <w:color w:val="494949"/>
              </w:rPr>
              <w:t>26,000</w:t>
            </w:r>
          </w:p>
        </w:tc>
        <w:tc>
          <w:tcPr>
            <w:tcW w:w="1320" w:type="dxa"/>
            <w:vAlign w:val="bottom"/>
          </w:tcPr>
          <w:p>
            <w:pPr>
              <w:jc w:val="right"/>
              <w:ind w:right="78"/>
              <w:spacing w:after="0"/>
              <w:rPr>
                <w:sz w:val="20"/>
                <w:szCs w:val="20"/>
                <w:color w:val="auto"/>
              </w:rPr>
            </w:pPr>
            <w:r>
              <w:rPr>
                <w:rFonts w:ascii="Calibri" w:cs="Calibri" w:eastAsia="Calibri" w:hAnsi="Calibri"/>
                <w:sz w:val="12"/>
                <w:szCs w:val="12"/>
                <w:color w:val="494949"/>
              </w:rPr>
              <w:t>62,965</w:t>
            </w:r>
          </w:p>
        </w:tc>
        <w:tc>
          <w:tcPr>
            <w:tcW w:w="1020" w:type="dxa"/>
            <w:vAlign w:val="bottom"/>
          </w:tcPr>
          <w:p>
            <w:pPr>
              <w:jc w:val="right"/>
              <w:ind w:right="98"/>
              <w:spacing w:after="0"/>
              <w:rPr>
                <w:sz w:val="20"/>
                <w:szCs w:val="20"/>
                <w:color w:val="auto"/>
              </w:rPr>
            </w:pPr>
            <w:r>
              <w:rPr>
                <w:rFonts w:ascii="Calibri" w:cs="Calibri" w:eastAsia="Calibri" w:hAnsi="Calibri"/>
                <w:sz w:val="12"/>
                <w:szCs w:val="12"/>
                <w:color w:val="494949"/>
              </w:rPr>
              <w:t>5,070</w:t>
            </w:r>
          </w:p>
        </w:tc>
        <w:tc>
          <w:tcPr>
            <w:tcW w:w="920" w:type="dxa"/>
            <w:vAlign w:val="bottom"/>
          </w:tcPr>
          <w:p>
            <w:pPr>
              <w:jc w:val="right"/>
              <w:ind w:right="118"/>
              <w:spacing w:after="0"/>
              <w:rPr>
                <w:sz w:val="20"/>
                <w:szCs w:val="20"/>
                <w:color w:val="auto"/>
              </w:rPr>
            </w:pPr>
            <w:r>
              <w:rPr>
                <w:rFonts w:ascii="Calibri" w:cs="Calibri" w:eastAsia="Calibri" w:hAnsi="Calibri"/>
                <w:sz w:val="12"/>
                <w:szCs w:val="12"/>
                <w:color w:val="494949"/>
              </w:rPr>
              <w:t>36,104</w:t>
            </w:r>
          </w:p>
        </w:tc>
        <w:tc>
          <w:tcPr>
            <w:tcW w:w="800" w:type="dxa"/>
            <w:vAlign w:val="bottom"/>
          </w:tcPr>
          <w:p>
            <w:pPr>
              <w:jc w:val="right"/>
              <w:spacing w:after="0"/>
              <w:rPr>
                <w:sz w:val="20"/>
                <w:szCs w:val="20"/>
                <w:color w:val="auto"/>
              </w:rPr>
            </w:pPr>
            <w:r>
              <w:rPr>
                <w:rFonts w:ascii="Calibri" w:cs="Calibri" w:eastAsia="Calibri" w:hAnsi="Calibri"/>
                <w:sz w:val="12"/>
                <w:szCs w:val="12"/>
                <w:color w:val="494949"/>
              </w:rPr>
              <w:t>162,539</w:t>
            </w:r>
          </w:p>
        </w:tc>
        <w:tc>
          <w:tcPr>
            <w:tcW w:w="20" w:type="dxa"/>
            <w:vAlign w:val="bottom"/>
          </w:tcPr>
          <w:p>
            <w:pPr>
              <w:spacing w:after="0"/>
              <w:rPr>
                <w:sz w:val="13"/>
                <w:szCs w:val="13"/>
                <w:color w:val="auto"/>
              </w:rPr>
            </w:pPr>
          </w:p>
        </w:tc>
      </w:tr>
      <w:tr>
        <w:trPr>
          <w:trHeight w:val="23"/>
        </w:trPr>
        <w:tc>
          <w:tcPr>
            <w:tcW w:w="1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3"/>
        </w:trPr>
        <w:tc>
          <w:tcPr>
            <w:tcW w:w="1520" w:type="dxa"/>
            <w:vAlign w:val="bottom"/>
            <w:tcBorders>
              <w:bottom w:val="single" w:sz="8" w:color="CCEEFF"/>
            </w:tcBorders>
            <w:shd w:val="clear" w:color="auto" w:fill="CCEEFF"/>
          </w:tcPr>
          <w:p>
            <w:pPr>
              <w:ind w:left="40"/>
              <w:spacing w:after="0"/>
              <w:rPr>
                <w:sz w:val="20"/>
                <w:szCs w:val="20"/>
                <w:color w:val="auto"/>
              </w:rPr>
            </w:pPr>
            <w:r>
              <w:rPr>
                <w:rFonts w:ascii="Calibri" w:cs="Calibri" w:eastAsia="Calibri" w:hAnsi="Calibri"/>
                <w:sz w:val="12"/>
                <w:szCs w:val="12"/>
                <w:b w:val="1"/>
                <w:bCs w:val="1"/>
                <w:color w:val="494949"/>
              </w:rPr>
              <w:t>Karen M. Dahut</w:t>
            </w:r>
          </w:p>
        </w:tc>
        <w:tc>
          <w:tcPr>
            <w:tcW w:w="1380" w:type="dxa"/>
            <w:vAlign w:val="bottom"/>
            <w:tcBorders>
              <w:bottom w:val="single" w:sz="8" w:color="CCEEFF"/>
            </w:tcBorders>
            <w:shd w:val="clear" w:color="auto" w:fill="CCEEFF"/>
          </w:tcPr>
          <w:p>
            <w:pPr>
              <w:jc w:val="right"/>
              <w:ind w:right="58"/>
              <w:spacing w:after="0"/>
              <w:rPr>
                <w:sz w:val="20"/>
                <w:szCs w:val="20"/>
                <w:color w:val="auto"/>
              </w:rPr>
            </w:pPr>
            <w:r>
              <w:rPr>
                <w:rFonts w:ascii="Calibri" w:cs="Calibri" w:eastAsia="Calibri" w:hAnsi="Calibri"/>
                <w:sz w:val="12"/>
                <w:szCs w:val="12"/>
                <w:color w:val="494949"/>
              </w:rPr>
              <w:t>15,000</w:t>
            </w:r>
          </w:p>
        </w:tc>
        <w:tc>
          <w:tcPr>
            <w:tcW w:w="1140" w:type="dxa"/>
            <w:vAlign w:val="bottom"/>
            <w:tcBorders>
              <w:bottom w:val="single" w:sz="8" w:color="CCEEFF"/>
            </w:tcBorders>
            <w:shd w:val="clear" w:color="auto" w:fill="CCEEFF"/>
          </w:tcPr>
          <w:p>
            <w:pPr>
              <w:jc w:val="right"/>
              <w:ind w:right="78"/>
              <w:spacing w:after="0"/>
              <w:rPr>
                <w:sz w:val="20"/>
                <w:szCs w:val="20"/>
                <w:color w:val="auto"/>
              </w:rPr>
            </w:pPr>
            <w:r>
              <w:rPr>
                <w:rFonts w:ascii="Calibri" w:cs="Calibri" w:eastAsia="Calibri" w:hAnsi="Calibri"/>
                <w:sz w:val="12"/>
                <w:szCs w:val="12"/>
                <w:color w:val="494949"/>
              </w:rPr>
              <w:t>17,400</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Calibri" w:cs="Calibri" w:eastAsia="Calibri" w:hAnsi="Calibri"/>
                <w:sz w:val="12"/>
                <w:szCs w:val="12"/>
                <w:color w:val="494949"/>
              </w:rPr>
              <w:t>26,000</w:t>
            </w:r>
          </w:p>
        </w:tc>
        <w:tc>
          <w:tcPr>
            <w:tcW w:w="1320" w:type="dxa"/>
            <w:vAlign w:val="bottom"/>
            <w:tcBorders>
              <w:bottom w:val="single" w:sz="8" w:color="CCEEFF"/>
            </w:tcBorders>
            <w:shd w:val="clear" w:color="auto" w:fill="CCEEFF"/>
          </w:tcPr>
          <w:p>
            <w:pPr>
              <w:jc w:val="right"/>
              <w:ind w:right="78"/>
              <w:spacing w:after="0"/>
              <w:rPr>
                <w:sz w:val="20"/>
                <w:szCs w:val="20"/>
                <w:color w:val="auto"/>
              </w:rPr>
            </w:pPr>
            <w:r>
              <w:rPr>
                <w:rFonts w:ascii="Calibri" w:cs="Calibri" w:eastAsia="Calibri" w:hAnsi="Calibri"/>
                <w:sz w:val="12"/>
                <w:szCs w:val="12"/>
                <w:color w:val="494949"/>
              </w:rPr>
              <w:t>62,965</w:t>
            </w:r>
          </w:p>
        </w:tc>
        <w:tc>
          <w:tcPr>
            <w:tcW w:w="1020" w:type="dxa"/>
            <w:vAlign w:val="bottom"/>
            <w:tcBorders>
              <w:bottom w:val="single" w:sz="8" w:color="CCEEFF"/>
            </w:tcBorders>
            <w:shd w:val="clear" w:color="auto" w:fill="CCEEFF"/>
          </w:tcPr>
          <w:p>
            <w:pPr>
              <w:jc w:val="right"/>
              <w:ind w:right="98"/>
              <w:spacing w:after="0"/>
              <w:rPr>
                <w:sz w:val="20"/>
                <w:szCs w:val="20"/>
                <w:color w:val="auto"/>
              </w:rPr>
            </w:pPr>
            <w:r>
              <w:rPr>
                <w:rFonts w:ascii="Calibri" w:cs="Calibri" w:eastAsia="Calibri" w:hAnsi="Calibri"/>
                <w:sz w:val="12"/>
                <w:szCs w:val="12"/>
                <w:color w:val="494949"/>
              </w:rPr>
              <w:t>7,218</w:t>
            </w:r>
          </w:p>
        </w:tc>
        <w:tc>
          <w:tcPr>
            <w:tcW w:w="920" w:type="dxa"/>
            <w:vAlign w:val="bottom"/>
            <w:tcBorders>
              <w:bottom w:val="single" w:sz="8" w:color="CCEEFF"/>
            </w:tcBorders>
            <w:shd w:val="clear" w:color="auto" w:fill="CCEEFF"/>
          </w:tcPr>
          <w:p>
            <w:pPr>
              <w:jc w:val="right"/>
              <w:ind w:right="118"/>
              <w:spacing w:after="0"/>
              <w:rPr>
                <w:sz w:val="20"/>
                <w:szCs w:val="20"/>
                <w:color w:val="auto"/>
              </w:rPr>
            </w:pPr>
            <w:r>
              <w:rPr>
                <w:rFonts w:ascii="Calibri" w:cs="Calibri" w:eastAsia="Calibri" w:hAnsi="Calibri"/>
                <w:sz w:val="12"/>
                <w:szCs w:val="12"/>
                <w:color w:val="494949"/>
              </w:rPr>
              <w:t>43,319</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2"/>
                <w:szCs w:val="12"/>
                <w:color w:val="494949"/>
              </w:rPr>
              <w:t>171,902</w:t>
            </w:r>
          </w:p>
        </w:tc>
        <w:tc>
          <w:tcPr>
            <w:tcW w:w="20" w:type="dxa"/>
            <w:vAlign w:val="bottom"/>
          </w:tcPr>
          <w:p>
            <w:pPr>
              <w:spacing w:after="0"/>
              <w:rPr>
                <w:sz w:val="13"/>
                <w:szCs w:val="13"/>
                <w:color w:val="auto"/>
              </w:rPr>
            </w:pPr>
          </w:p>
        </w:tc>
      </w:tr>
      <w:tr>
        <w:trPr>
          <w:trHeight w:val="150"/>
        </w:trPr>
        <w:tc>
          <w:tcPr>
            <w:tcW w:w="1520" w:type="dxa"/>
            <w:vAlign w:val="bottom"/>
          </w:tcPr>
          <w:p>
            <w:pPr>
              <w:ind w:left="40"/>
              <w:spacing w:after="0"/>
              <w:rPr>
                <w:sz w:val="20"/>
                <w:szCs w:val="20"/>
                <w:color w:val="auto"/>
              </w:rPr>
            </w:pPr>
            <w:r>
              <w:rPr>
                <w:rFonts w:ascii="Calibri" w:cs="Calibri" w:eastAsia="Calibri" w:hAnsi="Calibri"/>
                <w:sz w:val="12"/>
                <w:szCs w:val="12"/>
                <w:b w:val="1"/>
                <w:bCs w:val="1"/>
                <w:color w:val="494949"/>
              </w:rPr>
              <w:t>Nancy J. Laben</w:t>
            </w:r>
          </w:p>
        </w:tc>
        <w:tc>
          <w:tcPr>
            <w:tcW w:w="1380" w:type="dxa"/>
            <w:vAlign w:val="bottom"/>
          </w:tcPr>
          <w:p>
            <w:pPr>
              <w:jc w:val="right"/>
              <w:ind w:right="58"/>
              <w:spacing w:after="0"/>
              <w:rPr>
                <w:sz w:val="20"/>
                <w:szCs w:val="20"/>
                <w:color w:val="auto"/>
              </w:rPr>
            </w:pPr>
            <w:r>
              <w:rPr>
                <w:rFonts w:ascii="Calibri" w:cs="Calibri" w:eastAsia="Calibri" w:hAnsi="Calibri"/>
                <w:sz w:val="12"/>
                <w:szCs w:val="12"/>
                <w:color w:val="494949"/>
              </w:rPr>
              <w:t>12,000</w:t>
            </w:r>
          </w:p>
        </w:tc>
        <w:tc>
          <w:tcPr>
            <w:tcW w:w="1140" w:type="dxa"/>
            <w:vAlign w:val="bottom"/>
          </w:tcPr>
          <w:p>
            <w:pPr>
              <w:jc w:val="right"/>
              <w:ind w:right="78"/>
              <w:spacing w:after="0"/>
              <w:rPr>
                <w:sz w:val="20"/>
                <w:szCs w:val="20"/>
                <w:color w:val="auto"/>
              </w:rPr>
            </w:pPr>
            <w:r>
              <w:rPr>
                <w:rFonts w:ascii="Calibri" w:cs="Calibri" w:eastAsia="Calibri" w:hAnsi="Calibri"/>
                <w:sz w:val="12"/>
                <w:szCs w:val="12"/>
                <w:color w:val="494949"/>
              </w:rPr>
              <w:t>17,400</w:t>
            </w:r>
          </w:p>
        </w:tc>
        <w:tc>
          <w:tcPr>
            <w:tcW w:w="1180" w:type="dxa"/>
            <w:vAlign w:val="bottom"/>
          </w:tcPr>
          <w:p>
            <w:pPr>
              <w:jc w:val="right"/>
              <w:ind w:right="18"/>
              <w:spacing w:after="0"/>
              <w:rPr>
                <w:sz w:val="20"/>
                <w:szCs w:val="20"/>
                <w:color w:val="auto"/>
              </w:rPr>
            </w:pPr>
            <w:r>
              <w:rPr>
                <w:rFonts w:ascii="Calibri" w:cs="Calibri" w:eastAsia="Calibri" w:hAnsi="Calibri"/>
                <w:sz w:val="12"/>
                <w:szCs w:val="12"/>
                <w:color w:val="494949"/>
              </w:rPr>
              <w:t>26,000</w:t>
            </w:r>
          </w:p>
        </w:tc>
        <w:tc>
          <w:tcPr>
            <w:tcW w:w="1320" w:type="dxa"/>
            <w:vAlign w:val="bottom"/>
          </w:tcPr>
          <w:p>
            <w:pPr>
              <w:jc w:val="right"/>
              <w:ind w:right="78"/>
              <w:spacing w:after="0"/>
              <w:rPr>
                <w:sz w:val="20"/>
                <w:szCs w:val="20"/>
                <w:color w:val="auto"/>
              </w:rPr>
            </w:pPr>
            <w:r>
              <w:rPr>
                <w:rFonts w:ascii="Calibri" w:cs="Calibri" w:eastAsia="Calibri" w:hAnsi="Calibri"/>
                <w:sz w:val="12"/>
                <w:szCs w:val="12"/>
                <w:color w:val="494949"/>
              </w:rPr>
              <w:t>62,965</w:t>
            </w:r>
          </w:p>
        </w:tc>
        <w:tc>
          <w:tcPr>
            <w:tcW w:w="1020" w:type="dxa"/>
            <w:vAlign w:val="bottom"/>
          </w:tcPr>
          <w:p>
            <w:pPr>
              <w:jc w:val="right"/>
              <w:ind w:right="98"/>
              <w:spacing w:after="0"/>
              <w:rPr>
                <w:sz w:val="20"/>
                <w:szCs w:val="20"/>
                <w:color w:val="auto"/>
              </w:rPr>
            </w:pPr>
            <w:r>
              <w:rPr>
                <w:rFonts w:ascii="Calibri" w:cs="Calibri" w:eastAsia="Calibri" w:hAnsi="Calibri"/>
                <w:sz w:val="12"/>
                <w:szCs w:val="12"/>
                <w:color w:val="494949"/>
              </w:rPr>
              <w:t>9,096</w:t>
            </w:r>
          </w:p>
        </w:tc>
        <w:tc>
          <w:tcPr>
            <w:tcW w:w="920" w:type="dxa"/>
            <w:vAlign w:val="bottom"/>
          </w:tcPr>
          <w:p>
            <w:pPr>
              <w:jc w:val="right"/>
              <w:ind w:right="118"/>
              <w:spacing w:after="0"/>
              <w:rPr>
                <w:sz w:val="20"/>
                <w:szCs w:val="20"/>
                <w:color w:val="auto"/>
              </w:rPr>
            </w:pPr>
            <w:r>
              <w:rPr>
                <w:rFonts w:ascii="Calibri" w:cs="Calibri" w:eastAsia="Calibri" w:hAnsi="Calibri"/>
                <w:sz w:val="12"/>
                <w:szCs w:val="12"/>
                <w:color w:val="494949"/>
              </w:rPr>
              <w:t>22,419</w:t>
            </w:r>
          </w:p>
        </w:tc>
        <w:tc>
          <w:tcPr>
            <w:tcW w:w="800" w:type="dxa"/>
            <w:vAlign w:val="bottom"/>
          </w:tcPr>
          <w:p>
            <w:pPr>
              <w:jc w:val="right"/>
              <w:spacing w:after="0"/>
              <w:rPr>
                <w:sz w:val="20"/>
                <w:szCs w:val="20"/>
                <w:color w:val="auto"/>
              </w:rPr>
            </w:pPr>
            <w:r>
              <w:rPr>
                <w:rFonts w:ascii="Calibri" w:cs="Calibri" w:eastAsia="Calibri" w:hAnsi="Calibri"/>
                <w:sz w:val="12"/>
                <w:szCs w:val="12"/>
                <w:color w:val="494949"/>
              </w:rPr>
              <w:t>149,880</w:t>
            </w:r>
          </w:p>
        </w:tc>
        <w:tc>
          <w:tcPr>
            <w:tcW w:w="20" w:type="dxa"/>
            <w:vAlign w:val="bottom"/>
          </w:tcPr>
          <w:p>
            <w:pPr>
              <w:spacing w:after="0"/>
              <w:rPr>
                <w:sz w:val="13"/>
                <w:szCs w:val="13"/>
                <w:color w:val="auto"/>
              </w:rPr>
            </w:pPr>
          </w:p>
        </w:tc>
      </w:tr>
      <w:tr>
        <w:trPr>
          <w:trHeight w:val="23"/>
        </w:trPr>
        <w:tc>
          <w:tcPr>
            <w:tcW w:w="1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0"/>
        </w:trPr>
        <w:tc>
          <w:tcPr>
            <w:tcW w:w="1520" w:type="dxa"/>
            <w:vAlign w:val="bottom"/>
            <w:shd w:val="clear" w:color="auto" w:fill="CCEEFF"/>
          </w:tcPr>
          <w:p>
            <w:pPr>
              <w:ind w:left="40"/>
              <w:spacing w:after="0"/>
              <w:rPr>
                <w:sz w:val="20"/>
                <w:szCs w:val="20"/>
                <w:color w:val="auto"/>
              </w:rPr>
            </w:pPr>
            <w:r>
              <w:rPr>
                <w:rFonts w:ascii="Calibri" w:cs="Calibri" w:eastAsia="Calibri" w:hAnsi="Calibri"/>
                <w:sz w:val="12"/>
                <w:szCs w:val="12"/>
                <w:b w:val="1"/>
                <w:bCs w:val="1"/>
                <w:color w:val="494949"/>
              </w:rPr>
              <w:t>Susan L. Penfeld</w:t>
            </w:r>
          </w:p>
        </w:tc>
        <w:tc>
          <w:tcPr>
            <w:tcW w:w="1380" w:type="dxa"/>
            <w:vAlign w:val="bottom"/>
            <w:shd w:val="clear" w:color="auto" w:fill="CCEEFF"/>
          </w:tcPr>
          <w:p>
            <w:pPr>
              <w:jc w:val="right"/>
              <w:ind w:right="58"/>
              <w:spacing w:after="0"/>
              <w:rPr>
                <w:sz w:val="20"/>
                <w:szCs w:val="20"/>
                <w:color w:val="auto"/>
              </w:rPr>
            </w:pPr>
            <w:r>
              <w:rPr>
                <w:rFonts w:ascii="Calibri" w:cs="Calibri" w:eastAsia="Calibri" w:hAnsi="Calibri"/>
                <w:sz w:val="12"/>
                <w:szCs w:val="12"/>
                <w:color w:val="494949"/>
              </w:rPr>
              <w:t>12,500</w:t>
            </w:r>
          </w:p>
        </w:tc>
        <w:tc>
          <w:tcPr>
            <w:tcW w:w="1140" w:type="dxa"/>
            <w:vAlign w:val="bottom"/>
            <w:shd w:val="clear" w:color="auto" w:fill="CCEEFF"/>
          </w:tcPr>
          <w:p>
            <w:pPr>
              <w:jc w:val="right"/>
              <w:ind w:right="78"/>
              <w:spacing w:after="0"/>
              <w:rPr>
                <w:sz w:val="20"/>
                <w:szCs w:val="20"/>
                <w:color w:val="auto"/>
              </w:rPr>
            </w:pPr>
            <w:r>
              <w:rPr>
                <w:rFonts w:ascii="Calibri" w:cs="Calibri" w:eastAsia="Calibri" w:hAnsi="Calibri"/>
                <w:sz w:val="12"/>
                <w:szCs w:val="12"/>
                <w:color w:val="494949"/>
              </w:rPr>
              <w:t>17,400</w:t>
            </w:r>
          </w:p>
        </w:tc>
        <w:tc>
          <w:tcPr>
            <w:tcW w:w="1180" w:type="dxa"/>
            <w:vAlign w:val="bottom"/>
            <w:shd w:val="clear" w:color="auto" w:fill="CCEEFF"/>
          </w:tcPr>
          <w:p>
            <w:pPr>
              <w:jc w:val="right"/>
              <w:ind w:right="18"/>
              <w:spacing w:after="0"/>
              <w:rPr>
                <w:sz w:val="20"/>
                <w:szCs w:val="20"/>
                <w:color w:val="auto"/>
              </w:rPr>
            </w:pPr>
            <w:r>
              <w:rPr>
                <w:rFonts w:ascii="Calibri" w:cs="Calibri" w:eastAsia="Calibri" w:hAnsi="Calibri"/>
                <w:sz w:val="12"/>
                <w:szCs w:val="12"/>
                <w:color w:val="494949"/>
              </w:rPr>
              <w:t>26,000</w:t>
            </w:r>
          </w:p>
        </w:tc>
        <w:tc>
          <w:tcPr>
            <w:tcW w:w="1320" w:type="dxa"/>
            <w:vAlign w:val="bottom"/>
            <w:shd w:val="clear" w:color="auto" w:fill="CCEEFF"/>
          </w:tcPr>
          <w:p>
            <w:pPr>
              <w:jc w:val="right"/>
              <w:ind w:right="78"/>
              <w:spacing w:after="0"/>
              <w:rPr>
                <w:sz w:val="20"/>
                <w:szCs w:val="20"/>
                <w:color w:val="auto"/>
              </w:rPr>
            </w:pPr>
            <w:r>
              <w:rPr>
                <w:rFonts w:ascii="Calibri" w:cs="Calibri" w:eastAsia="Calibri" w:hAnsi="Calibri"/>
                <w:sz w:val="12"/>
                <w:szCs w:val="12"/>
                <w:color w:val="494949"/>
              </w:rPr>
              <w:t>62,965</w:t>
            </w:r>
          </w:p>
        </w:tc>
        <w:tc>
          <w:tcPr>
            <w:tcW w:w="1020" w:type="dxa"/>
            <w:vAlign w:val="bottom"/>
            <w:shd w:val="clear" w:color="auto" w:fill="CCEEFF"/>
          </w:tcPr>
          <w:p>
            <w:pPr>
              <w:jc w:val="right"/>
              <w:ind w:right="98"/>
              <w:spacing w:after="0"/>
              <w:rPr>
                <w:sz w:val="20"/>
                <w:szCs w:val="20"/>
                <w:color w:val="auto"/>
              </w:rPr>
            </w:pPr>
            <w:r>
              <w:rPr>
                <w:rFonts w:ascii="Calibri" w:cs="Calibri" w:eastAsia="Calibri" w:hAnsi="Calibri"/>
                <w:sz w:val="12"/>
                <w:szCs w:val="12"/>
                <w:color w:val="494949"/>
              </w:rPr>
              <w:t>9,096</w:t>
            </w:r>
          </w:p>
        </w:tc>
        <w:tc>
          <w:tcPr>
            <w:tcW w:w="920" w:type="dxa"/>
            <w:vAlign w:val="bottom"/>
            <w:shd w:val="clear" w:color="auto" w:fill="CCEEFF"/>
          </w:tcPr>
          <w:p>
            <w:pPr>
              <w:jc w:val="right"/>
              <w:ind w:right="118"/>
              <w:spacing w:after="0"/>
              <w:rPr>
                <w:sz w:val="20"/>
                <w:szCs w:val="20"/>
                <w:color w:val="auto"/>
              </w:rPr>
            </w:pPr>
            <w:r>
              <w:rPr>
                <w:rFonts w:ascii="Calibri" w:cs="Calibri" w:eastAsia="Calibri" w:hAnsi="Calibri"/>
                <w:sz w:val="12"/>
                <w:szCs w:val="12"/>
                <w:color w:val="494949"/>
              </w:rPr>
              <w:t>43,776</w:t>
            </w:r>
          </w:p>
        </w:tc>
        <w:tc>
          <w:tcPr>
            <w:tcW w:w="80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171,737</w:t>
            </w:r>
          </w:p>
        </w:tc>
        <w:tc>
          <w:tcPr>
            <w:tcW w:w="20" w:type="dxa"/>
            <w:vAlign w:val="bottom"/>
          </w:tcPr>
          <w:p>
            <w:pPr>
              <w:spacing w:after="0"/>
              <w:rPr>
                <w:sz w:val="13"/>
                <w:szCs w:val="13"/>
                <w:color w:val="auto"/>
              </w:rPr>
            </w:pPr>
          </w:p>
        </w:tc>
      </w:tr>
      <w:tr>
        <w:trPr>
          <w:trHeight w:val="36"/>
        </w:trPr>
        <w:tc>
          <w:tcPr>
            <w:tcW w:w="152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bl>
    <w:p>
      <w:pPr>
        <w:spacing w:after="0" w:line="193" w:lineRule="exact"/>
        <w:rPr>
          <w:sz w:val="20"/>
          <w:szCs w:val="20"/>
          <w:color w:val="auto"/>
        </w:rPr>
      </w:pPr>
    </w:p>
    <w:p>
      <w:pPr>
        <w:ind w:left="560" w:right="20" w:hanging="315"/>
        <w:spacing w:after="0" w:line="239" w:lineRule="auto"/>
        <w:tabs>
          <w:tab w:leader="none" w:pos="558" w:val="left"/>
        </w:tabs>
        <w:numPr>
          <w:ilvl w:val="0"/>
          <w:numId w:val="49"/>
        </w:numPr>
        <w:rPr>
          <w:rFonts w:ascii="Calibri" w:cs="Calibri" w:eastAsia="Calibri" w:hAnsi="Calibri"/>
          <w:sz w:val="13"/>
          <w:szCs w:val="13"/>
          <w:color w:val="666666"/>
        </w:rPr>
      </w:pPr>
      <w:r>
        <w:rPr>
          <w:rFonts w:ascii="Calibri" w:cs="Calibri" w:eastAsia="Calibri" w:hAnsi="Calibri"/>
          <w:sz w:val="13"/>
          <w:szCs w:val="13"/>
          <w:color w:val="666666"/>
        </w:rPr>
        <w:t>Represents retrement plan contributons paid by the Company to the named executve ofcers as described above under “Compensaton Discussion and Analysis—Compensaton Elements— Retrement Benefts.”</w:t>
      </w:r>
    </w:p>
    <w:p>
      <w:pPr>
        <w:spacing w:after="0" w:line="108" w:lineRule="exact"/>
        <w:rPr>
          <w:rFonts w:ascii="Calibri" w:cs="Calibri" w:eastAsia="Calibri" w:hAnsi="Calibri"/>
          <w:sz w:val="13"/>
          <w:szCs w:val="13"/>
          <w:color w:val="666666"/>
        </w:rPr>
      </w:pPr>
    </w:p>
    <w:p>
      <w:pPr>
        <w:ind w:left="560" w:right="20" w:hanging="315"/>
        <w:spacing w:after="0" w:line="239" w:lineRule="auto"/>
        <w:tabs>
          <w:tab w:leader="none" w:pos="551" w:val="left"/>
        </w:tabs>
        <w:numPr>
          <w:ilvl w:val="0"/>
          <w:numId w:val="49"/>
        </w:numPr>
        <w:rPr>
          <w:rFonts w:ascii="Calibri" w:cs="Calibri" w:eastAsia="Calibri" w:hAnsi="Calibri"/>
          <w:sz w:val="13"/>
          <w:szCs w:val="13"/>
          <w:color w:val="666666"/>
        </w:rPr>
      </w:pPr>
      <w:r>
        <w:rPr>
          <w:rFonts w:ascii="Calibri" w:cs="Calibri" w:eastAsia="Calibri" w:hAnsi="Calibri"/>
          <w:sz w:val="13"/>
          <w:szCs w:val="13"/>
          <w:color w:val="666666"/>
        </w:rPr>
        <w:t>This column includes dental, supplemental medical, accident insurance, personal excess liability coverage, and vehicle parking. This column also includes security services for Mr. Rozanski ($130,346), which increased during fscal year 2022 as compared to fscal year 2021 primarily due to easing COVID-19 restrictons.</w:t>
      </w: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666666"/>
        </w:rPr>
        <w:t>43</w:t>
      </w:r>
    </w:p>
    <w:p>
      <w:pPr>
        <w:sectPr>
          <w:pgSz w:w="11900" w:h="16838" w:orient="portrait"/>
          <w:cols w:equalWidth="0" w:num="1">
            <w:col w:w="11260"/>
          </w:cols>
          <w:pgMar w:left="320" w:top="118"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510540</wp:posOffset>
            </wp:positionV>
            <wp:extent cx="7151370" cy="27324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1370" cy="2732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Calibri" w:cs="Calibri" w:eastAsia="Calibri" w:hAnsi="Calibri"/>
          <w:sz w:val="16"/>
          <w:szCs w:val="16"/>
          <w:b w:val="1"/>
          <w:bCs w:val="1"/>
          <w:color w:val="auto"/>
        </w:rPr>
        <w:t>GRANTS OF PLAN BASED AWARDS TABLE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40" w:type="dxa"/>
            <w:vAlign w:val="bottom"/>
            <w:gridSpan w:val="2"/>
          </w:tcPr>
          <w:p>
            <w:pPr>
              <w:jc w:val="center"/>
              <w:spacing w:after="0"/>
              <w:rPr>
                <w:sz w:val="20"/>
                <w:szCs w:val="20"/>
                <w:color w:val="auto"/>
              </w:rPr>
            </w:pPr>
            <w:r>
              <w:rPr>
                <w:rFonts w:ascii="Calibri" w:cs="Calibri" w:eastAsia="Calibri" w:hAnsi="Calibri"/>
                <w:sz w:val="11"/>
                <w:szCs w:val="11"/>
                <w:b w:val="1"/>
                <w:bCs w:val="1"/>
                <w:color w:val="auto"/>
                <w:w w:val="98"/>
              </w:rPr>
              <w:t>Estmated Possible Payouts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3"/>
          </w:tcPr>
          <w:p>
            <w:pPr>
              <w:jc w:val="center"/>
              <w:spacing w:after="0"/>
              <w:rPr>
                <w:sz w:val="20"/>
                <w:szCs w:val="20"/>
                <w:color w:val="auto"/>
              </w:rPr>
            </w:pPr>
            <w:r>
              <w:rPr>
                <w:rFonts w:ascii="Calibri" w:cs="Calibri" w:eastAsia="Calibri" w:hAnsi="Calibri"/>
                <w:sz w:val="11"/>
                <w:szCs w:val="11"/>
                <w:b w:val="1"/>
                <w:bCs w:val="1"/>
                <w:color w:val="auto"/>
                <w:w w:val="98"/>
              </w:rPr>
              <w:t>Estmated Future and Possible Payouts Under Equity Incentve</w:t>
            </w:r>
          </w:p>
        </w:tc>
        <w:tc>
          <w:tcPr>
            <w:tcW w:w="1080" w:type="dxa"/>
            <w:vAlign w:val="bottom"/>
          </w:tcPr>
          <w:p>
            <w:pPr>
              <w:jc w:val="center"/>
              <w:ind w:right="28"/>
              <w:spacing w:after="0"/>
              <w:rPr>
                <w:sz w:val="20"/>
                <w:szCs w:val="20"/>
                <w:color w:val="auto"/>
              </w:rPr>
            </w:pPr>
            <w:r>
              <w:rPr>
                <w:rFonts w:ascii="Calibri" w:cs="Calibri" w:eastAsia="Calibri" w:hAnsi="Calibri"/>
                <w:sz w:val="11"/>
                <w:szCs w:val="11"/>
                <w:b w:val="1"/>
                <w:bCs w:val="1"/>
                <w:color w:val="auto"/>
                <w:w w:val="97"/>
              </w:rPr>
              <w:t>All Other</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180" w:type="dxa"/>
            <w:vAlign w:val="bottom"/>
            <w:gridSpan w:val="5"/>
          </w:tcPr>
          <w:p>
            <w:pPr>
              <w:jc w:val="center"/>
              <w:ind w:right="220"/>
              <w:spacing w:after="0" w:line="106" w:lineRule="exact"/>
              <w:rPr>
                <w:sz w:val="20"/>
                <w:szCs w:val="20"/>
                <w:color w:val="auto"/>
              </w:rPr>
            </w:pPr>
            <w:r>
              <w:rPr>
                <w:rFonts w:ascii="Calibri" w:cs="Calibri" w:eastAsia="Calibri" w:hAnsi="Calibri"/>
                <w:sz w:val="9"/>
                <w:szCs w:val="9"/>
                <w:b w:val="1"/>
                <w:bCs w:val="1"/>
                <w:color w:val="auto"/>
              </w:rPr>
              <w:t xml:space="preserve">Under Non-Equity Incentve Plan Awards </w:t>
            </w:r>
            <w:r>
              <w:rPr>
                <w:rFonts w:ascii="Calibri" w:cs="Calibri" w:eastAsia="Calibri" w:hAnsi="Calibri"/>
                <w:sz w:val="11"/>
                <w:szCs w:val="11"/>
                <w:b w:val="1"/>
                <w:bCs w:val="1"/>
                <w:color w:val="auto"/>
                <w:vertAlign w:val="superscript"/>
              </w:rPr>
              <w:t>1</w:t>
            </w:r>
          </w:p>
        </w:tc>
        <w:tc>
          <w:tcPr>
            <w:tcW w:w="1040" w:type="dxa"/>
            <w:vAlign w:val="bottom"/>
          </w:tcPr>
          <w:p>
            <w:pPr>
              <w:spacing w:after="0"/>
              <w:rPr>
                <w:sz w:val="9"/>
                <w:szCs w:val="9"/>
                <w:color w:val="auto"/>
              </w:rPr>
            </w:pPr>
          </w:p>
        </w:tc>
        <w:tc>
          <w:tcPr>
            <w:tcW w:w="1100" w:type="dxa"/>
            <w:vAlign w:val="bottom"/>
          </w:tcPr>
          <w:p>
            <w:pPr>
              <w:jc w:val="center"/>
              <w:ind w:right="187"/>
              <w:spacing w:after="0" w:line="106" w:lineRule="exact"/>
              <w:rPr>
                <w:sz w:val="20"/>
                <w:szCs w:val="20"/>
                <w:color w:val="auto"/>
              </w:rPr>
            </w:pPr>
            <w:r>
              <w:rPr>
                <w:rFonts w:ascii="Calibri" w:cs="Calibri" w:eastAsia="Calibri" w:hAnsi="Calibri"/>
                <w:sz w:val="9"/>
                <w:szCs w:val="9"/>
                <w:b w:val="1"/>
                <w:bCs w:val="1"/>
                <w:color w:val="auto"/>
              </w:rPr>
              <w:t xml:space="preserve">Plan Awards </w:t>
            </w:r>
            <w:r>
              <w:rPr>
                <w:rFonts w:ascii="Calibri" w:cs="Calibri" w:eastAsia="Calibri" w:hAnsi="Calibri"/>
                <w:sz w:val="11"/>
                <w:szCs w:val="11"/>
                <w:b w:val="1"/>
                <w:bCs w:val="1"/>
                <w:color w:val="auto"/>
                <w:vertAlign w:val="superscript"/>
              </w:rPr>
              <w:t>2</w:t>
            </w:r>
          </w:p>
        </w:tc>
        <w:tc>
          <w:tcPr>
            <w:tcW w:w="800" w:type="dxa"/>
            <w:vAlign w:val="bottom"/>
          </w:tcPr>
          <w:p>
            <w:pPr>
              <w:spacing w:after="0"/>
              <w:rPr>
                <w:sz w:val="9"/>
                <w:szCs w:val="9"/>
                <w:color w:val="auto"/>
              </w:rPr>
            </w:pPr>
          </w:p>
        </w:tc>
        <w:tc>
          <w:tcPr>
            <w:tcW w:w="1080" w:type="dxa"/>
            <w:vAlign w:val="bottom"/>
          </w:tcPr>
          <w:p>
            <w:pPr>
              <w:jc w:val="center"/>
              <w:ind w:right="28"/>
              <w:spacing w:after="0" w:line="106" w:lineRule="exact"/>
              <w:rPr>
                <w:sz w:val="20"/>
                <w:szCs w:val="20"/>
                <w:color w:val="auto"/>
              </w:rPr>
            </w:pPr>
            <w:r>
              <w:rPr>
                <w:rFonts w:ascii="Calibri" w:cs="Calibri" w:eastAsia="Calibri" w:hAnsi="Calibri"/>
                <w:sz w:val="11"/>
                <w:szCs w:val="11"/>
                <w:b w:val="1"/>
                <w:bCs w:val="1"/>
                <w:color w:val="auto"/>
                <w:w w:val="96"/>
              </w:rPr>
              <w:t>Stock</w:t>
            </w:r>
          </w:p>
        </w:tc>
        <w:tc>
          <w:tcPr>
            <w:tcW w:w="900" w:type="dxa"/>
            <w:vAlign w:val="bottom"/>
          </w:tcPr>
          <w:p>
            <w:pPr>
              <w:jc w:val="center"/>
              <w:ind w:right="49"/>
              <w:spacing w:after="0" w:line="106" w:lineRule="exact"/>
              <w:rPr>
                <w:sz w:val="20"/>
                <w:szCs w:val="20"/>
                <w:color w:val="auto"/>
              </w:rPr>
            </w:pPr>
            <w:r>
              <w:rPr>
                <w:rFonts w:ascii="Calibri" w:cs="Calibri" w:eastAsia="Calibri" w:hAnsi="Calibri"/>
                <w:sz w:val="11"/>
                <w:szCs w:val="11"/>
                <w:b w:val="1"/>
                <w:bCs w:val="1"/>
                <w:color w:val="auto"/>
                <w:w w:val="95"/>
              </w:rPr>
              <w:t>Grant Date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Borders>
              <w:bottom w:val="single" w:sz="8" w:color="666666"/>
            </w:tcBorders>
          </w:tcPr>
          <w:p>
            <w:pPr>
              <w:spacing w:after="0"/>
              <w:rPr>
                <w:sz w:val="4"/>
                <w:szCs w:val="4"/>
                <w:color w:val="auto"/>
              </w:rPr>
            </w:pPr>
          </w:p>
        </w:tc>
        <w:tc>
          <w:tcPr>
            <w:tcW w:w="340" w:type="dxa"/>
            <w:vAlign w:val="bottom"/>
            <w:tcBorders>
              <w:bottom w:val="single" w:sz="8" w:color="666666"/>
            </w:tcBorders>
          </w:tcPr>
          <w:p>
            <w:pPr>
              <w:spacing w:after="0"/>
              <w:rPr>
                <w:sz w:val="4"/>
                <w:szCs w:val="4"/>
                <w:color w:val="auto"/>
              </w:rPr>
            </w:pPr>
          </w:p>
        </w:tc>
        <w:tc>
          <w:tcPr>
            <w:tcW w:w="1100" w:type="dxa"/>
            <w:vAlign w:val="bottom"/>
            <w:tcBorders>
              <w:bottom w:val="single" w:sz="8" w:color="666666"/>
            </w:tcBorders>
          </w:tcPr>
          <w:p>
            <w:pPr>
              <w:spacing w:after="0"/>
              <w:rPr>
                <w:sz w:val="4"/>
                <w:szCs w:val="4"/>
                <w:color w:val="auto"/>
              </w:rPr>
            </w:pPr>
          </w:p>
        </w:tc>
        <w:tc>
          <w:tcPr>
            <w:tcW w:w="720" w:type="dxa"/>
            <w:vAlign w:val="bottom"/>
            <w:tcBorders>
              <w:bottom w:val="single" w:sz="8" w:color="666666"/>
            </w:tcBorders>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Borders>
              <w:bottom w:val="single" w:sz="8" w:color="666666"/>
            </w:tcBorders>
          </w:tcPr>
          <w:p>
            <w:pPr>
              <w:spacing w:after="0"/>
              <w:rPr>
                <w:sz w:val="4"/>
                <w:szCs w:val="4"/>
                <w:color w:val="auto"/>
              </w:rPr>
            </w:pPr>
          </w:p>
        </w:tc>
        <w:tc>
          <w:tcPr>
            <w:tcW w:w="1100" w:type="dxa"/>
            <w:vAlign w:val="bottom"/>
            <w:tcBorders>
              <w:bottom w:val="single" w:sz="8" w:color="666666"/>
            </w:tcBorders>
          </w:tcPr>
          <w:p>
            <w:pPr>
              <w:spacing w:after="0"/>
              <w:rPr>
                <w:sz w:val="4"/>
                <w:szCs w:val="4"/>
                <w:color w:val="auto"/>
              </w:rPr>
            </w:pPr>
          </w:p>
        </w:tc>
        <w:tc>
          <w:tcPr>
            <w:tcW w:w="800" w:type="dxa"/>
            <w:vAlign w:val="bottom"/>
            <w:tcBorders>
              <w:bottom w:val="single" w:sz="8" w:color="666666"/>
            </w:tcBorders>
          </w:tcPr>
          <w:p>
            <w:pPr>
              <w:spacing w:after="0"/>
              <w:rPr>
                <w:sz w:val="4"/>
                <w:szCs w:val="4"/>
                <w:color w:val="auto"/>
              </w:rPr>
            </w:pPr>
          </w:p>
        </w:tc>
        <w:tc>
          <w:tcPr>
            <w:tcW w:w="1080" w:type="dxa"/>
            <w:vAlign w:val="bottom"/>
          </w:tcPr>
          <w:p>
            <w:pPr>
              <w:jc w:val="center"/>
              <w:ind w:right="28"/>
              <w:spacing w:after="0" w:line="47" w:lineRule="exact"/>
              <w:rPr>
                <w:sz w:val="20"/>
                <w:szCs w:val="20"/>
                <w:color w:val="auto"/>
              </w:rPr>
            </w:pPr>
            <w:r>
              <w:rPr>
                <w:rFonts w:ascii="Calibri" w:cs="Calibri" w:eastAsia="Calibri" w:hAnsi="Calibri"/>
                <w:sz w:val="5"/>
                <w:szCs w:val="5"/>
                <w:b w:val="1"/>
                <w:bCs w:val="1"/>
                <w:color w:val="auto"/>
              </w:rPr>
              <w:t>Awards;</w:t>
            </w:r>
          </w:p>
        </w:tc>
        <w:tc>
          <w:tcPr>
            <w:tcW w:w="900" w:type="dxa"/>
            <w:vAlign w:val="bottom"/>
          </w:tcPr>
          <w:p>
            <w:pPr>
              <w:jc w:val="center"/>
              <w:ind w:right="49"/>
              <w:spacing w:after="0" w:line="47" w:lineRule="exact"/>
              <w:rPr>
                <w:sz w:val="20"/>
                <w:szCs w:val="20"/>
                <w:color w:val="auto"/>
              </w:rPr>
            </w:pPr>
            <w:r>
              <w:rPr>
                <w:rFonts w:ascii="Calibri" w:cs="Calibri" w:eastAsia="Calibri" w:hAnsi="Calibri"/>
                <w:sz w:val="5"/>
                <w:szCs w:val="5"/>
                <w:b w:val="1"/>
                <w:bCs w:val="1"/>
                <w:color w:val="auto"/>
              </w:rPr>
              <w:t>Fair Value</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1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80" w:type="dxa"/>
            <w:vAlign w:val="bottom"/>
            <w:vMerge w:val="restart"/>
          </w:tcPr>
          <w:p>
            <w:pPr>
              <w:jc w:val="center"/>
              <w:ind w:left="169"/>
              <w:spacing w:after="0"/>
              <w:rPr>
                <w:sz w:val="20"/>
                <w:szCs w:val="20"/>
                <w:color w:val="auto"/>
              </w:rPr>
            </w:pPr>
            <w:r>
              <w:rPr>
                <w:rFonts w:ascii="Calibri" w:cs="Calibri" w:eastAsia="Calibri" w:hAnsi="Calibri"/>
                <w:sz w:val="11"/>
                <w:szCs w:val="11"/>
                <w:b w:val="1"/>
                <w:bCs w:val="1"/>
                <w:color w:val="auto"/>
                <w:w w:val="96"/>
              </w:rPr>
              <w:t>Threshold</w:t>
            </w:r>
          </w:p>
        </w:tc>
        <w:tc>
          <w:tcPr>
            <w:tcW w:w="340" w:type="dxa"/>
            <w:vAlign w:val="bottom"/>
          </w:tcPr>
          <w:p>
            <w:pPr>
              <w:spacing w:after="0"/>
              <w:rPr>
                <w:sz w:val="9"/>
                <w:szCs w:val="9"/>
                <w:color w:val="auto"/>
              </w:rPr>
            </w:pPr>
          </w:p>
        </w:tc>
        <w:tc>
          <w:tcPr>
            <w:tcW w:w="1100" w:type="dxa"/>
            <w:vAlign w:val="bottom"/>
            <w:vMerge w:val="restart"/>
          </w:tcPr>
          <w:p>
            <w:pPr>
              <w:jc w:val="right"/>
              <w:ind w:right="587"/>
              <w:spacing w:after="0"/>
              <w:rPr>
                <w:sz w:val="20"/>
                <w:szCs w:val="20"/>
                <w:color w:val="auto"/>
              </w:rPr>
            </w:pPr>
            <w:r>
              <w:rPr>
                <w:rFonts w:ascii="Calibri" w:cs="Calibri" w:eastAsia="Calibri" w:hAnsi="Calibri"/>
                <w:sz w:val="11"/>
                <w:szCs w:val="11"/>
                <w:b w:val="1"/>
                <w:bCs w:val="1"/>
                <w:color w:val="auto"/>
              </w:rPr>
              <w:t>Target</w:t>
            </w:r>
          </w:p>
        </w:tc>
        <w:tc>
          <w:tcPr>
            <w:tcW w:w="960" w:type="dxa"/>
            <w:vAlign w:val="bottom"/>
            <w:gridSpan w:val="2"/>
            <w:vMerge w:val="restart"/>
          </w:tcPr>
          <w:p>
            <w:pPr>
              <w:ind w:left="120"/>
              <w:spacing w:after="0"/>
              <w:rPr>
                <w:sz w:val="20"/>
                <w:szCs w:val="20"/>
                <w:color w:val="auto"/>
              </w:rPr>
            </w:pPr>
            <w:r>
              <w:rPr>
                <w:rFonts w:ascii="Calibri" w:cs="Calibri" w:eastAsia="Calibri" w:hAnsi="Calibri"/>
                <w:sz w:val="11"/>
                <w:szCs w:val="11"/>
                <w:b w:val="1"/>
                <w:bCs w:val="1"/>
                <w:color w:val="auto"/>
              </w:rPr>
              <w:t>Max</w:t>
            </w:r>
          </w:p>
        </w:tc>
        <w:tc>
          <w:tcPr>
            <w:tcW w:w="1040" w:type="dxa"/>
            <w:vAlign w:val="bottom"/>
            <w:vMerge w:val="restart"/>
          </w:tcPr>
          <w:p>
            <w:pPr>
              <w:jc w:val="right"/>
              <w:ind w:right="287"/>
              <w:spacing w:after="0"/>
              <w:rPr>
                <w:sz w:val="20"/>
                <w:szCs w:val="20"/>
                <w:color w:val="auto"/>
              </w:rPr>
            </w:pPr>
            <w:r>
              <w:rPr>
                <w:rFonts w:ascii="Calibri" w:cs="Calibri" w:eastAsia="Calibri" w:hAnsi="Calibri"/>
                <w:sz w:val="11"/>
                <w:szCs w:val="11"/>
                <w:b w:val="1"/>
                <w:bCs w:val="1"/>
                <w:color w:val="auto"/>
              </w:rPr>
              <w:t>Threshold</w:t>
            </w:r>
          </w:p>
        </w:tc>
        <w:tc>
          <w:tcPr>
            <w:tcW w:w="1100" w:type="dxa"/>
            <w:vAlign w:val="bottom"/>
            <w:vMerge w:val="restart"/>
          </w:tcPr>
          <w:p>
            <w:pPr>
              <w:jc w:val="center"/>
              <w:ind w:right="187"/>
              <w:spacing w:after="0"/>
              <w:rPr>
                <w:sz w:val="20"/>
                <w:szCs w:val="20"/>
                <w:color w:val="auto"/>
              </w:rPr>
            </w:pPr>
            <w:r>
              <w:rPr>
                <w:rFonts w:ascii="Calibri" w:cs="Calibri" w:eastAsia="Calibri" w:hAnsi="Calibri"/>
                <w:sz w:val="11"/>
                <w:szCs w:val="11"/>
                <w:b w:val="1"/>
                <w:bCs w:val="1"/>
                <w:color w:val="auto"/>
                <w:w w:val="88"/>
              </w:rPr>
              <w:t>Target</w:t>
            </w:r>
          </w:p>
        </w:tc>
        <w:tc>
          <w:tcPr>
            <w:tcW w:w="800" w:type="dxa"/>
            <w:vAlign w:val="bottom"/>
            <w:vMerge w:val="restart"/>
          </w:tcPr>
          <w:p>
            <w:pPr>
              <w:jc w:val="right"/>
              <w:ind w:right="347"/>
              <w:spacing w:after="0"/>
              <w:rPr>
                <w:sz w:val="20"/>
                <w:szCs w:val="20"/>
                <w:color w:val="auto"/>
              </w:rPr>
            </w:pPr>
            <w:r>
              <w:rPr>
                <w:rFonts w:ascii="Calibri" w:cs="Calibri" w:eastAsia="Calibri" w:hAnsi="Calibri"/>
                <w:sz w:val="11"/>
                <w:szCs w:val="11"/>
                <w:b w:val="1"/>
                <w:bCs w:val="1"/>
                <w:color w:val="auto"/>
              </w:rPr>
              <w:t>Max</w:t>
            </w:r>
          </w:p>
        </w:tc>
        <w:tc>
          <w:tcPr>
            <w:tcW w:w="1080" w:type="dxa"/>
            <w:vAlign w:val="bottom"/>
          </w:tcPr>
          <w:p>
            <w:pPr>
              <w:jc w:val="center"/>
              <w:ind w:right="28"/>
              <w:spacing w:after="0" w:line="106" w:lineRule="exact"/>
              <w:rPr>
                <w:sz w:val="20"/>
                <w:szCs w:val="20"/>
                <w:color w:val="auto"/>
              </w:rPr>
            </w:pPr>
            <w:r>
              <w:rPr>
                <w:rFonts w:ascii="Calibri" w:cs="Calibri" w:eastAsia="Calibri" w:hAnsi="Calibri"/>
                <w:sz w:val="11"/>
                <w:szCs w:val="11"/>
                <w:b w:val="1"/>
                <w:bCs w:val="1"/>
                <w:color w:val="auto"/>
                <w:w w:val="97"/>
              </w:rPr>
              <w:t>Number of</w:t>
            </w:r>
          </w:p>
        </w:tc>
        <w:tc>
          <w:tcPr>
            <w:tcW w:w="900" w:type="dxa"/>
            <w:vAlign w:val="bottom"/>
          </w:tcPr>
          <w:p>
            <w:pPr>
              <w:jc w:val="center"/>
              <w:ind w:right="49"/>
              <w:spacing w:after="0" w:line="106" w:lineRule="exact"/>
              <w:rPr>
                <w:sz w:val="20"/>
                <w:szCs w:val="20"/>
                <w:color w:val="auto"/>
              </w:rPr>
            </w:pPr>
            <w:r>
              <w:rPr>
                <w:rFonts w:ascii="Calibri" w:cs="Calibri" w:eastAsia="Calibri" w:hAnsi="Calibri"/>
                <w:sz w:val="11"/>
                <w:szCs w:val="11"/>
                <w:b w:val="1"/>
                <w:bCs w:val="1"/>
                <w:color w:val="auto"/>
                <w:w w:val="97"/>
              </w:rPr>
              <w:t>of Stock</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80" w:type="dxa"/>
            <w:vAlign w:val="bottom"/>
            <w:vMerge w:val="restart"/>
          </w:tcPr>
          <w:p>
            <w:pPr>
              <w:jc w:val="center"/>
              <w:ind w:right="48"/>
              <w:spacing w:after="0" w:line="102" w:lineRule="exact"/>
              <w:rPr>
                <w:sz w:val="20"/>
                <w:szCs w:val="20"/>
                <w:color w:val="auto"/>
              </w:rPr>
            </w:pPr>
            <w:r>
              <w:rPr>
                <w:rFonts w:ascii="Calibri" w:cs="Calibri" w:eastAsia="Calibri" w:hAnsi="Calibri"/>
                <w:sz w:val="11"/>
                <w:szCs w:val="11"/>
                <w:b w:val="1"/>
                <w:bCs w:val="1"/>
                <w:color w:val="auto"/>
                <w:w w:val="98"/>
              </w:rPr>
              <w:t>Shares or</w:t>
            </w:r>
          </w:p>
        </w:tc>
        <w:tc>
          <w:tcPr>
            <w:tcW w:w="900" w:type="dxa"/>
            <w:vAlign w:val="bottom"/>
            <w:vMerge w:val="restart"/>
          </w:tcPr>
          <w:p>
            <w:pPr>
              <w:jc w:val="center"/>
              <w:ind w:right="69"/>
              <w:spacing w:after="0" w:line="102" w:lineRule="exact"/>
              <w:rPr>
                <w:sz w:val="20"/>
                <w:szCs w:val="20"/>
                <w:color w:val="auto"/>
              </w:rPr>
            </w:pPr>
            <w:r>
              <w:rPr>
                <w:rFonts w:ascii="Calibri" w:cs="Calibri" w:eastAsia="Calibri" w:hAnsi="Calibri"/>
                <w:sz w:val="11"/>
                <w:szCs w:val="11"/>
                <w:b w:val="1"/>
                <w:bCs w:val="1"/>
                <w:color w:val="auto"/>
              </w:rPr>
              <w:t>and Opton</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1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1280" w:type="dxa"/>
            <w:vAlign w:val="bottom"/>
          </w:tcPr>
          <w:p>
            <w:pPr>
              <w:spacing w:after="0"/>
              <w:rPr>
                <w:sz w:val="9"/>
                <w:szCs w:val="9"/>
                <w:color w:val="auto"/>
              </w:rPr>
            </w:pPr>
          </w:p>
        </w:tc>
        <w:tc>
          <w:tcPr>
            <w:tcW w:w="880" w:type="dxa"/>
            <w:vAlign w:val="bottom"/>
          </w:tcPr>
          <w:p>
            <w:pPr>
              <w:jc w:val="right"/>
              <w:ind w:right="267"/>
              <w:spacing w:after="0" w:line="106" w:lineRule="exact"/>
              <w:rPr>
                <w:sz w:val="20"/>
                <w:szCs w:val="20"/>
                <w:color w:val="auto"/>
              </w:rPr>
            </w:pPr>
            <w:r>
              <w:rPr>
                <w:rFonts w:ascii="Calibri" w:cs="Calibri" w:eastAsia="Calibri" w:hAnsi="Calibri"/>
                <w:sz w:val="11"/>
                <w:szCs w:val="11"/>
                <w:b w:val="1"/>
                <w:bCs w:val="1"/>
                <w:color w:val="auto"/>
              </w:rPr>
              <w:t>Grant</w:t>
            </w:r>
          </w:p>
        </w:tc>
        <w:tc>
          <w:tcPr>
            <w:tcW w:w="980" w:type="dxa"/>
            <w:vAlign w:val="bottom"/>
          </w:tcPr>
          <w:p>
            <w:pPr>
              <w:jc w:val="right"/>
              <w:ind w:right="247"/>
              <w:spacing w:after="0" w:line="106" w:lineRule="exact"/>
              <w:rPr>
                <w:sz w:val="20"/>
                <w:szCs w:val="20"/>
                <w:color w:val="auto"/>
              </w:rPr>
            </w:pPr>
            <w:r>
              <w:rPr>
                <w:rFonts w:ascii="Calibri" w:cs="Calibri" w:eastAsia="Calibri" w:hAnsi="Calibri"/>
                <w:sz w:val="11"/>
                <w:szCs w:val="11"/>
                <w:b w:val="1"/>
                <w:bCs w:val="1"/>
                <w:color w:val="auto"/>
              </w:rPr>
              <w:t>Approval</w:t>
            </w: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jc w:val="center"/>
              <w:ind w:right="28"/>
              <w:spacing w:after="0" w:line="106" w:lineRule="exact"/>
              <w:rPr>
                <w:sz w:val="20"/>
                <w:szCs w:val="20"/>
                <w:color w:val="auto"/>
              </w:rPr>
            </w:pPr>
            <w:r>
              <w:rPr>
                <w:rFonts w:ascii="Calibri" w:cs="Calibri" w:eastAsia="Calibri" w:hAnsi="Calibri"/>
                <w:sz w:val="11"/>
                <w:szCs w:val="11"/>
                <w:b w:val="1"/>
                <w:bCs w:val="1"/>
                <w:color w:val="auto"/>
                <w:w w:val="96"/>
              </w:rPr>
              <w:t>Stock</w:t>
            </w:r>
          </w:p>
        </w:tc>
        <w:tc>
          <w:tcPr>
            <w:tcW w:w="900" w:type="dxa"/>
            <w:vAlign w:val="bottom"/>
          </w:tcPr>
          <w:p>
            <w:pPr>
              <w:jc w:val="center"/>
              <w:ind w:right="49"/>
              <w:spacing w:after="0" w:line="106" w:lineRule="exact"/>
              <w:rPr>
                <w:sz w:val="20"/>
                <w:szCs w:val="20"/>
                <w:color w:val="auto"/>
              </w:rPr>
            </w:pPr>
            <w:r>
              <w:rPr>
                <w:rFonts w:ascii="Calibri" w:cs="Calibri" w:eastAsia="Calibri" w:hAnsi="Calibri"/>
                <w:sz w:val="9"/>
                <w:szCs w:val="9"/>
                <w:b w:val="1"/>
                <w:bCs w:val="1"/>
                <w:color w:val="auto"/>
              </w:rPr>
              <w:t xml:space="preserve">Awards </w:t>
            </w:r>
            <w:r>
              <w:rPr>
                <w:rFonts w:ascii="Calibri" w:cs="Calibri" w:eastAsia="Calibri" w:hAnsi="Calibri"/>
                <w:sz w:val="11"/>
                <w:szCs w:val="11"/>
                <w:b w:val="1"/>
                <w:bCs w:val="1"/>
                <w:color w:val="auto"/>
                <w:vertAlign w:val="superscript"/>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1280" w:type="dxa"/>
            <w:vAlign w:val="bottom"/>
            <w:tcBorders>
              <w:bottom w:val="single" w:sz="8" w:color="auto"/>
            </w:tcBorders>
          </w:tcPr>
          <w:p>
            <w:pPr>
              <w:ind w:left="40"/>
              <w:spacing w:after="0" w:line="130" w:lineRule="exact"/>
              <w:rPr>
                <w:sz w:val="20"/>
                <w:szCs w:val="20"/>
                <w:color w:val="auto"/>
              </w:rPr>
            </w:pPr>
            <w:r>
              <w:rPr>
                <w:rFonts w:ascii="Calibri" w:cs="Calibri" w:eastAsia="Calibri" w:hAnsi="Calibri"/>
                <w:sz w:val="11"/>
                <w:szCs w:val="11"/>
                <w:b w:val="1"/>
                <w:bCs w:val="1"/>
                <w:color w:val="auto"/>
              </w:rPr>
              <w:t>Name</w:t>
            </w:r>
          </w:p>
        </w:tc>
        <w:tc>
          <w:tcPr>
            <w:tcW w:w="880" w:type="dxa"/>
            <w:vAlign w:val="bottom"/>
            <w:tcBorders>
              <w:bottom w:val="single" w:sz="8" w:color="auto"/>
            </w:tcBorders>
          </w:tcPr>
          <w:p>
            <w:pPr>
              <w:jc w:val="right"/>
              <w:ind w:right="287"/>
              <w:spacing w:after="0" w:line="130" w:lineRule="exact"/>
              <w:rPr>
                <w:sz w:val="20"/>
                <w:szCs w:val="20"/>
                <w:color w:val="auto"/>
              </w:rPr>
            </w:pPr>
            <w:r>
              <w:rPr>
                <w:rFonts w:ascii="Calibri" w:cs="Calibri" w:eastAsia="Calibri" w:hAnsi="Calibri"/>
                <w:sz w:val="11"/>
                <w:szCs w:val="11"/>
                <w:b w:val="1"/>
                <w:bCs w:val="1"/>
                <w:color w:val="auto"/>
              </w:rPr>
              <w:t>Date</w:t>
            </w:r>
          </w:p>
        </w:tc>
        <w:tc>
          <w:tcPr>
            <w:tcW w:w="980" w:type="dxa"/>
            <w:vAlign w:val="bottom"/>
            <w:tcBorders>
              <w:bottom w:val="single" w:sz="8" w:color="auto"/>
            </w:tcBorders>
          </w:tcPr>
          <w:p>
            <w:pPr>
              <w:jc w:val="right"/>
              <w:ind w:right="327"/>
              <w:spacing w:after="0" w:line="130" w:lineRule="exact"/>
              <w:rPr>
                <w:sz w:val="20"/>
                <w:szCs w:val="20"/>
                <w:color w:val="auto"/>
              </w:rPr>
            </w:pPr>
            <w:r>
              <w:rPr>
                <w:rFonts w:ascii="Calibri" w:cs="Calibri" w:eastAsia="Calibri" w:hAnsi="Calibri"/>
                <w:sz w:val="11"/>
                <w:szCs w:val="11"/>
                <w:b w:val="1"/>
                <w:bCs w:val="1"/>
                <w:color w:val="auto"/>
              </w:rPr>
              <w:t>Date</w:t>
            </w:r>
          </w:p>
        </w:tc>
        <w:tc>
          <w:tcPr>
            <w:tcW w:w="780" w:type="dxa"/>
            <w:vAlign w:val="bottom"/>
            <w:tcBorders>
              <w:bottom w:val="single" w:sz="8" w:color="auto"/>
            </w:tcBorders>
          </w:tcPr>
          <w:p>
            <w:pPr>
              <w:jc w:val="right"/>
              <w:ind w:right="169"/>
              <w:spacing w:after="0" w:line="130" w:lineRule="exact"/>
              <w:rPr>
                <w:sz w:val="20"/>
                <w:szCs w:val="20"/>
                <w:color w:val="auto"/>
              </w:rPr>
            </w:pPr>
            <w:r>
              <w:rPr>
                <w:rFonts w:ascii="Calibri" w:cs="Calibri" w:eastAsia="Calibri" w:hAnsi="Calibri"/>
                <w:sz w:val="11"/>
                <w:szCs w:val="11"/>
                <w:b w:val="1"/>
                <w:bCs w:val="1"/>
                <w:color w:val="auto"/>
              </w:rPr>
              <w:t>($)</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327"/>
              <w:spacing w:after="0" w:line="130" w:lineRule="exact"/>
              <w:rPr>
                <w:sz w:val="20"/>
                <w:szCs w:val="20"/>
                <w:color w:val="auto"/>
              </w:rPr>
            </w:pPr>
            <w:r>
              <w:rPr>
                <w:rFonts w:ascii="Calibri" w:cs="Calibri" w:eastAsia="Calibri" w:hAnsi="Calibri"/>
                <w:sz w:val="11"/>
                <w:szCs w:val="11"/>
                <w:b w:val="1"/>
                <w:bCs w:val="1"/>
                <w:color w:val="auto"/>
                <w:w w:val="96"/>
              </w:rPr>
              <w:t>($)</w:t>
            </w:r>
          </w:p>
        </w:tc>
        <w:tc>
          <w:tcPr>
            <w:tcW w:w="720" w:type="dxa"/>
            <w:vAlign w:val="bottom"/>
            <w:tcBorders>
              <w:bottom w:val="single" w:sz="8" w:color="auto"/>
            </w:tcBorders>
          </w:tcPr>
          <w:p>
            <w:pPr>
              <w:ind w:left="180"/>
              <w:spacing w:after="0" w:line="130" w:lineRule="exact"/>
              <w:rPr>
                <w:sz w:val="20"/>
                <w:szCs w:val="20"/>
                <w:color w:val="auto"/>
              </w:rPr>
            </w:pPr>
            <w:r>
              <w:rPr>
                <w:rFonts w:ascii="Calibri" w:cs="Calibri" w:eastAsia="Calibri" w:hAnsi="Calibri"/>
                <w:sz w:val="11"/>
                <w:szCs w:val="11"/>
                <w:b w:val="1"/>
                <w:bCs w:val="1"/>
                <w:color w:val="auto"/>
              </w:rPr>
              <w:t>($)</w:t>
            </w: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7"/>
              <w:spacing w:after="0" w:line="130" w:lineRule="exact"/>
              <w:rPr>
                <w:sz w:val="20"/>
                <w:szCs w:val="20"/>
                <w:color w:val="auto"/>
              </w:rPr>
            </w:pPr>
            <w:r>
              <w:rPr>
                <w:rFonts w:ascii="Calibri" w:cs="Calibri" w:eastAsia="Calibri" w:hAnsi="Calibri"/>
                <w:sz w:val="11"/>
                <w:szCs w:val="11"/>
                <w:b w:val="1"/>
                <w:bCs w:val="1"/>
                <w:color w:val="auto"/>
              </w:rPr>
              <w:t>(#)</w:t>
            </w:r>
          </w:p>
        </w:tc>
        <w:tc>
          <w:tcPr>
            <w:tcW w:w="1100" w:type="dxa"/>
            <w:vAlign w:val="bottom"/>
            <w:tcBorders>
              <w:bottom w:val="single" w:sz="8" w:color="auto"/>
            </w:tcBorders>
          </w:tcPr>
          <w:p>
            <w:pPr>
              <w:jc w:val="center"/>
              <w:ind w:right="207"/>
              <w:spacing w:after="0" w:line="130" w:lineRule="exact"/>
              <w:rPr>
                <w:sz w:val="20"/>
                <w:szCs w:val="20"/>
                <w:color w:val="auto"/>
              </w:rPr>
            </w:pPr>
            <w:r>
              <w:rPr>
                <w:rFonts w:ascii="Calibri" w:cs="Calibri" w:eastAsia="Calibri" w:hAnsi="Calibri"/>
                <w:sz w:val="11"/>
                <w:szCs w:val="11"/>
                <w:b w:val="1"/>
                <w:bCs w:val="1"/>
                <w:color w:val="auto"/>
                <w:w w:val="96"/>
              </w:rPr>
              <w:t>(#)</w:t>
            </w:r>
          </w:p>
        </w:tc>
        <w:tc>
          <w:tcPr>
            <w:tcW w:w="800" w:type="dxa"/>
            <w:vAlign w:val="bottom"/>
            <w:tcBorders>
              <w:bottom w:val="single" w:sz="8" w:color="auto"/>
            </w:tcBorders>
          </w:tcPr>
          <w:p>
            <w:pPr>
              <w:jc w:val="right"/>
              <w:ind w:right="367"/>
              <w:spacing w:after="0" w:line="130" w:lineRule="exact"/>
              <w:rPr>
                <w:sz w:val="20"/>
                <w:szCs w:val="20"/>
                <w:color w:val="auto"/>
              </w:rPr>
            </w:pPr>
            <w:r>
              <w:rPr>
                <w:rFonts w:ascii="Calibri" w:cs="Calibri" w:eastAsia="Calibri" w:hAnsi="Calibri"/>
                <w:sz w:val="11"/>
                <w:szCs w:val="11"/>
                <w:b w:val="1"/>
                <w:bCs w:val="1"/>
                <w:color w:val="auto"/>
              </w:rPr>
              <w:t>(#)</w:t>
            </w:r>
          </w:p>
        </w:tc>
        <w:tc>
          <w:tcPr>
            <w:tcW w:w="1080" w:type="dxa"/>
            <w:vAlign w:val="bottom"/>
            <w:tcBorders>
              <w:bottom w:val="single" w:sz="8" w:color="auto"/>
            </w:tcBorders>
          </w:tcPr>
          <w:p>
            <w:pPr>
              <w:jc w:val="center"/>
              <w:ind w:right="48"/>
              <w:spacing w:after="0" w:line="157" w:lineRule="exact"/>
              <w:rPr>
                <w:sz w:val="20"/>
                <w:szCs w:val="20"/>
                <w:color w:val="auto"/>
              </w:rPr>
            </w:pPr>
            <w:r>
              <w:rPr>
                <w:rFonts w:ascii="Calibri" w:cs="Calibri" w:eastAsia="Calibri" w:hAnsi="Calibri"/>
                <w:sz w:val="11"/>
                <w:szCs w:val="11"/>
                <w:b w:val="1"/>
                <w:bCs w:val="1"/>
                <w:color w:val="auto"/>
                <w:w w:val="96"/>
              </w:rPr>
              <w:t xml:space="preserve">Units </w:t>
            </w:r>
            <w:r>
              <w:rPr>
                <w:rFonts w:ascii="Calibri" w:cs="Calibri" w:eastAsia="Calibri" w:hAnsi="Calibri"/>
                <w:sz w:val="13"/>
                <w:szCs w:val="13"/>
                <w:b w:val="1"/>
                <w:bCs w:val="1"/>
                <w:color w:val="auto"/>
                <w:w w:val="96"/>
                <w:vertAlign w:val="superscript"/>
              </w:rPr>
              <w:t>3</w:t>
            </w:r>
          </w:p>
        </w:tc>
        <w:tc>
          <w:tcPr>
            <w:tcW w:w="900" w:type="dxa"/>
            <w:vAlign w:val="bottom"/>
            <w:tcBorders>
              <w:bottom w:val="single" w:sz="8" w:color="auto"/>
            </w:tcBorders>
          </w:tcPr>
          <w:p>
            <w:pPr>
              <w:jc w:val="center"/>
              <w:ind w:right="49"/>
              <w:spacing w:after="0" w:line="130" w:lineRule="exact"/>
              <w:rPr>
                <w:sz w:val="20"/>
                <w:szCs w:val="20"/>
                <w:color w:val="auto"/>
              </w:rPr>
            </w:pPr>
            <w:r>
              <w:rPr>
                <w:rFonts w:ascii="Calibri" w:cs="Calibri" w:eastAsia="Calibri" w:hAnsi="Calibri"/>
                <w:sz w:val="11"/>
                <w:szCs w:val="11"/>
                <w:b w:val="1"/>
                <w:bCs w:val="1"/>
                <w:color w:val="auto"/>
                <w:w w:val="96"/>
              </w:rPr>
              <w:t>($)</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280" w:type="dxa"/>
            <w:vAlign w:val="bottom"/>
            <w:shd w:val="clear" w:color="auto" w:fill="CCEEFF"/>
          </w:tcPr>
          <w:p>
            <w:pPr>
              <w:ind w:left="40"/>
              <w:spacing w:after="0" w:line="133" w:lineRule="exact"/>
              <w:rPr>
                <w:sz w:val="20"/>
                <w:szCs w:val="20"/>
                <w:color w:val="auto"/>
              </w:rPr>
            </w:pPr>
            <w:r>
              <w:rPr>
                <w:rFonts w:ascii="Calibri" w:cs="Calibri" w:eastAsia="Calibri" w:hAnsi="Calibri"/>
                <w:sz w:val="11"/>
                <w:szCs w:val="11"/>
                <w:b w:val="1"/>
                <w:bCs w:val="1"/>
                <w:color w:val="auto"/>
              </w:rPr>
              <w:t>Horacio D. Rozanski</w:t>
            </w:r>
          </w:p>
        </w:tc>
        <w:tc>
          <w:tcPr>
            <w:tcW w:w="8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CEEFF"/>
          </w:tcPr>
          <w:p>
            <w:pPr>
              <w:ind w:left="40"/>
              <w:spacing w:after="0"/>
              <w:rPr>
                <w:sz w:val="20"/>
                <w:szCs w:val="20"/>
                <w:color w:val="auto"/>
              </w:rPr>
            </w:pPr>
            <w:r>
              <w:rPr>
                <w:rFonts w:ascii="Calibri" w:cs="Calibri" w:eastAsia="Calibri" w:hAnsi="Calibri"/>
                <w:sz w:val="11"/>
                <w:szCs w:val="11"/>
                <w:color w:val="auto"/>
              </w:rPr>
              <w:t>Annual Incentve Plan</w:t>
            </w:r>
          </w:p>
        </w:tc>
        <w:tc>
          <w:tcPr>
            <w:tcW w:w="8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rPr>
              <w:t>5/18/2021</w:t>
            </w: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ind w:left="60"/>
              <w:spacing w:after="0"/>
              <w:rPr>
                <w:sz w:val="20"/>
                <w:szCs w:val="20"/>
                <w:color w:val="auto"/>
              </w:rPr>
            </w:pPr>
            <w:r>
              <w:rPr>
                <w:rFonts w:ascii="Calibri" w:cs="Calibri" w:eastAsia="Calibri" w:hAnsi="Calibri"/>
                <w:sz w:val="11"/>
                <w:szCs w:val="11"/>
                <w:color w:val="auto"/>
              </w:rPr>
              <w:t>—</w:t>
            </w:r>
          </w:p>
        </w:tc>
        <w:tc>
          <w:tcPr>
            <w:tcW w:w="1100" w:type="dxa"/>
            <w:vAlign w:val="bottom"/>
            <w:shd w:val="clear" w:color="auto" w:fill="CCEEFF"/>
          </w:tcPr>
          <w:p>
            <w:pPr>
              <w:jc w:val="right"/>
              <w:ind w:right="247"/>
              <w:spacing w:after="0"/>
              <w:rPr>
                <w:sz w:val="20"/>
                <w:szCs w:val="20"/>
                <w:color w:val="auto"/>
              </w:rPr>
            </w:pPr>
            <w:r>
              <w:rPr>
                <w:rFonts w:ascii="Calibri" w:cs="Calibri" w:eastAsia="Calibri" w:hAnsi="Calibri"/>
                <w:sz w:val="11"/>
                <w:szCs w:val="11"/>
                <w:color w:val="auto"/>
              </w:rPr>
              <w:t>1,500,000</w:t>
            </w:r>
          </w:p>
        </w:tc>
        <w:tc>
          <w:tcPr>
            <w:tcW w:w="960" w:type="dxa"/>
            <w:vAlign w:val="bottom"/>
            <w:gridSpan w:val="2"/>
            <w:shd w:val="clear" w:color="auto" w:fill="CCEEFF"/>
          </w:tcPr>
          <w:p>
            <w:pPr>
              <w:ind w:left="580"/>
              <w:spacing w:after="0"/>
              <w:rPr>
                <w:sz w:val="20"/>
                <w:szCs w:val="20"/>
                <w:color w:val="auto"/>
              </w:rPr>
            </w:pPr>
            <w:r>
              <w:rPr>
                <w:rFonts w:ascii="Calibri" w:cs="Calibri" w:eastAsia="Calibri" w:hAnsi="Calibri"/>
                <w:sz w:val="11"/>
                <w:szCs w:val="11"/>
                <w:color w:val="auto"/>
              </w:rPr>
              <w:t>—</w:t>
            </w:r>
          </w:p>
        </w:tc>
        <w:tc>
          <w:tcPr>
            <w:tcW w:w="1040" w:type="dxa"/>
            <w:vAlign w:val="bottom"/>
            <w:shd w:val="clear" w:color="auto" w:fill="CCEEFF"/>
          </w:tcPr>
          <w:p>
            <w:pPr>
              <w:jc w:val="right"/>
              <w:ind w:right="67"/>
              <w:spacing w:after="0"/>
              <w:rPr>
                <w:sz w:val="20"/>
                <w:szCs w:val="20"/>
                <w:color w:val="auto"/>
              </w:rPr>
            </w:pPr>
            <w:r>
              <w:rPr>
                <w:rFonts w:ascii="Calibri" w:cs="Calibri" w:eastAsia="Calibri" w:hAnsi="Calibri"/>
                <w:sz w:val="11"/>
                <w:szCs w:val="11"/>
                <w:color w:val="auto"/>
              </w:rPr>
              <w:t>—</w:t>
            </w:r>
          </w:p>
        </w:tc>
        <w:tc>
          <w:tcPr>
            <w:tcW w:w="1100" w:type="dxa"/>
            <w:vAlign w:val="bottom"/>
            <w:shd w:val="clear" w:color="auto" w:fill="CCEEFF"/>
          </w:tcPr>
          <w:p>
            <w:pPr>
              <w:jc w:val="right"/>
              <w:ind w:right="187"/>
              <w:spacing w:after="0"/>
              <w:rPr>
                <w:sz w:val="20"/>
                <w:szCs w:val="20"/>
                <w:color w:val="auto"/>
              </w:rPr>
            </w:pPr>
            <w:r>
              <w:rPr>
                <w:rFonts w:ascii="Calibri" w:cs="Calibri" w:eastAsia="Calibri" w:hAnsi="Calibri"/>
                <w:sz w:val="11"/>
                <w:szCs w:val="11"/>
                <w:color w:val="auto"/>
              </w:rPr>
              <w:t>—</w:t>
            </w:r>
          </w:p>
        </w:tc>
        <w:tc>
          <w:tcPr>
            <w:tcW w:w="80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rPr>
              <w:t>—</w:t>
            </w:r>
          </w:p>
        </w:tc>
        <w:tc>
          <w:tcPr>
            <w:tcW w:w="1080" w:type="dxa"/>
            <w:vAlign w:val="bottom"/>
            <w:shd w:val="clear" w:color="auto" w:fill="CCEEFF"/>
          </w:tcPr>
          <w:p>
            <w:pPr>
              <w:jc w:val="right"/>
              <w:ind w:right="88"/>
              <w:spacing w:after="0"/>
              <w:rPr>
                <w:sz w:val="20"/>
                <w:szCs w:val="20"/>
                <w:color w:val="auto"/>
              </w:rPr>
            </w:pPr>
            <w:r>
              <w:rPr>
                <w:rFonts w:ascii="Calibri" w:cs="Calibri" w:eastAsia="Calibri" w:hAnsi="Calibri"/>
                <w:sz w:val="11"/>
                <w:szCs w:val="11"/>
                <w:color w:val="auto"/>
              </w:rPr>
              <w:t>—</w:t>
            </w:r>
          </w:p>
        </w:tc>
        <w:tc>
          <w:tcPr>
            <w:tcW w:w="900" w:type="dxa"/>
            <w:vAlign w:val="bottom"/>
            <w:shd w:val="clear" w:color="auto" w:fill="CCEEFF"/>
          </w:tcPr>
          <w:p>
            <w:pPr>
              <w:jc w:val="right"/>
              <w:ind w:right="9"/>
              <w:spacing w:after="0"/>
              <w:rPr>
                <w:sz w:val="20"/>
                <w:szCs w:val="20"/>
                <w:color w:val="auto"/>
              </w:rPr>
            </w:pPr>
            <w:r>
              <w:rPr>
                <w:rFonts w:ascii="Calibri" w:cs="Calibri" w:eastAsia="Calibri" w:hAnsi="Calibri"/>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CEEFF"/>
          </w:tcPr>
          <w:p>
            <w:pPr>
              <w:ind w:left="40"/>
              <w:spacing w:after="0"/>
              <w:rPr>
                <w:sz w:val="20"/>
                <w:szCs w:val="20"/>
                <w:color w:val="auto"/>
              </w:rPr>
            </w:pPr>
            <w:r>
              <w:rPr>
                <w:rFonts w:ascii="Calibri" w:cs="Calibri" w:eastAsia="Calibri" w:hAnsi="Calibri"/>
                <w:sz w:val="11"/>
                <w:szCs w:val="11"/>
                <w:color w:val="auto"/>
              </w:rPr>
              <w:t>Equity Incentve Plan</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rPr>
              <w:t>7/27/2021</w:t>
            </w:r>
          </w:p>
        </w:tc>
        <w:tc>
          <w:tcPr>
            <w:tcW w:w="98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rPr>
              <w:t>7/27/2021</w:t>
            </w: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ind w:left="60"/>
              <w:spacing w:after="0"/>
              <w:rPr>
                <w:sz w:val="20"/>
                <w:szCs w:val="20"/>
                <w:color w:val="auto"/>
              </w:rPr>
            </w:pPr>
            <w:r>
              <w:rPr>
                <w:rFonts w:ascii="Calibri" w:cs="Calibri" w:eastAsia="Calibri" w:hAnsi="Calibri"/>
                <w:sz w:val="11"/>
                <w:szCs w:val="11"/>
                <w:color w:val="auto"/>
              </w:rPr>
              <w:t>—</w:t>
            </w:r>
          </w:p>
        </w:tc>
        <w:tc>
          <w:tcPr>
            <w:tcW w:w="1100" w:type="dxa"/>
            <w:vAlign w:val="bottom"/>
            <w:shd w:val="clear" w:color="auto" w:fill="CCEEFF"/>
          </w:tcPr>
          <w:p>
            <w:pPr>
              <w:jc w:val="right"/>
              <w:ind w:right="247"/>
              <w:spacing w:after="0"/>
              <w:rPr>
                <w:sz w:val="20"/>
                <w:szCs w:val="20"/>
                <w:color w:val="auto"/>
              </w:rPr>
            </w:pPr>
            <w:r>
              <w:rPr>
                <w:rFonts w:ascii="Calibri" w:cs="Calibri" w:eastAsia="Calibri" w:hAnsi="Calibri"/>
                <w:sz w:val="11"/>
                <w:szCs w:val="11"/>
                <w:color w:val="auto"/>
              </w:rPr>
              <w:t>—</w:t>
            </w:r>
          </w:p>
        </w:tc>
        <w:tc>
          <w:tcPr>
            <w:tcW w:w="960" w:type="dxa"/>
            <w:vAlign w:val="bottom"/>
            <w:gridSpan w:val="2"/>
            <w:shd w:val="clear" w:color="auto" w:fill="CCEEFF"/>
          </w:tcPr>
          <w:p>
            <w:pPr>
              <w:ind w:left="580"/>
              <w:spacing w:after="0"/>
              <w:rPr>
                <w:sz w:val="20"/>
                <w:szCs w:val="20"/>
                <w:color w:val="auto"/>
              </w:rPr>
            </w:pPr>
            <w:r>
              <w:rPr>
                <w:rFonts w:ascii="Calibri" w:cs="Calibri" w:eastAsia="Calibri" w:hAnsi="Calibri"/>
                <w:sz w:val="11"/>
                <w:szCs w:val="11"/>
                <w:color w:val="auto"/>
              </w:rPr>
              <w:t>—</w:t>
            </w:r>
          </w:p>
        </w:tc>
        <w:tc>
          <w:tcPr>
            <w:tcW w:w="1040" w:type="dxa"/>
            <w:vAlign w:val="bottom"/>
            <w:shd w:val="clear" w:color="auto" w:fill="CCEEFF"/>
          </w:tcPr>
          <w:p>
            <w:pPr>
              <w:jc w:val="right"/>
              <w:ind w:right="67"/>
              <w:spacing w:after="0"/>
              <w:rPr>
                <w:sz w:val="20"/>
                <w:szCs w:val="20"/>
                <w:color w:val="auto"/>
              </w:rPr>
            </w:pPr>
            <w:r>
              <w:rPr>
                <w:rFonts w:ascii="Calibri" w:cs="Calibri" w:eastAsia="Calibri" w:hAnsi="Calibri"/>
                <w:sz w:val="11"/>
                <w:szCs w:val="11"/>
                <w:color w:val="auto"/>
              </w:rPr>
              <w:t>2,993,851</w:t>
            </w:r>
          </w:p>
        </w:tc>
        <w:tc>
          <w:tcPr>
            <w:tcW w:w="1100" w:type="dxa"/>
            <w:vAlign w:val="bottom"/>
            <w:shd w:val="clear" w:color="auto" w:fill="CCEEFF"/>
          </w:tcPr>
          <w:p>
            <w:pPr>
              <w:jc w:val="right"/>
              <w:ind w:right="167"/>
              <w:spacing w:after="0"/>
              <w:rPr>
                <w:sz w:val="20"/>
                <w:szCs w:val="20"/>
                <w:color w:val="auto"/>
              </w:rPr>
            </w:pPr>
            <w:r>
              <w:rPr>
                <w:rFonts w:ascii="Calibri" w:cs="Calibri" w:eastAsia="Calibri" w:hAnsi="Calibri"/>
                <w:sz w:val="11"/>
                <w:szCs w:val="11"/>
                <w:color w:val="auto"/>
              </w:rPr>
              <w:t>6,120,033</w:t>
            </w:r>
          </w:p>
        </w:tc>
        <w:tc>
          <w:tcPr>
            <w:tcW w:w="80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rPr>
              <w:t>13,173,101</w:t>
            </w:r>
          </w:p>
        </w:tc>
        <w:tc>
          <w:tcPr>
            <w:tcW w:w="1080" w:type="dxa"/>
            <w:vAlign w:val="bottom"/>
            <w:shd w:val="clear" w:color="auto" w:fill="CCEEFF"/>
          </w:tcPr>
          <w:p>
            <w:pPr>
              <w:jc w:val="right"/>
              <w:ind w:right="88"/>
              <w:spacing w:after="0"/>
              <w:rPr>
                <w:sz w:val="20"/>
                <w:szCs w:val="20"/>
                <w:color w:val="auto"/>
              </w:rPr>
            </w:pPr>
            <w:r>
              <w:rPr>
                <w:rFonts w:ascii="Calibri" w:cs="Calibri" w:eastAsia="Calibri" w:hAnsi="Calibri"/>
                <w:sz w:val="11"/>
                <w:szCs w:val="11"/>
                <w:color w:val="auto"/>
              </w:rPr>
              <w:t>—</w:t>
            </w:r>
          </w:p>
        </w:tc>
        <w:tc>
          <w:tcPr>
            <w:tcW w:w="900" w:type="dxa"/>
            <w:vAlign w:val="bottom"/>
            <w:shd w:val="clear" w:color="auto" w:fill="CCEEFF"/>
          </w:tcPr>
          <w:p>
            <w:pPr>
              <w:jc w:val="right"/>
              <w:ind w:right="9"/>
              <w:spacing w:after="0"/>
              <w:rPr>
                <w:sz w:val="20"/>
                <w:szCs w:val="20"/>
                <w:color w:val="auto"/>
              </w:rPr>
            </w:pPr>
            <w:r>
              <w:rPr>
                <w:rFonts w:ascii="Calibri" w:cs="Calibri" w:eastAsia="Calibri" w:hAnsi="Calibri"/>
                <w:sz w:val="11"/>
                <w:szCs w:val="11"/>
                <w:color w:val="auto"/>
              </w:rPr>
              <w:t>6,120,033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280" w:type="dxa"/>
            <w:vAlign w:val="bottom"/>
            <w:tcBorders>
              <w:bottom w:val="single" w:sz="8" w:color="CCEEFF"/>
            </w:tcBorders>
            <w:shd w:val="clear" w:color="auto" w:fill="CCEEFF"/>
          </w:tcPr>
          <w:p>
            <w:pPr>
              <w:ind w:left="40"/>
              <w:spacing w:after="0"/>
              <w:rPr>
                <w:sz w:val="20"/>
                <w:szCs w:val="20"/>
                <w:color w:val="auto"/>
              </w:rPr>
            </w:pPr>
            <w:r>
              <w:rPr>
                <w:rFonts w:ascii="Calibri" w:cs="Calibri" w:eastAsia="Calibri" w:hAnsi="Calibri"/>
                <w:sz w:val="11"/>
                <w:szCs w:val="11"/>
                <w:color w:val="auto"/>
              </w:rPr>
              <w:t>Equity Incentve Plan</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5/20/2021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5/18/2021</w:t>
            </w:r>
          </w:p>
        </w:tc>
        <w:tc>
          <w:tcPr>
            <w:tcW w:w="7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Calibri" w:cs="Calibri" w:eastAsia="Calibri" w:hAnsi="Calibri"/>
                <w:sz w:val="11"/>
                <w:szCs w:val="11"/>
                <w:color w:val="auto"/>
              </w:rPr>
              <w:t>—</w:t>
            </w:r>
          </w:p>
        </w:tc>
        <w:tc>
          <w:tcPr>
            <w:tcW w:w="1100" w:type="dxa"/>
            <w:vAlign w:val="bottom"/>
            <w:tcBorders>
              <w:bottom w:val="single" w:sz="8" w:color="CCEEFF"/>
            </w:tcBorders>
            <w:shd w:val="clear" w:color="auto" w:fill="CCEEFF"/>
          </w:tcPr>
          <w:p>
            <w:pPr>
              <w:jc w:val="right"/>
              <w:ind w:right="247"/>
              <w:spacing w:after="0"/>
              <w:rPr>
                <w:sz w:val="20"/>
                <w:szCs w:val="20"/>
                <w:color w:val="auto"/>
              </w:rPr>
            </w:pPr>
            <w:r>
              <w:rPr>
                <w:rFonts w:ascii="Calibri" w:cs="Calibri" w:eastAsia="Calibri" w:hAnsi="Calibri"/>
                <w:sz w:val="11"/>
                <w:szCs w:val="11"/>
                <w:color w:val="auto"/>
              </w:rPr>
              <w:t>—</w:t>
            </w: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Calibri" w:cs="Calibri" w:eastAsia="Calibri" w:hAnsi="Calibri"/>
                <w:sz w:val="11"/>
                <w:szCs w:val="11"/>
                <w:color w:val="auto"/>
              </w:rPr>
              <w:t>—</w:t>
            </w:r>
          </w:p>
        </w:tc>
        <w:tc>
          <w:tcPr>
            <w:tcW w:w="1040" w:type="dxa"/>
            <w:vAlign w:val="bottom"/>
            <w:tcBorders>
              <w:bottom w:val="single" w:sz="8" w:color="CCEEFF"/>
            </w:tcBorders>
            <w:shd w:val="clear" w:color="auto" w:fill="CCEEFF"/>
          </w:tcPr>
          <w:p>
            <w:pPr>
              <w:jc w:val="right"/>
              <w:ind w:right="67"/>
              <w:spacing w:after="0"/>
              <w:rPr>
                <w:sz w:val="20"/>
                <w:szCs w:val="20"/>
                <w:color w:val="auto"/>
              </w:rPr>
            </w:pPr>
            <w:r>
              <w:rPr>
                <w:rFonts w:ascii="Calibri" w:cs="Calibri" w:eastAsia="Calibri" w:hAnsi="Calibri"/>
                <w:sz w:val="11"/>
                <w:szCs w:val="11"/>
                <w:color w:val="auto"/>
              </w:rPr>
              <w:t>—</w:t>
            </w:r>
          </w:p>
        </w:tc>
        <w:tc>
          <w:tcPr>
            <w:tcW w:w="1100" w:type="dxa"/>
            <w:vAlign w:val="bottom"/>
            <w:tcBorders>
              <w:bottom w:val="single" w:sz="8" w:color="CCEEFF"/>
            </w:tcBorders>
            <w:shd w:val="clear" w:color="auto" w:fill="CCEEFF"/>
          </w:tcPr>
          <w:p>
            <w:pPr>
              <w:jc w:val="right"/>
              <w:ind w:right="187"/>
              <w:spacing w:after="0"/>
              <w:rPr>
                <w:sz w:val="20"/>
                <w:szCs w:val="20"/>
                <w:color w:val="auto"/>
              </w:rPr>
            </w:pPr>
            <w:r>
              <w:rPr>
                <w:rFonts w:ascii="Calibri" w:cs="Calibri" w:eastAsia="Calibri" w:hAnsi="Calibri"/>
                <w:sz w:val="11"/>
                <w:szCs w:val="1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w:t>
            </w:r>
          </w:p>
        </w:tc>
        <w:tc>
          <w:tcPr>
            <w:tcW w:w="10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1"/>
                <w:szCs w:val="11"/>
                <w:color w:val="auto"/>
              </w:rPr>
              <w:t>2,380,068</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Calibri" w:cs="Calibri" w:eastAsia="Calibri" w:hAnsi="Calibri"/>
                <w:sz w:val="11"/>
                <w:szCs w:val="11"/>
                <w:color w:val="auto"/>
              </w:rPr>
              <w:t>2,380,068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280" w:type="dxa"/>
            <w:vAlign w:val="bottom"/>
          </w:tcPr>
          <w:p>
            <w:pPr>
              <w:ind w:left="40"/>
              <w:spacing w:after="0" w:line="133" w:lineRule="exact"/>
              <w:rPr>
                <w:sz w:val="20"/>
                <w:szCs w:val="20"/>
                <w:color w:val="auto"/>
              </w:rPr>
            </w:pPr>
            <w:r>
              <w:rPr>
                <w:rFonts w:ascii="Calibri" w:cs="Calibri" w:eastAsia="Calibri" w:hAnsi="Calibri"/>
                <w:sz w:val="11"/>
                <w:szCs w:val="11"/>
                <w:b w:val="1"/>
                <w:bCs w:val="1"/>
                <w:color w:val="auto"/>
              </w:rPr>
              <w:t>Lloyd W. Howell, Jr.</w:t>
            </w: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40"/>
              <w:spacing w:after="0"/>
              <w:rPr>
                <w:sz w:val="20"/>
                <w:szCs w:val="20"/>
                <w:color w:val="auto"/>
              </w:rPr>
            </w:pPr>
            <w:r>
              <w:rPr>
                <w:rFonts w:ascii="Calibri" w:cs="Calibri" w:eastAsia="Calibri" w:hAnsi="Calibri"/>
                <w:sz w:val="11"/>
                <w:szCs w:val="11"/>
                <w:color w:val="auto"/>
              </w:rPr>
              <w:t>Annual Incentve Plan</w:t>
            </w:r>
          </w:p>
        </w:tc>
        <w:tc>
          <w:tcPr>
            <w:tcW w:w="8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Calibri" w:cs="Calibri" w:eastAsia="Calibri" w:hAnsi="Calibri"/>
                <w:sz w:val="11"/>
                <w:szCs w:val="11"/>
                <w:color w:val="auto"/>
              </w:rPr>
              <w:t>5/18/2021</w:t>
            </w:r>
          </w:p>
        </w:tc>
        <w:tc>
          <w:tcPr>
            <w:tcW w:w="780" w:type="dxa"/>
            <w:vAlign w:val="bottom"/>
          </w:tcPr>
          <w:p>
            <w:pPr>
              <w:spacing w:after="0"/>
              <w:rPr>
                <w:sz w:val="13"/>
                <w:szCs w:val="13"/>
                <w:color w:val="auto"/>
              </w:rPr>
            </w:pPr>
          </w:p>
        </w:tc>
        <w:tc>
          <w:tcPr>
            <w:tcW w:w="340" w:type="dxa"/>
            <w:vAlign w:val="bottom"/>
          </w:tcPr>
          <w:p>
            <w:pPr>
              <w:ind w:left="60"/>
              <w:spacing w:after="0"/>
              <w:rPr>
                <w:sz w:val="20"/>
                <w:szCs w:val="20"/>
                <w:color w:val="auto"/>
              </w:rPr>
            </w:pPr>
            <w:r>
              <w:rPr>
                <w:rFonts w:ascii="Calibri" w:cs="Calibri" w:eastAsia="Calibri" w:hAnsi="Calibri"/>
                <w:sz w:val="11"/>
                <w:szCs w:val="11"/>
                <w:color w:val="auto"/>
              </w:rPr>
              <w:t>—</w:t>
            </w:r>
          </w:p>
        </w:tc>
        <w:tc>
          <w:tcPr>
            <w:tcW w:w="1100" w:type="dxa"/>
            <w:vAlign w:val="bottom"/>
          </w:tcPr>
          <w:p>
            <w:pPr>
              <w:jc w:val="right"/>
              <w:ind w:right="247"/>
              <w:spacing w:after="0"/>
              <w:rPr>
                <w:sz w:val="20"/>
                <w:szCs w:val="20"/>
                <w:color w:val="auto"/>
              </w:rPr>
            </w:pPr>
            <w:r>
              <w:rPr>
                <w:rFonts w:ascii="Calibri" w:cs="Calibri" w:eastAsia="Calibri" w:hAnsi="Calibri"/>
                <w:sz w:val="11"/>
                <w:szCs w:val="11"/>
                <w:color w:val="auto"/>
              </w:rPr>
              <w:t>500,000</w:t>
            </w:r>
          </w:p>
        </w:tc>
        <w:tc>
          <w:tcPr>
            <w:tcW w:w="960" w:type="dxa"/>
            <w:vAlign w:val="bottom"/>
            <w:gridSpan w:val="2"/>
          </w:tcPr>
          <w:p>
            <w:pPr>
              <w:ind w:left="580"/>
              <w:spacing w:after="0"/>
              <w:rPr>
                <w:sz w:val="20"/>
                <w:szCs w:val="20"/>
                <w:color w:val="auto"/>
              </w:rPr>
            </w:pPr>
            <w:r>
              <w:rPr>
                <w:rFonts w:ascii="Calibri" w:cs="Calibri" w:eastAsia="Calibri" w:hAnsi="Calibri"/>
                <w:sz w:val="11"/>
                <w:szCs w:val="11"/>
                <w:color w:val="auto"/>
              </w:rPr>
              <w:t>—</w:t>
            </w:r>
          </w:p>
        </w:tc>
        <w:tc>
          <w:tcPr>
            <w:tcW w:w="1040" w:type="dxa"/>
            <w:vAlign w:val="bottom"/>
          </w:tcPr>
          <w:p>
            <w:pPr>
              <w:jc w:val="right"/>
              <w:ind w:right="67"/>
              <w:spacing w:after="0"/>
              <w:rPr>
                <w:sz w:val="20"/>
                <w:szCs w:val="20"/>
                <w:color w:val="auto"/>
              </w:rPr>
            </w:pPr>
            <w:r>
              <w:rPr>
                <w:rFonts w:ascii="Calibri" w:cs="Calibri" w:eastAsia="Calibri" w:hAnsi="Calibri"/>
                <w:sz w:val="11"/>
                <w:szCs w:val="11"/>
                <w:color w:val="auto"/>
              </w:rPr>
              <w:t>—</w:t>
            </w:r>
          </w:p>
        </w:tc>
        <w:tc>
          <w:tcPr>
            <w:tcW w:w="1100" w:type="dxa"/>
            <w:vAlign w:val="bottom"/>
          </w:tcPr>
          <w:p>
            <w:pPr>
              <w:jc w:val="right"/>
              <w:ind w:right="187"/>
              <w:spacing w:after="0"/>
              <w:rPr>
                <w:sz w:val="20"/>
                <w:szCs w:val="20"/>
                <w:color w:val="auto"/>
              </w:rPr>
            </w:pPr>
            <w:r>
              <w:rPr>
                <w:rFonts w:ascii="Calibri" w:cs="Calibri" w:eastAsia="Calibri" w:hAnsi="Calibri"/>
                <w:sz w:val="11"/>
                <w:szCs w:val="11"/>
                <w:color w:val="auto"/>
              </w:rPr>
              <w:t>—</w:t>
            </w:r>
          </w:p>
        </w:tc>
        <w:tc>
          <w:tcPr>
            <w:tcW w:w="800" w:type="dxa"/>
            <w:vAlign w:val="bottom"/>
          </w:tcPr>
          <w:p>
            <w:pPr>
              <w:jc w:val="right"/>
              <w:spacing w:after="0"/>
              <w:rPr>
                <w:sz w:val="20"/>
                <w:szCs w:val="20"/>
                <w:color w:val="auto"/>
              </w:rPr>
            </w:pPr>
            <w:r>
              <w:rPr>
                <w:rFonts w:ascii="Calibri" w:cs="Calibri" w:eastAsia="Calibri" w:hAnsi="Calibri"/>
                <w:sz w:val="11"/>
                <w:szCs w:val="11"/>
                <w:color w:val="auto"/>
              </w:rPr>
              <w:t>—</w:t>
            </w:r>
          </w:p>
        </w:tc>
        <w:tc>
          <w:tcPr>
            <w:tcW w:w="1080" w:type="dxa"/>
            <w:vAlign w:val="bottom"/>
          </w:tcPr>
          <w:p>
            <w:pPr>
              <w:jc w:val="right"/>
              <w:ind w:right="88"/>
              <w:spacing w:after="0"/>
              <w:rPr>
                <w:sz w:val="20"/>
                <w:szCs w:val="20"/>
                <w:color w:val="auto"/>
              </w:rPr>
            </w:pPr>
            <w:r>
              <w:rPr>
                <w:rFonts w:ascii="Calibri" w:cs="Calibri" w:eastAsia="Calibri" w:hAnsi="Calibri"/>
                <w:sz w:val="11"/>
                <w:szCs w:val="11"/>
                <w:color w:val="auto"/>
              </w:rPr>
              <w:t>—</w:t>
            </w:r>
          </w:p>
        </w:tc>
        <w:tc>
          <w:tcPr>
            <w:tcW w:w="900" w:type="dxa"/>
            <w:vAlign w:val="bottom"/>
          </w:tcPr>
          <w:p>
            <w:pPr>
              <w:jc w:val="right"/>
              <w:ind w:right="9"/>
              <w:spacing w:after="0"/>
              <w:rPr>
                <w:sz w:val="20"/>
                <w:szCs w:val="20"/>
                <w:color w:val="auto"/>
              </w:rPr>
            </w:pPr>
            <w:r>
              <w:rPr>
                <w:rFonts w:ascii="Calibri" w:cs="Calibri" w:eastAsia="Calibri" w:hAnsi="Calibri"/>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40"/>
              <w:spacing w:after="0"/>
              <w:rPr>
                <w:sz w:val="20"/>
                <w:szCs w:val="20"/>
                <w:color w:val="auto"/>
              </w:rPr>
            </w:pPr>
            <w:r>
              <w:rPr>
                <w:rFonts w:ascii="Calibri" w:cs="Calibri" w:eastAsia="Calibri" w:hAnsi="Calibri"/>
                <w:sz w:val="11"/>
                <w:szCs w:val="11"/>
                <w:color w:val="auto"/>
              </w:rPr>
              <w:t>Equity Incentve Plan</w:t>
            </w:r>
          </w:p>
        </w:tc>
        <w:tc>
          <w:tcPr>
            <w:tcW w:w="880" w:type="dxa"/>
            <w:vAlign w:val="bottom"/>
          </w:tcPr>
          <w:p>
            <w:pPr>
              <w:jc w:val="right"/>
              <w:spacing w:after="0"/>
              <w:rPr>
                <w:sz w:val="20"/>
                <w:szCs w:val="20"/>
                <w:color w:val="auto"/>
              </w:rPr>
            </w:pPr>
            <w:r>
              <w:rPr>
                <w:rFonts w:ascii="Calibri" w:cs="Calibri" w:eastAsia="Calibri" w:hAnsi="Calibri"/>
                <w:sz w:val="11"/>
                <w:szCs w:val="11"/>
                <w:color w:val="auto"/>
              </w:rPr>
              <w:t>7/27/2021</w:t>
            </w:r>
          </w:p>
        </w:tc>
        <w:tc>
          <w:tcPr>
            <w:tcW w:w="980" w:type="dxa"/>
            <w:vAlign w:val="bottom"/>
          </w:tcPr>
          <w:p>
            <w:pPr>
              <w:jc w:val="right"/>
              <w:spacing w:after="0"/>
              <w:rPr>
                <w:sz w:val="20"/>
                <w:szCs w:val="20"/>
                <w:color w:val="auto"/>
              </w:rPr>
            </w:pPr>
            <w:r>
              <w:rPr>
                <w:rFonts w:ascii="Calibri" w:cs="Calibri" w:eastAsia="Calibri" w:hAnsi="Calibri"/>
                <w:sz w:val="11"/>
                <w:szCs w:val="11"/>
                <w:color w:val="auto"/>
              </w:rPr>
              <w:t>7/27/2021</w:t>
            </w:r>
          </w:p>
        </w:tc>
        <w:tc>
          <w:tcPr>
            <w:tcW w:w="780" w:type="dxa"/>
            <w:vAlign w:val="bottom"/>
          </w:tcPr>
          <w:p>
            <w:pPr>
              <w:spacing w:after="0"/>
              <w:rPr>
                <w:sz w:val="13"/>
                <w:szCs w:val="13"/>
                <w:color w:val="auto"/>
              </w:rPr>
            </w:pPr>
          </w:p>
        </w:tc>
        <w:tc>
          <w:tcPr>
            <w:tcW w:w="340" w:type="dxa"/>
            <w:vAlign w:val="bottom"/>
          </w:tcPr>
          <w:p>
            <w:pPr>
              <w:ind w:left="60"/>
              <w:spacing w:after="0"/>
              <w:rPr>
                <w:sz w:val="20"/>
                <w:szCs w:val="20"/>
                <w:color w:val="auto"/>
              </w:rPr>
            </w:pPr>
            <w:r>
              <w:rPr>
                <w:rFonts w:ascii="Calibri" w:cs="Calibri" w:eastAsia="Calibri" w:hAnsi="Calibri"/>
                <w:sz w:val="11"/>
                <w:szCs w:val="11"/>
                <w:color w:val="auto"/>
              </w:rPr>
              <w:t>—</w:t>
            </w:r>
          </w:p>
        </w:tc>
        <w:tc>
          <w:tcPr>
            <w:tcW w:w="1100" w:type="dxa"/>
            <w:vAlign w:val="bottom"/>
          </w:tcPr>
          <w:p>
            <w:pPr>
              <w:jc w:val="right"/>
              <w:ind w:right="247"/>
              <w:spacing w:after="0"/>
              <w:rPr>
                <w:sz w:val="20"/>
                <w:szCs w:val="20"/>
                <w:color w:val="auto"/>
              </w:rPr>
            </w:pPr>
            <w:r>
              <w:rPr>
                <w:rFonts w:ascii="Calibri" w:cs="Calibri" w:eastAsia="Calibri" w:hAnsi="Calibri"/>
                <w:sz w:val="11"/>
                <w:szCs w:val="11"/>
                <w:color w:val="auto"/>
              </w:rPr>
              <w:t>—</w:t>
            </w:r>
          </w:p>
        </w:tc>
        <w:tc>
          <w:tcPr>
            <w:tcW w:w="960" w:type="dxa"/>
            <w:vAlign w:val="bottom"/>
            <w:gridSpan w:val="2"/>
          </w:tcPr>
          <w:p>
            <w:pPr>
              <w:ind w:left="580"/>
              <w:spacing w:after="0"/>
              <w:rPr>
                <w:sz w:val="20"/>
                <w:szCs w:val="20"/>
                <w:color w:val="auto"/>
              </w:rPr>
            </w:pPr>
            <w:r>
              <w:rPr>
                <w:rFonts w:ascii="Calibri" w:cs="Calibri" w:eastAsia="Calibri" w:hAnsi="Calibri"/>
                <w:sz w:val="11"/>
                <w:szCs w:val="11"/>
                <w:color w:val="auto"/>
              </w:rPr>
              <w:t>—</w:t>
            </w:r>
          </w:p>
        </w:tc>
        <w:tc>
          <w:tcPr>
            <w:tcW w:w="1040" w:type="dxa"/>
            <w:vAlign w:val="bottom"/>
          </w:tcPr>
          <w:p>
            <w:pPr>
              <w:jc w:val="right"/>
              <w:ind w:right="67"/>
              <w:spacing w:after="0"/>
              <w:rPr>
                <w:sz w:val="20"/>
                <w:szCs w:val="20"/>
                <w:color w:val="auto"/>
              </w:rPr>
            </w:pPr>
            <w:r>
              <w:rPr>
                <w:rFonts w:ascii="Calibri" w:cs="Calibri" w:eastAsia="Calibri" w:hAnsi="Calibri"/>
                <w:sz w:val="11"/>
                <w:szCs w:val="11"/>
                <w:color w:val="auto"/>
              </w:rPr>
              <w:t>609,083</w:t>
            </w:r>
          </w:p>
        </w:tc>
        <w:tc>
          <w:tcPr>
            <w:tcW w:w="1100" w:type="dxa"/>
            <w:vAlign w:val="bottom"/>
          </w:tcPr>
          <w:p>
            <w:pPr>
              <w:jc w:val="right"/>
              <w:ind w:right="167"/>
              <w:spacing w:after="0"/>
              <w:rPr>
                <w:sz w:val="20"/>
                <w:szCs w:val="20"/>
                <w:color w:val="auto"/>
              </w:rPr>
            </w:pPr>
            <w:r>
              <w:rPr>
                <w:rFonts w:ascii="Calibri" w:cs="Calibri" w:eastAsia="Calibri" w:hAnsi="Calibri"/>
                <w:sz w:val="11"/>
                <w:szCs w:val="11"/>
                <w:color w:val="auto"/>
              </w:rPr>
              <w:t>1,245,069</w:t>
            </w:r>
          </w:p>
        </w:tc>
        <w:tc>
          <w:tcPr>
            <w:tcW w:w="800" w:type="dxa"/>
            <w:vAlign w:val="bottom"/>
          </w:tcPr>
          <w:p>
            <w:pPr>
              <w:jc w:val="right"/>
              <w:spacing w:after="0"/>
              <w:rPr>
                <w:sz w:val="20"/>
                <w:szCs w:val="20"/>
                <w:color w:val="auto"/>
              </w:rPr>
            </w:pPr>
            <w:r>
              <w:rPr>
                <w:rFonts w:ascii="Calibri" w:cs="Calibri" w:eastAsia="Calibri" w:hAnsi="Calibri"/>
                <w:sz w:val="11"/>
                <w:szCs w:val="11"/>
                <w:color w:val="auto"/>
              </w:rPr>
              <w:t>2,679,911</w:t>
            </w:r>
          </w:p>
        </w:tc>
        <w:tc>
          <w:tcPr>
            <w:tcW w:w="1080" w:type="dxa"/>
            <w:vAlign w:val="bottom"/>
          </w:tcPr>
          <w:p>
            <w:pPr>
              <w:jc w:val="right"/>
              <w:ind w:right="88"/>
              <w:spacing w:after="0"/>
              <w:rPr>
                <w:sz w:val="20"/>
                <w:szCs w:val="20"/>
                <w:color w:val="auto"/>
              </w:rPr>
            </w:pPr>
            <w:r>
              <w:rPr>
                <w:rFonts w:ascii="Calibri" w:cs="Calibri" w:eastAsia="Calibri" w:hAnsi="Calibri"/>
                <w:sz w:val="11"/>
                <w:szCs w:val="11"/>
                <w:color w:val="auto"/>
              </w:rPr>
              <w:t>—</w:t>
            </w:r>
          </w:p>
        </w:tc>
        <w:tc>
          <w:tcPr>
            <w:tcW w:w="900" w:type="dxa"/>
            <w:vAlign w:val="bottom"/>
          </w:tcPr>
          <w:p>
            <w:pPr>
              <w:jc w:val="right"/>
              <w:ind w:right="9"/>
              <w:spacing w:after="0"/>
              <w:rPr>
                <w:sz w:val="20"/>
                <w:szCs w:val="20"/>
                <w:color w:val="auto"/>
              </w:rPr>
            </w:pPr>
            <w:r>
              <w:rPr>
                <w:rFonts w:ascii="Calibri" w:cs="Calibri" w:eastAsia="Calibri" w:hAnsi="Calibri"/>
                <w:sz w:val="11"/>
                <w:szCs w:val="11"/>
                <w:color w:val="auto"/>
              </w:rPr>
              <w:t>1,245,069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40"/>
              <w:spacing w:after="0"/>
              <w:rPr>
                <w:sz w:val="20"/>
                <w:szCs w:val="20"/>
                <w:color w:val="auto"/>
              </w:rPr>
            </w:pPr>
            <w:r>
              <w:rPr>
                <w:rFonts w:ascii="Calibri" w:cs="Calibri" w:eastAsia="Calibri" w:hAnsi="Calibri"/>
                <w:sz w:val="11"/>
                <w:szCs w:val="11"/>
                <w:color w:val="auto"/>
              </w:rPr>
              <w:t>Equity Incentve Plan</w:t>
            </w:r>
          </w:p>
        </w:tc>
        <w:tc>
          <w:tcPr>
            <w:tcW w:w="880" w:type="dxa"/>
            <w:vAlign w:val="bottom"/>
          </w:tcPr>
          <w:p>
            <w:pPr>
              <w:jc w:val="right"/>
              <w:spacing w:after="0"/>
              <w:rPr>
                <w:sz w:val="20"/>
                <w:szCs w:val="20"/>
                <w:color w:val="auto"/>
              </w:rPr>
            </w:pPr>
            <w:r>
              <w:rPr>
                <w:rFonts w:ascii="Calibri" w:cs="Calibri" w:eastAsia="Calibri" w:hAnsi="Calibri"/>
                <w:sz w:val="11"/>
                <w:szCs w:val="11"/>
                <w:color w:val="auto"/>
              </w:rPr>
              <w:t>5/20/2021</w:t>
            </w:r>
          </w:p>
        </w:tc>
        <w:tc>
          <w:tcPr>
            <w:tcW w:w="980" w:type="dxa"/>
            <w:vAlign w:val="bottom"/>
          </w:tcPr>
          <w:p>
            <w:pPr>
              <w:jc w:val="right"/>
              <w:spacing w:after="0"/>
              <w:rPr>
                <w:sz w:val="20"/>
                <w:szCs w:val="20"/>
                <w:color w:val="auto"/>
              </w:rPr>
            </w:pPr>
            <w:r>
              <w:rPr>
                <w:rFonts w:ascii="Calibri" w:cs="Calibri" w:eastAsia="Calibri" w:hAnsi="Calibri"/>
                <w:sz w:val="11"/>
                <w:szCs w:val="11"/>
                <w:color w:val="auto"/>
              </w:rPr>
              <w:t>5/18/2021</w:t>
            </w:r>
          </w:p>
        </w:tc>
        <w:tc>
          <w:tcPr>
            <w:tcW w:w="780" w:type="dxa"/>
            <w:vAlign w:val="bottom"/>
          </w:tcPr>
          <w:p>
            <w:pPr>
              <w:spacing w:after="0"/>
              <w:rPr>
                <w:sz w:val="13"/>
                <w:szCs w:val="13"/>
                <w:color w:val="auto"/>
              </w:rPr>
            </w:pPr>
          </w:p>
        </w:tc>
        <w:tc>
          <w:tcPr>
            <w:tcW w:w="340" w:type="dxa"/>
            <w:vAlign w:val="bottom"/>
          </w:tcPr>
          <w:p>
            <w:pPr>
              <w:ind w:left="60"/>
              <w:spacing w:after="0"/>
              <w:rPr>
                <w:sz w:val="20"/>
                <w:szCs w:val="20"/>
                <w:color w:val="auto"/>
              </w:rPr>
            </w:pPr>
            <w:r>
              <w:rPr>
                <w:rFonts w:ascii="Calibri" w:cs="Calibri" w:eastAsia="Calibri" w:hAnsi="Calibri"/>
                <w:sz w:val="11"/>
                <w:szCs w:val="11"/>
                <w:color w:val="auto"/>
              </w:rPr>
              <w:t>—</w:t>
            </w:r>
          </w:p>
        </w:tc>
        <w:tc>
          <w:tcPr>
            <w:tcW w:w="1100" w:type="dxa"/>
            <w:vAlign w:val="bottom"/>
          </w:tcPr>
          <w:p>
            <w:pPr>
              <w:jc w:val="right"/>
              <w:ind w:right="247"/>
              <w:spacing w:after="0"/>
              <w:rPr>
                <w:sz w:val="20"/>
                <w:szCs w:val="20"/>
                <w:color w:val="auto"/>
              </w:rPr>
            </w:pPr>
            <w:r>
              <w:rPr>
                <w:rFonts w:ascii="Calibri" w:cs="Calibri" w:eastAsia="Calibri" w:hAnsi="Calibri"/>
                <w:sz w:val="11"/>
                <w:szCs w:val="11"/>
                <w:color w:val="auto"/>
              </w:rPr>
              <w:t>—</w:t>
            </w:r>
          </w:p>
        </w:tc>
        <w:tc>
          <w:tcPr>
            <w:tcW w:w="960" w:type="dxa"/>
            <w:vAlign w:val="bottom"/>
            <w:gridSpan w:val="2"/>
          </w:tcPr>
          <w:p>
            <w:pPr>
              <w:ind w:left="580"/>
              <w:spacing w:after="0"/>
              <w:rPr>
                <w:sz w:val="20"/>
                <w:szCs w:val="20"/>
                <w:color w:val="auto"/>
              </w:rPr>
            </w:pPr>
            <w:r>
              <w:rPr>
                <w:rFonts w:ascii="Calibri" w:cs="Calibri" w:eastAsia="Calibri" w:hAnsi="Calibri"/>
                <w:sz w:val="11"/>
                <w:szCs w:val="11"/>
                <w:color w:val="auto"/>
              </w:rPr>
              <w:t>—</w:t>
            </w:r>
          </w:p>
        </w:tc>
        <w:tc>
          <w:tcPr>
            <w:tcW w:w="1040" w:type="dxa"/>
            <w:vAlign w:val="bottom"/>
          </w:tcPr>
          <w:p>
            <w:pPr>
              <w:jc w:val="right"/>
              <w:ind w:right="67"/>
              <w:spacing w:after="0"/>
              <w:rPr>
                <w:sz w:val="20"/>
                <w:szCs w:val="20"/>
                <w:color w:val="auto"/>
              </w:rPr>
            </w:pPr>
            <w:r>
              <w:rPr>
                <w:rFonts w:ascii="Calibri" w:cs="Calibri" w:eastAsia="Calibri" w:hAnsi="Calibri"/>
                <w:sz w:val="11"/>
                <w:szCs w:val="11"/>
                <w:color w:val="auto"/>
              </w:rPr>
              <w:t>—</w:t>
            </w:r>
          </w:p>
        </w:tc>
        <w:tc>
          <w:tcPr>
            <w:tcW w:w="1100" w:type="dxa"/>
            <w:vAlign w:val="bottom"/>
          </w:tcPr>
          <w:p>
            <w:pPr>
              <w:jc w:val="right"/>
              <w:ind w:right="187"/>
              <w:spacing w:after="0"/>
              <w:rPr>
                <w:sz w:val="20"/>
                <w:szCs w:val="20"/>
                <w:color w:val="auto"/>
              </w:rPr>
            </w:pPr>
            <w:r>
              <w:rPr>
                <w:rFonts w:ascii="Calibri" w:cs="Calibri" w:eastAsia="Calibri" w:hAnsi="Calibri"/>
                <w:sz w:val="11"/>
                <w:szCs w:val="11"/>
                <w:color w:val="auto"/>
              </w:rPr>
              <w:t>—</w:t>
            </w:r>
          </w:p>
        </w:tc>
        <w:tc>
          <w:tcPr>
            <w:tcW w:w="800" w:type="dxa"/>
            <w:vAlign w:val="bottom"/>
          </w:tcPr>
          <w:p>
            <w:pPr>
              <w:jc w:val="right"/>
              <w:spacing w:after="0"/>
              <w:rPr>
                <w:sz w:val="20"/>
                <w:szCs w:val="20"/>
                <w:color w:val="auto"/>
              </w:rPr>
            </w:pPr>
            <w:r>
              <w:rPr>
                <w:rFonts w:ascii="Calibri" w:cs="Calibri" w:eastAsia="Calibri" w:hAnsi="Calibri"/>
                <w:sz w:val="11"/>
                <w:szCs w:val="11"/>
                <w:color w:val="auto"/>
              </w:rPr>
              <w:t>—</w:t>
            </w:r>
          </w:p>
        </w:tc>
        <w:tc>
          <w:tcPr>
            <w:tcW w:w="1080" w:type="dxa"/>
            <w:vAlign w:val="bottom"/>
          </w:tcPr>
          <w:p>
            <w:pPr>
              <w:jc w:val="right"/>
              <w:ind w:right="88"/>
              <w:spacing w:after="0"/>
              <w:rPr>
                <w:sz w:val="20"/>
                <w:szCs w:val="20"/>
                <w:color w:val="auto"/>
              </w:rPr>
            </w:pPr>
            <w:r>
              <w:rPr>
                <w:rFonts w:ascii="Calibri" w:cs="Calibri" w:eastAsia="Calibri" w:hAnsi="Calibri"/>
                <w:sz w:val="11"/>
                <w:szCs w:val="11"/>
                <w:color w:val="auto"/>
              </w:rPr>
              <w:t>830,037</w:t>
            </w:r>
          </w:p>
        </w:tc>
        <w:tc>
          <w:tcPr>
            <w:tcW w:w="900" w:type="dxa"/>
            <w:vAlign w:val="bottom"/>
          </w:tcPr>
          <w:p>
            <w:pPr>
              <w:jc w:val="right"/>
              <w:ind w:right="9"/>
              <w:spacing w:after="0"/>
              <w:rPr>
                <w:sz w:val="20"/>
                <w:szCs w:val="20"/>
                <w:color w:val="auto"/>
              </w:rPr>
            </w:pPr>
            <w:r>
              <w:rPr>
                <w:rFonts w:ascii="Calibri" w:cs="Calibri" w:eastAsia="Calibri" w:hAnsi="Calibri"/>
                <w:sz w:val="11"/>
                <w:szCs w:val="11"/>
                <w:color w:val="auto"/>
              </w:rPr>
              <w:t>830,037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1280" w:type="dxa"/>
            <w:vAlign w:val="bottom"/>
            <w:shd w:val="clear" w:color="auto" w:fill="CCEEFF"/>
          </w:tcPr>
          <w:p>
            <w:pPr>
              <w:ind w:left="40"/>
              <w:spacing w:after="0" w:line="133" w:lineRule="exact"/>
              <w:rPr>
                <w:sz w:val="20"/>
                <w:szCs w:val="20"/>
                <w:color w:val="auto"/>
              </w:rPr>
            </w:pPr>
            <w:r>
              <w:rPr>
                <w:rFonts w:ascii="Calibri" w:cs="Calibri" w:eastAsia="Calibri" w:hAnsi="Calibri"/>
                <w:sz w:val="11"/>
                <w:szCs w:val="11"/>
                <w:b w:val="1"/>
                <w:bCs w:val="1"/>
                <w:color w:val="auto"/>
              </w:rPr>
              <w:t>Karen M. Dahut</w:t>
            </w:r>
          </w:p>
        </w:tc>
        <w:tc>
          <w:tcPr>
            <w:tcW w:w="8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CEEFF"/>
          </w:tcPr>
          <w:p>
            <w:pPr>
              <w:ind w:left="40"/>
              <w:spacing w:after="0"/>
              <w:rPr>
                <w:sz w:val="20"/>
                <w:szCs w:val="20"/>
                <w:color w:val="auto"/>
              </w:rPr>
            </w:pPr>
            <w:r>
              <w:rPr>
                <w:rFonts w:ascii="Calibri" w:cs="Calibri" w:eastAsia="Calibri" w:hAnsi="Calibri"/>
                <w:sz w:val="11"/>
                <w:szCs w:val="11"/>
                <w:color w:val="auto"/>
              </w:rPr>
              <w:t>Annual Incentve Plan</w:t>
            </w:r>
          </w:p>
        </w:tc>
        <w:tc>
          <w:tcPr>
            <w:tcW w:w="8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rPr>
              <w:t>5/18/2021</w:t>
            </w: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ind w:left="60"/>
              <w:spacing w:after="0"/>
              <w:rPr>
                <w:sz w:val="20"/>
                <w:szCs w:val="20"/>
                <w:color w:val="auto"/>
              </w:rPr>
            </w:pPr>
            <w:r>
              <w:rPr>
                <w:rFonts w:ascii="Calibri" w:cs="Calibri" w:eastAsia="Calibri" w:hAnsi="Calibri"/>
                <w:sz w:val="11"/>
                <w:szCs w:val="11"/>
                <w:color w:val="auto"/>
              </w:rPr>
              <w:t>—</w:t>
            </w:r>
          </w:p>
        </w:tc>
        <w:tc>
          <w:tcPr>
            <w:tcW w:w="1100" w:type="dxa"/>
            <w:vAlign w:val="bottom"/>
            <w:shd w:val="clear" w:color="auto" w:fill="CCEEFF"/>
          </w:tcPr>
          <w:p>
            <w:pPr>
              <w:jc w:val="right"/>
              <w:ind w:right="247"/>
              <w:spacing w:after="0"/>
              <w:rPr>
                <w:sz w:val="20"/>
                <w:szCs w:val="20"/>
                <w:color w:val="auto"/>
              </w:rPr>
            </w:pPr>
            <w:r>
              <w:rPr>
                <w:rFonts w:ascii="Calibri" w:cs="Calibri" w:eastAsia="Calibri" w:hAnsi="Calibri"/>
                <w:sz w:val="11"/>
                <w:szCs w:val="11"/>
                <w:color w:val="auto"/>
              </w:rPr>
              <w:t>500,000</w:t>
            </w:r>
          </w:p>
        </w:tc>
        <w:tc>
          <w:tcPr>
            <w:tcW w:w="960" w:type="dxa"/>
            <w:vAlign w:val="bottom"/>
            <w:gridSpan w:val="2"/>
            <w:shd w:val="clear" w:color="auto" w:fill="CCEEFF"/>
          </w:tcPr>
          <w:p>
            <w:pPr>
              <w:ind w:left="580"/>
              <w:spacing w:after="0"/>
              <w:rPr>
                <w:sz w:val="20"/>
                <w:szCs w:val="20"/>
                <w:color w:val="auto"/>
              </w:rPr>
            </w:pPr>
            <w:r>
              <w:rPr>
                <w:rFonts w:ascii="Calibri" w:cs="Calibri" w:eastAsia="Calibri" w:hAnsi="Calibri"/>
                <w:sz w:val="11"/>
                <w:szCs w:val="11"/>
                <w:color w:val="auto"/>
              </w:rPr>
              <w:t>—</w:t>
            </w:r>
          </w:p>
        </w:tc>
        <w:tc>
          <w:tcPr>
            <w:tcW w:w="1040" w:type="dxa"/>
            <w:vAlign w:val="bottom"/>
            <w:shd w:val="clear" w:color="auto" w:fill="CCEEFF"/>
          </w:tcPr>
          <w:p>
            <w:pPr>
              <w:jc w:val="right"/>
              <w:ind w:right="67"/>
              <w:spacing w:after="0"/>
              <w:rPr>
                <w:sz w:val="20"/>
                <w:szCs w:val="20"/>
                <w:color w:val="auto"/>
              </w:rPr>
            </w:pPr>
            <w:r>
              <w:rPr>
                <w:rFonts w:ascii="Calibri" w:cs="Calibri" w:eastAsia="Calibri" w:hAnsi="Calibri"/>
                <w:sz w:val="11"/>
                <w:szCs w:val="11"/>
                <w:color w:val="auto"/>
              </w:rPr>
              <w:t>—</w:t>
            </w:r>
          </w:p>
        </w:tc>
        <w:tc>
          <w:tcPr>
            <w:tcW w:w="1100" w:type="dxa"/>
            <w:vAlign w:val="bottom"/>
            <w:shd w:val="clear" w:color="auto" w:fill="CCEEFF"/>
          </w:tcPr>
          <w:p>
            <w:pPr>
              <w:jc w:val="right"/>
              <w:ind w:right="187"/>
              <w:spacing w:after="0"/>
              <w:rPr>
                <w:sz w:val="20"/>
                <w:szCs w:val="20"/>
                <w:color w:val="auto"/>
              </w:rPr>
            </w:pPr>
            <w:r>
              <w:rPr>
                <w:rFonts w:ascii="Calibri" w:cs="Calibri" w:eastAsia="Calibri" w:hAnsi="Calibri"/>
                <w:sz w:val="11"/>
                <w:szCs w:val="11"/>
                <w:color w:val="auto"/>
              </w:rPr>
              <w:t>—</w:t>
            </w:r>
          </w:p>
        </w:tc>
        <w:tc>
          <w:tcPr>
            <w:tcW w:w="80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rPr>
              <w:t>—</w:t>
            </w:r>
          </w:p>
        </w:tc>
        <w:tc>
          <w:tcPr>
            <w:tcW w:w="1080" w:type="dxa"/>
            <w:vAlign w:val="bottom"/>
            <w:shd w:val="clear" w:color="auto" w:fill="CCEEFF"/>
          </w:tcPr>
          <w:p>
            <w:pPr>
              <w:jc w:val="right"/>
              <w:ind w:right="88"/>
              <w:spacing w:after="0"/>
              <w:rPr>
                <w:sz w:val="20"/>
                <w:szCs w:val="20"/>
                <w:color w:val="auto"/>
              </w:rPr>
            </w:pPr>
            <w:r>
              <w:rPr>
                <w:rFonts w:ascii="Calibri" w:cs="Calibri" w:eastAsia="Calibri" w:hAnsi="Calibri"/>
                <w:sz w:val="11"/>
                <w:szCs w:val="11"/>
                <w:color w:val="auto"/>
              </w:rPr>
              <w:t>—</w:t>
            </w:r>
          </w:p>
        </w:tc>
        <w:tc>
          <w:tcPr>
            <w:tcW w:w="900" w:type="dxa"/>
            <w:vAlign w:val="bottom"/>
            <w:shd w:val="clear" w:color="auto" w:fill="CCEEFF"/>
          </w:tcPr>
          <w:p>
            <w:pPr>
              <w:jc w:val="right"/>
              <w:ind w:right="9"/>
              <w:spacing w:after="0"/>
              <w:rPr>
                <w:sz w:val="20"/>
                <w:szCs w:val="20"/>
                <w:color w:val="auto"/>
              </w:rPr>
            </w:pPr>
            <w:r>
              <w:rPr>
                <w:rFonts w:ascii="Calibri" w:cs="Calibri" w:eastAsia="Calibri" w:hAnsi="Calibri"/>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CEEFF"/>
          </w:tcPr>
          <w:p>
            <w:pPr>
              <w:ind w:left="40"/>
              <w:spacing w:after="0"/>
              <w:rPr>
                <w:sz w:val="20"/>
                <w:szCs w:val="20"/>
                <w:color w:val="auto"/>
              </w:rPr>
            </w:pPr>
            <w:r>
              <w:rPr>
                <w:rFonts w:ascii="Calibri" w:cs="Calibri" w:eastAsia="Calibri" w:hAnsi="Calibri"/>
                <w:sz w:val="11"/>
                <w:szCs w:val="11"/>
                <w:color w:val="auto"/>
              </w:rPr>
              <w:t>Equity Incentve Plan</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rPr>
              <w:t>7/27/2021</w:t>
            </w:r>
          </w:p>
        </w:tc>
        <w:tc>
          <w:tcPr>
            <w:tcW w:w="98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rPr>
              <w:t>7/27/2021</w:t>
            </w: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ind w:left="60"/>
              <w:spacing w:after="0"/>
              <w:rPr>
                <w:sz w:val="20"/>
                <w:szCs w:val="20"/>
                <w:color w:val="auto"/>
              </w:rPr>
            </w:pPr>
            <w:r>
              <w:rPr>
                <w:rFonts w:ascii="Calibri" w:cs="Calibri" w:eastAsia="Calibri" w:hAnsi="Calibri"/>
                <w:sz w:val="11"/>
                <w:szCs w:val="11"/>
                <w:color w:val="auto"/>
              </w:rPr>
              <w:t>—</w:t>
            </w:r>
          </w:p>
        </w:tc>
        <w:tc>
          <w:tcPr>
            <w:tcW w:w="1100" w:type="dxa"/>
            <w:vAlign w:val="bottom"/>
            <w:shd w:val="clear" w:color="auto" w:fill="CCEEFF"/>
          </w:tcPr>
          <w:p>
            <w:pPr>
              <w:jc w:val="right"/>
              <w:ind w:right="247"/>
              <w:spacing w:after="0"/>
              <w:rPr>
                <w:sz w:val="20"/>
                <w:szCs w:val="20"/>
                <w:color w:val="auto"/>
              </w:rPr>
            </w:pPr>
            <w:r>
              <w:rPr>
                <w:rFonts w:ascii="Calibri" w:cs="Calibri" w:eastAsia="Calibri" w:hAnsi="Calibri"/>
                <w:sz w:val="11"/>
                <w:szCs w:val="11"/>
                <w:color w:val="auto"/>
              </w:rPr>
              <w:t>—</w:t>
            </w:r>
          </w:p>
        </w:tc>
        <w:tc>
          <w:tcPr>
            <w:tcW w:w="960" w:type="dxa"/>
            <w:vAlign w:val="bottom"/>
            <w:gridSpan w:val="2"/>
            <w:shd w:val="clear" w:color="auto" w:fill="CCEEFF"/>
          </w:tcPr>
          <w:p>
            <w:pPr>
              <w:ind w:left="580"/>
              <w:spacing w:after="0"/>
              <w:rPr>
                <w:sz w:val="20"/>
                <w:szCs w:val="20"/>
                <w:color w:val="auto"/>
              </w:rPr>
            </w:pPr>
            <w:r>
              <w:rPr>
                <w:rFonts w:ascii="Calibri" w:cs="Calibri" w:eastAsia="Calibri" w:hAnsi="Calibri"/>
                <w:sz w:val="11"/>
                <w:szCs w:val="11"/>
                <w:color w:val="auto"/>
              </w:rPr>
              <w:t>—</w:t>
            </w:r>
          </w:p>
        </w:tc>
        <w:tc>
          <w:tcPr>
            <w:tcW w:w="1040" w:type="dxa"/>
            <w:vAlign w:val="bottom"/>
            <w:shd w:val="clear" w:color="auto" w:fill="CCEEFF"/>
          </w:tcPr>
          <w:p>
            <w:pPr>
              <w:jc w:val="right"/>
              <w:ind w:right="67"/>
              <w:spacing w:after="0"/>
              <w:rPr>
                <w:sz w:val="20"/>
                <w:szCs w:val="20"/>
                <w:color w:val="auto"/>
              </w:rPr>
            </w:pPr>
            <w:r>
              <w:rPr>
                <w:rFonts w:ascii="Calibri" w:cs="Calibri" w:eastAsia="Calibri" w:hAnsi="Calibri"/>
                <w:sz w:val="11"/>
                <w:szCs w:val="11"/>
                <w:color w:val="auto"/>
              </w:rPr>
              <w:t>609,083</w:t>
            </w:r>
          </w:p>
        </w:tc>
        <w:tc>
          <w:tcPr>
            <w:tcW w:w="1100" w:type="dxa"/>
            <w:vAlign w:val="bottom"/>
            <w:shd w:val="clear" w:color="auto" w:fill="CCEEFF"/>
          </w:tcPr>
          <w:p>
            <w:pPr>
              <w:jc w:val="right"/>
              <w:ind w:right="167"/>
              <w:spacing w:after="0"/>
              <w:rPr>
                <w:sz w:val="20"/>
                <w:szCs w:val="20"/>
                <w:color w:val="auto"/>
              </w:rPr>
            </w:pPr>
            <w:r>
              <w:rPr>
                <w:rFonts w:ascii="Calibri" w:cs="Calibri" w:eastAsia="Calibri" w:hAnsi="Calibri"/>
                <w:sz w:val="11"/>
                <w:szCs w:val="11"/>
                <w:color w:val="auto"/>
              </w:rPr>
              <w:t>1,245,069</w:t>
            </w:r>
          </w:p>
        </w:tc>
        <w:tc>
          <w:tcPr>
            <w:tcW w:w="80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rPr>
              <w:t>2,679,911</w:t>
            </w:r>
          </w:p>
        </w:tc>
        <w:tc>
          <w:tcPr>
            <w:tcW w:w="1080" w:type="dxa"/>
            <w:vAlign w:val="bottom"/>
            <w:shd w:val="clear" w:color="auto" w:fill="CCEEFF"/>
          </w:tcPr>
          <w:p>
            <w:pPr>
              <w:jc w:val="right"/>
              <w:ind w:right="88"/>
              <w:spacing w:after="0"/>
              <w:rPr>
                <w:sz w:val="20"/>
                <w:szCs w:val="20"/>
                <w:color w:val="auto"/>
              </w:rPr>
            </w:pPr>
            <w:r>
              <w:rPr>
                <w:rFonts w:ascii="Calibri" w:cs="Calibri" w:eastAsia="Calibri" w:hAnsi="Calibri"/>
                <w:sz w:val="11"/>
                <w:szCs w:val="11"/>
                <w:color w:val="auto"/>
              </w:rPr>
              <w:t>—</w:t>
            </w:r>
          </w:p>
        </w:tc>
        <w:tc>
          <w:tcPr>
            <w:tcW w:w="900" w:type="dxa"/>
            <w:vAlign w:val="bottom"/>
            <w:shd w:val="clear" w:color="auto" w:fill="CCEEFF"/>
          </w:tcPr>
          <w:p>
            <w:pPr>
              <w:jc w:val="right"/>
              <w:ind w:right="9"/>
              <w:spacing w:after="0"/>
              <w:rPr>
                <w:sz w:val="20"/>
                <w:szCs w:val="20"/>
                <w:color w:val="auto"/>
              </w:rPr>
            </w:pPr>
            <w:r>
              <w:rPr>
                <w:rFonts w:ascii="Calibri" w:cs="Calibri" w:eastAsia="Calibri" w:hAnsi="Calibri"/>
                <w:sz w:val="11"/>
                <w:szCs w:val="11"/>
                <w:color w:val="auto"/>
              </w:rPr>
              <w:t>1,245,069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280" w:type="dxa"/>
            <w:vAlign w:val="bottom"/>
            <w:tcBorders>
              <w:bottom w:val="single" w:sz="8" w:color="CCEEFF"/>
            </w:tcBorders>
            <w:shd w:val="clear" w:color="auto" w:fill="CCEEFF"/>
          </w:tcPr>
          <w:p>
            <w:pPr>
              <w:ind w:left="40"/>
              <w:spacing w:after="0"/>
              <w:rPr>
                <w:sz w:val="20"/>
                <w:szCs w:val="20"/>
                <w:color w:val="auto"/>
              </w:rPr>
            </w:pPr>
            <w:r>
              <w:rPr>
                <w:rFonts w:ascii="Calibri" w:cs="Calibri" w:eastAsia="Calibri" w:hAnsi="Calibri"/>
                <w:sz w:val="11"/>
                <w:szCs w:val="11"/>
                <w:color w:val="auto"/>
              </w:rPr>
              <w:t>Equity Incentve Plan</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5/20/2021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5/18/2021</w:t>
            </w:r>
          </w:p>
        </w:tc>
        <w:tc>
          <w:tcPr>
            <w:tcW w:w="7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Calibri" w:cs="Calibri" w:eastAsia="Calibri" w:hAnsi="Calibri"/>
                <w:sz w:val="11"/>
                <w:szCs w:val="11"/>
                <w:color w:val="auto"/>
              </w:rPr>
              <w:t>—</w:t>
            </w:r>
          </w:p>
        </w:tc>
        <w:tc>
          <w:tcPr>
            <w:tcW w:w="1100" w:type="dxa"/>
            <w:vAlign w:val="bottom"/>
            <w:tcBorders>
              <w:bottom w:val="single" w:sz="8" w:color="CCEEFF"/>
            </w:tcBorders>
            <w:shd w:val="clear" w:color="auto" w:fill="CCEEFF"/>
          </w:tcPr>
          <w:p>
            <w:pPr>
              <w:jc w:val="right"/>
              <w:ind w:right="247"/>
              <w:spacing w:after="0"/>
              <w:rPr>
                <w:sz w:val="20"/>
                <w:szCs w:val="20"/>
                <w:color w:val="auto"/>
              </w:rPr>
            </w:pPr>
            <w:r>
              <w:rPr>
                <w:rFonts w:ascii="Calibri" w:cs="Calibri" w:eastAsia="Calibri" w:hAnsi="Calibri"/>
                <w:sz w:val="11"/>
                <w:szCs w:val="11"/>
                <w:color w:val="auto"/>
              </w:rPr>
              <w:t>—</w:t>
            </w: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Calibri" w:cs="Calibri" w:eastAsia="Calibri" w:hAnsi="Calibri"/>
                <w:sz w:val="11"/>
                <w:szCs w:val="11"/>
                <w:color w:val="auto"/>
              </w:rPr>
              <w:t>—</w:t>
            </w:r>
          </w:p>
        </w:tc>
        <w:tc>
          <w:tcPr>
            <w:tcW w:w="1040" w:type="dxa"/>
            <w:vAlign w:val="bottom"/>
            <w:tcBorders>
              <w:bottom w:val="single" w:sz="8" w:color="CCEEFF"/>
            </w:tcBorders>
            <w:shd w:val="clear" w:color="auto" w:fill="CCEEFF"/>
          </w:tcPr>
          <w:p>
            <w:pPr>
              <w:jc w:val="right"/>
              <w:ind w:right="67"/>
              <w:spacing w:after="0"/>
              <w:rPr>
                <w:sz w:val="20"/>
                <w:szCs w:val="20"/>
                <w:color w:val="auto"/>
              </w:rPr>
            </w:pPr>
            <w:r>
              <w:rPr>
                <w:rFonts w:ascii="Calibri" w:cs="Calibri" w:eastAsia="Calibri" w:hAnsi="Calibri"/>
                <w:sz w:val="11"/>
                <w:szCs w:val="11"/>
                <w:color w:val="auto"/>
              </w:rPr>
              <w:t>—</w:t>
            </w:r>
          </w:p>
        </w:tc>
        <w:tc>
          <w:tcPr>
            <w:tcW w:w="1100" w:type="dxa"/>
            <w:vAlign w:val="bottom"/>
            <w:tcBorders>
              <w:bottom w:val="single" w:sz="8" w:color="CCEEFF"/>
            </w:tcBorders>
            <w:shd w:val="clear" w:color="auto" w:fill="CCEEFF"/>
          </w:tcPr>
          <w:p>
            <w:pPr>
              <w:jc w:val="right"/>
              <w:ind w:right="187"/>
              <w:spacing w:after="0"/>
              <w:rPr>
                <w:sz w:val="20"/>
                <w:szCs w:val="20"/>
                <w:color w:val="auto"/>
              </w:rPr>
            </w:pPr>
            <w:r>
              <w:rPr>
                <w:rFonts w:ascii="Calibri" w:cs="Calibri" w:eastAsia="Calibri" w:hAnsi="Calibri"/>
                <w:sz w:val="11"/>
                <w:szCs w:val="1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w:t>
            </w:r>
          </w:p>
        </w:tc>
        <w:tc>
          <w:tcPr>
            <w:tcW w:w="10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1"/>
                <w:szCs w:val="11"/>
                <w:color w:val="auto"/>
              </w:rPr>
              <w:t>830,037</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Calibri" w:cs="Calibri" w:eastAsia="Calibri" w:hAnsi="Calibri"/>
                <w:sz w:val="11"/>
                <w:szCs w:val="11"/>
                <w:color w:val="auto"/>
              </w:rPr>
              <w:t>830,037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280" w:type="dxa"/>
            <w:vAlign w:val="bottom"/>
          </w:tcPr>
          <w:p>
            <w:pPr>
              <w:ind w:left="40"/>
              <w:spacing w:after="0" w:line="133" w:lineRule="exact"/>
              <w:rPr>
                <w:sz w:val="20"/>
                <w:szCs w:val="20"/>
                <w:color w:val="auto"/>
              </w:rPr>
            </w:pPr>
            <w:r>
              <w:rPr>
                <w:rFonts w:ascii="Calibri" w:cs="Calibri" w:eastAsia="Calibri" w:hAnsi="Calibri"/>
                <w:sz w:val="11"/>
                <w:szCs w:val="11"/>
                <w:b w:val="1"/>
                <w:bCs w:val="1"/>
                <w:color w:val="auto"/>
              </w:rPr>
              <w:t>Nancy J. Laben</w:t>
            </w: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40"/>
              <w:spacing w:after="0"/>
              <w:rPr>
                <w:sz w:val="20"/>
                <w:szCs w:val="20"/>
                <w:color w:val="auto"/>
              </w:rPr>
            </w:pPr>
            <w:r>
              <w:rPr>
                <w:rFonts w:ascii="Calibri" w:cs="Calibri" w:eastAsia="Calibri" w:hAnsi="Calibri"/>
                <w:sz w:val="11"/>
                <w:szCs w:val="11"/>
                <w:color w:val="auto"/>
              </w:rPr>
              <w:t>Annual Incentve Plan</w:t>
            </w:r>
          </w:p>
        </w:tc>
        <w:tc>
          <w:tcPr>
            <w:tcW w:w="8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Calibri" w:cs="Calibri" w:eastAsia="Calibri" w:hAnsi="Calibri"/>
                <w:sz w:val="11"/>
                <w:szCs w:val="11"/>
                <w:color w:val="auto"/>
              </w:rPr>
              <w:t>5/18/2021</w:t>
            </w:r>
          </w:p>
        </w:tc>
        <w:tc>
          <w:tcPr>
            <w:tcW w:w="780" w:type="dxa"/>
            <w:vAlign w:val="bottom"/>
          </w:tcPr>
          <w:p>
            <w:pPr>
              <w:spacing w:after="0"/>
              <w:rPr>
                <w:sz w:val="13"/>
                <w:szCs w:val="13"/>
                <w:color w:val="auto"/>
              </w:rPr>
            </w:pPr>
          </w:p>
        </w:tc>
        <w:tc>
          <w:tcPr>
            <w:tcW w:w="340" w:type="dxa"/>
            <w:vAlign w:val="bottom"/>
          </w:tcPr>
          <w:p>
            <w:pPr>
              <w:ind w:left="60"/>
              <w:spacing w:after="0"/>
              <w:rPr>
                <w:sz w:val="20"/>
                <w:szCs w:val="20"/>
                <w:color w:val="auto"/>
              </w:rPr>
            </w:pPr>
            <w:r>
              <w:rPr>
                <w:rFonts w:ascii="Calibri" w:cs="Calibri" w:eastAsia="Calibri" w:hAnsi="Calibri"/>
                <w:sz w:val="11"/>
                <w:szCs w:val="11"/>
                <w:color w:val="auto"/>
              </w:rPr>
              <w:t>—</w:t>
            </w:r>
          </w:p>
        </w:tc>
        <w:tc>
          <w:tcPr>
            <w:tcW w:w="1100" w:type="dxa"/>
            <w:vAlign w:val="bottom"/>
          </w:tcPr>
          <w:p>
            <w:pPr>
              <w:jc w:val="right"/>
              <w:ind w:right="247"/>
              <w:spacing w:after="0"/>
              <w:rPr>
                <w:sz w:val="20"/>
                <w:szCs w:val="20"/>
                <w:color w:val="auto"/>
              </w:rPr>
            </w:pPr>
            <w:r>
              <w:rPr>
                <w:rFonts w:ascii="Calibri" w:cs="Calibri" w:eastAsia="Calibri" w:hAnsi="Calibri"/>
                <w:sz w:val="11"/>
                <w:szCs w:val="11"/>
                <w:color w:val="auto"/>
              </w:rPr>
              <w:t>475,000</w:t>
            </w:r>
          </w:p>
        </w:tc>
        <w:tc>
          <w:tcPr>
            <w:tcW w:w="960" w:type="dxa"/>
            <w:vAlign w:val="bottom"/>
            <w:gridSpan w:val="2"/>
          </w:tcPr>
          <w:p>
            <w:pPr>
              <w:ind w:left="580"/>
              <w:spacing w:after="0"/>
              <w:rPr>
                <w:sz w:val="20"/>
                <w:szCs w:val="20"/>
                <w:color w:val="auto"/>
              </w:rPr>
            </w:pPr>
            <w:r>
              <w:rPr>
                <w:rFonts w:ascii="Calibri" w:cs="Calibri" w:eastAsia="Calibri" w:hAnsi="Calibri"/>
                <w:sz w:val="11"/>
                <w:szCs w:val="11"/>
                <w:color w:val="auto"/>
              </w:rPr>
              <w:t>—</w:t>
            </w:r>
          </w:p>
        </w:tc>
        <w:tc>
          <w:tcPr>
            <w:tcW w:w="1040" w:type="dxa"/>
            <w:vAlign w:val="bottom"/>
          </w:tcPr>
          <w:p>
            <w:pPr>
              <w:jc w:val="right"/>
              <w:ind w:right="67"/>
              <w:spacing w:after="0"/>
              <w:rPr>
                <w:sz w:val="20"/>
                <w:szCs w:val="20"/>
                <w:color w:val="auto"/>
              </w:rPr>
            </w:pPr>
            <w:r>
              <w:rPr>
                <w:rFonts w:ascii="Calibri" w:cs="Calibri" w:eastAsia="Calibri" w:hAnsi="Calibri"/>
                <w:sz w:val="11"/>
                <w:szCs w:val="11"/>
                <w:color w:val="auto"/>
              </w:rPr>
              <w:t>—</w:t>
            </w:r>
          </w:p>
        </w:tc>
        <w:tc>
          <w:tcPr>
            <w:tcW w:w="1100" w:type="dxa"/>
            <w:vAlign w:val="bottom"/>
          </w:tcPr>
          <w:p>
            <w:pPr>
              <w:jc w:val="right"/>
              <w:ind w:right="187"/>
              <w:spacing w:after="0"/>
              <w:rPr>
                <w:sz w:val="20"/>
                <w:szCs w:val="20"/>
                <w:color w:val="auto"/>
              </w:rPr>
            </w:pPr>
            <w:r>
              <w:rPr>
                <w:rFonts w:ascii="Calibri" w:cs="Calibri" w:eastAsia="Calibri" w:hAnsi="Calibri"/>
                <w:sz w:val="11"/>
                <w:szCs w:val="11"/>
                <w:color w:val="auto"/>
              </w:rPr>
              <w:t>—</w:t>
            </w:r>
          </w:p>
        </w:tc>
        <w:tc>
          <w:tcPr>
            <w:tcW w:w="800" w:type="dxa"/>
            <w:vAlign w:val="bottom"/>
          </w:tcPr>
          <w:p>
            <w:pPr>
              <w:jc w:val="right"/>
              <w:spacing w:after="0"/>
              <w:rPr>
                <w:sz w:val="20"/>
                <w:szCs w:val="20"/>
                <w:color w:val="auto"/>
              </w:rPr>
            </w:pPr>
            <w:r>
              <w:rPr>
                <w:rFonts w:ascii="Calibri" w:cs="Calibri" w:eastAsia="Calibri" w:hAnsi="Calibri"/>
                <w:sz w:val="11"/>
                <w:szCs w:val="11"/>
                <w:color w:val="auto"/>
              </w:rPr>
              <w:t>—</w:t>
            </w:r>
          </w:p>
        </w:tc>
        <w:tc>
          <w:tcPr>
            <w:tcW w:w="1080" w:type="dxa"/>
            <w:vAlign w:val="bottom"/>
          </w:tcPr>
          <w:p>
            <w:pPr>
              <w:jc w:val="right"/>
              <w:ind w:right="88"/>
              <w:spacing w:after="0"/>
              <w:rPr>
                <w:sz w:val="20"/>
                <w:szCs w:val="20"/>
                <w:color w:val="auto"/>
              </w:rPr>
            </w:pPr>
            <w:r>
              <w:rPr>
                <w:rFonts w:ascii="Calibri" w:cs="Calibri" w:eastAsia="Calibri" w:hAnsi="Calibri"/>
                <w:sz w:val="11"/>
                <w:szCs w:val="11"/>
                <w:color w:val="auto"/>
              </w:rPr>
              <w:t>—</w:t>
            </w:r>
          </w:p>
        </w:tc>
        <w:tc>
          <w:tcPr>
            <w:tcW w:w="900" w:type="dxa"/>
            <w:vAlign w:val="bottom"/>
          </w:tcPr>
          <w:p>
            <w:pPr>
              <w:jc w:val="right"/>
              <w:ind w:right="9"/>
              <w:spacing w:after="0"/>
              <w:rPr>
                <w:sz w:val="20"/>
                <w:szCs w:val="20"/>
                <w:color w:val="auto"/>
              </w:rPr>
            </w:pPr>
            <w:r>
              <w:rPr>
                <w:rFonts w:ascii="Calibri" w:cs="Calibri" w:eastAsia="Calibri" w:hAnsi="Calibri"/>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40"/>
              <w:spacing w:after="0"/>
              <w:rPr>
                <w:sz w:val="20"/>
                <w:szCs w:val="20"/>
                <w:color w:val="auto"/>
              </w:rPr>
            </w:pPr>
            <w:r>
              <w:rPr>
                <w:rFonts w:ascii="Calibri" w:cs="Calibri" w:eastAsia="Calibri" w:hAnsi="Calibri"/>
                <w:sz w:val="11"/>
                <w:szCs w:val="11"/>
                <w:color w:val="auto"/>
              </w:rPr>
              <w:t>Equity Incentve Plan</w:t>
            </w:r>
          </w:p>
        </w:tc>
        <w:tc>
          <w:tcPr>
            <w:tcW w:w="880" w:type="dxa"/>
            <w:vAlign w:val="bottom"/>
          </w:tcPr>
          <w:p>
            <w:pPr>
              <w:jc w:val="right"/>
              <w:spacing w:after="0"/>
              <w:rPr>
                <w:sz w:val="20"/>
                <w:szCs w:val="20"/>
                <w:color w:val="auto"/>
              </w:rPr>
            </w:pPr>
            <w:r>
              <w:rPr>
                <w:rFonts w:ascii="Calibri" w:cs="Calibri" w:eastAsia="Calibri" w:hAnsi="Calibri"/>
                <w:sz w:val="11"/>
                <w:szCs w:val="11"/>
                <w:color w:val="auto"/>
              </w:rPr>
              <w:t>7/27/2021</w:t>
            </w:r>
          </w:p>
        </w:tc>
        <w:tc>
          <w:tcPr>
            <w:tcW w:w="980" w:type="dxa"/>
            <w:vAlign w:val="bottom"/>
          </w:tcPr>
          <w:p>
            <w:pPr>
              <w:jc w:val="right"/>
              <w:spacing w:after="0"/>
              <w:rPr>
                <w:sz w:val="20"/>
                <w:szCs w:val="20"/>
                <w:color w:val="auto"/>
              </w:rPr>
            </w:pPr>
            <w:r>
              <w:rPr>
                <w:rFonts w:ascii="Calibri" w:cs="Calibri" w:eastAsia="Calibri" w:hAnsi="Calibri"/>
                <w:sz w:val="11"/>
                <w:szCs w:val="11"/>
                <w:color w:val="auto"/>
              </w:rPr>
              <w:t>7/27/2021</w:t>
            </w:r>
          </w:p>
        </w:tc>
        <w:tc>
          <w:tcPr>
            <w:tcW w:w="780" w:type="dxa"/>
            <w:vAlign w:val="bottom"/>
          </w:tcPr>
          <w:p>
            <w:pPr>
              <w:spacing w:after="0"/>
              <w:rPr>
                <w:sz w:val="13"/>
                <w:szCs w:val="13"/>
                <w:color w:val="auto"/>
              </w:rPr>
            </w:pPr>
          </w:p>
        </w:tc>
        <w:tc>
          <w:tcPr>
            <w:tcW w:w="340" w:type="dxa"/>
            <w:vAlign w:val="bottom"/>
          </w:tcPr>
          <w:p>
            <w:pPr>
              <w:ind w:left="60"/>
              <w:spacing w:after="0"/>
              <w:rPr>
                <w:sz w:val="20"/>
                <w:szCs w:val="20"/>
                <w:color w:val="auto"/>
              </w:rPr>
            </w:pPr>
            <w:r>
              <w:rPr>
                <w:rFonts w:ascii="Calibri" w:cs="Calibri" w:eastAsia="Calibri" w:hAnsi="Calibri"/>
                <w:sz w:val="11"/>
                <w:szCs w:val="11"/>
                <w:color w:val="auto"/>
              </w:rPr>
              <w:t>—</w:t>
            </w:r>
          </w:p>
        </w:tc>
        <w:tc>
          <w:tcPr>
            <w:tcW w:w="1100" w:type="dxa"/>
            <w:vAlign w:val="bottom"/>
          </w:tcPr>
          <w:p>
            <w:pPr>
              <w:jc w:val="right"/>
              <w:ind w:right="247"/>
              <w:spacing w:after="0"/>
              <w:rPr>
                <w:sz w:val="20"/>
                <w:szCs w:val="20"/>
                <w:color w:val="auto"/>
              </w:rPr>
            </w:pPr>
            <w:r>
              <w:rPr>
                <w:rFonts w:ascii="Calibri" w:cs="Calibri" w:eastAsia="Calibri" w:hAnsi="Calibri"/>
                <w:sz w:val="11"/>
                <w:szCs w:val="11"/>
                <w:color w:val="auto"/>
              </w:rPr>
              <w:t>—</w:t>
            </w:r>
          </w:p>
        </w:tc>
        <w:tc>
          <w:tcPr>
            <w:tcW w:w="960" w:type="dxa"/>
            <w:vAlign w:val="bottom"/>
            <w:gridSpan w:val="2"/>
          </w:tcPr>
          <w:p>
            <w:pPr>
              <w:ind w:left="580"/>
              <w:spacing w:after="0"/>
              <w:rPr>
                <w:sz w:val="20"/>
                <w:szCs w:val="20"/>
                <w:color w:val="auto"/>
              </w:rPr>
            </w:pPr>
            <w:r>
              <w:rPr>
                <w:rFonts w:ascii="Calibri" w:cs="Calibri" w:eastAsia="Calibri" w:hAnsi="Calibri"/>
                <w:sz w:val="11"/>
                <w:szCs w:val="11"/>
                <w:color w:val="auto"/>
              </w:rPr>
              <w:t>—</w:t>
            </w:r>
          </w:p>
        </w:tc>
        <w:tc>
          <w:tcPr>
            <w:tcW w:w="1040" w:type="dxa"/>
            <w:vAlign w:val="bottom"/>
          </w:tcPr>
          <w:p>
            <w:pPr>
              <w:jc w:val="right"/>
              <w:ind w:right="67"/>
              <w:spacing w:after="0"/>
              <w:rPr>
                <w:sz w:val="20"/>
                <w:szCs w:val="20"/>
                <w:color w:val="auto"/>
              </w:rPr>
            </w:pPr>
            <w:r>
              <w:rPr>
                <w:rFonts w:ascii="Calibri" w:cs="Calibri" w:eastAsia="Calibri" w:hAnsi="Calibri"/>
                <w:sz w:val="11"/>
                <w:szCs w:val="11"/>
                <w:color w:val="auto"/>
              </w:rPr>
              <w:t>330,191</w:t>
            </w:r>
          </w:p>
        </w:tc>
        <w:tc>
          <w:tcPr>
            <w:tcW w:w="1100" w:type="dxa"/>
            <w:vAlign w:val="bottom"/>
          </w:tcPr>
          <w:p>
            <w:pPr>
              <w:jc w:val="right"/>
              <w:ind w:right="187"/>
              <w:spacing w:after="0"/>
              <w:rPr>
                <w:sz w:val="20"/>
                <w:szCs w:val="20"/>
                <w:color w:val="auto"/>
              </w:rPr>
            </w:pPr>
            <w:r>
              <w:rPr>
                <w:rFonts w:ascii="Calibri" w:cs="Calibri" w:eastAsia="Calibri" w:hAnsi="Calibri"/>
                <w:sz w:val="11"/>
                <w:szCs w:val="11"/>
                <w:color w:val="auto"/>
              </w:rPr>
              <w:t>675,056</w:t>
            </w:r>
          </w:p>
        </w:tc>
        <w:tc>
          <w:tcPr>
            <w:tcW w:w="800" w:type="dxa"/>
            <w:vAlign w:val="bottom"/>
          </w:tcPr>
          <w:p>
            <w:pPr>
              <w:jc w:val="right"/>
              <w:spacing w:after="0"/>
              <w:rPr>
                <w:sz w:val="20"/>
                <w:szCs w:val="20"/>
                <w:color w:val="auto"/>
              </w:rPr>
            </w:pPr>
            <w:r>
              <w:rPr>
                <w:rFonts w:ascii="Calibri" w:cs="Calibri" w:eastAsia="Calibri" w:hAnsi="Calibri"/>
                <w:sz w:val="11"/>
                <w:szCs w:val="11"/>
                <w:color w:val="auto"/>
              </w:rPr>
              <w:t>1,452,961</w:t>
            </w:r>
          </w:p>
        </w:tc>
        <w:tc>
          <w:tcPr>
            <w:tcW w:w="1080" w:type="dxa"/>
            <w:vAlign w:val="bottom"/>
          </w:tcPr>
          <w:p>
            <w:pPr>
              <w:jc w:val="right"/>
              <w:ind w:right="88"/>
              <w:spacing w:after="0"/>
              <w:rPr>
                <w:sz w:val="20"/>
                <w:szCs w:val="20"/>
                <w:color w:val="auto"/>
              </w:rPr>
            </w:pPr>
            <w:r>
              <w:rPr>
                <w:rFonts w:ascii="Calibri" w:cs="Calibri" w:eastAsia="Calibri" w:hAnsi="Calibri"/>
                <w:sz w:val="11"/>
                <w:szCs w:val="11"/>
                <w:color w:val="auto"/>
              </w:rPr>
              <w:t>—</w:t>
            </w:r>
          </w:p>
        </w:tc>
        <w:tc>
          <w:tcPr>
            <w:tcW w:w="900" w:type="dxa"/>
            <w:vAlign w:val="bottom"/>
          </w:tcPr>
          <w:p>
            <w:pPr>
              <w:jc w:val="right"/>
              <w:ind w:right="9"/>
              <w:spacing w:after="0"/>
              <w:rPr>
                <w:sz w:val="20"/>
                <w:szCs w:val="20"/>
                <w:color w:val="auto"/>
              </w:rPr>
            </w:pPr>
            <w:r>
              <w:rPr>
                <w:rFonts w:ascii="Calibri" w:cs="Calibri" w:eastAsia="Calibri" w:hAnsi="Calibri"/>
                <w:sz w:val="11"/>
                <w:szCs w:val="11"/>
                <w:color w:val="auto"/>
              </w:rPr>
              <w:t>675,056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40"/>
              <w:spacing w:after="0"/>
              <w:rPr>
                <w:sz w:val="20"/>
                <w:szCs w:val="20"/>
                <w:color w:val="auto"/>
              </w:rPr>
            </w:pPr>
            <w:r>
              <w:rPr>
                <w:rFonts w:ascii="Calibri" w:cs="Calibri" w:eastAsia="Calibri" w:hAnsi="Calibri"/>
                <w:sz w:val="11"/>
                <w:szCs w:val="11"/>
                <w:color w:val="auto"/>
              </w:rPr>
              <w:t>Equity Incentve Plan</w:t>
            </w:r>
          </w:p>
        </w:tc>
        <w:tc>
          <w:tcPr>
            <w:tcW w:w="880" w:type="dxa"/>
            <w:vAlign w:val="bottom"/>
          </w:tcPr>
          <w:p>
            <w:pPr>
              <w:jc w:val="right"/>
              <w:spacing w:after="0"/>
              <w:rPr>
                <w:sz w:val="20"/>
                <w:szCs w:val="20"/>
                <w:color w:val="auto"/>
              </w:rPr>
            </w:pPr>
            <w:r>
              <w:rPr>
                <w:rFonts w:ascii="Calibri" w:cs="Calibri" w:eastAsia="Calibri" w:hAnsi="Calibri"/>
                <w:sz w:val="11"/>
                <w:szCs w:val="11"/>
                <w:color w:val="auto"/>
              </w:rPr>
              <w:t>5/20/2021</w:t>
            </w:r>
          </w:p>
        </w:tc>
        <w:tc>
          <w:tcPr>
            <w:tcW w:w="980" w:type="dxa"/>
            <w:vAlign w:val="bottom"/>
          </w:tcPr>
          <w:p>
            <w:pPr>
              <w:jc w:val="right"/>
              <w:spacing w:after="0"/>
              <w:rPr>
                <w:sz w:val="20"/>
                <w:szCs w:val="20"/>
                <w:color w:val="auto"/>
              </w:rPr>
            </w:pPr>
            <w:r>
              <w:rPr>
                <w:rFonts w:ascii="Calibri" w:cs="Calibri" w:eastAsia="Calibri" w:hAnsi="Calibri"/>
                <w:sz w:val="11"/>
                <w:szCs w:val="11"/>
                <w:color w:val="auto"/>
              </w:rPr>
              <w:t>5/18/2021</w:t>
            </w:r>
          </w:p>
        </w:tc>
        <w:tc>
          <w:tcPr>
            <w:tcW w:w="780" w:type="dxa"/>
            <w:vAlign w:val="bottom"/>
          </w:tcPr>
          <w:p>
            <w:pPr>
              <w:spacing w:after="0"/>
              <w:rPr>
                <w:sz w:val="13"/>
                <w:szCs w:val="13"/>
                <w:color w:val="auto"/>
              </w:rPr>
            </w:pPr>
          </w:p>
        </w:tc>
        <w:tc>
          <w:tcPr>
            <w:tcW w:w="340" w:type="dxa"/>
            <w:vAlign w:val="bottom"/>
          </w:tcPr>
          <w:p>
            <w:pPr>
              <w:ind w:left="60"/>
              <w:spacing w:after="0"/>
              <w:rPr>
                <w:sz w:val="20"/>
                <w:szCs w:val="20"/>
                <w:color w:val="auto"/>
              </w:rPr>
            </w:pPr>
            <w:r>
              <w:rPr>
                <w:rFonts w:ascii="Calibri" w:cs="Calibri" w:eastAsia="Calibri" w:hAnsi="Calibri"/>
                <w:sz w:val="11"/>
                <w:szCs w:val="11"/>
                <w:color w:val="auto"/>
              </w:rPr>
              <w:t>—</w:t>
            </w:r>
          </w:p>
        </w:tc>
        <w:tc>
          <w:tcPr>
            <w:tcW w:w="1100" w:type="dxa"/>
            <w:vAlign w:val="bottom"/>
          </w:tcPr>
          <w:p>
            <w:pPr>
              <w:jc w:val="right"/>
              <w:ind w:right="247"/>
              <w:spacing w:after="0"/>
              <w:rPr>
                <w:sz w:val="20"/>
                <w:szCs w:val="20"/>
                <w:color w:val="auto"/>
              </w:rPr>
            </w:pPr>
            <w:r>
              <w:rPr>
                <w:rFonts w:ascii="Calibri" w:cs="Calibri" w:eastAsia="Calibri" w:hAnsi="Calibri"/>
                <w:sz w:val="11"/>
                <w:szCs w:val="11"/>
                <w:color w:val="auto"/>
              </w:rPr>
              <w:t>—</w:t>
            </w:r>
          </w:p>
        </w:tc>
        <w:tc>
          <w:tcPr>
            <w:tcW w:w="960" w:type="dxa"/>
            <w:vAlign w:val="bottom"/>
            <w:gridSpan w:val="2"/>
          </w:tcPr>
          <w:p>
            <w:pPr>
              <w:ind w:left="580"/>
              <w:spacing w:after="0"/>
              <w:rPr>
                <w:sz w:val="20"/>
                <w:szCs w:val="20"/>
                <w:color w:val="auto"/>
              </w:rPr>
            </w:pPr>
            <w:r>
              <w:rPr>
                <w:rFonts w:ascii="Calibri" w:cs="Calibri" w:eastAsia="Calibri" w:hAnsi="Calibri"/>
                <w:sz w:val="11"/>
                <w:szCs w:val="11"/>
                <w:color w:val="auto"/>
              </w:rPr>
              <w:t>—</w:t>
            </w:r>
          </w:p>
        </w:tc>
        <w:tc>
          <w:tcPr>
            <w:tcW w:w="1040" w:type="dxa"/>
            <w:vAlign w:val="bottom"/>
          </w:tcPr>
          <w:p>
            <w:pPr>
              <w:jc w:val="right"/>
              <w:ind w:right="67"/>
              <w:spacing w:after="0"/>
              <w:rPr>
                <w:sz w:val="20"/>
                <w:szCs w:val="20"/>
                <w:color w:val="auto"/>
              </w:rPr>
            </w:pPr>
            <w:r>
              <w:rPr>
                <w:rFonts w:ascii="Calibri" w:cs="Calibri" w:eastAsia="Calibri" w:hAnsi="Calibri"/>
                <w:sz w:val="11"/>
                <w:szCs w:val="11"/>
                <w:color w:val="auto"/>
              </w:rPr>
              <w:t>—</w:t>
            </w:r>
          </w:p>
        </w:tc>
        <w:tc>
          <w:tcPr>
            <w:tcW w:w="1100" w:type="dxa"/>
            <w:vAlign w:val="bottom"/>
          </w:tcPr>
          <w:p>
            <w:pPr>
              <w:jc w:val="right"/>
              <w:ind w:right="187"/>
              <w:spacing w:after="0"/>
              <w:rPr>
                <w:sz w:val="20"/>
                <w:szCs w:val="20"/>
                <w:color w:val="auto"/>
              </w:rPr>
            </w:pPr>
            <w:r>
              <w:rPr>
                <w:rFonts w:ascii="Calibri" w:cs="Calibri" w:eastAsia="Calibri" w:hAnsi="Calibri"/>
                <w:sz w:val="11"/>
                <w:szCs w:val="11"/>
                <w:color w:val="auto"/>
              </w:rPr>
              <w:t>—</w:t>
            </w:r>
          </w:p>
        </w:tc>
        <w:tc>
          <w:tcPr>
            <w:tcW w:w="800" w:type="dxa"/>
            <w:vAlign w:val="bottom"/>
          </w:tcPr>
          <w:p>
            <w:pPr>
              <w:jc w:val="right"/>
              <w:spacing w:after="0"/>
              <w:rPr>
                <w:sz w:val="20"/>
                <w:szCs w:val="20"/>
                <w:color w:val="auto"/>
              </w:rPr>
            </w:pPr>
            <w:r>
              <w:rPr>
                <w:rFonts w:ascii="Calibri" w:cs="Calibri" w:eastAsia="Calibri" w:hAnsi="Calibri"/>
                <w:sz w:val="11"/>
                <w:szCs w:val="11"/>
                <w:color w:val="auto"/>
              </w:rPr>
              <w:t>—</w:t>
            </w:r>
          </w:p>
        </w:tc>
        <w:tc>
          <w:tcPr>
            <w:tcW w:w="1080" w:type="dxa"/>
            <w:vAlign w:val="bottom"/>
          </w:tcPr>
          <w:p>
            <w:pPr>
              <w:jc w:val="right"/>
              <w:ind w:right="88"/>
              <w:spacing w:after="0"/>
              <w:rPr>
                <w:sz w:val="20"/>
                <w:szCs w:val="20"/>
                <w:color w:val="auto"/>
              </w:rPr>
            </w:pPr>
            <w:r>
              <w:rPr>
                <w:rFonts w:ascii="Calibri" w:cs="Calibri" w:eastAsia="Calibri" w:hAnsi="Calibri"/>
                <w:sz w:val="11"/>
                <w:szCs w:val="11"/>
                <w:color w:val="auto"/>
              </w:rPr>
              <w:t>450,017</w:t>
            </w:r>
          </w:p>
        </w:tc>
        <w:tc>
          <w:tcPr>
            <w:tcW w:w="900" w:type="dxa"/>
            <w:vAlign w:val="bottom"/>
          </w:tcPr>
          <w:p>
            <w:pPr>
              <w:jc w:val="right"/>
              <w:ind w:right="9"/>
              <w:spacing w:after="0"/>
              <w:rPr>
                <w:sz w:val="20"/>
                <w:szCs w:val="20"/>
                <w:color w:val="auto"/>
              </w:rPr>
            </w:pPr>
            <w:r>
              <w:rPr>
                <w:rFonts w:ascii="Calibri" w:cs="Calibri" w:eastAsia="Calibri" w:hAnsi="Calibri"/>
                <w:sz w:val="11"/>
                <w:szCs w:val="11"/>
                <w:color w:val="auto"/>
              </w:rPr>
              <w:t>450,017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1280" w:type="dxa"/>
            <w:vAlign w:val="bottom"/>
            <w:shd w:val="clear" w:color="auto" w:fill="CCEEFF"/>
          </w:tcPr>
          <w:p>
            <w:pPr>
              <w:ind w:left="40"/>
              <w:spacing w:after="0" w:line="133" w:lineRule="exact"/>
              <w:rPr>
                <w:sz w:val="20"/>
                <w:szCs w:val="20"/>
                <w:color w:val="auto"/>
              </w:rPr>
            </w:pPr>
            <w:r>
              <w:rPr>
                <w:rFonts w:ascii="Calibri" w:cs="Calibri" w:eastAsia="Calibri" w:hAnsi="Calibri"/>
                <w:sz w:val="11"/>
                <w:szCs w:val="11"/>
                <w:b w:val="1"/>
                <w:bCs w:val="1"/>
                <w:color w:val="auto"/>
              </w:rPr>
              <w:t>Susan L. Penfeld</w:t>
            </w:r>
          </w:p>
        </w:tc>
        <w:tc>
          <w:tcPr>
            <w:tcW w:w="8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CEEFF"/>
          </w:tcPr>
          <w:p>
            <w:pPr>
              <w:ind w:left="40"/>
              <w:spacing w:after="0"/>
              <w:rPr>
                <w:sz w:val="20"/>
                <w:szCs w:val="20"/>
                <w:color w:val="auto"/>
              </w:rPr>
            </w:pPr>
            <w:r>
              <w:rPr>
                <w:rFonts w:ascii="Calibri" w:cs="Calibri" w:eastAsia="Calibri" w:hAnsi="Calibri"/>
                <w:sz w:val="11"/>
                <w:szCs w:val="11"/>
                <w:color w:val="auto"/>
              </w:rPr>
              <w:t>Annual Incentve Plan</w:t>
            </w:r>
          </w:p>
        </w:tc>
        <w:tc>
          <w:tcPr>
            <w:tcW w:w="8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rPr>
              <w:t>5/18/2021</w:t>
            </w: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ind w:left="60"/>
              <w:spacing w:after="0"/>
              <w:rPr>
                <w:sz w:val="20"/>
                <w:szCs w:val="20"/>
                <w:color w:val="auto"/>
              </w:rPr>
            </w:pPr>
            <w:r>
              <w:rPr>
                <w:rFonts w:ascii="Calibri" w:cs="Calibri" w:eastAsia="Calibri" w:hAnsi="Calibri"/>
                <w:sz w:val="11"/>
                <w:szCs w:val="11"/>
                <w:color w:val="auto"/>
              </w:rPr>
              <w:t>—</w:t>
            </w:r>
          </w:p>
        </w:tc>
        <w:tc>
          <w:tcPr>
            <w:tcW w:w="1100" w:type="dxa"/>
            <w:vAlign w:val="bottom"/>
            <w:shd w:val="clear" w:color="auto" w:fill="CCEEFF"/>
          </w:tcPr>
          <w:p>
            <w:pPr>
              <w:jc w:val="right"/>
              <w:ind w:right="247"/>
              <w:spacing w:after="0"/>
              <w:rPr>
                <w:sz w:val="20"/>
                <w:szCs w:val="20"/>
                <w:color w:val="auto"/>
              </w:rPr>
            </w:pPr>
            <w:r>
              <w:rPr>
                <w:rFonts w:ascii="Calibri" w:cs="Calibri" w:eastAsia="Calibri" w:hAnsi="Calibri"/>
                <w:sz w:val="11"/>
                <w:szCs w:val="11"/>
                <w:color w:val="auto"/>
              </w:rPr>
              <w:t>425,000</w:t>
            </w:r>
          </w:p>
        </w:tc>
        <w:tc>
          <w:tcPr>
            <w:tcW w:w="960" w:type="dxa"/>
            <w:vAlign w:val="bottom"/>
            <w:gridSpan w:val="2"/>
            <w:shd w:val="clear" w:color="auto" w:fill="CCEEFF"/>
          </w:tcPr>
          <w:p>
            <w:pPr>
              <w:ind w:left="580"/>
              <w:spacing w:after="0"/>
              <w:rPr>
                <w:sz w:val="20"/>
                <w:szCs w:val="20"/>
                <w:color w:val="auto"/>
              </w:rPr>
            </w:pPr>
            <w:r>
              <w:rPr>
                <w:rFonts w:ascii="Calibri" w:cs="Calibri" w:eastAsia="Calibri" w:hAnsi="Calibri"/>
                <w:sz w:val="11"/>
                <w:szCs w:val="11"/>
                <w:color w:val="auto"/>
              </w:rPr>
              <w:t>—</w:t>
            </w:r>
          </w:p>
        </w:tc>
        <w:tc>
          <w:tcPr>
            <w:tcW w:w="1040" w:type="dxa"/>
            <w:vAlign w:val="bottom"/>
            <w:shd w:val="clear" w:color="auto" w:fill="CCEEFF"/>
          </w:tcPr>
          <w:p>
            <w:pPr>
              <w:jc w:val="right"/>
              <w:ind w:right="67"/>
              <w:spacing w:after="0"/>
              <w:rPr>
                <w:sz w:val="20"/>
                <w:szCs w:val="20"/>
                <w:color w:val="auto"/>
              </w:rPr>
            </w:pPr>
            <w:r>
              <w:rPr>
                <w:rFonts w:ascii="Calibri" w:cs="Calibri" w:eastAsia="Calibri" w:hAnsi="Calibri"/>
                <w:sz w:val="11"/>
                <w:szCs w:val="11"/>
                <w:color w:val="auto"/>
              </w:rPr>
              <w:t>—</w:t>
            </w:r>
          </w:p>
        </w:tc>
        <w:tc>
          <w:tcPr>
            <w:tcW w:w="1100" w:type="dxa"/>
            <w:vAlign w:val="bottom"/>
            <w:shd w:val="clear" w:color="auto" w:fill="CCEEFF"/>
          </w:tcPr>
          <w:p>
            <w:pPr>
              <w:jc w:val="right"/>
              <w:ind w:right="187"/>
              <w:spacing w:after="0"/>
              <w:rPr>
                <w:sz w:val="20"/>
                <w:szCs w:val="20"/>
                <w:color w:val="auto"/>
              </w:rPr>
            </w:pPr>
            <w:r>
              <w:rPr>
                <w:rFonts w:ascii="Calibri" w:cs="Calibri" w:eastAsia="Calibri" w:hAnsi="Calibri"/>
                <w:sz w:val="11"/>
                <w:szCs w:val="11"/>
                <w:color w:val="auto"/>
              </w:rPr>
              <w:t>—</w:t>
            </w:r>
          </w:p>
        </w:tc>
        <w:tc>
          <w:tcPr>
            <w:tcW w:w="80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rPr>
              <w:t>—</w:t>
            </w:r>
          </w:p>
        </w:tc>
        <w:tc>
          <w:tcPr>
            <w:tcW w:w="1080" w:type="dxa"/>
            <w:vAlign w:val="bottom"/>
            <w:shd w:val="clear" w:color="auto" w:fill="CCEEFF"/>
          </w:tcPr>
          <w:p>
            <w:pPr>
              <w:jc w:val="right"/>
              <w:ind w:right="88"/>
              <w:spacing w:after="0"/>
              <w:rPr>
                <w:sz w:val="20"/>
                <w:szCs w:val="20"/>
                <w:color w:val="auto"/>
              </w:rPr>
            </w:pPr>
            <w:r>
              <w:rPr>
                <w:rFonts w:ascii="Calibri" w:cs="Calibri" w:eastAsia="Calibri" w:hAnsi="Calibri"/>
                <w:sz w:val="11"/>
                <w:szCs w:val="11"/>
                <w:color w:val="auto"/>
              </w:rPr>
              <w:t>—</w:t>
            </w:r>
          </w:p>
        </w:tc>
        <w:tc>
          <w:tcPr>
            <w:tcW w:w="900" w:type="dxa"/>
            <w:vAlign w:val="bottom"/>
            <w:shd w:val="clear" w:color="auto" w:fill="CCEEFF"/>
          </w:tcPr>
          <w:p>
            <w:pPr>
              <w:jc w:val="right"/>
              <w:ind w:right="9"/>
              <w:spacing w:after="0"/>
              <w:rPr>
                <w:sz w:val="20"/>
                <w:szCs w:val="20"/>
                <w:color w:val="auto"/>
              </w:rPr>
            </w:pPr>
            <w:r>
              <w:rPr>
                <w:rFonts w:ascii="Calibri" w:cs="Calibri" w:eastAsia="Calibri" w:hAnsi="Calibri"/>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CEEFF"/>
          </w:tcPr>
          <w:p>
            <w:pPr>
              <w:ind w:left="40"/>
              <w:spacing w:after="0"/>
              <w:rPr>
                <w:sz w:val="20"/>
                <w:szCs w:val="20"/>
                <w:color w:val="auto"/>
              </w:rPr>
            </w:pPr>
            <w:r>
              <w:rPr>
                <w:rFonts w:ascii="Calibri" w:cs="Calibri" w:eastAsia="Calibri" w:hAnsi="Calibri"/>
                <w:sz w:val="11"/>
                <w:szCs w:val="11"/>
                <w:color w:val="auto"/>
              </w:rPr>
              <w:t>Equity Incentve Plan</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rPr>
              <w:t>7/27/2021</w:t>
            </w:r>
          </w:p>
        </w:tc>
        <w:tc>
          <w:tcPr>
            <w:tcW w:w="98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rPr>
              <w:t>7/27/2021</w:t>
            </w: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ind w:left="60"/>
              <w:spacing w:after="0"/>
              <w:rPr>
                <w:sz w:val="20"/>
                <w:szCs w:val="20"/>
                <w:color w:val="auto"/>
              </w:rPr>
            </w:pPr>
            <w:r>
              <w:rPr>
                <w:rFonts w:ascii="Calibri" w:cs="Calibri" w:eastAsia="Calibri" w:hAnsi="Calibri"/>
                <w:sz w:val="11"/>
                <w:szCs w:val="11"/>
                <w:color w:val="auto"/>
              </w:rPr>
              <w:t>—</w:t>
            </w:r>
          </w:p>
        </w:tc>
        <w:tc>
          <w:tcPr>
            <w:tcW w:w="1100" w:type="dxa"/>
            <w:vAlign w:val="bottom"/>
            <w:shd w:val="clear" w:color="auto" w:fill="CCEEFF"/>
          </w:tcPr>
          <w:p>
            <w:pPr>
              <w:jc w:val="right"/>
              <w:ind w:right="247"/>
              <w:spacing w:after="0"/>
              <w:rPr>
                <w:sz w:val="20"/>
                <w:szCs w:val="20"/>
                <w:color w:val="auto"/>
              </w:rPr>
            </w:pPr>
            <w:r>
              <w:rPr>
                <w:rFonts w:ascii="Calibri" w:cs="Calibri" w:eastAsia="Calibri" w:hAnsi="Calibri"/>
                <w:sz w:val="11"/>
                <w:szCs w:val="11"/>
                <w:color w:val="auto"/>
              </w:rPr>
              <w:t>—</w:t>
            </w:r>
          </w:p>
        </w:tc>
        <w:tc>
          <w:tcPr>
            <w:tcW w:w="960" w:type="dxa"/>
            <w:vAlign w:val="bottom"/>
            <w:gridSpan w:val="2"/>
            <w:shd w:val="clear" w:color="auto" w:fill="CCEEFF"/>
          </w:tcPr>
          <w:p>
            <w:pPr>
              <w:ind w:left="580"/>
              <w:spacing w:after="0"/>
              <w:rPr>
                <w:sz w:val="20"/>
                <w:szCs w:val="20"/>
                <w:color w:val="auto"/>
              </w:rPr>
            </w:pPr>
            <w:r>
              <w:rPr>
                <w:rFonts w:ascii="Calibri" w:cs="Calibri" w:eastAsia="Calibri" w:hAnsi="Calibri"/>
                <w:sz w:val="11"/>
                <w:szCs w:val="11"/>
                <w:color w:val="auto"/>
              </w:rPr>
              <w:t>—</w:t>
            </w:r>
          </w:p>
        </w:tc>
        <w:tc>
          <w:tcPr>
            <w:tcW w:w="1040" w:type="dxa"/>
            <w:vAlign w:val="bottom"/>
            <w:shd w:val="clear" w:color="auto" w:fill="CCEEFF"/>
          </w:tcPr>
          <w:p>
            <w:pPr>
              <w:jc w:val="right"/>
              <w:ind w:right="67"/>
              <w:spacing w:after="0"/>
              <w:rPr>
                <w:sz w:val="20"/>
                <w:szCs w:val="20"/>
                <w:color w:val="auto"/>
              </w:rPr>
            </w:pPr>
            <w:r>
              <w:rPr>
                <w:rFonts w:ascii="Calibri" w:cs="Calibri" w:eastAsia="Calibri" w:hAnsi="Calibri"/>
                <w:sz w:val="11"/>
                <w:szCs w:val="11"/>
                <w:color w:val="auto"/>
              </w:rPr>
              <w:t>300,852</w:t>
            </w:r>
          </w:p>
        </w:tc>
        <w:tc>
          <w:tcPr>
            <w:tcW w:w="1100" w:type="dxa"/>
            <w:vAlign w:val="bottom"/>
            <w:shd w:val="clear" w:color="auto" w:fill="CCEEFF"/>
          </w:tcPr>
          <w:p>
            <w:pPr>
              <w:jc w:val="right"/>
              <w:ind w:right="187"/>
              <w:spacing w:after="0"/>
              <w:rPr>
                <w:sz w:val="20"/>
                <w:szCs w:val="20"/>
                <w:color w:val="auto"/>
              </w:rPr>
            </w:pPr>
            <w:r>
              <w:rPr>
                <w:rFonts w:ascii="Calibri" w:cs="Calibri" w:eastAsia="Calibri" w:hAnsi="Calibri"/>
                <w:sz w:val="11"/>
                <w:szCs w:val="11"/>
                <w:color w:val="auto"/>
              </w:rPr>
              <w:t>615,083</w:t>
            </w:r>
          </w:p>
        </w:tc>
        <w:tc>
          <w:tcPr>
            <w:tcW w:w="80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rPr>
              <w:t>1,323,924</w:t>
            </w:r>
          </w:p>
        </w:tc>
        <w:tc>
          <w:tcPr>
            <w:tcW w:w="1080" w:type="dxa"/>
            <w:vAlign w:val="bottom"/>
            <w:shd w:val="clear" w:color="auto" w:fill="CCEEFF"/>
          </w:tcPr>
          <w:p>
            <w:pPr>
              <w:jc w:val="right"/>
              <w:ind w:right="88"/>
              <w:spacing w:after="0"/>
              <w:rPr>
                <w:sz w:val="20"/>
                <w:szCs w:val="20"/>
                <w:color w:val="auto"/>
              </w:rPr>
            </w:pPr>
            <w:r>
              <w:rPr>
                <w:rFonts w:ascii="Calibri" w:cs="Calibri" w:eastAsia="Calibri" w:hAnsi="Calibri"/>
                <w:sz w:val="11"/>
                <w:szCs w:val="11"/>
                <w:color w:val="auto"/>
              </w:rPr>
              <w:t>—</w:t>
            </w:r>
          </w:p>
        </w:tc>
        <w:tc>
          <w:tcPr>
            <w:tcW w:w="900" w:type="dxa"/>
            <w:vAlign w:val="bottom"/>
            <w:shd w:val="clear" w:color="auto" w:fill="CCEEFF"/>
          </w:tcPr>
          <w:p>
            <w:pPr>
              <w:jc w:val="right"/>
              <w:ind w:right="9"/>
              <w:spacing w:after="0"/>
              <w:rPr>
                <w:sz w:val="20"/>
                <w:szCs w:val="20"/>
                <w:color w:val="auto"/>
              </w:rPr>
            </w:pPr>
            <w:r>
              <w:rPr>
                <w:rFonts w:ascii="Calibri" w:cs="Calibri" w:eastAsia="Calibri" w:hAnsi="Calibri"/>
                <w:sz w:val="11"/>
                <w:szCs w:val="11"/>
                <w:color w:val="auto"/>
              </w:rPr>
              <w:t>615,083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CEEFF"/>
          </w:tcPr>
          <w:p>
            <w:pPr>
              <w:ind w:left="40"/>
              <w:spacing w:after="0"/>
              <w:rPr>
                <w:sz w:val="20"/>
                <w:szCs w:val="20"/>
                <w:color w:val="auto"/>
              </w:rPr>
            </w:pPr>
            <w:r>
              <w:rPr>
                <w:rFonts w:ascii="Calibri" w:cs="Calibri" w:eastAsia="Calibri" w:hAnsi="Calibri"/>
                <w:sz w:val="11"/>
                <w:szCs w:val="11"/>
                <w:color w:val="auto"/>
              </w:rPr>
              <w:t>Equity Incentve Plan</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rPr>
              <w:t>5/20/2021</w:t>
            </w:r>
          </w:p>
        </w:tc>
        <w:tc>
          <w:tcPr>
            <w:tcW w:w="98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rPr>
              <w:t>5/18/2021</w:t>
            </w: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ind w:left="60"/>
              <w:spacing w:after="0"/>
              <w:rPr>
                <w:sz w:val="20"/>
                <w:szCs w:val="20"/>
                <w:color w:val="auto"/>
              </w:rPr>
            </w:pPr>
            <w:r>
              <w:rPr>
                <w:rFonts w:ascii="Calibri" w:cs="Calibri" w:eastAsia="Calibri" w:hAnsi="Calibri"/>
                <w:sz w:val="11"/>
                <w:szCs w:val="11"/>
                <w:color w:val="auto"/>
              </w:rPr>
              <w:t>—</w:t>
            </w:r>
          </w:p>
        </w:tc>
        <w:tc>
          <w:tcPr>
            <w:tcW w:w="1100" w:type="dxa"/>
            <w:vAlign w:val="bottom"/>
            <w:shd w:val="clear" w:color="auto" w:fill="CCEEFF"/>
          </w:tcPr>
          <w:p>
            <w:pPr>
              <w:jc w:val="right"/>
              <w:ind w:right="247"/>
              <w:spacing w:after="0"/>
              <w:rPr>
                <w:sz w:val="20"/>
                <w:szCs w:val="20"/>
                <w:color w:val="auto"/>
              </w:rPr>
            </w:pPr>
            <w:r>
              <w:rPr>
                <w:rFonts w:ascii="Calibri" w:cs="Calibri" w:eastAsia="Calibri" w:hAnsi="Calibri"/>
                <w:sz w:val="11"/>
                <w:szCs w:val="11"/>
                <w:color w:val="auto"/>
              </w:rPr>
              <w:t>—</w:t>
            </w:r>
          </w:p>
        </w:tc>
        <w:tc>
          <w:tcPr>
            <w:tcW w:w="960" w:type="dxa"/>
            <w:vAlign w:val="bottom"/>
            <w:gridSpan w:val="2"/>
            <w:shd w:val="clear" w:color="auto" w:fill="CCEEFF"/>
          </w:tcPr>
          <w:p>
            <w:pPr>
              <w:ind w:left="580"/>
              <w:spacing w:after="0"/>
              <w:rPr>
                <w:sz w:val="20"/>
                <w:szCs w:val="20"/>
                <w:color w:val="auto"/>
              </w:rPr>
            </w:pPr>
            <w:r>
              <w:rPr>
                <w:rFonts w:ascii="Calibri" w:cs="Calibri" w:eastAsia="Calibri" w:hAnsi="Calibri"/>
                <w:sz w:val="11"/>
                <w:szCs w:val="11"/>
                <w:color w:val="auto"/>
              </w:rPr>
              <w:t>—</w:t>
            </w:r>
          </w:p>
        </w:tc>
        <w:tc>
          <w:tcPr>
            <w:tcW w:w="1040" w:type="dxa"/>
            <w:vAlign w:val="bottom"/>
            <w:shd w:val="clear" w:color="auto" w:fill="CCEEFF"/>
          </w:tcPr>
          <w:p>
            <w:pPr>
              <w:jc w:val="right"/>
              <w:ind w:right="67"/>
              <w:spacing w:after="0"/>
              <w:rPr>
                <w:sz w:val="20"/>
                <w:szCs w:val="20"/>
                <w:color w:val="auto"/>
              </w:rPr>
            </w:pPr>
            <w:r>
              <w:rPr>
                <w:rFonts w:ascii="Calibri" w:cs="Calibri" w:eastAsia="Calibri" w:hAnsi="Calibri"/>
                <w:sz w:val="11"/>
                <w:szCs w:val="11"/>
                <w:color w:val="auto"/>
              </w:rPr>
              <w:t>—</w:t>
            </w:r>
          </w:p>
        </w:tc>
        <w:tc>
          <w:tcPr>
            <w:tcW w:w="1100" w:type="dxa"/>
            <w:vAlign w:val="bottom"/>
            <w:shd w:val="clear" w:color="auto" w:fill="CCEEFF"/>
          </w:tcPr>
          <w:p>
            <w:pPr>
              <w:jc w:val="right"/>
              <w:ind w:right="187"/>
              <w:spacing w:after="0"/>
              <w:rPr>
                <w:sz w:val="20"/>
                <w:szCs w:val="20"/>
                <w:color w:val="auto"/>
              </w:rPr>
            </w:pPr>
            <w:r>
              <w:rPr>
                <w:rFonts w:ascii="Calibri" w:cs="Calibri" w:eastAsia="Calibri" w:hAnsi="Calibri"/>
                <w:sz w:val="11"/>
                <w:szCs w:val="11"/>
                <w:color w:val="auto"/>
              </w:rPr>
              <w:t>—</w:t>
            </w:r>
          </w:p>
        </w:tc>
        <w:tc>
          <w:tcPr>
            <w:tcW w:w="80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rPr>
              <w:t>—</w:t>
            </w:r>
          </w:p>
        </w:tc>
        <w:tc>
          <w:tcPr>
            <w:tcW w:w="1080" w:type="dxa"/>
            <w:vAlign w:val="bottom"/>
            <w:shd w:val="clear" w:color="auto" w:fill="CCEEFF"/>
          </w:tcPr>
          <w:p>
            <w:pPr>
              <w:jc w:val="right"/>
              <w:ind w:right="88"/>
              <w:spacing w:after="0"/>
              <w:rPr>
                <w:sz w:val="20"/>
                <w:szCs w:val="20"/>
                <w:color w:val="auto"/>
              </w:rPr>
            </w:pPr>
            <w:r>
              <w:rPr>
                <w:rFonts w:ascii="Calibri" w:cs="Calibri" w:eastAsia="Calibri" w:hAnsi="Calibri"/>
                <w:sz w:val="11"/>
                <w:szCs w:val="11"/>
                <w:color w:val="auto"/>
              </w:rPr>
              <w:t>410,054</w:t>
            </w:r>
          </w:p>
        </w:tc>
        <w:tc>
          <w:tcPr>
            <w:tcW w:w="900" w:type="dxa"/>
            <w:vAlign w:val="bottom"/>
            <w:shd w:val="clear" w:color="auto" w:fill="CCEEFF"/>
          </w:tcPr>
          <w:p>
            <w:pPr>
              <w:jc w:val="right"/>
              <w:ind w:right="9"/>
              <w:spacing w:after="0"/>
              <w:rPr>
                <w:sz w:val="20"/>
                <w:szCs w:val="20"/>
                <w:color w:val="auto"/>
              </w:rPr>
            </w:pPr>
            <w:r>
              <w:rPr>
                <w:rFonts w:ascii="Calibri" w:cs="Calibri" w:eastAsia="Calibri" w:hAnsi="Calibri"/>
                <w:sz w:val="11"/>
                <w:szCs w:val="11"/>
                <w:color w:val="auto"/>
              </w:rPr>
              <w:t>410,054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2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440" w:right="20" w:hanging="314"/>
        <w:spacing w:after="0"/>
        <w:tabs>
          <w:tab w:leader="none" w:pos="428" w:val="left"/>
        </w:tabs>
        <w:numPr>
          <w:ilvl w:val="0"/>
          <w:numId w:val="50"/>
        </w:numPr>
        <w:rPr>
          <w:rFonts w:ascii="Calibri" w:cs="Calibri" w:eastAsia="Calibri" w:hAnsi="Calibri"/>
          <w:sz w:val="13"/>
          <w:szCs w:val="13"/>
          <w:color w:val="666666"/>
        </w:rPr>
      </w:pPr>
      <w:r>
        <w:rPr>
          <w:rFonts w:ascii="Calibri" w:cs="Calibri" w:eastAsia="Calibri" w:hAnsi="Calibri"/>
          <w:sz w:val="13"/>
          <w:szCs w:val="13"/>
          <w:color w:val="666666"/>
        </w:rPr>
        <w:t>Refects the target bonus for fscal year 2022 under our Annual Incentve Plan, which provides awards based on the achievement of corporate performance objectves, payable in cash. The Annual Incentve Plan is described more fully under “Compensaton Discussion and Analysis—Compensaton Elements—Annual Cash Incentve.” Non-equity incentve plan awards have no minimum threshold or maximum payouts, although our plan does limit the annual amount of bonus an individual can earn to $5,000,000. The actual cash bonuses paid for fscal year 2022 are refected in the Summary Compensaton Table.</w:t>
      </w:r>
    </w:p>
    <w:p>
      <w:pPr>
        <w:spacing w:after="0" w:line="267" w:lineRule="exact"/>
        <w:rPr>
          <w:rFonts w:ascii="Calibri" w:cs="Calibri" w:eastAsia="Calibri" w:hAnsi="Calibri"/>
          <w:sz w:val="13"/>
          <w:szCs w:val="13"/>
          <w:color w:val="666666"/>
        </w:rPr>
      </w:pPr>
    </w:p>
    <w:p>
      <w:pPr>
        <w:jc w:val="both"/>
        <w:ind w:left="440" w:right="20" w:hanging="314"/>
        <w:spacing w:after="0"/>
        <w:tabs>
          <w:tab w:leader="none" w:pos="428" w:val="left"/>
        </w:tabs>
        <w:numPr>
          <w:ilvl w:val="0"/>
          <w:numId w:val="50"/>
        </w:numPr>
        <w:rPr>
          <w:rFonts w:ascii="Calibri" w:cs="Calibri" w:eastAsia="Calibri" w:hAnsi="Calibri"/>
          <w:sz w:val="13"/>
          <w:szCs w:val="13"/>
          <w:color w:val="666666"/>
        </w:rPr>
      </w:pPr>
      <w:r>
        <w:rPr>
          <w:rFonts w:ascii="Calibri" w:cs="Calibri" w:eastAsia="Calibri" w:hAnsi="Calibri"/>
          <w:sz w:val="13"/>
          <w:szCs w:val="13"/>
          <w:color w:val="666666"/>
        </w:rPr>
        <w:t>Refects the target number of performance-based restricted stock units granted pursuant to the Equity Incentve Plan on July 27, 2021. The performance-based restricted stock units are based on the Company's performance against ADEPS (75% weightng) and VAR (25% weightng) and two non-fnancial metrics (10% upside) based on cumulatve performance over a three-year period. The maximum payout for the performance-based restricted stock units is equal to 220% of target, and threshold payout is 50% of target. See “Compensaton Discussion and Analysis—Compensaton Elements—Long-Term Equity Incentves" for details regarding these grants.</w:t>
      </w:r>
    </w:p>
    <w:p>
      <w:pPr>
        <w:spacing w:after="0" w:line="108" w:lineRule="exact"/>
        <w:rPr>
          <w:rFonts w:ascii="Calibri" w:cs="Calibri" w:eastAsia="Calibri" w:hAnsi="Calibri"/>
          <w:sz w:val="13"/>
          <w:szCs w:val="13"/>
          <w:color w:val="666666"/>
        </w:rPr>
      </w:pPr>
    </w:p>
    <w:p>
      <w:pPr>
        <w:ind w:left="440" w:right="20" w:hanging="314"/>
        <w:spacing w:after="0" w:line="239" w:lineRule="auto"/>
        <w:tabs>
          <w:tab w:leader="none" w:pos="428" w:val="left"/>
        </w:tabs>
        <w:numPr>
          <w:ilvl w:val="0"/>
          <w:numId w:val="50"/>
        </w:numPr>
        <w:rPr>
          <w:rFonts w:ascii="Calibri" w:cs="Calibri" w:eastAsia="Calibri" w:hAnsi="Calibri"/>
          <w:sz w:val="13"/>
          <w:szCs w:val="13"/>
          <w:color w:val="666666"/>
        </w:rPr>
      </w:pPr>
      <w:r>
        <w:rPr>
          <w:rFonts w:ascii="Calibri" w:cs="Calibri" w:eastAsia="Calibri" w:hAnsi="Calibri"/>
          <w:sz w:val="13"/>
          <w:szCs w:val="13"/>
          <w:color w:val="666666"/>
        </w:rPr>
        <w:t>Refects the tme-based restricted stock units granted pursuant to the Equity Incentve Plan on May 20, 2021, which vest in equal annual installments over three years based on the contnued employment of the named executve ofcer. See "Compensaton Discussion and Analysis—Compensaton Elements—Long-Term Equity Incentves" for details regarding these grants.</w:t>
      </w:r>
    </w:p>
    <w:p>
      <w:pPr>
        <w:spacing w:after="0" w:line="108" w:lineRule="exact"/>
        <w:rPr>
          <w:rFonts w:ascii="Calibri" w:cs="Calibri" w:eastAsia="Calibri" w:hAnsi="Calibri"/>
          <w:sz w:val="13"/>
          <w:szCs w:val="13"/>
          <w:color w:val="666666"/>
        </w:rPr>
      </w:pPr>
    </w:p>
    <w:p>
      <w:pPr>
        <w:ind w:left="440" w:right="20" w:hanging="314"/>
        <w:spacing w:after="0" w:line="239" w:lineRule="auto"/>
        <w:tabs>
          <w:tab w:leader="none" w:pos="428" w:val="left"/>
        </w:tabs>
        <w:numPr>
          <w:ilvl w:val="0"/>
          <w:numId w:val="50"/>
        </w:numPr>
        <w:rPr>
          <w:rFonts w:ascii="Calibri" w:cs="Calibri" w:eastAsia="Calibri" w:hAnsi="Calibri"/>
          <w:sz w:val="13"/>
          <w:szCs w:val="13"/>
          <w:color w:val="666666"/>
        </w:rPr>
      </w:pPr>
      <w:r>
        <w:rPr>
          <w:rFonts w:ascii="Calibri" w:cs="Calibri" w:eastAsia="Calibri" w:hAnsi="Calibri"/>
          <w:sz w:val="13"/>
          <w:szCs w:val="13"/>
          <w:color w:val="666666"/>
        </w:rPr>
        <w:t>This column refects the aggregate grant date fair value of the awards granted under our Equity Incentve Plan, computed in accordance with FASB ASC Topic 718 using the valuaton methodology and assumptons set forth in Note 18 to our fnancial statements for the fscal year ended March 31, 2022, which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666666"/>
        </w:rPr>
        <w:t>44</w:t>
      </w:r>
    </w:p>
    <w:p>
      <w:pPr>
        <w:sectPr>
          <w:pgSz w:w="11900" w:h="16838" w:orient="portrait"/>
          <w:cols w:equalWidth="0" w:num="1">
            <w:col w:w="11260"/>
          </w:cols>
          <w:pgMar w:left="320" w:top="118"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510540</wp:posOffset>
            </wp:positionV>
            <wp:extent cx="7151370" cy="40144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1370" cy="401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Calibri" w:cs="Calibri" w:eastAsia="Calibri" w:hAnsi="Calibri"/>
          <w:sz w:val="16"/>
          <w:szCs w:val="16"/>
          <w:b w:val="1"/>
          <w:bCs w:val="1"/>
          <w:color w:val="494949"/>
        </w:rPr>
        <w:t>OUTSTANDING EQUITY AWARDS AT FISCAL YEAR-END TABLE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100" w:type="dxa"/>
            <w:vAlign w:val="bottom"/>
            <w:gridSpan w:val="2"/>
          </w:tcPr>
          <w:p>
            <w:pPr>
              <w:ind w:left="920"/>
              <w:spacing w:after="0"/>
              <w:rPr>
                <w:sz w:val="20"/>
                <w:szCs w:val="20"/>
                <w:color w:val="auto"/>
              </w:rPr>
            </w:pPr>
            <w:r>
              <w:rPr>
                <w:rFonts w:ascii="Calibri" w:cs="Calibri" w:eastAsia="Calibri" w:hAnsi="Calibri"/>
                <w:sz w:val="12"/>
                <w:szCs w:val="12"/>
                <w:b w:val="1"/>
                <w:bCs w:val="1"/>
                <w:color w:val="494949"/>
              </w:rPr>
              <w:t>Opton Awards</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80" w:type="dxa"/>
            <w:vAlign w:val="bottom"/>
            <w:gridSpan w:val="2"/>
          </w:tcPr>
          <w:p>
            <w:pPr>
              <w:jc w:val="right"/>
              <w:ind w:right="580"/>
              <w:spacing w:after="0"/>
              <w:rPr>
                <w:sz w:val="20"/>
                <w:szCs w:val="20"/>
                <w:color w:val="auto"/>
              </w:rPr>
            </w:pPr>
            <w:r>
              <w:rPr>
                <w:rFonts w:ascii="Calibri" w:cs="Calibri" w:eastAsia="Calibri" w:hAnsi="Calibri"/>
                <w:sz w:val="12"/>
                <w:szCs w:val="12"/>
                <w:b w:val="1"/>
                <w:bCs w:val="1"/>
                <w:color w:val="494949"/>
              </w:rPr>
              <w:t>Stock Awards</w:t>
            </w: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3"/>
        </w:trPr>
        <w:tc>
          <w:tcPr>
            <w:tcW w:w="1360" w:type="dxa"/>
            <w:vAlign w:val="bottom"/>
          </w:tcPr>
          <w:p>
            <w:pPr>
              <w:spacing w:after="0"/>
              <w:rPr>
                <w:sz w:val="2"/>
                <w:szCs w:val="2"/>
                <w:color w:val="auto"/>
              </w:rPr>
            </w:pPr>
          </w:p>
        </w:tc>
        <w:tc>
          <w:tcPr>
            <w:tcW w:w="860" w:type="dxa"/>
            <w:vAlign w:val="bottom"/>
            <w:tcBorders>
              <w:bottom w:val="single" w:sz="8" w:color="6D6D6D"/>
            </w:tcBorders>
          </w:tcPr>
          <w:p>
            <w:pPr>
              <w:spacing w:after="0"/>
              <w:rPr>
                <w:sz w:val="2"/>
                <w:szCs w:val="2"/>
                <w:color w:val="auto"/>
              </w:rPr>
            </w:pPr>
          </w:p>
        </w:tc>
        <w:tc>
          <w:tcPr>
            <w:tcW w:w="940" w:type="dxa"/>
            <w:vAlign w:val="bottom"/>
            <w:tcBorders>
              <w:bottom w:val="single" w:sz="8" w:color="6D6D6D"/>
            </w:tcBorders>
          </w:tcPr>
          <w:p>
            <w:pPr>
              <w:spacing w:after="0"/>
              <w:rPr>
                <w:sz w:val="2"/>
                <w:szCs w:val="2"/>
                <w:color w:val="auto"/>
              </w:rPr>
            </w:pPr>
          </w:p>
        </w:tc>
        <w:tc>
          <w:tcPr>
            <w:tcW w:w="1080" w:type="dxa"/>
            <w:vAlign w:val="bottom"/>
            <w:tcBorders>
              <w:bottom w:val="single" w:sz="8" w:color="6D6D6D"/>
            </w:tcBorders>
          </w:tcPr>
          <w:p>
            <w:pPr>
              <w:spacing w:after="0"/>
              <w:rPr>
                <w:sz w:val="2"/>
                <w:szCs w:val="2"/>
                <w:color w:val="auto"/>
              </w:rPr>
            </w:pPr>
          </w:p>
        </w:tc>
        <w:tc>
          <w:tcPr>
            <w:tcW w:w="1020" w:type="dxa"/>
            <w:vAlign w:val="bottom"/>
            <w:tcBorders>
              <w:bottom w:val="single" w:sz="8" w:color="6D6D6D"/>
            </w:tcBorders>
          </w:tcPr>
          <w:p>
            <w:pPr>
              <w:spacing w:after="0"/>
              <w:rPr>
                <w:sz w:val="2"/>
                <w:szCs w:val="2"/>
                <w:color w:val="auto"/>
              </w:rPr>
            </w:pPr>
          </w:p>
        </w:tc>
        <w:tc>
          <w:tcPr>
            <w:tcW w:w="680" w:type="dxa"/>
            <w:vAlign w:val="bottom"/>
            <w:tcBorders>
              <w:bottom w:val="single" w:sz="8" w:color="6D6D6D"/>
            </w:tcBorders>
          </w:tcPr>
          <w:p>
            <w:pPr>
              <w:spacing w:after="0"/>
              <w:rPr>
                <w:sz w:val="2"/>
                <w:szCs w:val="2"/>
                <w:color w:val="auto"/>
              </w:rPr>
            </w:pPr>
          </w:p>
        </w:tc>
        <w:tc>
          <w:tcPr>
            <w:tcW w:w="740" w:type="dxa"/>
            <w:vAlign w:val="bottom"/>
            <w:tcBorders>
              <w:bottom w:val="single" w:sz="8" w:color="6D6D6D"/>
            </w:tcBorders>
          </w:tcPr>
          <w:p>
            <w:pPr>
              <w:spacing w:after="0"/>
              <w:rPr>
                <w:sz w:val="2"/>
                <w:szCs w:val="2"/>
                <w:color w:val="auto"/>
              </w:rPr>
            </w:pPr>
          </w:p>
        </w:tc>
        <w:tc>
          <w:tcPr>
            <w:tcW w:w="980" w:type="dxa"/>
            <w:vAlign w:val="bottom"/>
            <w:tcBorders>
              <w:bottom w:val="single" w:sz="8" w:color="666666"/>
            </w:tcBorders>
          </w:tcPr>
          <w:p>
            <w:pPr>
              <w:spacing w:after="0"/>
              <w:rPr>
                <w:sz w:val="2"/>
                <w:szCs w:val="2"/>
                <w:color w:val="auto"/>
              </w:rPr>
            </w:pPr>
          </w:p>
        </w:tc>
        <w:tc>
          <w:tcPr>
            <w:tcW w:w="1140" w:type="dxa"/>
            <w:vAlign w:val="bottom"/>
            <w:tcBorders>
              <w:bottom w:val="single" w:sz="8" w:color="666666"/>
            </w:tcBorders>
          </w:tcPr>
          <w:p>
            <w:pPr>
              <w:spacing w:after="0"/>
              <w:rPr>
                <w:sz w:val="2"/>
                <w:szCs w:val="2"/>
                <w:color w:val="auto"/>
              </w:rPr>
            </w:pPr>
          </w:p>
        </w:tc>
        <w:tc>
          <w:tcPr>
            <w:tcW w:w="1140" w:type="dxa"/>
            <w:vAlign w:val="bottom"/>
            <w:tcBorders>
              <w:bottom w:val="single" w:sz="8" w:color="666666"/>
            </w:tcBorders>
          </w:tcPr>
          <w:p>
            <w:pPr>
              <w:spacing w:after="0"/>
              <w:rPr>
                <w:sz w:val="2"/>
                <w:szCs w:val="2"/>
                <w:color w:val="auto"/>
              </w:rPr>
            </w:pPr>
          </w:p>
        </w:tc>
        <w:tc>
          <w:tcPr>
            <w:tcW w:w="1300" w:type="dxa"/>
            <w:vAlign w:val="bottom"/>
            <w:tcBorders>
              <w:bottom w:val="single" w:sz="8" w:color="666666"/>
            </w:tcBorders>
          </w:tcPr>
          <w:p>
            <w:pPr>
              <w:spacing w:after="0"/>
              <w:rPr>
                <w:sz w:val="2"/>
                <w:szCs w:val="2"/>
                <w:color w:val="auto"/>
              </w:rPr>
            </w:pPr>
          </w:p>
        </w:tc>
        <w:tc>
          <w:tcPr>
            <w:tcW w:w="20" w:type="dxa"/>
            <w:vAlign w:val="bottom"/>
          </w:tcPr>
          <w:p>
            <w:pPr>
              <w:spacing w:after="0"/>
              <w:rPr>
                <w:sz w:val="2"/>
                <w:szCs w:val="2"/>
                <w:color w:val="auto"/>
              </w:rPr>
            </w:pPr>
          </w:p>
        </w:tc>
      </w:tr>
      <w:tr>
        <w:trPr>
          <w:trHeight w:val="115"/>
        </w:trPr>
        <w:tc>
          <w:tcPr>
            <w:tcW w:w="1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jc w:val="center"/>
              <w:spacing w:after="0" w:line="116" w:lineRule="exact"/>
              <w:rPr>
                <w:sz w:val="20"/>
                <w:szCs w:val="20"/>
                <w:color w:val="auto"/>
              </w:rPr>
            </w:pPr>
            <w:r>
              <w:rPr>
                <w:rFonts w:ascii="Calibri" w:cs="Calibri" w:eastAsia="Calibri" w:hAnsi="Calibri"/>
                <w:sz w:val="12"/>
                <w:szCs w:val="12"/>
                <w:b w:val="1"/>
                <w:bCs w:val="1"/>
                <w:color w:val="494949"/>
              </w:rPr>
              <w:t>Equity Incentve</w:t>
            </w: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3"/>
        </w:trPr>
        <w:tc>
          <w:tcPr>
            <w:tcW w:w="1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Calibri" w:cs="Calibri" w:eastAsia="Calibri" w:hAnsi="Calibri"/>
                <w:sz w:val="12"/>
                <w:szCs w:val="12"/>
                <w:b w:val="1"/>
                <w:bCs w:val="1"/>
                <w:color w:val="494949"/>
              </w:rPr>
              <w:t>Plan Awards: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0"/>
        </w:trPr>
        <w:tc>
          <w:tcPr>
            <w:tcW w:w="1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jc w:val="center"/>
              <w:spacing w:after="0" w:line="120" w:lineRule="exact"/>
              <w:rPr>
                <w:sz w:val="20"/>
                <w:szCs w:val="20"/>
                <w:color w:val="auto"/>
              </w:rPr>
            </w:pPr>
            <w:r>
              <w:rPr>
                <w:rFonts w:ascii="Calibri" w:cs="Calibri" w:eastAsia="Calibri" w:hAnsi="Calibri"/>
                <w:sz w:val="12"/>
                <w:szCs w:val="12"/>
                <w:b w:val="1"/>
                <w:bCs w:val="1"/>
                <w:color w:val="494949"/>
              </w:rPr>
              <w:t>Number of</w:t>
            </w:r>
          </w:p>
        </w:tc>
        <w:tc>
          <w:tcPr>
            <w:tcW w:w="1080" w:type="dxa"/>
            <w:vAlign w:val="bottom"/>
          </w:tcPr>
          <w:p>
            <w:pPr>
              <w:jc w:val="center"/>
              <w:spacing w:after="0" w:line="120" w:lineRule="exact"/>
              <w:rPr>
                <w:sz w:val="20"/>
                <w:szCs w:val="20"/>
                <w:color w:val="auto"/>
              </w:rPr>
            </w:pPr>
            <w:r>
              <w:rPr>
                <w:rFonts w:ascii="Calibri" w:cs="Calibri" w:eastAsia="Calibri" w:hAnsi="Calibri"/>
                <w:sz w:val="12"/>
                <w:szCs w:val="12"/>
                <w:b w:val="1"/>
                <w:bCs w:val="1"/>
                <w:color w:val="494949"/>
              </w:rPr>
              <w:t>Number of</w:t>
            </w:r>
          </w:p>
        </w:tc>
        <w:tc>
          <w:tcPr>
            <w:tcW w:w="1020" w:type="dxa"/>
            <w:vAlign w:val="bottom"/>
          </w:tcPr>
          <w:p>
            <w:pPr>
              <w:jc w:val="center"/>
              <w:spacing w:after="0" w:line="120" w:lineRule="exact"/>
              <w:rPr>
                <w:sz w:val="20"/>
                <w:szCs w:val="20"/>
                <w:color w:val="auto"/>
              </w:rPr>
            </w:pPr>
            <w:r>
              <w:rPr>
                <w:rFonts w:ascii="Calibri" w:cs="Calibri" w:eastAsia="Calibri" w:hAnsi="Calibri"/>
                <w:sz w:val="12"/>
                <w:szCs w:val="12"/>
                <w:b w:val="1"/>
                <w:bCs w:val="1"/>
                <w:color w:val="494949"/>
              </w:rPr>
              <w:t>Number of</w:t>
            </w: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jc w:val="center"/>
              <w:spacing w:after="0" w:line="120" w:lineRule="exact"/>
              <w:rPr>
                <w:sz w:val="20"/>
                <w:szCs w:val="20"/>
                <w:color w:val="auto"/>
              </w:rPr>
            </w:pPr>
            <w:r>
              <w:rPr>
                <w:rFonts w:ascii="Calibri" w:cs="Calibri" w:eastAsia="Calibri" w:hAnsi="Calibri"/>
                <w:sz w:val="12"/>
                <w:szCs w:val="12"/>
                <w:b w:val="1"/>
                <w:bCs w:val="1"/>
                <w:color w:val="494949"/>
              </w:rPr>
              <w:t>Equity Incentve Plan</w:t>
            </w:r>
          </w:p>
        </w:tc>
        <w:tc>
          <w:tcPr>
            <w:tcW w:w="1300" w:type="dxa"/>
            <w:vAlign w:val="bottom"/>
          </w:tcPr>
          <w:p>
            <w:pPr>
              <w:jc w:val="center"/>
              <w:spacing w:after="0" w:line="120" w:lineRule="exact"/>
              <w:rPr>
                <w:sz w:val="20"/>
                <w:szCs w:val="20"/>
                <w:color w:val="auto"/>
              </w:rPr>
            </w:pPr>
            <w:r>
              <w:rPr>
                <w:rFonts w:ascii="Calibri" w:cs="Calibri" w:eastAsia="Calibri" w:hAnsi="Calibri"/>
                <w:sz w:val="12"/>
                <w:szCs w:val="12"/>
                <w:b w:val="1"/>
                <w:bCs w:val="1"/>
                <w:color w:val="494949"/>
              </w:rPr>
              <w:t>Equity Incentve Plan</w:t>
            </w:r>
          </w:p>
        </w:tc>
        <w:tc>
          <w:tcPr>
            <w:tcW w:w="20" w:type="dxa"/>
            <w:vAlign w:val="bottom"/>
          </w:tcPr>
          <w:p>
            <w:pPr>
              <w:spacing w:after="0"/>
              <w:rPr>
                <w:sz w:val="10"/>
                <w:szCs w:val="10"/>
                <w:color w:val="auto"/>
              </w:rPr>
            </w:pPr>
          </w:p>
        </w:tc>
      </w:tr>
      <w:tr>
        <w:trPr>
          <w:trHeight w:val="120"/>
        </w:trPr>
        <w:tc>
          <w:tcPr>
            <w:tcW w:w="1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jc w:val="center"/>
              <w:spacing w:after="0" w:line="120" w:lineRule="exact"/>
              <w:rPr>
                <w:sz w:val="20"/>
                <w:szCs w:val="20"/>
                <w:color w:val="auto"/>
              </w:rPr>
            </w:pPr>
            <w:r>
              <w:rPr>
                <w:rFonts w:ascii="Calibri" w:cs="Calibri" w:eastAsia="Calibri" w:hAnsi="Calibri"/>
                <w:sz w:val="12"/>
                <w:szCs w:val="12"/>
                <w:b w:val="1"/>
                <w:bCs w:val="1"/>
                <w:color w:val="494949"/>
              </w:rPr>
              <w:t>Securites</w:t>
            </w:r>
          </w:p>
        </w:tc>
        <w:tc>
          <w:tcPr>
            <w:tcW w:w="1080" w:type="dxa"/>
            <w:vAlign w:val="bottom"/>
          </w:tcPr>
          <w:p>
            <w:pPr>
              <w:jc w:val="center"/>
              <w:spacing w:after="0" w:line="120" w:lineRule="exact"/>
              <w:rPr>
                <w:sz w:val="20"/>
                <w:szCs w:val="20"/>
                <w:color w:val="auto"/>
              </w:rPr>
            </w:pPr>
            <w:r>
              <w:rPr>
                <w:rFonts w:ascii="Calibri" w:cs="Calibri" w:eastAsia="Calibri" w:hAnsi="Calibri"/>
                <w:sz w:val="12"/>
                <w:szCs w:val="12"/>
                <w:b w:val="1"/>
                <w:bCs w:val="1"/>
                <w:color w:val="494949"/>
              </w:rPr>
              <w:t>Securites</w:t>
            </w:r>
          </w:p>
        </w:tc>
        <w:tc>
          <w:tcPr>
            <w:tcW w:w="1020" w:type="dxa"/>
            <w:vAlign w:val="bottom"/>
          </w:tcPr>
          <w:p>
            <w:pPr>
              <w:jc w:val="center"/>
              <w:spacing w:after="0" w:line="120" w:lineRule="exact"/>
              <w:rPr>
                <w:sz w:val="20"/>
                <w:szCs w:val="20"/>
                <w:color w:val="auto"/>
              </w:rPr>
            </w:pPr>
            <w:r>
              <w:rPr>
                <w:rFonts w:ascii="Calibri" w:cs="Calibri" w:eastAsia="Calibri" w:hAnsi="Calibri"/>
                <w:sz w:val="12"/>
                <w:szCs w:val="12"/>
                <w:b w:val="1"/>
                <w:bCs w:val="1"/>
                <w:color w:val="494949"/>
              </w:rPr>
              <w:t>Securites</w:t>
            </w: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jc w:val="center"/>
              <w:ind w:right="20"/>
              <w:spacing w:after="0" w:line="120" w:lineRule="exact"/>
              <w:rPr>
                <w:sz w:val="20"/>
                <w:szCs w:val="20"/>
                <w:color w:val="auto"/>
              </w:rPr>
            </w:pPr>
            <w:r>
              <w:rPr>
                <w:rFonts w:ascii="Calibri" w:cs="Calibri" w:eastAsia="Calibri" w:hAnsi="Calibri"/>
                <w:sz w:val="12"/>
                <w:szCs w:val="12"/>
                <w:b w:val="1"/>
                <w:bCs w:val="1"/>
                <w:color w:val="494949"/>
              </w:rPr>
              <w:t>Number of</w:t>
            </w:r>
          </w:p>
        </w:tc>
        <w:tc>
          <w:tcPr>
            <w:tcW w:w="1140" w:type="dxa"/>
            <w:vAlign w:val="bottom"/>
          </w:tcPr>
          <w:p>
            <w:pPr>
              <w:spacing w:after="0"/>
              <w:rPr>
                <w:sz w:val="10"/>
                <w:szCs w:val="10"/>
                <w:color w:val="auto"/>
              </w:rPr>
            </w:pPr>
          </w:p>
        </w:tc>
        <w:tc>
          <w:tcPr>
            <w:tcW w:w="1140" w:type="dxa"/>
            <w:vAlign w:val="bottom"/>
          </w:tcPr>
          <w:p>
            <w:pPr>
              <w:jc w:val="center"/>
              <w:spacing w:after="0" w:line="120" w:lineRule="exact"/>
              <w:rPr>
                <w:sz w:val="20"/>
                <w:szCs w:val="20"/>
                <w:color w:val="auto"/>
              </w:rPr>
            </w:pPr>
            <w:r>
              <w:rPr>
                <w:rFonts w:ascii="Calibri" w:cs="Calibri" w:eastAsia="Calibri" w:hAnsi="Calibri"/>
                <w:sz w:val="12"/>
                <w:szCs w:val="12"/>
                <w:b w:val="1"/>
                <w:bCs w:val="1"/>
                <w:color w:val="494949"/>
              </w:rPr>
              <w:t>Awards: Number of</w:t>
            </w:r>
          </w:p>
        </w:tc>
        <w:tc>
          <w:tcPr>
            <w:tcW w:w="1300" w:type="dxa"/>
            <w:vAlign w:val="bottom"/>
          </w:tcPr>
          <w:p>
            <w:pPr>
              <w:jc w:val="center"/>
              <w:spacing w:after="0" w:line="120" w:lineRule="exact"/>
              <w:rPr>
                <w:sz w:val="20"/>
                <w:szCs w:val="20"/>
                <w:color w:val="auto"/>
              </w:rPr>
            </w:pPr>
            <w:r>
              <w:rPr>
                <w:rFonts w:ascii="Calibri" w:cs="Calibri" w:eastAsia="Calibri" w:hAnsi="Calibri"/>
                <w:sz w:val="12"/>
                <w:szCs w:val="12"/>
                <w:b w:val="1"/>
                <w:bCs w:val="1"/>
                <w:color w:val="494949"/>
              </w:rPr>
              <w:t>Awards: Market or</w:t>
            </w:r>
          </w:p>
        </w:tc>
        <w:tc>
          <w:tcPr>
            <w:tcW w:w="20" w:type="dxa"/>
            <w:vAlign w:val="bottom"/>
          </w:tcPr>
          <w:p>
            <w:pPr>
              <w:spacing w:after="0"/>
              <w:rPr>
                <w:sz w:val="10"/>
                <w:szCs w:val="10"/>
                <w:color w:val="auto"/>
              </w:rPr>
            </w:pPr>
          </w:p>
        </w:tc>
      </w:tr>
      <w:tr>
        <w:trPr>
          <w:trHeight w:val="130"/>
        </w:trPr>
        <w:tc>
          <w:tcPr>
            <w:tcW w:w="1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Calibri" w:cs="Calibri" w:eastAsia="Calibri" w:hAnsi="Calibri"/>
                <w:sz w:val="12"/>
                <w:szCs w:val="12"/>
                <w:b w:val="1"/>
                <w:bCs w:val="1"/>
                <w:color w:val="494949"/>
              </w:rPr>
              <w:t>Underlying</w:t>
            </w:r>
          </w:p>
        </w:tc>
        <w:tc>
          <w:tcPr>
            <w:tcW w:w="1080" w:type="dxa"/>
            <w:vAlign w:val="bottom"/>
          </w:tcPr>
          <w:p>
            <w:pPr>
              <w:jc w:val="center"/>
              <w:spacing w:after="0" w:line="131" w:lineRule="exact"/>
              <w:rPr>
                <w:sz w:val="20"/>
                <w:szCs w:val="20"/>
                <w:color w:val="auto"/>
              </w:rPr>
            </w:pPr>
            <w:r>
              <w:rPr>
                <w:rFonts w:ascii="Calibri" w:cs="Calibri" w:eastAsia="Calibri" w:hAnsi="Calibri"/>
                <w:sz w:val="12"/>
                <w:szCs w:val="12"/>
                <w:b w:val="1"/>
                <w:bCs w:val="1"/>
                <w:color w:val="494949"/>
              </w:rPr>
              <w:t>Underlying</w:t>
            </w:r>
          </w:p>
        </w:tc>
        <w:tc>
          <w:tcPr>
            <w:tcW w:w="1020" w:type="dxa"/>
            <w:vAlign w:val="bottom"/>
          </w:tcPr>
          <w:p>
            <w:pPr>
              <w:jc w:val="center"/>
              <w:spacing w:after="0" w:line="131" w:lineRule="exact"/>
              <w:rPr>
                <w:sz w:val="20"/>
                <w:szCs w:val="20"/>
                <w:color w:val="auto"/>
              </w:rPr>
            </w:pPr>
            <w:r>
              <w:rPr>
                <w:rFonts w:ascii="Calibri" w:cs="Calibri" w:eastAsia="Calibri" w:hAnsi="Calibri"/>
                <w:sz w:val="12"/>
                <w:szCs w:val="12"/>
                <w:b w:val="1"/>
                <w:bCs w:val="1"/>
                <w:color w:val="494949"/>
              </w:rPr>
              <w:t>Underlying</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jc w:val="center"/>
              <w:spacing w:after="0" w:line="131" w:lineRule="exact"/>
              <w:rPr>
                <w:sz w:val="20"/>
                <w:szCs w:val="20"/>
                <w:color w:val="auto"/>
              </w:rPr>
            </w:pPr>
            <w:r>
              <w:rPr>
                <w:rFonts w:ascii="Calibri" w:cs="Calibri" w:eastAsia="Calibri" w:hAnsi="Calibri"/>
                <w:sz w:val="12"/>
                <w:szCs w:val="12"/>
                <w:b w:val="1"/>
                <w:bCs w:val="1"/>
                <w:color w:val="494949"/>
              </w:rPr>
              <w:t>Shares or Units</w:t>
            </w:r>
          </w:p>
        </w:tc>
        <w:tc>
          <w:tcPr>
            <w:tcW w:w="1140" w:type="dxa"/>
            <w:vAlign w:val="bottom"/>
          </w:tcPr>
          <w:p>
            <w:pPr>
              <w:jc w:val="center"/>
              <w:spacing w:after="0" w:line="131" w:lineRule="exact"/>
              <w:rPr>
                <w:sz w:val="20"/>
                <w:szCs w:val="20"/>
                <w:color w:val="auto"/>
              </w:rPr>
            </w:pPr>
            <w:r>
              <w:rPr>
                <w:rFonts w:ascii="Calibri" w:cs="Calibri" w:eastAsia="Calibri" w:hAnsi="Calibri"/>
                <w:sz w:val="12"/>
                <w:szCs w:val="12"/>
                <w:b w:val="1"/>
                <w:bCs w:val="1"/>
                <w:color w:val="494949"/>
              </w:rPr>
              <w:t>Market Value of</w:t>
            </w:r>
          </w:p>
        </w:tc>
        <w:tc>
          <w:tcPr>
            <w:tcW w:w="1140" w:type="dxa"/>
            <w:vAlign w:val="bottom"/>
          </w:tcPr>
          <w:p>
            <w:pPr>
              <w:jc w:val="center"/>
              <w:spacing w:after="0" w:line="131" w:lineRule="exact"/>
              <w:rPr>
                <w:sz w:val="20"/>
                <w:szCs w:val="20"/>
                <w:color w:val="auto"/>
              </w:rPr>
            </w:pPr>
            <w:r>
              <w:rPr>
                <w:rFonts w:ascii="Calibri" w:cs="Calibri" w:eastAsia="Calibri" w:hAnsi="Calibri"/>
                <w:sz w:val="12"/>
                <w:szCs w:val="12"/>
                <w:b w:val="1"/>
                <w:bCs w:val="1"/>
                <w:color w:val="494949"/>
              </w:rPr>
              <w:t>Unearned Shares,</w:t>
            </w:r>
          </w:p>
        </w:tc>
        <w:tc>
          <w:tcPr>
            <w:tcW w:w="1300" w:type="dxa"/>
            <w:vAlign w:val="bottom"/>
          </w:tcPr>
          <w:p>
            <w:pPr>
              <w:jc w:val="center"/>
              <w:spacing w:after="0" w:line="131" w:lineRule="exact"/>
              <w:rPr>
                <w:sz w:val="20"/>
                <w:szCs w:val="20"/>
                <w:color w:val="auto"/>
              </w:rPr>
            </w:pPr>
            <w:r>
              <w:rPr>
                <w:rFonts w:ascii="Calibri" w:cs="Calibri" w:eastAsia="Calibri" w:hAnsi="Calibri"/>
                <w:sz w:val="12"/>
                <w:szCs w:val="12"/>
                <w:b w:val="1"/>
                <w:bCs w:val="1"/>
                <w:color w:val="494949"/>
              </w:rPr>
              <w:t>Payout Value of</w:t>
            </w:r>
          </w:p>
        </w:tc>
        <w:tc>
          <w:tcPr>
            <w:tcW w:w="20" w:type="dxa"/>
            <w:vAlign w:val="bottom"/>
          </w:tcPr>
          <w:p>
            <w:pPr>
              <w:spacing w:after="0"/>
              <w:rPr>
                <w:sz w:val="11"/>
                <w:szCs w:val="11"/>
                <w:color w:val="auto"/>
              </w:rPr>
            </w:pPr>
          </w:p>
        </w:tc>
      </w:tr>
      <w:tr>
        <w:trPr>
          <w:trHeight w:val="122"/>
        </w:trPr>
        <w:tc>
          <w:tcPr>
            <w:tcW w:w="1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jc w:val="center"/>
              <w:spacing w:after="0" w:line="123" w:lineRule="exact"/>
              <w:rPr>
                <w:sz w:val="20"/>
                <w:szCs w:val="20"/>
                <w:color w:val="auto"/>
              </w:rPr>
            </w:pPr>
            <w:r>
              <w:rPr>
                <w:rFonts w:ascii="Calibri" w:cs="Calibri" w:eastAsia="Calibri" w:hAnsi="Calibri"/>
                <w:sz w:val="12"/>
                <w:szCs w:val="12"/>
                <w:b w:val="1"/>
                <w:bCs w:val="1"/>
                <w:color w:val="494949"/>
              </w:rPr>
              <w:t>Unexercised</w:t>
            </w:r>
          </w:p>
        </w:tc>
        <w:tc>
          <w:tcPr>
            <w:tcW w:w="1080" w:type="dxa"/>
            <w:vAlign w:val="bottom"/>
          </w:tcPr>
          <w:p>
            <w:pPr>
              <w:jc w:val="center"/>
              <w:spacing w:after="0" w:line="123" w:lineRule="exact"/>
              <w:rPr>
                <w:sz w:val="20"/>
                <w:szCs w:val="20"/>
                <w:color w:val="auto"/>
              </w:rPr>
            </w:pPr>
            <w:r>
              <w:rPr>
                <w:rFonts w:ascii="Calibri" w:cs="Calibri" w:eastAsia="Calibri" w:hAnsi="Calibri"/>
                <w:sz w:val="12"/>
                <w:szCs w:val="12"/>
                <w:b w:val="1"/>
                <w:bCs w:val="1"/>
                <w:color w:val="494949"/>
              </w:rPr>
              <w:t>Unexercised</w:t>
            </w:r>
          </w:p>
        </w:tc>
        <w:tc>
          <w:tcPr>
            <w:tcW w:w="1020" w:type="dxa"/>
            <w:vAlign w:val="bottom"/>
          </w:tcPr>
          <w:p>
            <w:pPr>
              <w:jc w:val="center"/>
              <w:spacing w:after="0" w:line="123" w:lineRule="exact"/>
              <w:rPr>
                <w:sz w:val="20"/>
                <w:szCs w:val="20"/>
                <w:color w:val="auto"/>
              </w:rPr>
            </w:pPr>
            <w:r>
              <w:rPr>
                <w:rFonts w:ascii="Calibri" w:cs="Calibri" w:eastAsia="Calibri" w:hAnsi="Calibri"/>
                <w:sz w:val="12"/>
                <w:szCs w:val="12"/>
                <w:b w:val="1"/>
                <w:bCs w:val="1"/>
                <w:color w:val="494949"/>
              </w:rPr>
              <w:t>Unexercised</w:t>
            </w:r>
          </w:p>
        </w:tc>
        <w:tc>
          <w:tcPr>
            <w:tcW w:w="680" w:type="dxa"/>
            <w:vAlign w:val="bottom"/>
          </w:tcPr>
          <w:p>
            <w:pPr>
              <w:jc w:val="center"/>
              <w:spacing w:after="0" w:line="123" w:lineRule="exact"/>
              <w:rPr>
                <w:sz w:val="20"/>
                <w:szCs w:val="20"/>
                <w:color w:val="auto"/>
              </w:rPr>
            </w:pPr>
            <w:r>
              <w:rPr>
                <w:rFonts w:ascii="Calibri" w:cs="Calibri" w:eastAsia="Calibri" w:hAnsi="Calibri"/>
                <w:sz w:val="12"/>
                <w:szCs w:val="12"/>
                <w:b w:val="1"/>
                <w:bCs w:val="1"/>
                <w:color w:val="494949"/>
              </w:rPr>
              <w:t>Opton</w:t>
            </w:r>
          </w:p>
        </w:tc>
        <w:tc>
          <w:tcPr>
            <w:tcW w:w="740" w:type="dxa"/>
            <w:vAlign w:val="bottom"/>
          </w:tcPr>
          <w:p>
            <w:pPr>
              <w:spacing w:after="0"/>
              <w:rPr>
                <w:sz w:val="10"/>
                <w:szCs w:val="10"/>
                <w:color w:val="auto"/>
              </w:rPr>
            </w:pPr>
          </w:p>
        </w:tc>
        <w:tc>
          <w:tcPr>
            <w:tcW w:w="980" w:type="dxa"/>
            <w:vAlign w:val="bottom"/>
          </w:tcPr>
          <w:p>
            <w:pPr>
              <w:jc w:val="center"/>
              <w:spacing w:after="0" w:line="123" w:lineRule="exact"/>
              <w:rPr>
                <w:sz w:val="20"/>
                <w:szCs w:val="20"/>
                <w:color w:val="auto"/>
              </w:rPr>
            </w:pPr>
            <w:r>
              <w:rPr>
                <w:rFonts w:ascii="Calibri" w:cs="Calibri" w:eastAsia="Calibri" w:hAnsi="Calibri"/>
                <w:sz w:val="12"/>
                <w:szCs w:val="12"/>
                <w:b w:val="1"/>
                <w:bCs w:val="1"/>
                <w:color w:val="494949"/>
              </w:rPr>
              <w:t>of Stock</w:t>
            </w:r>
          </w:p>
        </w:tc>
        <w:tc>
          <w:tcPr>
            <w:tcW w:w="1140" w:type="dxa"/>
            <w:vAlign w:val="bottom"/>
          </w:tcPr>
          <w:p>
            <w:pPr>
              <w:jc w:val="center"/>
              <w:spacing w:after="0" w:line="123" w:lineRule="exact"/>
              <w:rPr>
                <w:sz w:val="20"/>
                <w:szCs w:val="20"/>
                <w:color w:val="auto"/>
              </w:rPr>
            </w:pPr>
            <w:r>
              <w:rPr>
                <w:rFonts w:ascii="Calibri" w:cs="Calibri" w:eastAsia="Calibri" w:hAnsi="Calibri"/>
                <w:sz w:val="12"/>
                <w:szCs w:val="12"/>
                <w:b w:val="1"/>
                <w:bCs w:val="1"/>
                <w:color w:val="494949"/>
              </w:rPr>
              <w:t>Shares or Units</w:t>
            </w:r>
          </w:p>
        </w:tc>
        <w:tc>
          <w:tcPr>
            <w:tcW w:w="1140" w:type="dxa"/>
            <w:vAlign w:val="bottom"/>
          </w:tcPr>
          <w:p>
            <w:pPr>
              <w:jc w:val="center"/>
              <w:spacing w:after="0" w:line="123" w:lineRule="exact"/>
              <w:rPr>
                <w:sz w:val="20"/>
                <w:szCs w:val="20"/>
                <w:color w:val="auto"/>
              </w:rPr>
            </w:pPr>
            <w:r>
              <w:rPr>
                <w:rFonts w:ascii="Calibri" w:cs="Calibri" w:eastAsia="Calibri" w:hAnsi="Calibri"/>
                <w:sz w:val="12"/>
                <w:szCs w:val="12"/>
                <w:b w:val="1"/>
                <w:bCs w:val="1"/>
                <w:color w:val="494949"/>
              </w:rPr>
              <w:t>Units or Other</w:t>
            </w:r>
          </w:p>
        </w:tc>
        <w:tc>
          <w:tcPr>
            <w:tcW w:w="1300" w:type="dxa"/>
            <w:vAlign w:val="bottom"/>
          </w:tcPr>
          <w:p>
            <w:pPr>
              <w:jc w:val="center"/>
              <w:spacing w:after="0" w:line="123" w:lineRule="exact"/>
              <w:rPr>
                <w:sz w:val="20"/>
                <w:szCs w:val="20"/>
                <w:color w:val="auto"/>
              </w:rPr>
            </w:pPr>
            <w:r>
              <w:rPr>
                <w:rFonts w:ascii="Calibri" w:cs="Calibri" w:eastAsia="Calibri" w:hAnsi="Calibri"/>
                <w:sz w:val="12"/>
                <w:szCs w:val="12"/>
                <w:b w:val="1"/>
                <w:bCs w:val="1"/>
                <w:color w:val="494949"/>
              </w:rPr>
              <w:t>Unearned Shares, Units</w:t>
            </w:r>
          </w:p>
        </w:tc>
        <w:tc>
          <w:tcPr>
            <w:tcW w:w="20" w:type="dxa"/>
            <w:vAlign w:val="bottom"/>
          </w:tcPr>
          <w:p>
            <w:pPr>
              <w:spacing w:after="0"/>
              <w:rPr>
                <w:sz w:val="10"/>
                <w:szCs w:val="10"/>
                <w:color w:val="auto"/>
              </w:rPr>
            </w:pPr>
          </w:p>
        </w:tc>
      </w:tr>
      <w:tr>
        <w:trPr>
          <w:trHeight w:val="120"/>
        </w:trPr>
        <w:tc>
          <w:tcPr>
            <w:tcW w:w="1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jc w:val="center"/>
              <w:spacing w:after="0" w:line="120" w:lineRule="exact"/>
              <w:rPr>
                <w:sz w:val="20"/>
                <w:szCs w:val="20"/>
                <w:color w:val="auto"/>
              </w:rPr>
            </w:pPr>
            <w:r>
              <w:rPr>
                <w:rFonts w:ascii="Calibri" w:cs="Calibri" w:eastAsia="Calibri" w:hAnsi="Calibri"/>
                <w:sz w:val="12"/>
                <w:szCs w:val="12"/>
                <w:b w:val="1"/>
                <w:bCs w:val="1"/>
                <w:color w:val="494949"/>
              </w:rPr>
              <w:t>Optons</w:t>
            </w:r>
          </w:p>
        </w:tc>
        <w:tc>
          <w:tcPr>
            <w:tcW w:w="1080" w:type="dxa"/>
            <w:vAlign w:val="bottom"/>
          </w:tcPr>
          <w:p>
            <w:pPr>
              <w:jc w:val="center"/>
              <w:spacing w:after="0" w:line="120" w:lineRule="exact"/>
              <w:rPr>
                <w:sz w:val="20"/>
                <w:szCs w:val="20"/>
                <w:color w:val="auto"/>
              </w:rPr>
            </w:pPr>
            <w:r>
              <w:rPr>
                <w:rFonts w:ascii="Calibri" w:cs="Calibri" w:eastAsia="Calibri" w:hAnsi="Calibri"/>
                <w:sz w:val="12"/>
                <w:szCs w:val="12"/>
                <w:b w:val="1"/>
                <w:bCs w:val="1"/>
                <w:color w:val="494949"/>
              </w:rPr>
              <w:t>Optons</w:t>
            </w:r>
          </w:p>
        </w:tc>
        <w:tc>
          <w:tcPr>
            <w:tcW w:w="1020" w:type="dxa"/>
            <w:vAlign w:val="bottom"/>
          </w:tcPr>
          <w:p>
            <w:pPr>
              <w:jc w:val="center"/>
              <w:spacing w:after="0" w:line="120" w:lineRule="exact"/>
              <w:rPr>
                <w:sz w:val="20"/>
                <w:szCs w:val="20"/>
                <w:color w:val="auto"/>
              </w:rPr>
            </w:pPr>
            <w:r>
              <w:rPr>
                <w:rFonts w:ascii="Calibri" w:cs="Calibri" w:eastAsia="Calibri" w:hAnsi="Calibri"/>
                <w:sz w:val="12"/>
                <w:szCs w:val="12"/>
                <w:b w:val="1"/>
                <w:bCs w:val="1"/>
                <w:color w:val="494949"/>
              </w:rPr>
              <w:t>Unearned</w:t>
            </w:r>
          </w:p>
        </w:tc>
        <w:tc>
          <w:tcPr>
            <w:tcW w:w="680" w:type="dxa"/>
            <w:vAlign w:val="bottom"/>
          </w:tcPr>
          <w:p>
            <w:pPr>
              <w:jc w:val="center"/>
              <w:ind w:right="19"/>
              <w:spacing w:after="0" w:line="120" w:lineRule="exact"/>
              <w:rPr>
                <w:sz w:val="20"/>
                <w:szCs w:val="20"/>
                <w:color w:val="auto"/>
              </w:rPr>
            </w:pPr>
            <w:r>
              <w:rPr>
                <w:rFonts w:ascii="Calibri" w:cs="Calibri" w:eastAsia="Calibri" w:hAnsi="Calibri"/>
                <w:sz w:val="12"/>
                <w:szCs w:val="12"/>
                <w:b w:val="1"/>
                <w:bCs w:val="1"/>
                <w:color w:val="494949"/>
                <w:w w:val="98"/>
              </w:rPr>
              <w:t>Exercise</w:t>
            </w:r>
          </w:p>
        </w:tc>
        <w:tc>
          <w:tcPr>
            <w:tcW w:w="740" w:type="dxa"/>
            <w:vAlign w:val="bottom"/>
          </w:tcPr>
          <w:p>
            <w:pPr>
              <w:jc w:val="center"/>
              <w:spacing w:after="0" w:line="120" w:lineRule="exact"/>
              <w:rPr>
                <w:sz w:val="20"/>
                <w:szCs w:val="20"/>
                <w:color w:val="auto"/>
              </w:rPr>
            </w:pPr>
            <w:r>
              <w:rPr>
                <w:rFonts w:ascii="Calibri" w:cs="Calibri" w:eastAsia="Calibri" w:hAnsi="Calibri"/>
                <w:sz w:val="12"/>
                <w:szCs w:val="12"/>
                <w:b w:val="1"/>
                <w:bCs w:val="1"/>
                <w:color w:val="494949"/>
              </w:rPr>
              <w:t>Opton</w:t>
            </w:r>
          </w:p>
        </w:tc>
        <w:tc>
          <w:tcPr>
            <w:tcW w:w="980" w:type="dxa"/>
            <w:vAlign w:val="bottom"/>
          </w:tcPr>
          <w:p>
            <w:pPr>
              <w:jc w:val="center"/>
              <w:spacing w:after="0" w:line="120" w:lineRule="exact"/>
              <w:rPr>
                <w:sz w:val="20"/>
                <w:szCs w:val="20"/>
                <w:color w:val="auto"/>
              </w:rPr>
            </w:pPr>
            <w:r>
              <w:rPr>
                <w:rFonts w:ascii="Calibri" w:cs="Calibri" w:eastAsia="Calibri" w:hAnsi="Calibri"/>
                <w:sz w:val="12"/>
                <w:szCs w:val="12"/>
                <w:b w:val="1"/>
                <w:bCs w:val="1"/>
                <w:color w:val="494949"/>
              </w:rPr>
              <w:t>That Have Not</w:t>
            </w:r>
          </w:p>
        </w:tc>
        <w:tc>
          <w:tcPr>
            <w:tcW w:w="1140" w:type="dxa"/>
            <w:vAlign w:val="bottom"/>
          </w:tcPr>
          <w:p>
            <w:pPr>
              <w:jc w:val="center"/>
              <w:spacing w:after="0" w:line="120" w:lineRule="exact"/>
              <w:rPr>
                <w:sz w:val="20"/>
                <w:szCs w:val="20"/>
                <w:color w:val="auto"/>
              </w:rPr>
            </w:pPr>
            <w:r>
              <w:rPr>
                <w:rFonts w:ascii="Calibri" w:cs="Calibri" w:eastAsia="Calibri" w:hAnsi="Calibri"/>
                <w:sz w:val="12"/>
                <w:szCs w:val="12"/>
                <w:b w:val="1"/>
                <w:bCs w:val="1"/>
                <w:color w:val="494949"/>
              </w:rPr>
              <w:t>of Stock That</w:t>
            </w:r>
          </w:p>
        </w:tc>
        <w:tc>
          <w:tcPr>
            <w:tcW w:w="1140" w:type="dxa"/>
            <w:vAlign w:val="bottom"/>
          </w:tcPr>
          <w:p>
            <w:pPr>
              <w:jc w:val="center"/>
              <w:spacing w:after="0" w:line="120" w:lineRule="exact"/>
              <w:rPr>
                <w:sz w:val="20"/>
                <w:szCs w:val="20"/>
                <w:color w:val="auto"/>
              </w:rPr>
            </w:pPr>
            <w:r>
              <w:rPr>
                <w:rFonts w:ascii="Calibri" w:cs="Calibri" w:eastAsia="Calibri" w:hAnsi="Calibri"/>
                <w:sz w:val="12"/>
                <w:szCs w:val="12"/>
                <w:b w:val="1"/>
                <w:bCs w:val="1"/>
                <w:color w:val="494949"/>
              </w:rPr>
              <w:t>Rights that Have Not</w:t>
            </w:r>
          </w:p>
        </w:tc>
        <w:tc>
          <w:tcPr>
            <w:tcW w:w="1300" w:type="dxa"/>
            <w:vAlign w:val="bottom"/>
          </w:tcPr>
          <w:p>
            <w:pPr>
              <w:jc w:val="center"/>
              <w:spacing w:after="0" w:line="120" w:lineRule="exact"/>
              <w:rPr>
                <w:sz w:val="20"/>
                <w:szCs w:val="20"/>
                <w:color w:val="auto"/>
              </w:rPr>
            </w:pPr>
            <w:r>
              <w:rPr>
                <w:rFonts w:ascii="Calibri" w:cs="Calibri" w:eastAsia="Calibri" w:hAnsi="Calibri"/>
                <w:sz w:val="12"/>
                <w:szCs w:val="12"/>
                <w:b w:val="1"/>
                <w:bCs w:val="1"/>
                <w:color w:val="494949"/>
              </w:rPr>
              <w:t>or Other Rights that</w:t>
            </w:r>
          </w:p>
        </w:tc>
        <w:tc>
          <w:tcPr>
            <w:tcW w:w="20" w:type="dxa"/>
            <w:vAlign w:val="bottom"/>
          </w:tcPr>
          <w:p>
            <w:pPr>
              <w:spacing w:after="0"/>
              <w:rPr>
                <w:sz w:val="10"/>
                <w:szCs w:val="10"/>
                <w:color w:val="auto"/>
              </w:rPr>
            </w:pPr>
          </w:p>
        </w:tc>
      </w:tr>
      <w:tr>
        <w:trPr>
          <w:trHeight w:val="130"/>
        </w:trPr>
        <w:tc>
          <w:tcPr>
            <w:tcW w:w="1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Calibri" w:cs="Calibri" w:eastAsia="Calibri" w:hAnsi="Calibri"/>
                <w:sz w:val="12"/>
                <w:szCs w:val="12"/>
                <w:b w:val="1"/>
                <w:bCs w:val="1"/>
                <w:color w:val="494949"/>
              </w:rPr>
              <w:t>Exercisable</w:t>
            </w:r>
          </w:p>
        </w:tc>
        <w:tc>
          <w:tcPr>
            <w:tcW w:w="1080" w:type="dxa"/>
            <w:vAlign w:val="bottom"/>
          </w:tcPr>
          <w:p>
            <w:pPr>
              <w:jc w:val="center"/>
              <w:spacing w:after="0" w:line="131" w:lineRule="exact"/>
              <w:rPr>
                <w:sz w:val="20"/>
                <w:szCs w:val="20"/>
                <w:color w:val="auto"/>
              </w:rPr>
            </w:pPr>
            <w:r>
              <w:rPr>
                <w:rFonts w:ascii="Calibri" w:cs="Calibri" w:eastAsia="Calibri" w:hAnsi="Calibri"/>
                <w:sz w:val="12"/>
                <w:szCs w:val="12"/>
                <w:b w:val="1"/>
                <w:bCs w:val="1"/>
                <w:color w:val="494949"/>
              </w:rPr>
              <w:t>Unexercisable</w:t>
            </w:r>
          </w:p>
        </w:tc>
        <w:tc>
          <w:tcPr>
            <w:tcW w:w="1020" w:type="dxa"/>
            <w:vAlign w:val="bottom"/>
          </w:tcPr>
          <w:p>
            <w:pPr>
              <w:jc w:val="center"/>
              <w:spacing w:after="0" w:line="131" w:lineRule="exact"/>
              <w:rPr>
                <w:sz w:val="20"/>
                <w:szCs w:val="20"/>
                <w:color w:val="auto"/>
              </w:rPr>
            </w:pPr>
            <w:r>
              <w:rPr>
                <w:rFonts w:ascii="Calibri" w:cs="Calibri" w:eastAsia="Calibri" w:hAnsi="Calibri"/>
                <w:sz w:val="12"/>
                <w:szCs w:val="12"/>
                <w:b w:val="1"/>
                <w:bCs w:val="1"/>
                <w:color w:val="494949"/>
              </w:rPr>
              <w:t>Optons</w:t>
            </w:r>
          </w:p>
        </w:tc>
        <w:tc>
          <w:tcPr>
            <w:tcW w:w="680" w:type="dxa"/>
            <w:vAlign w:val="bottom"/>
          </w:tcPr>
          <w:p>
            <w:pPr>
              <w:jc w:val="center"/>
              <w:spacing w:after="0" w:line="131" w:lineRule="exact"/>
              <w:rPr>
                <w:sz w:val="20"/>
                <w:szCs w:val="20"/>
                <w:color w:val="auto"/>
              </w:rPr>
            </w:pPr>
            <w:r>
              <w:rPr>
                <w:rFonts w:ascii="Calibri" w:cs="Calibri" w:eastAsia="Calibri" w:hAnsi="Calibri"/>
                <w:sz w:val="12"/>
                <w:szCs w:val="12"/>
                <w:b w:val="1"/>
                <w:bCs w:val="1"/>
                <w:color w:val="494949"/>
              </w:rPr>
              <w:t>Price</w:t>
            </w:r>
          </w:p>
        </w:tc>
        <w:tc>
          <w:tcPr>
            <w:tcW w:w="740" w:type="dxa"/>
            <w:vAlign w:val="bottom"/>
          </w:tcPr>
          <w:p>
            <w:pPr>
              <w:jc w:val="center"/>
              <w:spacing w:after="0" w:line="131" w:lineRule="exact"/>
              <w:rPr>
                <w:sz w:val="20"/>
                <w:szCs w:val="20"/>
                <w:color w:val="auto"/>
              </w:rPr>
            </w:pPr>
            <w:r>
              <w:rPr>
                <w:rFonts w:ascii="Calibri" w:cs="Calibri" w:eastAsia="Calibri" w:hAnsi="Calibri"/>
                <w:sz w:val="12"/>
                <w:szCs w:val="12"/>
                <w:b w:val="1"/>
                <w:bCs w:val="1"/>
                <w:color w:val="494949"/>
              </w:rPr>
              <w:t>Expiraton</w:t>
            </w:r>
          </w:p>
        </w:tc>
        <w:tc>
          <w:tcPr>
            <w:tcW w:w="980" w:type="dxa"/>
            <w:vAlign w:val="bottom"/>
          </w:tcPr>
          <w:p>
            <w:pPr>
              <w:jc w:val="center"/>
              <w:spacing w:after="0" w:line="131" w:lineRule="exact"/>
              <w:rPr>
                <w:sz w:val="20"/>
                <w:szCs w:val="20"/>
                <w:color w:val="auto"/>
              </w:rPr>
            </w:pPr>
            <w:r>
              <w:rPr>
                <w:rFonts w:ascii="Calibri" w:cs="Calibri" w:eastAsia="Calibri" w:hAnsi="Calibri"/>
                <w:sz w:val="12"/>
                <w:szCs w:val="12"/>
                <w:b w:val="1"/>
                <w:bCs w:val="1"/>
                <w:color w:val="494949"/>
                <w:w w:val="98"/>
              </w:rPr>
              <w:t>Vested</w:t>
            </w:r>
          </w:p>
        </w:tc>
        <w:tc>
          <w:tcPr>
            <w:tcW w:w="1140" w:type="dxa"/>
            <w:vAlign w:val="bottom"/>
          </w:tcPr>
          <w:p>
            <w:pPr>
              <w:jc w:val="center"/>
              <w:spacing w:after="0" w:line="131" w:lineRule="exact"/>
              <w:rPr>
                <w:sz w:val="20"/>
                <w:szCs w:val="20"/>
                <w:color w:val="auto"/>
              </w:rPr>
            </w:pPr>
            <w:r>
              <w:rPr>
                <w:rFonts w:ascii="Calibri" w:cs="Calibri" w:eastAsia="Calibri" w:hAnsi="Calibri"/>
                <w:sz w:val="12"/>
                <w:szCs w:val="12"/>
                <w:b w:val="1"/>
                <w:bCs w:val="1"/>
                <w:color w:val="494949"/>
              </w:rPr>
              <w:t>Have Not Vested</w:t>
            </w:r>
          </w:p>
        </w:tc>
        <w:tc>
          <w:tcPr>
            <w:tcW w:w="1140" w:type="dxa"/>
            <w:vAlign w:val="bottom"/>
          </w:tcPr>
          <w:p>
            <w:pPr>
              <w:jc w:val="center"/>
              <w:spacing w:after="0" w:line="131" w:lineRule="exact"/>
              <w:rPr>
                <w:sz w:val="20"/>
                <w:szCs w:val="20"/>
                <w:color w:val="auto"/>
              </w:rPr>
            </w:pPr>
            <w:r>
              <w:rPr>
                <w:rFonts w:ascii="Calibri" w:cs="Calibri" w:eastAsia="Calibri" w:hAnsi="Calibri"/>
                <w:sz w:val="12"/>
                <w:szCs w:val="12"/>
                <w:b w:val="1"/>
                <w:bCs w:val="1"/>
                <w:color w:val="494949"/>
              </w:rPr>
              <w:t>Vested</w:t>
            </w:r>
          </w:p>
        </w:tc>
        <w:tc>
          <w:tcPr>
            <w:tcW w:w="1300" w:type="dxa"/>
            <w:vAlign w:val="bottom"/>
          </w:tcPr>
          <w:p>
            <w:pPr>
              <w:jc w:val="center"/>
              <w:spacing w:after="0" w:line="131" w:lineRule="exact"/>
              <w:rPr>
                <w:sz w:val="20"/>
                <w:szCs w:val="20"/>
                <w:color w:val="auto"/>
              </w:rPr>
            </w:pPr>
            <w:r>
              <w:rPr>
                <w:rFonts w:ascii="Calibri" w:cs="Calibri" w:eastAsia="Calibri" w:hAnsi="Calibri"/>
                <w:sz w:val="12"/>
                <w:szCs w:val="12"/>
                <w:b w:val="1"/>
                <w:bCs w:val="1"/>
                <w:color w:val="494949"/>
              </w:rPr>
              <w:t>Have Not Vested</w:t>
            </w:r>
          </w:p>
        </w:tc>
        <w:tc>
          <w:tcPr>
            <w:tcW w:w="20" w:type="dxa"/>
            <w:vAlign w:val="bottom"/>
          </w:tcPr>
          <w:p>
            <w:pPr>
              <w:spacing w:after="0"/>
              <w:rPr>
                <w:sz w:val="11"/>
                <w:szCs w:val="11"/>
                <w:color w:val="auto"/>
              </w:rPr>
            </w:pPr>
          </w:p>
        </w:tc>
      </w:tr>
      <w:tr>
        <w:trPr>
          <w:trHeight w:val="179"/>
        </w:trPr>
        <w:tc>
          <w:tcPr>
            <w:tcW w:w="1360" w:type="dxa"/>
            <w:vAlign w:val="bottom"/>
            <w:tcBorders>
              <w:bottom w:val="single" w:sz="8" w:color="auto"/>
            </w:tcBorders>
          </w:tcPr>
          <w:p>
            <w:pPr>
              <w:ind w:left="40"/>
              <w:spacing w:after="0"/>
              <w:rPr>
                <w:sz w:val="20"/>
                <w:szCs w:val="20"/>
                <w:color w:val="auto"/>
              </w:rPr>
            </w:pPr>
            <w:r>
              <w:rPr>
                <w:rFonts w:ascii="Calibri" w:cs="Calibri" w:eastAsia="Calibri" w:hAnsi="Calibri"/>
                <w:sz w:val="12"/>
                <w:szCs w:val="12"/>
                <w:b w:val="1"/>
                <w:bCs w:val="1"/>
                <w:color w:val="494949"/>
              </w:rPr>
              <w:t>Name</w:t>
            </w:r>
          </w:p>
        </w:tc>
        <w:tc>
          <w:tcPr>
            <w:tcW w:w="860" w:type="dxa"/>
            <w:vAlign w:val="bottom"/>
            <w:tcBorders>
              <w:bottom w:val="single" w:sz="8" w:color="auto"/>
            </w:tcBorders>
          </w:tcPr>
          <w:p>
            <w:pPr>
              <w:jc w:val="right"/>
              <w:ind w:right="80"/>
              <w:spacing w:after="0"/>
              <w:rPr>
                <w:sz w:val="20"/>
                <w:szCs w:val="20"/>
                <w:color w:val="auto"/>
              </w:rPr>
            </w:pPr>
            <w:r>
              <w:rPr>
                <w:rFonts w:ascii="Calibri" w:cs="Calibri" w:eastAsia="Calibri" w:hAnsi="Calibri"/>
                <w:sz w:val="12"/>
                <w:szCs w:val="12"/>
                <w:b w:val="1"/>
                <w:bCs w:val="1"/>
                <w:color w:val="494949"/>
              </w:rPr>
              <w:t>Grant Date</w:t>
            </w:r>
          </w:p>
        </w:tc>
        <w:tc>
          <w:tcPr>
            <w:tcW w:w="94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494949"/>
              </w:rPr>
              <w:t>(#)</w:t>
            </w:r>
          </w:p>
        </w:tc>
        <w:tc>
          <w:tcPr>
            <w:tcW w:w="1080" w:type="dxa"/>
            <w:vAlign w:val="bottom"/>
            <w:tcBorders>
              <w:bottom w:val="single" w:sz="8" w:color="auto"/>
            </w:tcBorders>
          </w:tcPr>
          <w:p>
            <w:pPr>
              <w:jc w:val="center"/>
              <w:spacing w:after="0" w:line="173" w:lineRule="exact"/>
              <w:rPr>
                <w:sz w:val="20"/>
                <w:szCs w:val="20"/>
                <w:color w:val="auto"/>
              </w:rPr>
            </w:pPr>
            <w:r>
              <w:rPr>
                <w:rFonts w:ascii="Calibri" w:cs="Calibri" w:eastAsia="Calibri" w:hAnsi="Calibri"/>
                <w:sz w:val="12"/>
                <w:szCs w:val="12"/>
                <w:b w:val="1"/>
                <w:bCs w:val="1"/>
                <w:color w:val="494949"/>
                <w:w w:val="95"/>
              </w:rPr>
              <w:t>(#)</w:t>
            </w:r>
            <w:r>
              <w:rPr>
                <w:rFonts w:ascii="Calibri" w:cs="Calibri" w:eastAsia="Calibri" w:hAnsi="Calibri"/>
                <w:sz w:val="16"/>
                <w:szCs w:val="16"/>
                <w:b w:val="1"/>
                <w:bCs w:val="1"/>
                <w:color w:val="494949"/>
                <w:w w:val="95"/>
                <w:vertAlign w:val="superscript"/>
              </w:rPr>
              <w:t>1</w:t>
            </w:r>
          </w:p>
        </w:tc>
        <w:tc>
          <w:tcPr>
            <w:tcW w:w="102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494949"/>
              </w:rPr>
              <w:t>(#)</w:t>
            </w:r>
          </w:p>
        </w:tc>
        <w:tc>
          <w:tcPr>
            <w:tcW w:w="68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494949"/>
              </w:rPr>
              <w:t>($)</w:t>
            </w:r>
          </w:p>
        </w:tc>
        <w:tc>
          <w:tcPr>
            <w:tcW w:w="74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494949"/>
              </w:rPr>
              <w:t>Date</w:t>
            </w:r>
          </w:p>
        </w:tc>
        <w:tc>
          <w:tcPr>
            <w:tcW w:w="980" w:type="dxa"/>
            <w:vAlign w:val="bottom"/>
            <w:tcBorders>
              <w:bottom w:val="single" w:sz="8" w:color="auto"/>
            </w:tcBorders>
          </w:tcPr>
          <w:p>
            <w:pPr>
              <w:jc w:val="center"/>
              <w:spacing w:after="0" w:line="173" w:lineRule="exact"/>
              <w:rPr>
                <w:sz w:val="20"/>
                <w:szCs w:val="20"/>
                <w:color w:val="auto"/>
              </w:rPr>
            </w:pPr>
            <w:r>
              <w:rPr>
                <w:rFonts w:ascii="Calibri" w:cs="Calibri" w:eastAsia="Calibri" w:hAnsi="Calibri"/>
                <w:sz w:val="12"/>
                <w:szCs w:val="12"/>
                <w:b w:val="1"/>
                <w:bCs w:val="1"/>
                <w:color w:val="494949"/>
                <w:w w:val="92"/>
              </w:rPr>
              <w:t xml:space="preserve">(#) </w:t>
            </w:r>
            <w:r>
              <w:rPr>
                <w:rFonts w:ascii="Calibri" w:cs="Calibri" w:eastAsia="Calibri" w:hAnsi="Calibri"/>
                <w:sz w:val="16"/>
                <w:szCs w:val="16"/>
                <w:b w:val="1"/>
                <w:bCs w:val="1"/>
                <w:color w:val="494949"/>
                <w:w w:val="92"/>
                <w:vertAlign w:val="superscript"/>
              </w:rPr>
              <w:t>2</w:t>
            </w:r>
          </w:p>
        </w:tc>
        <w:tc>
          <w:tcPr>
            <w:tcW w:w="1140" w:type="dxa"/>
            <w:vAlign w:val="bottom"/>
            <w:tcBorders>
              <w:bottom w:val="single" w:sz="8" w:color="auto"/>
            </w:tcBorders>
          </w:tcPr>
          <w:p>
            <w:pPr>
              <w:jc w:val="center"/>
              <w:spacing w:after="0" w:line="173" w:lineRule="exact"/>
              <w:rPr>
                <w:sz w:val="20"/>
                <w:szCs w:val="20"/>
                <w:color w:val="auto"/>
              </w:rPr>
            </w:pPr>
            <w:r>
              <w:rPr>
                <w:rFonts w:ascii="Calibri" w:cs="Calibri" w:eastAsia="Calibri" w:hAnsi="Calibri"/>
                <w:sz w:val="12"/>
                <w:szCs w:val="12"/>
                <w:b w:val="1"/>
                <w:bCs w:val="1"/>
                <w:color w:val="494949"/>
                <w:w w:val="91"/>
              </w:rPr>
              <w:t xml:space="preserve">($) </w:t>
            </w:r>
            <w:r>
              <w:rPr>
                <w:rFonts w:ascii="Calibri" w:cs="Calibri" w:eastAsia="Calibri" w:hAnsi="Calibri"/>
                <w:sz w:val="16"/>
                <w:szCs w:val="16"/>
                <w:b w:val="1"/>
                <w:bCs w:val="1"/>
                <w:color w:val="494949"/>
                <w:w w:val="91"/>
                <w:vertAlign w:val="superscript"/>
              </w:rPr>
              <w:t>3</w:t>
            </w:r>
          </w:p>
        </w:tc>
        <w:tc>
          <w:tcPr>
            <w:tcW w:w="1140" w:type="dxa"/>
            <w:vAlign w:val="bottom"/>
            <w:tcBorders>
              <w:bottom w:val="single" w:sz="8" w:color="auto"/>
            </w:tcBorders>
          </w:tcPr>
          <w:p>
            <w:pPr>
              <w:jc w:val="center"/>
              <w:spacing w:after="0" w:line="173" w:lineRule="exact"/>
              <w:rPr>
                <w:sz w:val="20"/>
                <w:szCs w:val="20"/>
                <w:color w:val="auto"/>
              </w:rPr>
            </w:pPr>
            <w:r>
              <w:rPr>
                <w:rFonts w:ascii="Calibri" w:cs="Calibri" w:eastAsia="Calibri" w:hAnsi="Calibri"/>
                <w:sz w:val="12"/>
                <w:szCs w:val="12"/>
                <w:b w:val="1"/>
                <w:bCs w:val="1"/>
                <w:color w:val="494949"/>
                <w:w w:val="92"/>
              </w:rPr>
              <w:t xml:space="preserve">(#) </w:t>
            </w:r>
            <w:r>
              <w:rPr>
                <w:rFonts w:ascii="Calibri" w:cs="Calibri" w:eastAsia="Calibri" w:hAnsi="Calibri"/>
                <w:sz w:val="16"/>
                <w:szCs w:val="16"/>
                <w:b w:val="1"/>
                <w:bCs w:val="1"/>
                <w:color w:val="494949"/>
                <w:w w:val="92"/>
                <w:vertAlign w:val="superscript"/>
              </w:rPr>
              <w:t>4</w:t>
            </w:r>
          </w:p>
        </w:tc>
        <w:tc>
          <w:tcPr>
            <w:tcW w:w="1300" w:type="dxa"/>
            <w:vAlign w:val="bottom"/>
            <w:tcBorders>
              <w:bottom w:val="single" w:sz="8" w:color="auto"/>
            </w:tcBorders>
          </w:tcPr>
          <w:p>
            <w:pPr>
              <w:jc w:val="center"/>
              <w:spacing w:after="0" w:line="173" w:lineRule="exact"/>
              <w:rPr>
                <w:sz w:val="20"/>
                <w:szCs w:val="20"/>
                <w:color w:val="auto"/>
              </w:rPr>
            </w:pPr>
            <w:r>
              <w:rPr>
                <w:rFonts w:ascii="Calibri" w:cs="Calibri" w:eastAsia="Calibri" w:hAnsi="Calibri"/>
                <w:sz w:val="12"/>
                <w:szCs w:val="12"/>
                <w:b w:val="1"/>
                <w:bCs w:val="1"/>
                <w:color w:val="494949"/>
                <w:w w:val="91"/>
              </w:rPr>
              <w:t xml:space="preserve">($) </w:t>
            </w:r>
            <w:r>
              <w:rPr>
                <w:rFonts w:ascii="Calibri" w:cs="Calibri" w:eastAsia="Calibri" w:hAnsi="Calibri"/>
                <w:sz w:val="16"/>
                <w:szCs w:val="16"/>
                <w:b w:val="1"/>
                <w:bCs w:val="1"/>
                <w:color w:val="494949"/>
                <w:w w:val="91"/>
                <w:vertAlign w:val="superscript"/>
              </w:rPr>
              <w:t>5</w:t>
            </w:r>
          </w:p>
        </w:tc>
        <w:tc>
          <w:tcPr>
            <w:tcW w:w="20" w:type="dxa"/>
            <w:vAlign w:val="bottom"/>
            <w:tcBorders>
              <w:bottom w:val="single" w:sz="8" w:color="auto"/>
            </w:tcBorders>
          </w:tcPr>
          <w:p>
            <w:pPr>
              <w:spacing w:after="0"/>
              <w:rPr>
                <w:sz w:val="15"/>
                <w:szCs w:val="15"/>
                <w:color w:val="auto"/>
              </w:rPr>
            </w:pPr>
          </w:p>
        </w:tc>
      </w:tr>
      <w:tr>
        <w:trPr>
          <w:trHeight w:val="148"/>
        </w:trPr>
        <w:tc>
          <w:tcPr>
            <w:tcW w:w="1360" w:type="dxa"/>
            <w:vAlign w:val="bottom"/>
            <w:shd w:val="clear" w:color="auto" w:fill="CCEEFF"/>
          </w:tcPr>
          <w:p>
            <w:pPr>
              <w:ind w:left="40"/>
              <w:spacing w:after="0"/>
              <w:rPr>
                <w:sz w:val="20"/>
                <w:szCs w:val="20"/>
                <w:color w:val="auto"/>
              </w:rPr>
            </w:pPr>
            <w:r>
              <w:rPr>
                <w:rFonts w:ascii="Calibri" w:cs="Calibri" w:eastAsia="Calibri" w:hAnsi="Calibri"/>
                <w:sz w:val="12"/>
                <w:szCs w:val="12"/>
                <w:b w:val="1"/>
                <w:bCs w:val="1"/>
                <w:color w:val="494949"/>
              </w:rPr>
              <w:t>Horacio D. Rozanski</w:t>
            </w:r>
          </w:p>
        </w:tc>
        <w:tc>
          <w:tcPr>
            <w:tcW w:w="86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07/27/21</w:t>
            </w:r>
          </w:p>
        </w:tc>
        <w:tc>
          <w:tcPr>
            <w:tcW w:w="9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0"/>
              <w:spacing w:after="0"/>
              <w:rPr>
                <w:sz w:val="20"/>
                <w:szCs w:val="20"/>
                <w:color w:val="auto"/>
              </w:rPr>
            </w:pPr>
            <w:r>
              <w:rPr>
                <w:rFonts w:ascii="Calibri" w:cs="Calibri" w:eastAsia="Calibri" w:hAnsi="Calibri"/>
                <w:sz w:val="12"/>
                <w:szCs w:val="12"/>
                <w:color w:val="494949"/>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37,491</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Calibri" w:cs="Calibri" w:eastAsia="Calibri" w:hAnsi="Calibri"/>
                <w:sz w:val="12"/>
                <w:szCs w:val="12"/>
                <w:color w:val="494949"/>
              </w:rPr>
              <w:t>3,293,209</w:t>
            </w:r>
          </w:p>
        </w:tc>
        <w:tc>
          <w:tcPr>
            <w:tcW w:w="20" w:type="dxa"/>
            <w:vAlign w:val="bottom"/>
          </w:tcPr>
          <w:p>
            <w:pPr>
              <w:spacing w:after="0"/>
              <w:rPr>
                <w:sz w:val="12"/>
                <w:szCs w:val="12"/>
                <w:color w:val="auto"/>
              </w:rPr>
            </w:pPr>
          </w:p>
        </w:tc>
      </w:tr>
      <w:tr>
        <w:trPr>
          <w:trHeight w:val="173"/>
        </w:trPr>
        <w:tc>
          <w:tcPr>
            <w:tcW w:w="1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05/20/21</w:t>
            </w:r>
          </w:p>
        </w:tc>
        <w:tc>
          <w:tcPr>
            <w:tcW w:w="9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0"/>
              <w:spacing w:after="0"/>
              <w:rPr>
                <w:sz w:val="20"/>
                <w:szCs w:val="20"/>
                <w:color w:val="auto"/>
              </w:rPr>
            </w:pPr>
            <w:r>
              <w:rPr>
                <w:rFonts w:ascii="Calibri" w:cs="Calibri" w:eastAsia="Calibri" w:hAnsi="Calibri"/>
                <w:sz w:val="12"/>
                <w:szCs w:val="12"/>
                <w:color w:val="494949"/>
              </w:rPr>
              <w:t>19,336</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1,698,474</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Calibri" w:cs="Calibri" w:eastAsia="Calibri" w:hAnsi="Calibri"/>
                <w:sz w:val="12"/>
                <w:szCs w:val="12"/>
                <w:color w:val="494949"/>
              </w:rPr>
              <w:t>—</w:t>
            </w:r>
          </w:p>
        </w:tc>
        <w:tc>
          <w:tcPr>
            <w:tcW w:w="20" w:type="dxa"/>
            <w:vAlign w:val="bottom"/>
          </w:tcPr>
          <w:p>
            <w:pPr>
              <w:spacing w:after="0"/>
              <w:rPr>
                <w:sz w:val="15"/>
                <w:szCs w:val="15"/>
                <w:color w:val="auto"/>
              </w:rPr>
            </w:pPr>
          </w:p>
        </w:tc>
      </w:tr>
      <w:tr>
        <w:trPr>
          <w:trHeight w:val="173"/>
        </w:trPr>
        <w:tc>
          <w:tcPr>
            <w:tcW w:w="1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07/28/20</w:t>
            </w:r>
          </w:p>
        </w:tc>
        <w:tc>
          <w:tcPr>
            <w:tcW w:w="9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0"/>
              <w:spacing w:after="0"/>
              <w:rPr>
                <w:sz w:val="20"/>
                <w:szCs w:val="20"/>
                <w:color w:val="auto"/>
              </w:rPr>
            </w:pPr>
            <w:r>
              <w:rPr>
                <w:rFonts w:ascii="Calibri" w:cs="Calibri" w:eastAsia="Calibri" w:hAnsi="Calibri"/>
                <w:sz w:val="12"/>
                <w:szCs w:val="12"/>
                <w:color w:val="494949"/>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95,860</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Calibri" w:cs="Calibri" w:eastAsia="Calibri" w:hAnsi="Calibri"/>
                <w:sz w:val="12"/>
                <w:szCs w:val="12"/>
                <w:color w:val="494949"/>
              </w:rPr>
              <w:t>8,420,342</w:t>
            </w:r>
          </w:p>
        </w:tc>
        <w:tc>
          <w:tcPr>
            <w:tcW w:w="20" w:type="dxa"/>
            <w:vAlign w:val="bottom"/>
          </w:tcPr>
          <w:p>
            <w:pPr>
              <w:spacing w:after="0"/>
              <w:rPr>
                <w:sz w:val="15"/>
                <w:szCs w:val="15"/>
                <w:color w:val="auto"/>
              </w:rPr>
            </w:pPr>
          </w:p>
        </w:tc>
      </w:tr>
      <w:tr>
        <w:trPr>
          <w:trHeight w:val="173"/>
        </w:trPr>
        <w:tc>
          <w:tcPr>
            <w:tcW w:w="1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05/20/20</w:t>
            </w:r>
          </w:p>
        </w:tc>
        <w:tc>
          <w:tcPr>
            <w:tcW w:w="9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0"/>
              <w:spacing w:after="0"/>
              <w:rPr>
                <w:sz w:val="20"/>
                <w:szCs w:val="20"/>
                <w:color w:val="auto"/>
              </w:rPr>
            </w:pPr>
            <w:r>
              <w:rPr>
                <w:rFonts w:ascii="Calibri" w:cs="Calibri" w:eastAsia="Calibri" w:hAnsi="Calibri"/>
                <w:sz w:val="12"/>
                <w:szCs w:val="12"/>
                <w:color w:val="494949"/>
              </w:rPr>
              <w:t>6,258</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549,703</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Calibri" w:cs="Calibri" w:eastAsia="Calibri" w:hAnsi="Calibri"/>
                <w:sz w:val="12"/>
                <w:szCs w:val="12"/>
                <w:color w:val="494949"/>
              </w:rPr>
              <w:t>—</w:t>
            </w:r>
          </w:p>
        </w:tc>
        <w:tc>
          <w:tcPr>
            <w:tcW w:w="20" w:type="dxa"/>
            <w:vAlign w:val="bottom"/>
          </w:tcPr>
          <w:p>
            <w:pPr>
              <w:spacing w:after="0"/>
              <w:rPr>
                <w:sz w:val="15"/>
                <w:szCs w:val="15"/>
                <w:color w:val="auto"/>
              </w:rPr>
            </w:pPr>
          </w:p>
        </w:tc>
      </w:tr>
      <w:tr>
        <w:trPr>
          <w:trHeight w:val="178"/>
        </w:trPr>
        <w:tc>
          <w:tcPr>
            <w:tcW w:w="13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2"/>
                <w:szCs w:val="12"/>
                <w:color w:val="494949"/>
              </w:rPr>
              <w:t>04/01/15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2"/>
                <w:szCs w:val="12"/>
                <w:color w:val="494949"/>
              </w:rPr>
              <w:t>89,380</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Calibri" w:cs="Calibri" w:eastAsia="Calibri" w:hAnsi="Calibri"/>
                <w:sz w:val="12"/>
                <w:szCs w:val="12"/>
                <w:color w:val="494949"/>
              </w:rPr>
              <w:t>—</w:t>
            </w:r>
          </w:p>
        </w:tc>
        <w:tc>
          <w:tcPr>
            <w:tcW w:w="1020" w:type="dxa"/>
            <w:vAlign w:val="bottom"/>
            <w:tcBorders>
              <w:bottom w:val="single" w:sz="8" w:color="CCEEFF"/>
            </w:tcBorders>
            <w:shd w:val="clear" w:color="auto" w:fill="CCEEFF"/>
          </w:tcPr>
          <w:p>
            <w:pPr>
              <w:ind w:left="840"/>
              <w:spacing w:after="0"/>
              <w:rPr>
                <w:sz w:val="20"/>
                <w:szCs w:val="20"/>
                <w:color w:val="auto"/>
              </w:rPr>
            </w:pPr>
            <w:r>
              <w:rPr>
                <w:rFonts w:ascii="Calibri" w:cs="Calibri" w:eastAsia="Calibri" w:hAnsi="Calibri"/>
                <w:sz w:val="12"/>
                <w:szCs w:val="12"/>
                <w:color w:val="49494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Calibri" w:cs="Calibri" w:eastAsia="Calibri" w:hAnsi="Calibri"/>
                <w:sz w:val="12"/>
                <w:szCs w:val="12"/>
                <w:color w:val="494949"/>
              </w:rPr>
              <w:t>29.08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2"/>
                <w:szCs w:val="12"/>
                <w:color w:val="494949"/>
              </w:rPr>
              <w:t>04/01/25</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Calibri" w:cs="Calibri" w:eastAsia="Calibri" w:hAnsi="Calibri"/>
                <w:sz w:val="12"/>
                <w:szCs w:val="12"/>
                <w:color w:val="49494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2"/>
                <w:szCs w:val="12"/>
                <w:color w:val="49494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2"/>
                <w:szCs w:val="12"/>
                <w:color w:val="494949"/>
              </w:rPr>
              <w:t>—</w:t>
            </w:r>
          </w:p>
        </w:tc>
        <w:tc>
          <w:tcPr>
            <w:tcW w:w="13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Calibri" w:cs="Calibri" w:eastAsia="Calibri" w:hAnsi="Calibri"/>
                <w:sz w:val="12"/>
                <w:szCs w:val="12"/>
                <w:color w:val="494949"/>
              </w:rPr>
              <w:t>—</w:t>
            </w:r>
          </w:p>
        </w:tc>
        <w:tc>
          <w:tcPr>
            <w:tcW w:w="20" w:type="dxa"/>
            <w:vAlign w:val="bottom"/>
          </w:tcPr>
          <w:p>
            <w:pPr>
              <w:spacing w:after="0"/>
              <w:rPr>
                <w:sz w:val="15"/>
                <w:szCs w:val="15"/>
                <w:color w:val="auto"/>
              </w:rPr>
            </w:pPr>
          </w:p>
        </w:tc>
      </w:tr>
      <w:tr>
        <w:trPr>
          <w:trHeight w:val="148"/>
        </w:trPr>
        <w:tc>
          <w:tcPr>
            <w:tcW w:w="1360" w:type="dxa"/>
            <w:vAlign w:val="bottom"/>
          </w:tcPr>
          <w:p>
            <w:pPr>
              <w:ind w:left="40"/>
              <w:spacing w:after="0"/>
              <w:rPr>
                <w:sz w:val="20"/>
                <w:szCs w:val="20"/>
                <w:color w:val="auto"/>
              </w:rPr>
            </w:pPr>
            <w:r>
              <w:rPr>
                <w:rFonts w:ascii="Calibri" w:cs="Calibri" w:eastAsia="Calibri" w:hAnsi="Calibri"/>
                <w:sz w:val="12"/>
                <w:szCs w:val="12"/>
                <w:b w:val="1"/>
                <w:bCs w:val="1"/>
                <w:color w:val="494949"/>
              </w:rPr>
              <w:t>Lloyd W. Howell, Jr.</w:t>
            </w:r>
          </w:p>
        </w:tc>
        <w:tc>
          <w:tcPr>
            <w:tcW w:w="860" w:type="dxa"/>
            <w:vAlign w:val="bottom"/>
          </w:tcPr>
          <w:p>
            <w:pPr>
              <w:jc w:val="right"/>
              <w:spacing w:after="0"/>
              <w:rPr>
                <w:sz w:val="20"/>
                <w:szCs w:val="20"/>
                <w:color w:val="auto"/>
              </w:rPr>
            </w:pPr>
            <w:r>
              <w:rPr>
                <w:rFonts w:ascii="Calibri" w:cs="Calibri" w:eastAsia="Calibri" w:hAnsi="Calibri"/>
                <w:sz w:val="12"/>
                <w:szCs w:val="12"/>
                <w:color w:val="494949"/>
              </w:rPr>
              <w:t>07/27/21</w:t>
            </w: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jc w:val="right"/>
              <w:ind w:right="60"/>
              <w:spacing w:after="0"/>
              <w:rPr>
                <w:sz w:val="20"/>
                <w:szCs w:val="20"/>
                <w:color w:val="auto"/>
              </w:rPr>
            </w:pPr>
            <w:r>
              <w:rPr>
                <w:rFonts w:ascii="Calibri" w:cs="Calibri" w:eastAsia="Calibri" w:hAnsi="Calibri"/>
                <w:sz w:val="12"/>
                <w:szCs w:val="12"/>
                <w:color w:val="494949"/>
              </w:rPr>
              <w:t>—</w:t>
            </w:r>
          </w:p>
        </w:tc>
        <w:tc>
          <w:tcPr>
            <w:tcW w:w="1140" w:type="dxa"/>
            <w:vAlign w:val="bottom"/>
          </w:tcPr>
          <w:p>
            <w:pPr>
              <w:jc w:val="right"/>
              <w:spacing w:after="0"/>
              <w:rPr>
                <w:sz w:val="20"/>
                <w:szCs w:val="20"/>
                <w:color w:val="auto"/>
              </w:rPr>
            </w:pPr>
            <w:r>
              <w:rPr>
                <w:rFonts w:ascii="Calibri" w:cs="Calibri" w:eastAsia="Calibri" w:hAnsi="Calibri"/>
                <w:sz w:val="12"/>
                <w:szCs w:val="12"/>
                <w:color w:val="494949"/>
              </w:rPr>
              <w:t>—</w:t>
            </w:r>
          </w:p>
        </w:tc>
        <w:tc>
          <w:tcPr>
            <w:tcW w:w="1140" w:type="dxa"/>
            <w:vAlign w:val="bottom"/>
          </w:tcPr>
          <w:p>
            <w:pPr>
              <w:jc w:val="right"/>
              <w:spacing w:after="0"/>
              <w:rPr>
                <w:sz w:val="20"/>
                <w:szCs w:val="20"/>
                <w:color w:val="auto"/>
              </w:rPr>
            </w:pPr>
            <w:r>
              <w:rPr>
                <w:rFonts w:ascii="Calibri" w:cs="Calibri" w:eastAsia="Calibri" w:hAnsi="Calibri"/>
                <w:sz w:val="12"/>
                <w:szCs w:val="12"/>
                <w:color w:val="494949"/>
              </w:rPr>
              <w:t>7,627</w:t>
            </w:r>
          </w:p>
        </w:tc>
        <w:tc>
          <w:tcPr>
            <w:tcW w:w="1300" w:type="dxa"/>
            <w:vAlign w:val="bottom"/>
          </w:tcPr>
          <w:p>
            <w:pPr>
              <w:jc w:val="right"/>
              <w:spacing w:after="0"/>
              <w:rPr>
                <w:sz w:val="20"/>
                <w:szCs w:val="20"/>
                <w:color w:val="auto"/>
              </w:rPr>
            </w:pPr>
            <w:r>
              <w:rPr>
                <w:rFonts w:ascii="Calibri" w:cs="Calibri" w:eastAsia="Calibri" w:hAnsi="Calibri"/>
                <w:sz w:val="12"/>
                <w:szCs w:val="12"/>
                <w:color w:val="494949"/>
              </w:rPr>
              <w:t>669,956</w:t>
            </w:r>
          </w:p>
        </w:tc>
        <w:tc>
          <w:tcPr>
            <w:tcW w:w="20" w:type="dxa"/>
            <w:vAlign w:val="bottom"/>
          </w:tcPr>
          <w:p>
            <w:pPr>
              <w:spacing w:after="0"/>
              <w:rPr>
                <w:sz w:val="12"/>
                <w:szCs w:val="12"/>
                <w:color w:val="auto"/>
              </w:rPr>
            </w:pPr>
          </w:p>
        </w:tc>
      </w:tr>
      <w:tr>
        <w:trPr>
          <w:trHeight w:val="173"/>
        </w:trPr>
        <w:tc>
          <w:tcPr>
            <w:tcW w:w="1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2"/>
                <w:szCs w:val="12"/>
                <w:color w:val="494949"/>
              </w:rPr>
              <w:t>05/20/21</w:t>
            </w: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jc w:val="right"/>
              <w:ind w:right="60"/>
              <w:spacing w:after="0"/>
              <w:rPr>
                <w:sz w:val="20"/>
                <w:szCs w:val="20"/>
                <w:color w:val="auto"/>
              </w:rPr>
            </w:pPr>
            <w:r>
              <w:rPr>
                <w:rFonts w:ascii="Calibri" w:cs="Calibri" w:eastAsia="Calibri" w:hAnsi="Calibri"/>
                <w:sz w:val="12"/>
                <w:szCs w:val="12"/>
                <w:color w:val="494949"/>
              </w:rPr>
              <w:t>6,744</w:t>
            </w:r>
          </w:p>
        </w:tc>
        <w:tc>
          <w:tcPr>
            <w:tcW w:w="1140" w:type="dxa"/>
            <w:vAlign w:val="bottom"/>
          </w:tcPr>
          <w:p>
            <w:pPr>
              <w:jc w:val="right"/>
              <w:spacing w:after="0"/>
              <w:rPr>
                <w:sz w:val="20"/>
                <w:szCs w:val="20"/>
                <w:color w:val="auto"/>
              </w:rPr>
            </w:pPr>
            <w:r>
              <w:rPr>
                <w:rFonts w:ascii="Calibri" w:cs="Calibri" w:eastAsia="Calibri" w:hAnsi="Calibri"/>
                <w:sz w:val="12"/>
                <w:szCs w:val="12"/>
                <w:color w:val="494949"/>
              </w:rPr>
              <w:t>592,393</w:t>
            </w:r>
          </w:p>
        </w:tc>
        <w:tc>
          <w:tcPr>
            <w:tcW w:w="1140" w:type="dxa"/>
            <w:vAlign w:val="bottom"/>
          </w:tcPr>
          <w:p>
            <w:pPr>
              <w:jc w:val="right"/>
              <w:spacing w:after="0"/>
              <w:rPr>
                <w:sz w:val="20"/>
                <w:szCs w:val="20"/>
                <w:color w:val="auto"/>
              </w:rPr>
            </w:pPr>
            <w:r>
              <w:rPr>
                <w:rFonts w:ascii="Calibri" w:cs="Calibri" w:eastAsia="Calibri" w:hAnsi="Calibri"/>
                <w:sz w:val="12"/>
                <w:szCs w:val="12"/>
                <w:color w:val="494949"/>
              </w:rPr>
              <w:t>—</w:t>
            </w:r>
          </w:p>
        </w:tc>
        <w:tc>
          <w:tcPr>
            <w:tcW w:w="1300" w:type="dxa"/>
            <w:vAlign w:val="bottom"/>
          </w:tcPr>
          <w:p>
            <w:pPr>
              <w:jc w:val="right"/>
              <w:spacing w:after="0"/>
              <w:rPr>
                <w:sz w:val="20"/>
                <w:szCs w:val="20"/>
                <w:color w:val="auto"/>
              </w:rPr>
            </w:pPr>
            <w:r>
              <w:rPr>
                <w:rFonts w:ascii="Calibri" w:cs="Calibri" w:eastAsia="Calibri" w:hAnsi="Calibri"/>
                <w:sz w:val="12"/>
                <w:szCs w:val="12"/>
                <w:color w:val="494949"/>
              </w:rPr>
              <w:t>—</w:t>
            </w:r>
          </w:p>
        </w:tc>
        <w:tc>
          <w:tcPr>
            <w:tcW w:w="20" w:type="dxa"/>
            <w:vAlign w:val="bottom"/>
          </w:tcPr>
          <w:p>
            <w:pPr>
              <w:spacing w:after="0"/>
              <w:rPr>
                <w:sz w:val="15"/>
                <w:szCs w:val="15"/>
                <w:color w:val="auto"/>
              </w:rPr>
            </w:pPr>
          </w:p>
        </w:tc>
      </w:tr>
      <w:tr>
        <w:trPr>
          <w:trHeight w:val="173"/>
        </w:trPr>
        <w:tc>
          <w:tcPr>
            <w:tcW w:w="1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2"/>
                <w:szCs w:val="12"/>
                <w:color w:val="494949"/>
              </w:rPr>
              <w:t>07/28/20</w:t>
            </w: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jc w:val="right"/>
              <w:ind w:right="60"/>
              <w:spacing w:after="0"/>
              <w:rPr>
                <w:sz w:val="20"/>
                <w:szCs w:val="20"/>
                <w:color w:val="auto"/>
              </w:rPr>
            </w:pPr>
            <w:r>
              <w:rPr>
                <w:rFonts w:ascii="Calibri" w:cs="Calibri" w:eastAsia="Calibri" w:hAnsi="Calibri"/>
                <w:sz w:val="12"/>
                <w:szCs w:val="12"/>
                <w:color w:val="494949"/>
              </w:rPr>
              <w:t>—</w:t>
            </w:r>
          </w:p>
        </w:tc>
        <w:tc>
          <w:tcPr>
            <w:tcW w:w="1140" w:type="dxa"/>
            <w:vAlign w:val="bottom"/>
          </w:tcPr>
          <w:p>
            <w:pPr>
              <w:jc w:val="right"/>
              <w:spacing w:after="0"/>
              <w:rPr>
                <w:sz w:val="20"/>
                <w:szCs w:val="20"/>
                <w:color w:val="auto"/>
              </w:rPr>
            </w:pPr>
            <w:r>
              <w:rPr>
                <w:rFonts w:ascii="Calibri" w:cs="Calibri" w:eastAsia="Calibri" w:hAnsi="Calibri"/>
                <w:sz w:val="12"/>
                <w:szCs w:val="12"/>
                <w:color w:val="494949"/>
              </w:rPr>
              <w:t>—</w:t>
            </w:r>
          </w:p>
        </w:tc>
        <w:tc>
          <w:tcPr>
            <w:tcW w:w="1140" w:type="dxa"/>
            <w:vAlign w:val="bottom"/>
          </w:tcPr>
          <w:p>
            <w:pPr>
              <w:jc w:val="right"/>
              <w:spacing w:after="0"/>
              <w:rPr>
                <w:sz w:val="20"/>
                <w:szCs w:val="20"/>
                <w:color w:val="auto"/>
              </w:rPr>
            </w:pPr>
            <w:r>
              <w:rPr>
                <w:rFonts w:ascii="Calibri" w:cs="Calibri" w:eastAsia="Calibri" w:hAnsi="Calibri"/>
                <w:sz w:val="12"/>
                <w:szCs w:val="12"/>
                <w:color w:val="494949"/>
              </w:rPr>
              <w:t>29,958</w:t>
            </w:r>
          </w:p>
        </w:tc>
        <w:tc>
          <w:tcPr>
            <w:tcW w:w="1300" w:type="dxa"/>
            <w:vAlign w:val="bottom"/>
          </w:tcPr>
          <w:p>
            <w:pPr>
              <w:jc w:val="right"/>
              <w:spacing w:after="0"/>
              <w:rPr>
                <w:sz w:val="20"/>
                <w:szCs w:val="20"/>
                <w:color w:val="auto"/>
              </w:rPr>
            </w:pPr>
            <w:r>
              <w:rPr>
                <w:rFonts w:ascii="Calibri" w:cs="Calibri" w:eastAsia="Calibri" w:hAnsi="Calibri"/>
                <w:sz w:val="12"/>
                <w:szCs w:val="12"/>
                <w:color w:val="494949"/>
              </w:rPr>
              <w:t>2,631,511</w:t>
            </w:r>
          </w:p>
        </w:tc>
        <w:tc>
          <w:tcPr>
            <w:tcW w:w="20" w:type="dxa"/>
            <w:vAlign w:val="bottom"/>
          </w:tcPr>
          <w:p>
            <w:pPr>
              <w:spacing w:after="0"/>
              <w:rPr>
                <w:sz w:val="15"/>
                <w:szCs w:val="15"/>
                <w:color w:val="auto"/>
              </w:rPr>
            </w:pPr>
          </w:p>
        </w:tc>
      </w:tr>
      <w:tr>
        <w:trPr>
          <w:trHeight w:val="173"/>
        </w:trPr>
        <w:tc>
          <w:tcPr>
            <w:tcW w:w="1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2"/>
                <w:szCs w:val="12"/>
                <w:color w:val="494949"/>
              </w:rPr>
              <w:t>05/20/20</w:t>
            </w: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jc w:val="right"/>
              <w:ind w:right="60"/>
              <w:spacing w:after="0"/>
              <w:rPr>
                <w:sz w:val="20"/>
                <w:szCs w:val="20"/>
                <w:color w:val="auto"/>
              </w:rPr>
            </w:pPr>
            <w:r>
              <w:rPr>
                <w:rFonts w:ascii="Calibri" w:cs="Calibri" w:eastAsia="Calibri" w:hAnsi="Calibri"/>
                <w:sz w:val="12"/>
                <w:szCs w:val="12"/>
                <w:color w:val="494949"/>
              </w:rPr>
              <w:t>3,353</w:t>
            </w:r>
          </w:p>
        </w:tc>
        <w:tc>
          <w:tcPr>
            <w:tcW w:w="1140" w:type="dxa"/>
            <w:vAlign w:val="bottom"/>
          </w:tcPr>
          <w:p>
            <w:pPr>
              <w:jc w:val="right"/>
              <w:spacing w:after="0"/>
              <w:rPr>
                <w:sz w:val="20"/>
                <w:szCs w:val="20"/>
                <w:color w:val="auto"/>
              </w:rPr>
            </w:pPr>
            <w:r>
              <w:rPr>
                <w:rFonts w:ascii="Calibri" w:cs="Calibri" w:eastAsia="Calibri" w:hAnsi="Calibri"/>
                <w:sz w:val="12"/>
                <w:szCs w:val="12"/>
                <w:color w:val="494949"/>
              </w:rPr>
              <w:t>294,528</w:t>
            </w:r>
          </w:p>
        </w:tc>
        <w:tc>
          <w:tcPr>
            <w:tcW w:w="1140" w:type="dxa"/>
            <w:vAlign w:val="bottom"/>
          </w:tcPr>
          <w:p>
            <w:pPr>
              <w:jc w:val="right"/>
              <w:spacing w:after="0"/>
              <w:rPr>
                <w:sz w:val="20"/>
                <w:szCs w:val="20"/>
                <w:color w:val="auto"/>
              </w:rPr>
            </w:pPr>
            <w:r>
              <w:rPr>
                <w:rFonts w:ascii="Calibri" w:cs="Calibri" w:eastAsia="Calibri" w:hAnsi="Calibri"/>
                <w:sz w:val="12"/>
                <w:szCs w:val="12"/>
                <w:color w:val="494949"/>
              </w:rPr>
              <w:t>—</w:t>
            </w:r>
          </w:p>
        </w:tc>
        <w:tc>
          <w:tcPr>
            <w:tcW w:w="1300" w:type="dxa"/>
            <w:vAlign w:val="bottom"/>
          </w:tcPr>
          <w:p>
            <w:pPr>
              <w:jc w:val="right"/>
              <w:spacing w:after="0"/>
              <w:rPr>
                <w:sz w:val="20"/>
                <w:szCs w:val="20"/>
                <w:color w:val="auto"/>
              </w:rPr>
            </w:pPr>
            <w:r>
              <w:rPr>
                <w:rFonts w:ascii="Calibri" w:cs="Calibri" w:eastAsia="Calibri" w:hAnsi="Calibri"/>
                <w:sz w:val="12"/>
                <w:szCs w:val="12"/>
                <w:color w:val="494949"/>
              </w:rPr>
              <w:t>—</w:t>
            </w:r>
          </w:p>
        </w:tc>
        <w:tc>
          <w:tcPr>
            <w:tcW w:w="20" w:type="dxa"/>
            <w:vAlign w:val="bottom"/>
          </w:tcPr>
          <w:p>
            <w:pPr>
              <w:spacing w:after="0"/>
              <w:rPr>
                <w:sz w:val="15"/>
                <w:szCs w:val="15"/>
                <w:color w:val="auto"/>
              </w:rPr>
            </w:pPr>
          </w:p>
        </w:tc>
      </w:tr>
      <w:tr>
        <w:trPr>
          <w:trHeight w:val="173"/>
        </w:trPr>
        <w:tc>
          <w:tcPr>
            <w:tcW w:w="1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2"/>
                <w:szCs w:val="12"/>
                <w:color w:val="494949"/>
              </w:rPr>
              <w:t>05/19/17</w:t>
            </w:r>
          </w:p>
        </w:tc>
        <w:tc>
          <w:tcPr>
            <w:tcW w:w="940" w:type="dxa"/>
            <w:vAlign w:val="bottom"/>
          </w:tcPr>
          <w:p>
            <w:pPr>
              <w:jc w:val="right"/>
              <w:spacing w:after="0"/>
              <w:rPr>
                <w:sz w:val="20"/>
                <w:szCs w:val="20"/>
                <w:color w:val="auto"/>
              </w:rPr>
            </w:pPr>
            <w:r>
              <w:rPr>
                <w:rFonts w:ascii="Calibri" w:cs="Calibri" w:eastAsia="Calibri" w:hAnsi="Calibri"/>
                <w:sz w:val="12"/>
                <w:szCs w:val="12"/>
                <w:color w:val="494949"/>
              </w:rPr>
              <w:t>21,105</w:t>
            </w:r>
          </w:p>
        </w:tc>
        <w:tc>
          <w:tcPr>
            <w:tcW w:w="1080" w:type="dxa"/>
            <w:vAlign w:val="bottom"/>
          </w:tcPr>
          <w:p>
            <w:pPr>
              <w:jc w:val="right"/>
              <w:ind w:right="19"/>
              <w:spacing w:after="0"/>
              <w:rPr>
                <w:sz w:val="20"/>
                <w:szCs w:val="20"/>
                <w:color w:val="auto"/>
              </w:rPr>
            </w:pPr>
            <w:r>
              <w:rPr>
                <w:rFonts w:ascii="Calibri" w:cs="Calibri" w:eastAsia="Calibri" w:hAnsi="Calibri"/>
                <w:sz w:val="12"/>
                <w:szCs w:val="12"/>
                <w:color w:val="494949"/>
              </w:rPr>
              <w:t>—</w:t>
            </w:r>
          </w:p>
        </w:tc>
        <w:tc>
          <w:tcPr>
            <w:tcW w:w="1020" w:type="dxa"/>
            <w:vAlign w:val="bottom"/>
          </w:tcPr>
          <w:p>
            <w:pPr>
              <w:ind w:left="840"/>
              <w:spacing w:after="0"/>
              <w:rPr>
                <w:sz w:val="20"/>
                <w:szCs w:val="20"/>
                <w:color w:val="auto"/>
              </w:rPr>
            </w:pPr>
            <w:r>
              <w:rPr>
                <w:rFonts w:ascii="Calibri" w:cs="Calibri" w:eastAsia="Calibri" w:hAnsi="Calibri"/>
                <w:sz w:val="12"/>
                <w:szCs w:val="12"/>
                <w:color w:val="494949"/>
              </w:rPr>
              <w:t>—</w:t>
            </w:r>
          </w:p>
        </w:tc>
        <w:tc>
          <w:tcPr>
            <w:tcW w:w="680" w:type="dxa"/>
            <w:vAlign w:val="bottom"/>
          </w:tcPr>
          <w:p>
            <w:pPr>
              <w:jc w:val="right"/>
              <w:ind w:right="39"/>
              <w:spacing w:after="0"/>
              <w:rPr>
                <w:sz w:val="20"/>
                <w:szCs w:val="20"/>
                <w:color w:val="auto"/>
              </w:rPr>
            </w:pPr>
            <w:r>
              <w:rPr>
                <w:rFonts w:ascii="Calibri" w:cs="Calibri" w:eastAsia="Calibri" w:hAnsi="Calibri"/>
                <w:sz w:val="12"/>
                <w:szCs w:val="12"/>
                <w:color w:val="494949"/>
              </w:rPr>
              <w:t>35.95</w:t>
            </w:r>
          </w:p>
        </w:tc>
        <w:tc>
          <w:tcPr>
            <w:tcW w:w="740" w:type="dxa"/>
            <w:vAlign w:val="bottom"/>
          </w:tcPr>
          <w:p>
            <w:pPr>
              <w:jc w:val="right"/>
              <w:spacing w:after="0"/>
              <w:rPr>
                <w:sz w:val="20"/>
                <w:szCs w:val="20"/>
                <w:color w:val="auto"/>
              </w:rPr>
            </w:pPr>
            <w:r>
              <w:rPr>
                <w:rFonts w:ascii="Calibri" w:cs="Calibri" w:eastAsia="Calibri" w:hAnsi="Calibri"/>
                <w:sz w:val="12"/>
                <w:szCs w:val="12"/>
                <w:color w:val="494949"/>
              </w:rPr>
              <w:t>05/19/27</w:t>
            </w:r>
          </w:p>
        </w:tc>
        <w:tc>
          <w:tcPr>
            <w:tcW w:w="980" w:type="dxa"/>
            <w:vAlign w:val="bottom"/>
          </w:tcPr>
          <w:p>
            <w:pPr>
              <w:jc w:val="right"/>
              <w:ind w:right="60"/>
              <w:spacing w:after="0"/>
              <w:rPr>
                <w:sz w:val="20"/>
                <w:szCs w:val="20"/>
                <w:color w:val="auto"/>
              </w:rPr>
            </w:pPr>
            <w:r>
              <w:rPr>
                <w:rFonts w:ascii="Calibri" w:cs="Calibri" w:eastAsia="Calibri" w:hAnsi="Calibri"/>
                <w:sz w:val="12"/>
                <w:szCs w:val="12"/>
                <w:color w:val="494949"/>
              </w:rPr>
              <w:t>—</w:t>
            </w:r>
          </w:p>
        </w:tc>
        <w:tc>
          <w:tcPr>
            <w:tcW w:w="1140" w:type="dxa"/>
            <w:vAlign w:val="bottom"/>
          </w:tcPr>
          <w:p>
            <w:pPr>
              <w:jc w:val="right"/>
              <w:spacing w:after="0"/>
              <w:rPr>
                <w:sz w:val="20"/>
                <w:szCs w:val="20"/>
                <w:color w:val="auto"/>
              </w:rPr>
            </w:pPr>
            <w:r>
              <w:rPr>
                <w:rFonts w:ascii="Calibri" w:cs="Calibri" w:eastAsia="Calibri" w:hAnsi="Calibri"/>
                <w:sz w:val="12"/>
                <w:szCs w:val="12"/>
                <w:color w:val="494949"/>
              </w:rPr>
              <w:t>—</w:t>
            </w:r>
          </w:p>
        </w:tc>
        <w:tc>
          <w:tcPr>
            <w:tcW w:w="1140" w:type="dxa"/>
            <w:vAlign w:val="bottom"/>
          </w:tcPr>
          <w:p>
            <w:pPr>
              <w:jc w:val="right"/>
              <w:spacing w:after="0"/>
              <w:rPr>
                <w:sz w:val="20"/>
                <w:szCs w:val="20"/>
                <w:color w:val="auto"/>
              </w:rPr>
            </w:pPr>
            <w:r>
              <w:rPr>
                <w:rFonts w:ascii="Calibri" w:cs="Calibri" w:eastAsia="Calibri" w:hAnsi="Calibri"/>
                <w:sz w:val="12"/>
                <w:szCs w:val="12"/>
                <w:color w:val="494949"/>
              </w:rPr>
              <w:t>—</w:t>
            </w:r>
          </w:p>
        </w:tc>
        <w:tc>
          <w:tcPr>
            <w:tcW w:w="1300" w:type="dxa"/>
            <w:vAlign w:val="bottom"/>
          </w:tcPr>
          <w:p>
            <w:pPr>
              <w:jc w:val="right"/>
              <w:spacing w:after="0"/>
              <w:rPr>
                <w:sz w:val="20"/>
                <w:szCs w:val="20"/>
                <w:color w:val="auto"/>
              </w:rPr>
            </w:pPr>
            <w:r>
              <w:rPr>
                <w:rFonts w:ascii="Calibri" w:cs="Calibri" w:eastAsia="Calibri" w:hAnsi="Calibri"/>
                <w:sz w:val="12"/>
                <w:szCs w:val="12"/>
                <w:color w:val="494949"/>
              </w:rPr>
              <w:t>—</w:t>
            </w:r>
          </w:p>
        </w:tc>
        <w:tc>
          <w:tcPr>
            <w:tcW w:w="20" w:type="dxa"/>
            <w:vAlign w:val="bottom"/>
          </w:tcPr>
          <w:p>
            <w:pPr>
              <w:spacing w:after="0"/>
              <w:rPr>
                <w:sz w:val="15"/>
                <w:szCs w:val="15"/>
                <w:color w:val="auto"/>
              </w:rPr>
            </w:pPr>
          </w:p>
        </w:tc>
      </w:tr>
      <w:tr>
        <w:trPr>
          <w:trHeight w:val="25"/>
        </w:trPr>
        <w:tc>
          <w:tcPr>
            <w:tcW w:w="1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8"/>
        </w:trPr>
        <w:tc>
          <w:tcPr>
            <w:tcW w:w="1360" w:type="dxa"/>
            <w:vAlign w:val="bottom"/>
            <w:shd w:val="clear" w:color="auto" w:fill="CCEEFF"/>
          </w:tcPr>
          <w:p>
            <w:pPr>
              <w:ind w:left="40"/>
              <w:spacing w:after="0"/>
              <w:rPr>
                <w:sz w:val="20"/>
                <w:szCs w:val="20"/>
                <w:color w:val="auto"/>
              </w:rPr>
            </w:pPr>
            <w:r>
              <w:rPr>
                <w:rFonts w:ascii="Calibri" w:cs="Calibri" w:eastAsia="Calibri" w:hAnsi="Calibri"/>
                <w:sz w:val="12"/>
                <w:szCs w:val="12"/>
                <w:b w:val="1"/>
                <w:bCs w:val="1"/>
                <w:color w:val="494949"/>
              </w:rPr>
              <w:t>Karen M. Dahut</w:t>
            </w:r>
          </w:p>
        </w:tc>
        <w:tc>
          <w:tcPr>
            <w:tcW w:w="86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07/27/21</w:t>
            </w:r>
          </w:p>
        </w:tc>
        <w:tc>
          <w:tcPr>
            <w:tcW w:w="9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0"/>
              <w:spacing w:after="0"/>
              <w:rPr>
                <w:sz w:val="20"/>
                <w:szCs w:val="20"/>
                <w:color w:val="auto"/>
              </w:rPr>
            </w:pPr>
            <w:r>
              <w:rPr>
                <w:rFonts w:ascii="Calibri" w:cs="Calibri" w:eastAsia="Calibri" w:hAnsi="Calibri"/>
                <w:sz w:val="12"/>
                <w:szCs w:val="12"/>
                <w:color w:val="494949"/>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7,627</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Calibri" w:cs="Calibri" w:eastAsia="Calibri" w:hAnsi="Calibri"/>
                <w:sz w:val="12"/>
                <w:szCs w:val="12"/>
                <w:color w:val="494949"/>
              </w:rPr>
              <w:t>669,956</w:t>
            </w:r>
          </w:p>
        </w:tc>
        <w:tc>
          <w:tcPr>
            <w:tcW w:w="20" w:type="dxa"/>
            <w:vAlign w:val="bottom"/>
          </w:tcPr>
          <w:p>
            <w:pPr>
              <w:spacing w:after="0"/>
              <w:rPr>
                <w:sz w:val="12"/>
                <w:szCs w:val="12"/>
                <w:color w:val="auto"/>
              </w:rPr>
            </w:pPr>
          </w:p>
        </w:tc>
      </w:tr>
      <w:tr>
        <w:trPr>
          <w:trHeight w:val="173"/>
        </w:trPr>
        <w:tc>
          <w:tcPr>
            <w:tcW w:w="1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05/20/21</w:t>
            </w:r>
          </w:p>
        </w:tc>
        <w:tc>
          <w:tcPr>
            <w:tcW w:w="9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0"/>
              <w:spacing w:after="0"/>
              <w:rPr>
                <w:sz w:val="20"/>
                <w:szCs w:val="20"/>
                <w:color w:val="auto"/>
              </w:rPr>
            </w:pPr>
            <w:r>
              <w:rPr>
                <w:rFonts w:ascii="Calibri" w:cs="Calibri" w:eastAsia="Calibri" w:hAnsi="Calibri"/>
                <w:sz w:val="12"/>
                <w:szCs w:val="12"/>
                <w:color w:val="494949"/>
              </w:rPr>
              <w:t>6,744</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592,393</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Calibri" w:cs="Calibri" w:eastAsia="Calibri" w:hAnsi="Calibri"/>
                <w:sz w:val="12"/>
                <w:szCs w:val="12"/>
                <w:color w:val="494949"/>
              </w:rPr>
              <w:t>—</w:t>
            </w:r>
          </w:p>
        </w:tc>
        <w:tc>
          <w:tcPr>
            <w:tcW w:w="20" w:type="dxa"/>
            <w:vAlign w:val="bottom"/>
          </w:tcPr>
          <w:p>
            <w:pPr>
              <w:spacing w:after="0"/>
              <w:rPr>
                <w:sz w:val="15"/>
                <w:szCs w:val="15"/>
                <w:color w:val="auto"/>
              </w:rPr>
            </w:pPr>
          </w:p>
        </w:tc>
      </w:tr>
      <w:tr>
        <w:trPr>
          <w:trHeight w:val="173"/>
        </w:trPr>
        <w:tc>
          <w:tcPr>
            <w:tcW w:w="1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07/28/20</w:t>
            </w:r>
          </w:p>
        </w:tc>
        <w:tc>
          <w:tcPr>
            <w:tcW w:w="9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0"/>
              <w:spacing w:after="0"/>
              <w:rPr>
                <w:sz w:val="20"/>
                <w:szCs w:val="20"/>
                <w:color w:val="auto"/>
              </w:rPr>
            </w:pPr>
            <w:r>
              <w:rPr>
                <w:rFonts w:ascii="Calibri" w:cs="Calibri" w:eastAsia="Calibri" w:hAnsi="Calibri"/>
                <w:sz w:val="12"/>
                <w:szCs w:val="12"/>
                <w:color w:val="494949"/>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29,958</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Calibri" w:cs="Calibri" w:eastAsia="Calibri" w:hAnsi="Calibri"/>
                <w:sz w:val="12"/>
                <w:szCs w:val="12"/>
                <w:color w:val="494949"/>
              </w:rPr>
              <w:t>2,631,511</w:t>
            </w:r>
          </w:p>
        </w:tc>
        <w:tc>
          <w:tcPr>
            <w:tcW w:w="20" w:type="dxa"/>
            <w:vAlign w:val="bottom"/>
          </w:tcPr>
          <w:p>
            <w:pPr>
              <w:spacing w:after="0"/>
              <w:rPr>
                <w:sz w:val="15"/>
                <w:szCs w:val="15"/>
                <w:color w:val="auto"/>
              </w:rPr>
            </w:pPr>
          </w:p>
        </w:tc>
      </w:tr>
      <w:tr>
        <w:trPr>
          <w:trHeight w:val="173"/>
        </w:trPr>
        <w:tc>
          <w:tcPr>
            <w:tcW w:w="1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05/20/20</w:t>
            </w:r>
          </w:p>
        </w:tc>
        <w:tc>
          <w:tcPr>
            <w:tcW w:w="9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0"/>
              <w:spacing w:after="0"/>
              <w:rPr>
                <w:sz w:val="20"/>
                <w:szCs w:val="20"/>
                <w:color w:val="auto"/>
              </w:rPr>
            </w:pPr>
            <w:r>
              <w:rPr>
                <w:rFonts w:ascii="Calibri" w:cs="Calibri" w:eastAsia="Calibri" w:hAnsi="Calibri"/>
                <w:sz w:val="12"/>
                <w:szCs w:val="12"/>
                <w:color w:val="494949"/>
              </w:rPr>
              <w:t>3,353</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294,528</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Calibri" w:cs="Calibri" w:eastAsia="Calibri" w:hAnsi="Calibri"/>
                <w:sz w:val="12"/>
                <w:szCs w:val="12"/>
                <w:color w:val="494949"/>
              </w:rPr>
              <w:t>—</w:t>
            </w:r>
          </w:p>
        </w:tc>
        <w:tc>
          <w:tcPr>
            <w:tcW w:w="20" w:type="dxa"/>
            <w:vAlign w:val="bottom"/>
          </w:tcPr>
          <w:p>
            <w:pPr>
              <w:spacing w:after="0"/>
              <w:rPr>
                <w:sz w:val="15"/>
                <w:szCs w:val="15"/>
                <w:color w:val="auto"/>
              </w:rPr>
            </w:pPr>
          </w:p>
        </w:tc>
      </w:tr>
      <w:tr>
        <w:trPr>
          <w:trHeight w:val="173"/>
        </w:trPr>
        <w:tc>
          <w:tcPr>
            <w:tcW w:w="1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05/19/17</w:t>
            </w:r>
          </w:p>
        </w:tc>
        <w:tc>
          <w:tcPr>
            <w:tcW w:w="9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52,761</w:t>
            </w:r>
          </w:p>
        </w:tc>
        <w:tc>
          <w:tcPr>
            <w:tcW w:w="1080" w:type="dxa"/>
            <w:vAlign w:val="bottom"/>
            <w:shd w:val="clear" w:color="auto" w:fill="CCEEFF"/>
          </w:tcPr>
          <w:p>
            <w:pPr>
              <w:jc w:val="right"/>
              <w:ind w:right="19"/>
              <w:spacing w:after="0"/>
              <w:rPr>
                <w:sz w:val="20"/>
                <w:szCs w:val="20"/>
                <w:color w:val="auto"/>
              </w:rPr>
            </w:pPr>
            <w:r>
              <w:rPr>
                <w:rFonts w:ascii="Calibri" w:cs="Calibri" w:eastAsia="Calibri" w:hAnsi="Calibri"/>
                <w:sz w:val="12"/>
                <w:szCs w:val="12"/>
                <w:color w:val="494949"/>
              </w:rPr>
              <w:t>—</w:t>
            </w:r>
          </w:p>
        </w:tc>
        <w:tc>
          <w:tcPr>
            <w:tcW w:w="1020" w:type="dxa"/>
            <w:vAlign w:val="bottom"/>
            <w:shd w:val="clear" w:color="auto" w:fill="CCEEFF"/>
          </w:tcPr>
          <w:p>
            <w:pPr>
              <w:ind w:left="840"/>
              <w:spacing w:after="0"/>
              <w:rPr>
                <w:sz w:val="20"/>
                <w:szCs w:val="20"/>
                <w:color w:val="auto"/>
              </w:rPr>
            </w:pPr>
            <w:r>
              <w:rPr>
                <w:rFonts w:ascii="Calibri" w:cs="Calibri" w:eastAsia="Calibri" w:hAnsi="Calibri"/>
                <w:sz w:val="12"/>
                <w:szCs w:val="12"/>
                <w:color w:val="494949"/>
              </w:rPr>
              <w:t>—</w:t>
            </w:r>
          </w:p>
        </w:tc>
        <w:tc>
          <w:tcPr>
            <w:tcW w:w="680" w:type="dxa"/>
            <w:vAlign w:val="bottom"/>
            <w:shd w:val="clear" w:color="auto" w:fill="CCEEFF"/>
          </w:tcPr>
          <w:p>
            <w:pPr>
              <w:jc w:val="right"/>
              <w:ind w:right="39"/>
              <w:spacing w:after="0"/>
              <w:rPr>
                <w:sz w:val="20"/>
                <w:szCs w:val="20"/>
                <w:color w:val="auto"/>
              </w:rPr>
            </w:pPr>
            <w:r>
              <w:rPr>
                <w:rFonts w:ascii="Calibri" w:cs="Calibri" w:eastAsia="Calibri" w:hAnsi="Calibri"/>
                <w:sz w:val="12"/>
                <w:szCs w:val="12"/>
                <w:color w:val="494949"/>
              </w:rPr>
              <w:t>35.95</w:t>
            </w:r>
          </w:p>
        </w:tc>
        <w:tc>
          <w:tcPr>
            <w:tcW w:w="7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05/19/27</w:t>
            </w:r>
          </w:p>
        </w:tc>
        <w:tc>
          <w:tcPr>
            <w:tcW w:w="980" w:type="dxa"/>
            <w:vAlign w:val="bottom"/>
            <w:shd w:val="clear" w:color="auto" w:fill="CCEEFF"/>
          </w:tcPr>
          <w:p>
            <w:pPr>
              <w:jc w:val="right"/>
              <w:ind w:right="60"/>
              <w:spacing w:after="0"/>
              <w:rPr>
                <w:sz w:val="20"/>
                <w:szCs w:val="20"/>
                <w:color w:val="auto"/>
              </w:rPr>
            </w:pPr>
            <w:r>
              <w:rPr>
                <w:rFonts w:ascii="Calibri" w:cs="Calibri" w:eastAsia="Calibri" w:hAnsi="Calibri"/>
                <w:sz w:val="12"/>
                <w:szCs w:val="12"/>
                <w:color w:val="494949"/>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Calibri" w:cs="Calibri" w:eastAsia="Calibri" w:hAnsi="Calibri"/>
                <w:sz w:val="12"/>
                <w:szCs w:val="12"/>
                <w:color w:val="494949"/>
              </w:rPr>
              <w:t>—</w:t>
            </w:r>
          </w:p>
        </w:tc>
        <w:tc>
          <w:tcPr>
            <w:tcW w:w="20" w:type="dxa"/>
            <w:vAlign w:val="bottom"/>
          </w:tcPr>
          <w:p>
            <w:pPr>
              <w:spacing w:after="0"/>
              <w:rPr>
                <w:sz w:val="15"/>
                <w:szCs w:val="15"/>
                <w:color w:val="auto"/>
              </w:rPr>
            </w:pPr>
          </w:p>
        </w:tc>
      </w:tr>
      <w:tr>
        <w:trPr>
          <w:trHeight w:val="178"/>
        </w:trPr>
        <w:tc>
          <w:tcPr>
            <w:tcW w:w="13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2"/>
                <w:szCs w:val="12"/>
                <w:color w:val="494949"/>
              </w:rPr>
              <w:t>05/23/13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2"/>
                <w:szCs w:val="12"/>
                <w:color w:val="494949"/>
              </w:rPr>
              <w:t>45,000</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Calibri" w:cs="Calibri" w:eastAsia="Calibri" w:hAnsi="Calibri"/>
                <w:sz w:val="12"/>
                <w:szCs w:val="12"/>
                <w:color w:val="494949"/>
              </w:rPr>
              <w:t>—</w:t>
            </w:r>
          </w:p>
        </w:tc>
        <w:tc>
          <w:tcPr>
            <w:tcW w:w="1020" w:type="dxa"/>
            <w:vAlign w:val="bottom"/>
            <w:tcBorders>
              <w:bottom w:val="single" w:sz="8" w:color="CCEEFF"/>
            </w:tcBorders>
            <w:shd w:val="clear" w:color="auto" w:fill="CCEEFF"/>
          </w:tcPr>
          <w:p>
            <w:pPr>
              <w:ind w:left="840"/>
              <w:spacing w:after="0"/>
              <w:rPr>
                <w:sz w:val="20"/>
                <w:szCs w:val="20"/>
                <w:color w:val="auto"/>
              </w:rPr>
            </w:pPr>
            <w:r>
              <w:rPr>
                <w:rFonts w:ascii="Calibri" w:cs="Calibri" w:eastAsia="Calibri" w:hAnsi="Calibri"/>
                <w:sz w:val="12"/>
                <w:szCs w:val="12"/>
                <w:color w:val="49494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Calibri" w:cs="Calibri" w:eastAsia="Calibri" w:hAnsi="Calibri"/>
                <w:sz w:val="12"/>
                <w:szCs w:val="12"/>
                <w:color w:val="494949"/>
              </w:rPr>
              <w:t>18.35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2"/>
                <w:szCs w:val="12"/>
                <w:color w:val="494949"/>
              </w:rPr>
              <w:t>05/23/23</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Calibri" w:cs="Calibri" w:eastAsia="Calibri" w:hAnsi="Calibri"/>
                <w:sz w:val="12"/>
                <w:szCs w:val="12"/>
                <w:color w:val="49494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2"/>
                <w:szCs w:val="12"/>
                <w:color w:val="49494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2"/>
                <w:szCs w:val="12"/>
                <w:color w:val="494949"/>
              </w:rPr>
              <w:t>—</w:t>
            </w:r>
          </w:p>
        </w:tc>
        <w:tc>
          <w:tcPr>
            <w:tcW w:w="13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Calibri" w:cs="Calibri" w:eastAsia="Calibri" w:hAnsi="Calibri"/>
                <w:sz w:val="12"/>
                <w:szCs w:val="12"/>
                <w:color w:val="494949"/>
              </w:rPr>
              <w:t>—</w:t>
            </w:r>
          </w:p>
        </w:tc>
        <w:tc>
          <w:tcPr>
            <w:tcW w:w="20" w:type="dxa"/>
            <w:vAlign w:val="bottom"/>
          </w:tcPr>
          <w:p>
            <w:pPr>
              <w:spacing w:after="0"/>
              <w:rPr>
                <w:sz w:val="15"/>
                <w:szCs w:val="15"/>
                <w:color w:val="auto"/>
              </w:rPr>
            </w:pPr>
          </w:p>
        </w:tc>
      </w:tr>
      <w:tr>
        <w:trPr>
          <w:trHeight w:val="148"/>
        </w:trPr>
        <w:tc>
          <w:tcPr>
            <w:tcW w:w="1360" w:type="dxa"/>
            <w:vAlign w:val="bottom"/>
          </w:tcPr>
          <w:p>
            <w:pPr>
              <w:ind w:left="40"/>
              <w:spacing w:after="0"/>
              <w:rPr>
                <w:sz w:val="20"/>
                <w:szCs w:val="20"/>
                <w:color w:val="auto"/>
              </w:rPr>
            </w:pPr>
            <w:r>
              <w:rPr>
                <w:rFonts w:ascii="Calibri" w:cs="Calibri" w:eastAsia="Calibri" w:hAnsi="Calibri"/>
                <w:sz w:val="12"/>
                <w:szCs w:val="12"/>
                <w:b w:val="1"/>
                <w:bCs w:val="1"/>
                <w:color w:val="494949"/>
              </w:rPr>
              <w:t>Nancy J. Laben</w:t>
            </w:r>
          </w:p>
        </w:tc>
        <w:tc>
          <w:tcPr>
            <w:tcW w:w="860" w:type="dxa"/>
            <w:vAlign w:val="bottom"/>
          </w:tcPr>
          <w:p>
            <w:pPr>
              <w:jc w:val="right"/>
              <w:spacing w:after="0"/>
              <w:rPr>
                <w:sz w:val="20"/>
                <w:szCs w:val="20"/>
                <w:color w:val="auto"/>
              </w:rPr>
            </w:pPr>
            <w:r>
              <w:rPr>
                <w:rFonts w:ascii="Calibri" w:cs="Calibri" w:eastAsia="Calibri" w:hAnsi="Calibri"/>
                <w:sz w:val="12"/>
                <w:szCs w:val="12"/>
                <w:color w:val="494949"/>
              </w:rPr>
              <w:t>07/27/21</w:t>
            </w: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jc w:val="right"/>
              <w:ind w:right="60"/>
              <w:spacing w:after="0"/>
              <w:rPr>
                <w:sz w:val="20"/>
                <w:szCs w:val="20"/>
                <w:color w:val="auto"/>
              </w:rPr>
            </w:pPr>
            <w:r>
              <w:rPr>
                <w:rFonts w:ascii="Calibri" w:cs="Calibri" w:eastAsia="Calibri" w:hAnsi="Calibri"/>
                <w:sz w:val="12"/>
                <w:szCs w:val="12"/>
                <w:color w:val="494949"/>
              </w:rPr>
              <w:t>—</w:t>
            </w:r>
          </w:p>
        </w:tc>
        <w:tc>
          <w:tcPr>
            <w:tcW w:w="1140" w:type="dxa"/>
            <w:vAlign w:val="bottom"/>
          </w:tcPr>
          <w:p>
            <w:pPr>
              <w:jc w:val="right"/>
              <w:spacing w:after="0"/>
              <w:rPr>
                <w:sz w:val="20"/>
                <w:szCs w:val="20"/>
                <w:color w:val="auto"/>
              </w:rPr>
            </w:pPr>
            <w:r>
              <w:rPr>
                <w:rFonts w:ascii="Calibri" w:cs="Calibri" w:eastAsia="Calibri" w:hAnsi="Calibri"/>
                <w:sz w:val="12"/>
                <w:szCs w:val="12"/>
                <w:color w:val="494949"/>
              </w:rPr>
              <w:t>—</w:t>
            </w:r>
          </w:p>
        </w:tc>
        <w:tc>
          <w:tcPr>
            <w:tcW w:w="1140" w:type="dxa"/>
            <w:vAlign w:val="bottom"/>
          </w:tcPr>
          <w:p>
            <w:pPr>
              <w:jc w:val="right"/>
              <w:spacing w:after="0"/>
              <w:rPr>
                <w:sz w:val="20"/>
                <w:szCs w:val="20"/>
                <w:color w:val="auto"/>
              </w:rPr>
            </w:pPr>
            <w:r>
              <w:rPr>
                <w:rFonts w:ascii="Calibri" w:cs="Calibri" w:eastAsia="Calibri" w:hAnsi="Calibri"/>
                <w:sz w:val="12"/>
                <w:szCs w:val="12"/>
                <w:color w:val="494949"/>
              </w:rPr>
              <w:t>4,135</w:t>
            </w:r>
          </w:p>
        </w:tc>
        <w:tc>
          <w:tcPr>
            <w:tcW w:w="1300" w:type="dxa"/>
            <w:vAlign w:val="bottom"/>
          </w:tcPr>
          <w:p>
            <w:pPr>
              <w:jc w:val="right"/>
              <w:spacing w:after="0"/>
              <w:rPr>
                <w:sz w:val="20"/>
                <w:szCs w:val="20"/>
                <w:color w:val="auto"/>
              </w:rPr>
            </w:pPr>
            <w:r>
              <w:rPr>
                <w:rFonts w:ascii="Calibri" w:cs="Calibri" w:eastAsia="Calibri" w:hAnsi="Calibri"/>
                <w:sz w:val="12"/>
                <w:szCs w:val="12"/>
                <w:color w:val="494949"/>
              </w:rPr>
              <w:t>363,218</w:t>
            </w:r>
          </w:p>
        </w:tc>
        <w:tc>
          <w:tcPr>
            <w:tcW w:w="20" w:type="dxa"/>
            <w:vAlign w:val="bottom"/>
          </w:tcPr>
          <w:p>
            <w:pPr>
              <w:spacing w:after="0"/>
              <w:rPr>
                <w:sz w:val="12"/>
                <w:szCs w:val="12"/>
                <w:color w:val="auto"/>
              </w:rPr>
            </w:pPr>
          </w:p>
        </w:tc>
      </w:tr>
      <w:tr>
        <w:trPr>
          <w:trHeight w:val="173"/>
        </w:trPr>
        <w:tc>
          <w:tcPr>
            <w:tcW w:w="1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2"/>
                <w:szCs w:val="12"/>
                <w:color w:val="494949"/>
              </w:rPr>
              <w:t>05/20/21</w:t>
            </w: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jc w:val="right"/>
              <w:ind w:right="60"/>
              <w:spacing w:after="0"/>
              <w:rPr>
                <w:sz w:val="20"/>
                <w:szCs w:val="20"/>
                <w:color w:val="auto"/>
              </w:rPr>
            </w:pPr>
            <w:r>
              <w:rPr>
                <w:rFonts w:ascii="Calibri" w:cs="Calibri" w:eastAsia="Calibri" w:hAnsi="Calibri"/>
                <w:sz w:val="12"/>
                <w:szCs w:val="12"/>
                <w:color w:val="494949"/>
              </w:rPr>
              <w:t>3,656</w:t>
            </w:r>
          </w:p>
        </w:tc>
        <w:tc>
          <w:tcPr>
            <w:tcW w:w="1140" w:type="dxa"/>
            <w:vAlign w:val="bottom"/>
          </w:tcPr>
          <w:p>
            <w:pPr>
              <w:jc w:val="right"/>
              <w:spacing w:after="0"/>
              <w:rPr>
                <w:sz w:val="20"/>
                <w:szCs w:val="20"/>
                <w:color w:val="auto"/>
              </w:rPr>
            </w:pPr>
            <w:r>
              <w:rPr>
                <w:rFonts w:ascii="Calibri" w:cs="Calibri" w:eastAsia="Calibri" w:hAnsi="Calibri"/>
                <w:sz w:val="12"/>
                <w:szCs w:val="12"/>
                <w:color w:val="494949"/>
              </w:rPr>
              <w:t>321,143</w:t>
            </w:r>
          </w:p>
        </w:tc>
        <w:tc>
          <w:tcPr>
            <w:tcW w:w="1140" w:type="dxa"/>
            <w:vAlign w:val="bottom"/>
          </w:tcPr>
          <w:p>
            <w:pPr>
              <w:jc w:val="right"/>
              <w:spacing w:after="0"/>
              <w:rPr>
                <w:sz w:val="20"/>
                <w:szCs w:val="20"/>
                <w:color w:val="auto"/>
              </w:rPr>
            </w:pPr>
            <w:r>
              <w:rPr>
                <w:rFonts w:ascii="Calibri" w:cs="Calibri" w:eastAsia="Calibri" w:hAnsi="Calibri"/>
                <w:sz w:val="12"/>
                <w:szCs w:val="12"/>
                <w:color w:val="494949"/>
              </w:rPr>
              <w:t>—</w:t>
            </w:r>
          </w:p>
        </w:tc>
        <w:tc>
          <w:tcPr>
            <w:tcW w:w="1300" w:type="dxa"/>
            <w:vAlign w:val="bottom"/>
          </w:tcPr>
          <w:p>
            <w:pPr>
              <w:jc w:val="right"/>
              <w:spacing w:after="0"/>
              <w:rPr>
                <w:sz w:val="20"/>
                <w:szCs w:val="20"/>
                <w:color w:val="auto"/>
              </w:rPr>
            </w:pPr>
            <w:r>
              <w:rPr>
                <w:rFonts w:ascii="Calibri" w:cs="Calibri" w:eastAsia="Calibri" w:hAnsi="Calibri"/>
                <w:sz w:val="12"/>
                <w:szCs w:val="12"/>
                <w:color w:val="494949"/>
              </w:rPr>
              <w:t>—</w:t>
            </w:r>
          </w:p>
        </w:tc>
        <w:tc>
          <w:tcPr>
            <w:tcW w:w="20" w:type="dxa"/>
            <w:vAlign w:val="bottom"/>
          </w:tcPr>
          <w:p>
            <w:pPr>
              <w:spacing w:after="0"/>
              <w:rPr>
                <w:sz w:val="15"/>
                <w:szCs w:val="15"/>
                <w:color w:val="auto"/>
              </w:rPr>
            </w:pPr>
          </w:p>
        </w:tc>
      </w:tr>
      <w:tr>
        <w:trPr>
          <w:trHeight w:val="173"/>
        </w:trPr>
        <w:tc>
          <w:tcPr>
            <w:tcW w:w="1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2"/>
                <w:szCs w:val="12"/>
                <w:color w:val="494949"/>
              </w:rPr>
              <w:t>07/28/20</w:t>
            </w: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jc w:val="right"/>
              <w:ind w:right="60"/>
              <w:spacing w:after="0"/>
              <w:rPr>
                <w:sz w:val="20"/>
                <w:szCs w:val="20"/>
                <w:color w:val="auto"/>
              </w:rPr>
            </w:pPr>
            <w:r>
              <w:rPr>
                <w:rFonts w:ascii="Calibri" w:cs="Calibri" w:eastAsia="Calibri" w:hAnsi="Calibri"/>
                <w:sz w:val="12"/>
                <w:szCs w:val="12"/>
                <w:color w:val="494949"/>
              </w:rPr>
              <w:t>—</w:t>
            </w:r>
          </w:p>
        </w:tc>
        <w:tc>
          <w:tcPr>
            <w:tcW w:w="1140" w:type="dxa"/>
            <w:vAlign w:val="bottom"/>
          </w:tcPr>
          <w:p>
            <w:pPr>
              <w:jc w:val="right"/>
              <w:spacing w:after="0"/>
              <w:rPr>
                <w:sz w:val="20"/>
                <w:szCs w:val="20"/>
                <w:color w:val="auto"/>
              </w:rPr>
            </w:pPr>
            <w:r>
              <w:rPr>
                <w:rFonts w:ascii="Calibri" w:cs="Calibri" w:eastAsia="Calibri" w:hAnsi="Calibri"/>
                <w:sz w:val="12"/>
                <w:szCs w:val="12"/>
                <w:color w:val="494949"/>
              </w:rPr>
              <w:t>—</w:t>
            </w:r>
          </w:p>
        </w:tc>
        <w:tc>
          <w:tcPr>
            <w:tcW w:w="1140" w:type="dxa"/>
            <w:vAlign w:val="bottom"/>
          </w:tcPr>
          <w:p>
            <w:pPr>
              <w:jc w:val="right"/>
              <w:spacing w:after="0"/>
              <w:rPr>
                <w:sz w:val="20"/>
                <w:szCs w:val="20"/>
                <w:color w:val="auto"/>
              </w:rPr>
            </w:pPr>
            <w:r>
              <w:rPr>
                <w:rFonts w:ascii="Calibri" w:cs="Calibri" w:eastAsia="Calibri" w:hAnsi="Calibri"/>
                <w:sz w:val="12"/>
                <w:szCs w:val="12"/>
                <w:color w:val="494949"/>
              </w:rPr>
              <w:t>15,578</w:t>
            </w:r>
          </w:p>
        </w:tc>
        <w:tc>
          <w:tcPr>
            <w:tcW w:w="1300" w:type="dxa"/>
            <w:vAlign w:val="bottom"/>
          </w:tcPr>
          <w:p>
            <w:pPr>
              <w:jc w:val="right"/>
              <w:spacing w:after="0"/>
              <w:rPr>
                <w:sz w:val="20"/>
                <w:szCs w:val="20"/>
                <w:color w:val="auto"/>
              </w:rPr>
            </w:pPr>
            <w:r>
              <w:rPr>
                <w:rFonts w:ascii="Calibri" w:cs="Calibri" w:eastAsia="Calibri" w:hAnsi="Calibri"/>
                <w:sz w:val="12"/>
                <w:szCs w:val="12"/>
                <w:color w:val="494949"/>
              </w:rPr>
              <w:t>1,368,372</w:t>
            </w:r>
          </w:p>
        </w:tc>
        <w:tc>
          <w:tcPr>
            <w:tcW w:w="20" w:type="dxa"/>
            <w:vAlign w:val="bottom"/>
          </w:tcPr>
          <w:p>
            <w:pPr>
              <w:spacing w:after="0"/>
              <w:rPr>
                <w:sz w:val="15"/>
                <w:szCs w:val="15"/>
                <w:color w:val="auto"/>
              </w:rPr>
            </w:pPr>
          </w:p>
        </w:tc>
      </w:tr>
      <w:tr>
        <w:trPr>
          <w:trHeight w:val="173"/>
        </w:trPr>
        <w:tc>
          <w:tcPr>
            <w:tcW w:w="1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2"/>
                <w:szCs w:val="12"/>
                <w:color w:val="494949"/>
              </w:rPr>
              <w:t>05/20/20</w:t>
            </w: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jc w:val="right"/>
              <w:ind w:right="60"/>
              <w:spacing w:after="0"/>
              <w:rPr>
                <w:sz w:val="20"/>
                <w:szCs w:val="20"/>
                <w:color w:val="auto"/>
              </w:rPr>
            </w:pPr>
            <w:r>
              <w:rPr>
                <w:rFonts w:ascii="Calibri" w:cs="Calibri" w:eastAsia="Calibri" w:hAnsi="Calibri"/>
                <w:sz w:val="12"/>
                <w:szCs w:val="12"/>
                <w:color w:val="494949"/>
              </w:rPr>
              <w:t>1,743</w:t>
            </w:r>
          </w:p>
        </w:tc>
        <w:tc>
          <w:tcPr>
            <w:tcW w:w="1140" w:type="dxa"/>
            <w:vAlign w:val="bottom"/>
          </w:tcPr>
          <w:p>
            <w:pPr>
              <w:jc w:val="right"/>
              <w:spacing w:after="0"/>
              <w:rPr>
                <w:sz w:val="20"/>
                <w:szCs w:val="20"/>
                <w:color w:val="auto"/>
              </w:rPr>
            </w:pPr>
            <w:r>
              <w:rPr>
                <w:rFonts w:ascii="Calibri" w:cs="Calibri" w:eastAsia="Calibri" w:hAnsi="Calibri"/>
                <w:sz w:val="12"/>
                <w:szCs w:val="12"/>
                <w:color w:val="494949"/>
              </w:rPr>
              <w:t>153,105</w:t>
            </w:r>
          </w:p>
        </w:tc>
        <w:tc>
          <w:tcPr>
            <w:tcW w:w="1140" w:type="dxa"/>
            <w:vAlign w:val="bottom"/>
          </w:tcPr>
          <w:p>
            <w:pPr>
              <w:jc w:val="right"/>
              <w:spacing w:after="0"/>
              <w:rPr>
                <w:sz w:val="20"/>
                <w:szCs w:val="20"/>
                <w:color w:val="auto"/>
              </w:rPr>
            </w:pPr>
            <w:r>
              <w:rPr>
                <w:rFonts w:ascii="Calibri" w:cs="Calibri" w:eastAsia="Calibri" w:hAnsi="Calibri"/>
                <w:sz w:val="12"/>
                <w:szCs w:val="12"/>
                <w:color w:val="494949"/>
              </w:rPr>
              <w:t>—</w:t>
            </w:r>
          </w:p>
        </w:tc>
        <w:tc>
          <w:tcPr>
            <w:tcW w:w="1300" w:type="dxa"/>
            <w:vAlign w:val="bottom"/>
          </w:tcPr>
          <w:p>
            <w:pPr>
              <w:jc w:val="right"/>
              <w:spacing w:after="0"/>
              <w:rPr>
                <w:sz w:val="20"/>
                <w:szCs w:val="20"/>
                <w:color w:val="auto"/>
              </w:rPr>
            </w:pPr>
            <w:r>
              <w:rPr>
                <w:rFonts w:ascii="Calibri" w:cs="Calibri" w:eastAsia="Calibri" w:hAnsi="Calibri"/>
                <w:sz w:val="12"/>
                <w:szCs w:val="12"/>
                <w:color w:val="494949"/>
              </w:rPr>
              <w:t>—</w:t>
            </w:r>
          </w:p>
        </w:tc>
        <w:tc>
          <w:tcPr>
            <w:tcW w:w="20" w:type="dxa"/>
            <w:vAlign w:val="bottom"/>
          </w:tcPr>
          <w:p>
            <w:pPr>
              <w:spacing w:after="0"/>
              <w:rPr>
                <w:sz w:val="15"/>
                <w:szCs w:val="15"/>
                <w:color w:val="auto"/>
              </w:rPr>
            </w:pPr>
          </w:p>
        </w:tc>
      </w:tr>
      <w:tr>
        <w:trPr>
          <w:trHeight w:val="173"/>
        </w:trPr>
        <w:tc>
          <w:tcPr>
            <w:tcW w:w="1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2"/>
                <w:szCs w:val="12"/>
                <w:color w:val="494949"/>
              </w:rPr>
              <w:t>11/14/18</w:t>
            </w:r>
          </w:p>
        </w:tc>
        <w:tc>
          <w:tcPr>
            <w:tcW w:w="940" w:type="dxa"/>
            <w:vAlign w:val="bottom"/>
          </w:tcPr>
          <w:p>
            <w:pPr>
              <w:jc w:val="right"/>
              <w:spacing w:after="0"/>
              <w:rPr>
                <w:sz w:val="20"/>
                <w:szCs w:val="20"/>
                <w:color w:val="auto"/>
              </w:rPr>
            </w:pPr>
            <w:r>
              <w:rPr>
                <w:rFonts w:ascii="Calibri" w:cs="Calibri" w:eastAsia="Calibri" w:hAnsi="Calibri"/>
                <w:sz w:val="12"/>
                <w:szCs w:val="12"/>
                <w:color w:val="494949"/>
              </w:rPr>
              <w:t>18,552</w:t>
            </w:r>
          </w:p>
        </w:tc>
        <w:tc>
          <w:tcPr>
            <w:tcW w:w="1080" w:type="dxa"/>
            <w:vAlign w:val="bottom"/>
          </w:tcPr>
          <w:p>
            <w:pPr>
              <w:jc w:val="right"/>
              <w:ind w:right="19"/>
              <w:spacing w:after="0"/>
              <w:rPr>
                <w:sz w:val="20"/>
                <w:szCs w:val="20"/>
                <w:color w:val="auto"/>
              </w:rPr>
            </w:pPr>
            <w:r>
              <w:rPr>
                <w:rFonts w:ascii="Calibri" w:cs="Calibri" w:eastAsia="Calibri" w:hAnsi="Calibri"/>
                <w:sz w:val="12"/>
                <w:szCs w:val="12"/>
                <w:color w:val="494949"/>
              </w:rPr>
              <w:t>4,641</w:t>
            </w:r>
          </w:p>
        </w:tc>
        <w:tc>
          <w:tcPr>
            <w:tcW w:w="1020" w:type="dxa"/>
            <w:vAlign w:val="bottom"/>
          </w:tcPr>
          <w:p>
            <w:pPr>
              <w:ind w:left="840"/>
              <w:spacing w:after="0"/>
              <w:rPr>
                <w:sz w:val="20"/>
                <w:szCs w:val="20"/>
                <w:color w:val="auto"/>
              </w:rPr>
            </w:pPr>
            <w:r>
              <w:rPr>
                <w:rFonts w:ascii="Calibri" w:cs="Calibri" w:eastAsia="Calibri" w:hAnsi="Calibri"/>
                <w:sz w:val="12"/>
                <w:szCs w:val="12"/>
                <w:color w:val="494949"/>
              </w:rPr>
              <w:t>—</w:t>
            </w:r>
          </w:p>
        </w:tc>
        <w:tc>
          <w:tcPr>
            <w:tcW w:w="680" w:type="dxa"/>
            <w:vAlign w:val="bottom"/>
          </w:tcPr>
          <w:p>
            <w:pPr>
              <w:jc w:val="right"/>
              <w:ind w:right="39"/>
              <w:spacing w:after="0"/>
              <w:rPr>
                <w:sz w:val="20"/>
                <w:szCs w:val="20"/>
                <w:color w:val="auto"/>
              </w:rPr>
            </w:pPr>
            <w:r>
              <w:rPr>
                <w:rFonts w:ascii="Calibri" w:cs="Calibri" w:eastAsia="Calibri" w:hAnsi="Calibri"/>
                <w:sz w:val="12"/>
                <w:szCs w:val="12"/>
                <w:color w:val="494949"/>
              </w:rPr>
              <w:t>51.22</w:t>
            </w:r>
          </w:p>
        </w:tc>
        <w:tc>
          <w:tcPr>
            <w:tcW w:w="740" w:type="dxa"/>
            <w:vAlign w:val="bottom"/>
          </w:tcPr>
          <w:p>
            <w:pPr>
              <w:jc w:val="right"/>
              <w:spacing w:after="0"/>
              <w:rPr>
                <w:sz w:val="20"/>
                <w:szCs w:val="20"/>
                <w:color w:val="auto"/>
              </w:rPr>
            </w:pPr>
            <w:r>
              <w:rPr>
                <w:rFonts w:ascii="Calibri" w:cs="Calibri" w:eastAsia="Calibri" w:hAnsi="Calibri"/>
                <w:sz w:val="12"/>
                <w:szCs w:val="12"/>
                <w:color w:val="494949"/>
              </w:rPr>
              <w:t>11/14/28</w:t>
            </w:r>
          </w:p>
        </w:tc>
        <w:tc>
          <w:tcPr>
            <w:tcW w:w="980" w:type="dxa"/>
            <w:vAlign w:val="bottom"/>
          </w:tcPr>
          <w:p>
            <w:pPr>
              <w:jc w:val="right"/>
              <w:ind w:right="60"/>
              <w:spacing w:after="0"/>
              <w:rPr>
                <w:sz w:val="20"/>
                <w:szCs w:val="20"/>
                <w:color w:val="auto"/>
              </w:rPr>
            </w:pPr>
            <w:r>
              <w:rPr>
                <w:rFonts w:ascii="Calibri" w:cs="Calibri" w:eastAsia="Calibri" w:hAnsi="Calibri"/>
                <w:sz w:val="12"/>
                <w:szCs w:val="12"/>
                <w:color w:val="494949"/>
              </w:rPr>
              <w:t>—</w:t>
            </w:r>
          </w:p>
        </w:tc>
        <w:tc>
          <w:tcPr>
            <w:tcW w:w="1140" w:type="dxa"/>
            <w:vAlign w:val="bottom"/>
          </w:tcPr>
          <w:p>
            <w:pPr>
              <w:jc w:val="right"/>
              <w:spacing w:after="0"/>
              <w:rPr>
                <w:sz w:val="20"/>
                <w:szCs w:val="20"/>
                <w:color w:val="auto"/>
              </w:rPr>
            </w:pPr>
            <w:r>
              <w:rPr>
                <w:rFonts w:ascii="Calibri" w:cs="Calibri" w:eastAsia="Calibri" w:hAnsi="Calibri"/>
                <w:sz w:val="12"/>
                <w:szCs w:val="12"/>
                <w:color w:val="494949"/>
              </w:rPr>
              <w:t>—</w:t>
            </w:r>
          </w:p>
        </w:tc>
        <w:tc>
          <w:tcPr>
            <w:tcW w:w="1140" w:type="dxa"/>
            <w:vAlign w:val="bottom"/>
          </w:tcPr>
          <w:p>
            <w:pPr>
              <w:jc w:val="right"/>
              <w:spacing w:after="0"/>
              <w:rPr>
                <w:sz w:val="20"/>
                <w:szCs w:val="20"/>
                <w:color w:val="auto"/>
              </w:rPr>
            </w:pPr>
            <w:r>
              <w:rPr>
                <w:rFonts w:ascii="Calibri" w:cs="Calibri" w:eastAsia="Calibri" w:hAnsi="Calibri"/>
                <w:sz w:val="12"/>
                <w:szCs w:val="12"/>
                <w:color w:val="494949"/>
              </w:rPr>
              <w:t>—</w:t>
            </w:r>
          </w:p>
        </w:tc>
        <w:tc>
          <w:tcPr>
            <w:tcW w:w="1300" w:type="dxa"/>
            <w:vAlign w:val="bottom"/>
          </w:tcPr>
          <w:p>
            <w:pPr>
              <w:jc w:val="right"/>
              <w:spacing w:after="0"/>
              <w:rPr>
                <w:sz w:val="20"/>
                <w:szCs w:val="20"/>
                <w:color w:val="auto"/>
              </w:rPr>
            </w:pPr>
            <w:r>
              <w:rPr>
                <w:rFonts w:ascii="Calibri" w:cs="Calibri" w:eastAsia="Calibri" w:hAnsi="Calibri"/>
                <w:sz w:val="12"/>
                <w:szCs w:val="12"/>
                <w:color w:val="494949"/>
              </w:rPr>
              <w:t>—</w:t>
            </w:r>
          </w:p>
        </w:tc>
        <w:tc>
          <w:tcPr>
            <w:tcW w:w="20" w:type="dxa"/>
            <w:vAlign w:val="bottom"/>
          </w:tcPr>
          <w:p>
            <w:pPr>
              <w:spacing w:after="0"/>
              <w:rPr>
                <w:sz w:val="15"/>
                <w:szCs w:val="15"/>
                <w:color w:val="auto"/>
              </w:rPr>
            </w:pPr>
          </w:p>
        </w:tc>
      </w:tr>
      <w:tr>
        <w:trPr>
          <w:trHeight w:val="173"/>
        </w:trPr>
        <w:tc>
          <w:tcPr>
            <w:tcW w:w="1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2"/>
                <w:szCs w:val="12"/>
                <w:color w:val="494949"/>
              </w:rPr>
              <w:t>05/17/17</w:t>
            </w:r>
          </w:p>
        </w:tc>
        <w:tc>
          <w:tcPr>
            <w:tcW w:w="940" w:type="dxa"/>
            <w:vAlign w:val="bottom"/>
          </w:tcPr>
          <w:p>
            <w:pPr>
              <w:jc w:val="right"/>
              <w:spacing w:after="0"/>
              <w:rPr>
                <w:sz w:val="20"/>
                <w:szCs w:val="20"/>
                <w:color w:val="auto"/>
              </w:rPr>
            </w:pPr>
            <w:r>
              <w:rPr>
                <w:rFonts w:ascii="Calibri" w:cs="Calibri" w:eastAsia="Calibri" w:hAnsi="Calibri"/>
                <w:sz w:val="12"/>
                <w:szCs w:val="12"/>
                <w:color w:val="494949"/>
              </w:rPr>
              <w:t>16,090</w:t>
            </w:r>
          </w:p>
        </w:tc>
        <w:tc>
          <w:tcPr>
            <w:tcW w:w="1080" w:type="dxa"/>
            <w:vAlign w:val="bottom"/>
          </w:tcPr>
          <w:p>
            <w:pPr>
              <w:jc w:val="right"/>
              <w:ind w:right="19"/>
              <w:spacing w:after="0"/>
              <w:rPr>
                <w:sz w:val="20"/>
                <w:szCs w:val="20"/>
                <w:color w:val="auto"/>
              </w:rPr>
            </w:pPr>
            <w:r>
              <w:rPr>
                <w:rFonts w:ascii="Calibri" w:cs="Calibri" w:eastAsia="Calibri" w:hAnsi="Calibri"/>
                <w:sz w:val="12"/>
                <w:szCs w:val="12"/>
                <w:color w:val="494949"/>
              </w:rPr>
              <w:t>—</w:t>
            </w:r>
          </w:p>
        </w:tc>
        <w:tc>
          <w:tcPr>
            <w:tcW w:w="1020" w:type="dxa"/>
            <w:vAlign w:val="bottom"/>
          </w:tcPr>
          <w:p>
            <w:pPr>
              <w:spacing w:after="0"/>
              <w:rPr>
                <w:sz w:val="15"/>
                <w:szCs w:val="15"/>
                <w:color w:val="auto"/>
              </w:rPr>
            </w:pPr>
          </w:p>
        </w:tc>
        <w:tc>
          <w:tcPr>
            <w:tcW w:w="680" w:type="dxa"/>
            <w:vAlign w:val="bottom"/>
          </w:tcPr>
          <w:p>
            <w:pPr>
              <w:jc w:val="right"/>
              <w:ind w:right="39"/>
              <w:spacing w:after="0"/>
              <w:rPr>
                <w:sz w:val="20"/>
                <w:szCs w:val="20"/>
                <w:color w:val="auto"/>
              </w:rPr>
            </w:pPr>
            <w:r>
              <w:rPr>
                <w:rFonts w:ascii="Calibri" w:cs="Calibri" w:eastAsia="Calibri" w:hAnsi="Calibri"/>
                <w:sz w:val="12"/>
                <w:szCs w:val="12"/>
                <w:color w:val="494949"/>
              </w:rPr>
              <w:t>35.63</w:t>
            </w:r>
          </w:p>
        </w:tc>
        <w:tc>
          <w:tcPr>
            <w:tcW w:w="740" w:type="dxa"/>
            <w:vAlign w:val="bottom"/>
          </w:tcPr>
          <w:p>
            <w:pPr>
              <w:jc w:val="right"/>
              <w:spacing w:after="0"/>
              <w:rPr>
                <w:sz w:val="20"/>
                <w:szCs w:val="20"/>
                <w:color w:val="auto"/>
              </w:rPr>
            </w:pPr>
            <w:r>
              <w:rPr>
                <w:rFonts w:ascii="Calibri" w:cs="Calibri" w:eastAsia="Calibri" w:hAnsi="Calibri"/>
                <w:sz w:val="12"/>
                <w:szCs w:val="12"/>
                <w:color w:val="494949"/>
              </w:rPr>
              <w:t>05/17/27</w:t>
            </w:r>
          </w:p>
        </w:tc>
        <w:tc>
          <w:tcPr>
            <w:tcW w:w="980" w:type="dxa"/>
            <w:vAlign w:val="bottom"/>
          </w:tcPr>
          <w:p>
            <w:pPr>
              <w:jc w:val="right"/>
              <w:ind w:right="60"/>
              <w:spacing w:after="0"/>
              <w:rPr>
                <w:sz w:val="20"/>
                <w:szCs w:val="20"/>
                <w:color w:val="auto"/>
              </w:rPr>
            </w:pPr>
            <w:r>
              <w:rPr>
                <w:rFonts w:ascii="Calibri" w:cs="Calibri" w:eastAsia="Calibri" w:hAnsi="Calibri"/>
                <w:sz w:val="12"/>
                <w:szCs w:val="12"/>
                <w:color w:val="494949"/>
              </w:rPr>
              <w:t>—</w:t>
            </w:r>
          </w:p>
        </w:tc>
        <w:tc>
          <w:tcPr>
            <w:tcW w:w="1140" w:type="dxa"/>
            <w:vAlign w:val="bottom"/>
          </w:tcPr>
          <w:p>
            <w:pPr>
              <w:jc w:val="right"/>
              <w:spacing w:after="0"/>
              <w:rPr>
                <w:sz w:val="20"/>
                <w:szCs w:val="20"/>
                <w:color w:val="auto"/>
              </w:rPr>
            </w:pPr>
            <w:r>
              <w:rPr>
                <w:rFonts w:ascii="Calibri" w:cs="Calibri" w:eastAsia="Calibri" w:hAnsi="Calibri"/>
                <w:sz w:val="12"/>
                <w:szCs w:val="12"/>
                <w:color w:val="494949"/>
              </w:rPr>
              <w:t>—</w:t>
            </w:r>
          </w:p>
        </w:tc>
        <w:tc>
          <w:tcPr>
            <w:tcW w:w="1140" w:type="dxa"/>
            <w:vAlign w:val="bottom"/>
          </w:tcPr>
          <w:p>
            <w:pPr>
              <w:jc w:val="right"/>
              <w:spacing w:after="0"/>
              <w:rPr>
                <w:sz w:val="20"/>
                <w:szCs w:val="20"/>
                <w:color w:val="auto"/>
              </w:rPr>
            </w:pPr>
            <w:r>
              <w:rPr>
                <w:rFonts w:ascii="Calibri" w:cs="Calibri" w:eastAsia="Calibri" w:hAnsi="Calibri"/>
                <w:sz w:val="12"/>
                <w:szCs w:val="12"/>
                <w:color w:val="494949"/>
              </w:rPr>
              <w:t>—</w:t>
            </w:r>
          </w:p>
        </w:tc>
        <w:tc>
          <w:tcPr>
            <w:tcW w:w="1300" w:type="dxa"/>
            <w:vAlign w:val="bottom"/>
          </w:tcPr>
          <w:p>
            <w:pPr>
              <w:jc w:val="right"/>
              <w:spacing w:after="0"/>
              <w:rPr>
                <w:sz w:val="20"/>
                <w:szCs w:val="20"/>
                <w:color w:val="auto"/>
              </w:rPr>
            </w:pPr>
            <w:r>
              <w:rPr>
                <w:rFonts w:ascii="Calibri" w:cs="Calibri" w:eastAsia="Calibri" w:hAnsi="Calibri"/>
                <w:sz w:val="12"/>
                <w:szCs w:val="12"/>
                <w:color w:val="494949"/>
              </w:rPr>
              <w:t>—</w:t>
            </w:r>
          </w:p>
        </w:tc>
        <w:tc>
          <w:tcPr>
            <w:tcW w:w="20" w:type="dxa"/>
            <w:vAlign w:val="bottom"/>
          </w:tcPr>
          <w:p>
            <w:pPr>
              <w:spacing w:after="0"/>
              <w:rPr>
                <w:sz w:val="15"/>
                <w:szCs w:val="15"/>
                <w:color w:val="auto"/>
              </w:rPr>
            </w:pPr>
          </w:p>
        </w:tc>
      </w:tr>
      <w:tr>
        <w:trPr>
          <w:trHeight w:val="25"/>
        </w:trPr>
        <w:tc>
          <w:tcPr>
            <w:tcW w:w="1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8"/>
        </w:trPr>
        <w:tc>
          <w:tcPr>
            <w:tcW w:w="1360" w:type="dxa"/>
            <w:vAlign w:val="bottom"/>
            <w:shd w:val="clear" w:color="auto" w:fill="CCEEFF"/>
          </w:tcPr>
          <w:p>
            <w:pPr>
              <w:ind w:left="40"/>
              <w:spacing w:after="0"/>
              <w:rPr>
                <w:sz w:val="20"/>
                <w:szCs w:val="20"/>
                <w:color w:val="auto"/>
              </w:rPr>
            </w:pPr>
            <w:r>
              <w:rPr>
                <w:rFonts w:ascii="Calibri" w:cs="Calibri" w:eastAsia="Calibri" w:hAnsi="Calibri"/>
                <w:sz w:val="12"/>
                <w:szCs w:val="12"/>
                <w:b w:val="1"/>
                <w:bCs w:val="1"/>
                <w:color w:val="494949"/>
              </w:rPr>
              <w:t>Susan L. Penfeld</w:t>
            </w:r>
          </w:p>
        </w:tc>
        <w:tc>
          <w:tcPr>
            <w:tcW w:w="86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07/27/21</w:t>
            </w:r>
          </w:p>
        </w:tc>
        <w:tc>
          <w:tcPr>
            <w:tcW w:w="9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0"/>
              <w:spacing w:after="0"/>
              <w:rPr>
                <w:sz w:val="20"/>
                <w:szCs w:val="20"/>
                <w:color w:val="auto"/>
              </w:rPr>
            </w:pPr>
            <w:r>
              <w:rPr>
                <w:rFonts w:ascii="Calibri" w:cs="Calibri" w:eastAsia="Calibri" w:hAnsi="Calibri"/>
                <w:sz w:val="12"/>
                <w:szCs w:val="12"/>
                <w:color w:val="494949"/>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3,768</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Calibri" w:cs="Calibri" w:eastAsia="Calibri" w:hAnsi="Calibri"/>
                <w:sz w:val="12"/>
                <w:szCs w:val="12"/>
                <w:color w:val="494949"/>
              </w:rPr>
              <w:t>330,981</w:t>
            </w:r>
          </w:p>
        </w:tc>
        <w:tc>
          <w:tcPr>
            <w:tcW w:w="20" w:type="dxa"/>
            <w:vAlign w:val="bottom"/>
          </w:tcPr>
          <w:p>
            <w:pPr>
              <w:spacing w:after="0"/>
              <w:rPr>
                <w:sz w:val="12"/>
                <w:szCs w:val="12"/>
                <w:color w:val="auto"/>
              </w:rPr>
            </w:pPr>
          </w:p>
        </w:tc>
      </w:tr>
      <w:tr>
        <w:trPr>
          <w:trHeight w:val="173"/>
        </w:trPr>
        <w:tc>
          <w:tcPr>
            <w:tcW w:w="1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05/20/21</w:t>
            </w:r>
          </w:p>
        </w:tc>
        <w:tc>
          <w:tcPr>
            <w:tcW w:w="9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0"/>
              <w:spacing w:after="0"/>
              <w:rPr>
                <w:sz w:val="20"/>
                <w:szCs w:val="20"/>
                <w:color w:val="auto"/>
              </w:rPr>
            </w:pPr>
            <w:r>
              <w:rPr>
                <w:rFonts w:ascii="Calibri" w:cs="Calibri" w:eastAsia="Calibri" w:hAnsi="Calibri"/>
                <w:sz w:val="12"/>
                <w:szCs w:val="12"/>
                <w:color w:val="494949"/>
              </w:rPr>
              <w:t>3,332</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292,683</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Calibri" w:cs="Calibri" w:eastAsia="Calibri" w:hAnsi="Calibri"/>
                <w:sz w:val="12"/>
                <w:szCs w:val="12"/>
                <w:color w:val="494949"/>
              </w:rPr>
              <w:t>—</w:t>
            </w:r>
          </w:p>
        </w:tc>
        <w:tc>
          <w:tcPr>
            <w:tcW w:w="20" w:type="dxa"/>
            <w:vAlign w:val="bottom"/>
          </w:tcPr>
          <w:p>
            <w:pPr>
              <w:spacing w:after="0"/>
              <w:rPr>
                <w:sz w:val="15"/>
                <w:szCs w:val="15"/>
                <w:color w:val="auto"/>
              </w:rPr>
            </w:pPr>
          </w:p>
        </w:tc>
      </w:tr>
      <w:tr>
        <w:trPr>
          <w:trHeight w:val="173"/>
        </w:trPr>
        <w:tc>
          <w:tcPr>
            <w:tcW w:w="1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07/28/20</w:t>
            </w:r>
          </w:p>
        </w:tc>
        <w:tc>
          <w:tcPr>
            <w:tcW w:w="9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0"/>
              <w:spacing w:after="0"/>
              <w:rPr>
                <w:sz w:val="20"/>
                <w:szCs w:val="20"/>
                <w:color w:val="auto"/>
              </w:rPr>
            </w:pPr>
            <w:r>
              <w:rPr>
                <w:rFonts w:ascii="Calibri" w:cs="Calibri" w:eastAsia="Calibri" w:hAnsi="Calibri"/>
                <w:sz w:val="12"/>
                <w:szCs w:val="12"/>
                <w:color w:val="494949"/>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13,980</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Calibri" w:cs="Calibri" w:eastAsia="Calibri" w:hAnsi="Calibri"/>
                <w:sz w:val="12"/>
                <w:szCs w:val="12"/>
                <w:color w:val="494949"/>
              </w:rPr>
              <w:t>1,228,003</w:t>
            </w:r>
          </w:p>
        </w:tc>
        <w:tc>
          <w:tcPr>
            <w:tcW w:w="20" w:type="dxa"/>
            <w:vAlign w:val="bottom"/>
          </w:tcPr>
          <w:p>
            <w:pPr>
              <w:spacing w:after="0"/>
              <w:rPr>
                <w:sz w:val="15"/>
                <w:szCs w:val="15"/>
                <w:color w:val="auto"/>
              </w:rPr>
            </w:pPr>
          </w:p>
        </w:tc>
      </w:tr>
      <w:tr>
        <w:trPr>
          <w:trHeight w:val="173"/>
        </w:trPr>
        <w:tc>
          <w:tcPr>
            <w:tcW w:w="1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05/20/20</w:t>
            </w:r>
          </w:p>
        </w:tc>
        <w:tc>
          <w:tcPr>
            <w:tcW w:w="9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0"/>
              <w:spacing w:after="0"/>
              <w:rPr>
                <w:sz w:val="20"/>
                <w:szCs w:val="20"/>
                <w:color w:val="auto"/>
              </w:rPr>
            </w:pPr>
            <w:r>
              <w:rPr>
                <w:rFonts w:ascii="Calibri" w:cs="Calibri" w:eastAsia="Calibri" w:hAnsi="Calibri"/>
                <w:sz w:val="12"/>
                <w:szCs w:val="12"/>
                <w:color w:val="494949"/>
              </w:rPr>
              <w:t>1,565</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137,470</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Calibri" w:cs="Calibri" w:eastAsia="Calibri" w:hAnsi="Calibri"/>
                <w:sz w:val="12"/>
                <w:szCs w:val="12"/>
                <w:color w:val="494949"/>
              </w:rPr>
              <w:t>—</w:t>
            </w:r>
          </w:p>
        </w:tc>
        <w:tc>
          <w:tcPr>
            <w:tcW w:w="20" w:type="dxa"/>
            <w:vAlign w:val="bottom"/>
          </w:tcPr>
          <w:p>
            <w:pPr>
              <w:spacing w:after="0"/>
              <w:rPr>
                <w:sz w:val="15"/>
                <w:szCs w:val="15"/>
                <w:color w:val="auto"/>
              </w:rPr>
            </w:pPr>
          </w:p>
        </w:tc>
      </w:tr>
      <w:tr>
        <w:trPr>
          <w:trHeight w:val="173"/>
        </w:trPr>
        <w:tc>
          <w:tcPr>
            <w:tcW w:w="1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05/19/17</w:t>
            </w:r>
          </w:p>
        </w:tc>
        <w:tc>
          <w:tcPr>
            <w:tcW w:w="9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52,761</w:t>
            </w:r>
          </w:p>
        </w:tc>
        <w:tc>
          <w:tcPr>
            <w:tcW w:w="1080" w:type="dxa"/>
            <w:vAlign w:val="bottom"/>
            <w:shd w:val="clear" w:color="auto" w:fill="CCEEFF"/>
          </w:tcPr>
          <w:p>
            <w:pPr>
              <w:jc w:val="right"/>
              <w:ind w:right="19"/>
              <w:spacing w:after="0"/>
              <w:rPr>
                <w:sz w:val="20"/>
                <w:szCs w:val="20"/>
                <w:color w:val="auto"/>
              </w:rPr>
            </w:pPr>
            <w:r>
              <w:rPr>
                <w:rFonts w:ascii="Calibri" w:cs="Calibri" w:eastAsia="Calibri" w:hAnsi="Calibri"/>
                <w:sz w:val="12"/>
                <w:szCs w:val="12"/>
                <w:color w:val="494949"/>
              </w:rPr>
              <w:t>—</w:t>
            </w:r>
          </w:p>
        </w:tc>
        <w:tc>
          <w:tcPr>
            <w:tcW w:w="1020" w:type="dxa"/>
            <w:vAlign w:val="bottom"/>
            <w:shd w:val="clear" w:color="auto" w:fill="CCEEFF"/>
          </w:tcPr>
          <w:p>
            <w:pPr>
              <w:ind w:left="840"/>
              <w:spacing w:after="0"/>
              <w:rPr>
                <w:sz w:val="20"/>
                <w:szCs w:val="20"/>
                <w:color w:val="auto"/>
              </w:rPr>
            </w:pPr>
            <w:r>
              <w:rPr>
                <w:rFonts w:ascii="Calibri" w:cs="Calibri" w:eastAsia="Calibri" w:hAnsi="Calibri"/>
                <w:sz w:val="12"/>
                <w:szCs w:val="12"/>
                <w:color w:val="494949"/>
              </w:rPr>
              <w:t>—</w:t>
            </w:r>
          </w:p>
        </w:tc>
        <w:tc>
          <w:tcPr>
            <w:tcW w:w="680" w:type="dxa"/>
            <w:vAlign w:val="bottom"/>
            <w:shd w:val="clear" w:color="auto" w:fill="CCEEFF"/>
          </w:tcPr>
          <w:p>
            <w:pPr>
              <w:jc w:val="right"/>
              <w:ind w:right="39"/>
              <w:spacing w:after="0"/>
              <w:rPr>
                <w:sz w:val="20"/>
                <w:szCs w:val="20"/>
                <w:color w:val="auto"/>
              </w:rPr>
            </w:pPr>
            <w:r>
              <w:rPr>
                <w:rFonts w:ascii="Calibri" w:cs="Calibri" w:eastAsia="Calibri" w:hAnsi="Calibri"/>
                <w:sz w:val="12"/>
                <w:szCs w:val="12"/>
                <w:color w:val="494949"/>
              </w:rPr>
              <w:t>35.95</w:t>
            </w:r>
          </w:p>
        </w:tc>
        <w:tc>
          <w:tcPr>
            <w:tcW w:w="7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05/19/27</w:t>
            </w:r>
          </w:p>
        </w:tc>
        <w:tc>
          <w:tcPr>
            <w:tcW w:w="980" w:type="dxa"/>
            <w:vAlign w:val="bottom"/>
            <w:shd w:val="clear" w:color="auto" w:fill="CCEEFF"/>
          </w:tcPr>
          <w:p>
            <w:pPr>
              <w:jc w:val="right"/>
              <w:ind w:right="60"/>
              <w:spacing w:after="0"/>
              <w:rPr>
                <w:sz w:val="20"/>
                <w:szCs w:val="20"/>
                <w:color w:val="auto"/>
              </w:rPr>
            </w:pPr>
            <w:r>
              <w:rPr>
                <w:rFonts w:ascii="Calibri" w:cs="Calibri" w:eastAsia="Calibri" w:hAnsi="Calibri"/>
                <w:sz w:val="12"/>
                <w:szCs w:val="12"/>
                <w:color w:val="494949"/>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2"/>
                <w:szCs w:val="12"/>
                <w:color w:val="494949"/>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Calibri" w:cs="Calibri" w:eastAsia="Calibri" w:hAnsi="Calibri"/>
                <w:sz w:val="12"/>
                <w:szCs w:val="12"/>
                <w:color w:val="494949"/>
              </w:rPr>
              <w:t>—</w:t>
            </w:r>
          </w:p>
        </w:tc>
        <w:tc>
          <w:tcPr>
            <w:tcW w:w="20" w:type="dxa"/>
            <w:vAlign w:val="bottom"/>
          </w:tcPr>
          <w:p>
            <w:pPr>
              <w:spacing w:after="0"/>
              <w:rPr>
                <w:sz w:val="15"/>
                <w:szCs w:val="15"/>
                <w:color w:val="auto"/>
              </w:rPr>
            </w:pPr>
          </w:p>
        </w:tc>
      </w:tr>
      <w:tr>
        <w:trPr>
          <w:trHeight w:val="25"/>
        </w:trPr>
        <w:tc>
          <w:tcPr>
            <w:tcW w:w="13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300" w:type="dxa"/>
            <w:vAlign w:val="bottom"/>
            <w:tcBorders>
              <w:righ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193" w:lineRule="exact"/>
        <w:rPr>
          <w:sz w:val="20"/>
          <w:szCs w:val="20"/>
          <w:color w:val="auto"/>
        </w:rPr>
      </w:pPr>
    </w:p>
    <w:p>
      <w:pPr>
        <w:ind w:left="560" w:right="20" w:hanging="318"/>
        <w:spacing w:after="0" w:line="239" w:lineRule="auto"/>
        <w:tabs>
          <w:tab w:leader="none" w:pos="540" w:val="left"/>
        </w:tabs>
        <w:rPr>
          <w:sz w:val="20"/>
          <w:szCs w:val="20"/>
          <w:color w:val="auto"/>
        </w:rPr>
      </w:pPr>
      <w:r>
        <w:rPr>
          <w:rFonts w:ascii="Calibri" w:cs="Calibri" w:eastAsia="Calibri" w:hAnsi="Calibri"/>
          <w:sz w:val="13"/>
          <w:szCs w:val="13"/>
          <w:color w:val="666666"/>
        </w:rPr>
        <w:t>(1)</w:t>
        <w:tab/>
        <w:t>The optons were granted pursuant to the Equity Incentve Plan and will vest and become exercisable, subject to the contnued employment of the named executve ofcer, on the dates set forth in the table below:</w:t>
      </w:r>
    </w:p>
    <w:p>
      <w:pPr>
        <w:spacing w:after="0" w:line="188" w:lineRule="exact"/>
        <w:rPr>
          <w:sz w:val="20"/>
          <w:szCs w:val="20"/>
          <w:color w:val="auto"/>
        </w:rPr>
      </w:pPr>
    </w:p>
    <w:tbl>
      <w:tblPr>
        <w:tblLayout w:type="fixed"/>
        <w:tblInd w:w="240" w:type="dxa"/>
        <w:tblCellMar>
          <w:top w:w="0" w:type="dxa"/>
          <w:left w:w="0" w:type="dxa"/>
          <w:bottom w:w="0" w:type="dxa"/>
          <w:right w:w="0" w:type="dxa"/>
        </w:tblCellMar>
      </w:tblPr>
      <w:tr>
        <w:trPr>
          <w:trHeight w:val="179"/>
        </w:trPr>
        <w:tc>
          <w:tcPr>
            <w:tcW w:w="30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Calibri" w:cs="Calibri" w:eastAsia="Calibri" w:hAnsi="Calibri"/>
                <w:sz w:val="12"/>
                <w:szCs w:val="12"/>
                <w:b w:val="1"/>
                <w:bCs w:val="1"/>
                <w:color w:val="auto"/>
              </w:rPr>
              <w:t>Name</w:t>
            </w:r>
          </w:p>
        </w:tc>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Calibri" w:cs="Calibri" w:eastAsia="Calibri" w:hAnsi="Calibri"/>
                <w:sz w:val="12"/>
                <w:szCs w:val="12"/>
                <w:b w:val="1"/>
                <w:bCs w:val="1"/>
                <w:color w:val="auto"/>
              </w:rPr>
              <w:t>Opton Exercise Price</w:t>
            </w:r>
          </w:p>
        </w:tc>
        <w:tc>
          <w:tcPr>
            <w:tcW w:w="1160" w:type="dxa"/>
            <w:vAlign w:val="bottom"/>
            <w:tcBorders>
              <w:top w:val="single" w:sz="8" w:color="auto"/>
              <w:bottom w:val="single" w:sz="8" w:color="CCEEFF"/>
            </w:tcBorders>
            <w:shd w:val="clear" w:color="auto" w:fill="CCEEFF"/>
          </w:tcPr>
          <w:p>
            <w:pPr>
              <w:jc w:val="center"/>
              <w:ind w:right="38"/>
              <w:spacing w:after="0"/>
              <w:rPr>
                <w:sz w:val="20"/>
                <w:szCs w:val="20"/>
                <w:color w:val="auto"/>
              </w:rPr>
            </w:pPr>
            <w:r>
              <w:rPr>
                <w:rFonts w:ascii="Calibri" w:cs="Calibri" w:eastAsia="Calibri" w:hAnsi="Calibri"/>
                <w:sz w:val="12"/>
                <w:szCs w:val="12"/>
                <w:b w:val="1"/>
                <w:bCs w:val="1"/>
                <w:color w:val="auto"/>
              </w:rPr>
              <w:t>March 31, 2023</w:t>
            </w:r>
          </w:p>
        </w:tc>
        <w:tc>
          <w:tcPr>
            <w:tcW w:w="800" w:type="dxa"/>
            <w:vAlign w:val="bottom"/>
            <w:tcBorders>
              <w:top w:val="single" w:sz="8" w:color="auto"/>
              <w:bottom w:val="single" w:sz="8" w:color="CCEEFF"/>
              <w:right w:val="single" w:sz="8" w:color="auto"/>
            </w:tcBorders>
            <w:shd w:val="clear" w:color="auto" w:fill="CCEEFF"/>
          </w:tcPr>
          <w:p>
            <w:pPr>
              <w:ind w:left="260"/>
              <w:spacing w:after="0"/>
              <w:rPr>
                <w:sz w:val="20"/>
                <w:szCs w:val="20"/>
                <w:color w:val="auto"/>
              </w:rPr>
            </w:pPr>
            <w:r>
              <w:rPr>
                <w:rFonts w:ascii="Calibri" w:cs="Calibri" w:eastAsia="Calibri" w:hAnsi="Calibri"/>
                <w:sz w:val="12"/>
                <w:szCs w:val="12"/>
                <w:b w:val="1"/>
                <w:bCs w:val="1"/>
                <w:color w:val="auto"/>
              </w:rPr>
              <w:t>Total</w:t>
            </w:r>
          </w:p>
        </w:tc>
        <w:tc>
          <w:tcPr>
            <w:tcW w:w="200" w:type="dxa"/>
            <w:vAlign w:val="bottom"/>
          </w:tcPr>
          <w:p>
            <w:pPr>
              <w:spacing w:after="0"/>
              <w:rPr>
                <w:sz w:val="15"/>
                <w:szCs w:val="15"/>
                <w:color w:val="auto"/>
              </w:rPr>
            </w:pPr>
          </w:p>
        </w:tc>
      </w:tr>
      <w:tr>
        <w:trPr>
          <w:trHeight w:val="163"/>
        </w:trPr>
        <w:tc>
          <w:tcPr>
            <w:tcW w:w="306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940" w:type="dxa"/>
            <w:vAlign w:val="bottom"/>
          </w:tcPr>
          <w:p>
            <w:pPr>
              <w:ind w:left="20"/>
              <w:spacing w:after="0"/>
              <w:rPr>
                <w:sz w:val="20"/>
                <w:szCs w:val="20"/>
                <w:color w:val="auto"/>
              </w:rPr>
            </w:pPr>
            <w:r>
              <w:rPr>
                <w:rFonts w:ascii="Calibri" w:cs="Calibri" w:eastAsia="Calibri" w:hAnsi="Calibri"/>
                <w:sz w:val="12"/>
                <w:szCs w:val="12"/>
                <w:color w:val="auto"/>
              </w:rPr>
              <w:t>Nancy J. Laben</w:t>
            </w:r>
          </w:p>
        </w:tc>
        <w:tc>
          <w:tcPr>
            <w:tcW w:w="1380" w:type="dxa"/>
            <w:vAlign w:val="bottom"/>
          </w:tcPr>
          <w:p>
            <w:pPr>
              <w:jc w:val="right"/>
              <w:ind w:right="478"/>
              <w:spacing w:after="0"/>
              <w:rPr>
                <w:sz w:val="20"/>
                <w:szCs w:val="20"/>
                <w:color w:val="auto"/>
              </w:rPr>
            </w:pPr>
            <w:r>
              <w:rPr>
                <w:rFonts w:ascii="Calibri" w:cs="Calibri" w:eastAsia="Calibri" w:hAnsi="Calibri"/>
                <w:sz w:val="12"/>
                <w:szCs w:val="12"/>
                <w:color w:val="auto"/>
              </w:rPr>
              <w:t>51.22</w:t>
            </w:r>
          </w:p>
        </w:tc>
        <w:tc>
          <w:tcPr>
            <w:tcW w:w="1160" w:type="dxa"/>
            <w:vAlign w:val="bottom"/>
          </w:tcPr>
          <w:p>
            <w:pPr>
              <w:jc w:val="center"/>
              <w:ind w:right="58"/>
              <w:spacing w:after="0"/>
              <w:rPr>
                <w:sz w:val="20"/>
                <w:szCs w:val="20"/>
                <w:color w:val="auto"/>
              </w:rPr>
            </w:pPr>
            <w:r>
              <w:rPr>
                <w:rFonts w:ascii="Calibri" w:cs="Calibri" w:eastAsia="Calibri" w:hAnsi="Calibri"/>
                <w:sz w:val="12"/>
                <w:szCs w:val="12"/>
                <w:color w:val="auto"/>
              </w:rPr>
              <w:t>4,641</w:t>
            </w:r>
          </w:p>
        </w:tc>
        <w:tc>
          <w:tcPr>
            <w:tcW w:w="800" w:type="dxa"/>
            <w:vAlign w:val="bottom"/>
            <w:tcBorders>
              <w:right w:val="single" w:sz="8" w:color="auto"/>
            </w:tcBorders>
          </w:tcPr>
          <w:p>
            <w:pPr>
              <w:ind w:left="240"/>
              <w:spacing w:after="0"/>
              <w:rPr>
                <w:sz w:val="20"/>
                <w:szCs w:val="20"/>
                <w:color w:val="auto"/>
              </w:rPr>
            </w:pPr>
            <w:r>
              <w:rPr>
                <w:rFonts w:ascii="Calibri" w:cs="Calibri" w:eastAsia="Calibri" w:hAnsi="Calibri"/>
                <w:sz w:val="12"/>
                <w:szCs w:val="12"/>
                <w:color w:val="auto"/>
              </w:rPr>
              <w:t>4,641</w:t>
            </w:r>
          </w:p>
        </w:tc>
        <w:tc>
          <w:tcPr>
            <w:tcW w:w="200" w:type="dxa"/>
            <w:vAlign w:val="bottom"/>
          </w:tcPr>
          <w:p>
            <w:pPr>
              <w:spacing w:after="0"/>
              <w:rPr>
                <w:sz w:val="14"/>
                <w:szCs w:val="14"/>
                <w:color w:val="auto"/>
              </w:rPr>
            </w:pPr>
          </w:p>
        </w:tc>
      </w:tr>
      <w:tr>
        <w:trPr>
          <w:trHeight w:val="36"/>
        </w:trPr>
        <w:tc>
          <w:tcPr>
            <w:tcW w:w="306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4280" w:type="dxa"/>
            <w:vAlign w:val="bottom"/>
            <w:tcBorders>
              <w:bottom w:val="single" w:sz="8" w:color="auto"/>
              <w:right w:val="single" w:sz="8" w:color="auto"/>
            </w:tcBorders>
            <w:gridSpan w:val="4"/>
          </w:tcPr>
          <w:p>
            <w:pPr>
              <w:spacing w:after="0"/>
              <w:rPr>
                <w:sz w:val="3"/>
                <w:szCs w:val="3"/>
                <w:color w:val="auto"/>
              </w:rPr>
            </w:pPr>
          </w:p>
        </w:tc>
        <w:tc>
          <w:tcPr>
            <w:tcW w:w="200" w:type="dxa"/>
            <w:vAlign w:val="bottom"/>
          </w:tcPr>
          <w:p>
            <w:pPr>
              <w:spacing w:after="0"/>
              <w:rPr>
                <w:sz w:val="3"/>
                <w:szCs w:val="3"/>
                <w:color w:val="auto"/>
              </w:rPr>
            </w:pPr>
          </w:p>
        </w:tc>
      </w:tr>
      <w:tr>
        <w:trPr>
          <w:trHeight w:val="317"/>
        </w:trPr>
        <w:tc>
          <w:tcPr>
            <w:tcW w:w="7540" w:type="dxa"/>
            <w:vAlign w:val="bottom"/>
            <w:gridSpan w:val="6"/>
          </w:tcPr>
          <w:p>
            <w:pPr>
              <w:ind w:left="320"/>
              <w:spacing w:after="0"/>
              <w:rPr>
                <w:sz w:val="20"/>
                <w:szCs w:val="20"/>
                <w:color w:val="auto"/>
              </w:rPr>
            </w:pPr>
            <w:r>
              <w:rPr>
                <w:rFonts w:ascii="Calibri" w:cs="Calibri" w:eastAsia="Calibri" w:hAnsi="Calibri"/>
                <w:sz w:val="13"/>
                <w:szCs w:val="13"/>
                <w:color w:val="666666"/>
              </w:rPr>
              <w:t>Such optons become fully vested and exercisable immediately prior to the efectve date of certain change in control events.</w:t>
            </w:r>
          </w:p>
        </w:tc>
        <w:tc>
          <w:tcPr>
            <w:tcW w:w="200" w:type="dxa"/>
            <w:vAlign w:val="bottom"/>
          </w:tcPr>
          <w:p>
            <w:pPr>
              <w:spacing w:after="0"/>
              <w:rPr>
                <w:sz w:val="24"/>
                <w:szCs w:val="24"/>
                <w:color w:val="auto"/>
              </w:rPr>
            </w:pPr>
          </w:p>
        </w:tc>
      </w:tr>
      <w:tr>
        <w:trPr>
          <w:trHeight w:val="266"/>
        </w:trPr>
        <w:tc>
          <w:tcPr>
            <w:tcW w:w="6740" w:type="dxa"/>
            <w:vAlign w:val="bottom"/>
            <w:gridSpan w:val="5"/>
          </w:tcPr>
          <w:p>
            <w:pPr>
              <w:spacing w:after="0"/>
              <w:rPr>
                <w:sz w:val="20"/>
                <w:szCs w:val="20"/>
                <w:color w:val="auto"/>
              </w:rPr>
            </w:pPr>
            <w:r>
              <w:rPr>
                <w:rFonts w:ascii="Calibri" w:cs="Calibri" w:eastAsia="Calibri" w:hAnsi="Calibri"/>
                <w:sz w:val="13"/>
                <w:szCs w:val="13"/>
                <w:color w:val="666666"/>
              </w:rPr>
              <w:t>(2)  The restricted stock units granted to the named executve ofcers will vest on the dates set forth in the table below:</w:t>
            </w: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07"/>
        </w:trPr>
        <w:tc>
          <w:tcPr>
            <w:tcW w:w="3060" w:type="dxa"/>
            <w:vAlign w:val="bottom"/>
          </w:tcPr>
          <w:p>
            <w:pPr>
              <w:spacing w:after="0"/>
              <w:rPr>
                <w:sz w:val="18"/>
                <w:szCs w:val="18"/>
                <w:color w:val="auto"/>
              </w:rPr>
            </w:pPr>
          </w:p>
        </w:tc>
        <w:tc>
          <w:tcPr>
            <w:tcW w:w="1140" w:type="dxa"/>
            <w:vAlign w:val="bottom"/>
            <w:tcBorders>
              <w:bottom w:val="single" w:sz="8" w:color="auto"/>
            </w:tcBorders>
            <w:gridSpan w:val="2"/>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r>
      <w:tr>
        <w:trPr>
          <w:trHeight w:val="184"/>
        </w:trPr>
        <w:tc>
          <w:tcPr>
            <w:tcW w:w="3060" w:type="dxa"/>
            <w:vAlign w:val="bottom"/>
            <w:tcBorders>
              <w:right w:val="single" w:sz="8" w:color="auto"/>
            </w:tcBorders>
          </w:tcPr>
          <w:p>
            <w:pPr>
              <w:spacing w:after="0"/>
              <w:rPr>
                <w:sz w:val="15"/>
                <w:szCs w:val="15"/>
                <w:color w:val="auto"/>
              </w:rPr>
            </w:pP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2"/>
                <w:szCs w:val="12"/>
                <w:b w:val="1"/>
                <w:bCs w:val="1"/>
                <w:color w:val="auto"/>
              </w:rPr>
              <w:t>Name</w:t>
            </w:r>
          </w:p>
        </w:tc>
        <w:tc>
          <w:tcPr>
            <w:tcW w:w="1380" w:type="dxa"/>
            <w:vAlign w:val="bottom"/>
            <w:tcBorders>
              <w:bottom w:val="single" w:sz="8" w:color="CCEEFF"/>
            </w:tcBorders>
            <w:shd w:val="clear" w:color="auto" w:fill="CCEEFF"/>
          </w:tcPr>
          <w:p>
            <w:pPr>
              <w:ind w:left="440"/>
              <w:spacing w:after="0"/>
              <w:rPr>
                <w:sz w:val="20"/>
                <w:szCs w:val="20"/>
                <w:color w:val="auto"/>
              </w:rPr>
            </w:pPr>
            <w:r>
              <w:rPr>
                <w:rFonts w:ascii="Calibri" w:cs="Calibri" w:eastAsia="Calibri" w:hAnsi="Calibri"/>
                <w:sz w:val="12"/>
                <w:szCs w:val="12"/>
                <w:b w:val="1"/>
                <w:bCs w:val="1"/>
                <w:color w:val="auto"/>
              </w:rPr>
              <w:t>March 31, 2023</w:t>
            </w:r>
          </w:p>
        </w:tc>
        <w:tc>
          <w:tcPr>
            <w:tcW w:w="1160" w:type="dxa"/>
            <w:vAlign w:val="bottom"/>
            <w:tcBorders>
              <w:bottom w:val="single" w:sz="8" w:color="CCEEFF"/>
            </w:tcBorders>
            <w:shd w:val="clear" w:color="auto" w:fill="CCEEFF"/>
          </w:tcPr>
          <w:p>
            <w:pPr>
              <w:jc w:val="center"/>
              <w:ind w:right="38"/>
              <w:spacing w:after="0"/>
              <w:rPr>
                <w:sz w:val="20"/>
                <w:szCs w:val="20"/>
                <w:color w:val="auto"/>
              </w:rPr>
            </w:pPr>
            <w:r>
              <w:rPr>
                <w:rFonts w:ascii="Calibri" w:cs="Calibri" w:eastAsia="Calibri" w:hAnsi="Calibri"/>
                <w:sz w:val="12"/>
                <w:szCs w:val="12"/>
                <w:b w:val="1"/>
                <w:bCs w:val="1"/>
                <w:color w:val="auto"/>
              </w:rPr>
              <w:t>March 31, 2024</w:t>
            </w:r>
          </w:p>
        </w:tc>
        <w:tc>
          <w:tcPr>
            <w:tcW w:w="80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Calibri" w:cs="Calibri" w:eastAsia="Calibri" w:hAnsi="Calibri"/>
                <w:sz w:val="12"/>
                <w:szCs w:val="12"/>
                <w:b w:val="1"/>
                <w:bCs w:val="1"/>
                <w:color w:val="auto"/>
              </w:rPr>
              <w:t>Total</w:t>
            </w:r>
          </w:p>
        </w:tc>
        <w:tc>
          <w:tcPr>
            <w:tcW w:w="20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43"/>
        </w:trPr>
        <w:tc>
          <w:tcPr>
            <w:tcW w:w="3060" w:type="dxa"/>
            <w:vAlign w:val="bottom"/>
            <w:tcBorders>
              <w:right w:val="single" w:sz="8" w:color="auto"/>
            </w:tcBorders>
          </w:tcPr>
          <w:p>
            <w:pPr>
              <w:spacing w:after="0"/>
              <w:rPr>
                <w:sz w:val="12"/>
                <w:szCs w:val="12"/>
                <w:color w:val="auto"/>
              </w:rPr>
            </w:pPr>
          </w:p>
        </w:tc>
        <w:tc>
          <w:tcPr>
            <w:tcW w:w="1140" w:type="dxa"/>
            <w:vAlign w:val="bottom"/>
            <w:tcBorders>
              <w:top w:val="single" w:sz="8" w:color="auto"/>
            </w:tcBorders>
            <w:gridSpan w:val="2"/>
          </w:tcPr>
          <w:p>
            <w:pPr>
              <w:ind w:left="20"/>
              <w:spacing w:after="0" w:line="143" w:lineRule="exact"/>
              <w:rPr>
                <w:sz w:val="20"/>
                <w:szCs w:val="20"/>
                <w:color w:val="auto"/>
              </w:rPr>
            </w:pPr>
            <w:r>
              <w:rPr>
                <w:rFonts w:ascii="Calibri" w:cs="Calibri" w:eastAsia="Calibri" w:hAnsi="Calibri"/>
                <w:sz w:val="12"/>
                <w:szCs w:val="12"/>
                <w:color w:val="auto"/>
              </w:rPr>
              <w:t>Horacio D. Rozanski</w:t>
            </w:r>
          </w:p>
        </w:tc>
        <w:tc>
          <w:tcPr>
            <w:tcW w:w="1380" w:type="dxa"/>
            <w:vAlign w:val="bottom"/>
            <w:tcBorders>
              <w:top w:val="single" w:sz="8" w:color="auto"/>
            </w:tcBorders>
          </w:tcPr>
          <w:p>
            <w:pPr>
              <w:jc w:val="center"/>
              <w:ind w:left="218"/>
              <w:spacing w:after="0" w:line="143" w:lineRule="exact"/>
              <w:rPr>
                <w:sz w:val="20"/>
                <w:szCs w:val="20"/>
                <w:color w:val="auto"/>
              </w:rPr>
            </w:pPr>
            <w:r>
              <w:rPr>
                <w:rFonts w:ascii="Calibri" w:cs="Calibri" w:eastAsia="Calibri" w:hAnsi="Calibri"/>
                <w:sz w:val="12"/>
                <w:szCs w:val="12"/>
                <w:color w:val="auto"/>
              </w:rPr>
              <w:t>15,926</w:t>
            </w:r>
          </w:p>
        </w:tc>
        <w:tc>
          <w:tcPr>
            <w:tcW w:w="1160" w:type="dxa"/>
            <w:vAlign w:val="bottom"/>
            <w:tcBorders>
              <w:top w:val="single" w:sz="8" w:color="auto"/>
            </w:tcBorders>
          </w:tcPr>
          <w:p>
            <w:pPr>
              <w:jc w:val="center"/>
              <w:ind w:right="58"/>
              <w:spacing w:after="0" w:line="143" w:lineRule="exact"/>
              <w:rPr>
                <w:sz w:val="20"/>
                <w:szCs w:val="20"/>
                <w:color w:val="auto"/>
              </w:rPr>
            </w:pPr>
            <w:r>
              <w:rPr>
                <w:rFonts w:ascii="Calibri" w:cs="Calibri" w:eastAsia="Calibri" w:hAnsi="Calibri"/>
                <w:sz w:val="12"/>
                <w:szCs w:val="12"/>
                <w:color w:val="auto"/>
              </w:rPr>
              <w:t>9,668</w:t>
            </w:r>
          </w:p>
        </w:tc>
        <w:tc>
          <w:tcPr>
            <w:tcW w:w="800" w:type="dxa"/>
            <w:vAlign w:val="bottom"/>
            <w:tcBorders>
              <w:top w:val="single" w:sz="8" w:color="auto"/>
            </w:tcBorders>
          </w:tcPr>
          <w:p>
            <w:pPr>
              <w:jc w:val="center"/>
              <w:ind w:left="38"/>
              <w:spacing w:after="0" w:line="143" w:lineRule="exact"/>
              <w:rPr>
                <w:sz w:val="20"/>
                <w:szCs w:val="20"/>
                <w:color w:val="auto"/>
              </w:rPr>
            </w:pPr>
            <w:r>
              <w:rPr>
                <w:rFonts w:ascii="Calibri" w:cs="Calibri" w:eastAsia="Calibri" w:hAnsi="Calibri"/>
                <w:sz w:val="12"/>
                <w:szCs w:val="12"/>
                <w:color w:val="auto"/>
              </w:rPr>
              <w:t>25,594</w:t>
            </w:r>
          </w:p>
        </w:tc>
        <w:tc>
          <w:tcPr>
            <w:tcW w:w="200" w:type="dxa"/>
            <w:vAlign w:val="bottom"/>
            <w:tcBorders>
              <w:top w:val="single" w:sz="8" w:color="auto"/>
              <w:right w:val="single" w:sz="8" w:color="auto"/>
            </w:tcBorders>
          </w:tcPr>
          <w:p>
            <w:pPr>
              <w:spacing w:after="0"/>
              <w:rPr>
                <w:sz w:val="12"/>
                <w:szCs w:val="12"/>
                <w:color w:val="auto"/>
              </w:rPr>
            </w:pPr>
          </w:p>
        </w:tc>
      </w:tr>
      <w:tr>
        <w:trPr>
          <w:trHeight w:val="36"/>
        </w:trPr>
        <w:tc>
          <w:tcPr>
            <w:tcW w:w="3060" w:type="dxa"/>
            <w:vAlign w:val="bottom"/>
            <w:tcBorders>
              <w:right w:val="single" w:sz="8" w:color="auto"/>
            </w:tcBorders>
          </w:tcPr>
          <w:p>
            <w:pPr>
              <w:spacing w:after="0"/>
              <w:rPr>
                <w:sz w:val="3"/>
                <w:szCs w:val="3"/>
                <w:color w:val="auto"/>
              </w:rPr>
            </w:pPr>
          </w:p>
        </w:tc>
        <w:tc>
          <w:tcPr>
            <w:tcW w:w="1140" w:type="dxa"/>
            <w:vAlign w:val="bottom"/>
            <w:gridSpan w:val="2"/>
          </w:tcPr>
          <w:p>
            <w:pPr>
              <w:spacing w:after="0"/>
              <w:rPr>
                <w:sz w:val="3"/>
                <w:szCs w:val="3"/>
                <w:color w:val="auto"/>
              </w:rPr>
            </w:pPr>
          </w:p>
        </w:tc>
        <w:tc>
          <w:tcPr>
            <w:tcW w:w="1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r>
      <w:tr>
        <w:trPr>
          <w:trHeight w:val="179"/>
        </w:trPr>
        <w:tc>
          <w:tcPr>
            <w:tcW w:w="3060" w:type="dxa"/>
            <w:vAlign w:val="bottom"/>
            <w:tcBorders>
              <w:right w:val="single" w:sz="8" w:color="auto"/>
            </w:tcBorders>
          </w:tcPr>
          <w:p>
            <w:pPr>
              <w:spacing w:after="0"/>
              <w:rPr>
                <w:sz w:val="15"/>
                <w:szCs w:val="15"/>
                <w:color w:val="auto"/>
              </w:rPr>
            </w:pP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2"/>
                <w:szCs w:val="12"/>
                <w:color w:val="auto"/>
              </w:rPr>
              <w:t>Lloyd W. Howell, Jr.</w:t>
            </w:r>
          </w:p>
        </w:tc>
        <w:tc>
          <w:tcPr>
            <w:tcW w:w="1380" w:type="dxa"/>
            <w:vAlign w:val="bottom"/>
            <w:tcBorders>
              <w:bottom w:val="single" w:sz="8" w:color="CCEEFF"/>
            </w:tcBorders>
            <w:shd w:val="clear" w:color="auto" w:fill="CCEEFF"/>
          </w:tcPr>
          <w:p>
            <w:pPr>
              <w:jc w:val="center"/>
              <w:ind w:left="238"/>
              <w:spacing w:after="0"/>
              <w:rPr>
                <w:sz w:val="20"/>
                <w:szCs w:val="20"/>
                <w:color w:val="auto"/>
              </w:rPr>
            </w:pPr>
            <w:r>
              <w:rPr>
                <w:rFonts w:ascii="Calibri" w:cs="Calibri" w:eastAsia="Calibri" w:hAnsi="Calibri"/>
                <w:sz w:val="12"/>
                <w:szCs w:val="12"/>
                <w:color w:val="auto"/>
              </w:rPr>
              <w:t>6,724</w:t>
            </w:r>
          </w:p>
        </w:tc>
        <w:tc>
          <w:tcPr>
            <w:tcW w:w="1160" w:type="dxa"/>
            <w:vAlign w:val="bottom"/>
            <w:tcBorders>
              <w:bottom w:val="single" w:sz="8" w:color="CCEEFF"/>
            </w:tcBorders>
            <w:shd w:val="clear" w:color="auto" w:fill="CCEEFF"/>
          </w:tcPr>
          <w:p>
            <w:pPr>
              <w:jc w:val="center"/>
              <w:ind w:right="58"/>
              <w:spacing w:after="0"/>
              <w:rPr>
                <w:sz w:val="20"/>
                <w:szCs w:val="20"/>
                <w:color w:val="auto"/>
              </w:rPr>
            </w:pPr>
            <w:r>
              <w:rPr>
                <w:rFonts w:ascii="Calibri" w:cs="Calibri" w:eastAsia="Calibri" w:hAnsi="Calibri"/>
                <w:sz w:val="12"/>
                <w:szCs w:val="12"/>
                <w:color w:val="auto"/>
              </w:rPr>
              <w:t>3,373</w:t>
            </w:r>
          </w:p>
        </w:tc>
        <w:tc>
          <w:tcPr>
            <w:tcW w:w="800" w:type="dxa"/>
            <w:vAlign w:val="bottom"/>
            <w:tcBorders>
              <w:bottom w:val="single" w:sz="8" w:color="CCEEFF"/>
              <w:right w:val="single" w:sz="8" w:color="CCEEFF"/>
            </w:tcBorders>
            <w:shd w:val="clear" w:color="auto" w:fill="CCEEFF"/>
          </w:tcPr>
          <w:p>
            <w:pPr>
              <w:jc w:val="center"/>
              <w:ind w:left="38"/>
              <w:spacing w:after="0"/>
              <w:rPr>
                <w:sz w:val="20"/>
                <w:szCs w:val="20"/>
                <w:color w:val="auto"/>
              </w:rPr>
            </w:pPr>
            <w:r>
              <w:rPr>
                <w:rFonts w:ascii="Calibri" w:cs="Calibri" w:eastAsia="Calibri" w:hAnsi="Calibri"/>
                <w:sz w:val="12"/>
                <w:szCs w:val="12"/>
                <w:color w:val="auto"/>
              </w:rPr>
              <w:t>10,097</w:t>
            </w:r>
          </w:p>
        </w:tc>
        <w:tc>
          <w:tcPr>
            <w:tcW w:w="20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63"/>
        </w:trPr>
        <w:tc>
          <w:tcPr>
            <w:tcW w:w="3060" w:type="dxa"/>
            <w:vAlign w:val="bottom"/>
            <w:tcBorders>
              <w:right w:val="single" w:sz="8" w:color="auto"/>
            </w:tcBorders>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Calibri" w:cs="Calibri" w:eastAsia="Calibri" w:hAnsi="Calibri"/>
                <w:sz w:val="12"/>
                <w:szCs w:val="12"/>
                <w:color w:val="auto"/>
              </w:rPr>
              <w:t>Karen M. Dahut</w:t>
            </w:r>
          </w:p>
        </w:tc>
        <w:tc>
          <w:tcPr>
            <w:tcW w:w="1380" w:type="dxa"/>
            <w:vAlign w:val="bottom"/>
          </w:tcPr>
          <w:p>
            <w:pPr>
              <w:jc w:val="center"/>
              <w:ind w:left="238"/>
              <w:spacing w:after="0"/>
              <w:rPr>
                <w:sz w:val="20"/>
                <w:szCs w:val="20"/>
                <w:color w:val="auto"/>
              </w:rPr>
            </w:pPr>
            <w:r>
              <w:rPr>
                <w:rFonts w:ascii="Calibri" w:cs="Calibri" w:eastAsia="Calibri" w:hAnsi="Calibri"/>
                <w:sz w:val="12"/>
                <w:szCs w:val="12"/>
                <w:color w:val="auto"/>
              </w:rPr>
              <w:t>6,724</w:t>
            </w:r>
          </w:p>
        </w:tc>
        <w:tc>
          <w:tcPr>
            <w:tcW w:w="1160" w:type="dxa"/>
            <w:vAlign w:val="bottom"/>
          </w:tcPr>
          <w:p>
            <w:pPr>
              <w:jc w:val="center"/>
              <w:ind w:right="58"/>
              <w:spacing w:after="0"/>
              <w:rPr>
                <w:sz w:val="20"/>
                <w:szCs w:val="20"/>
                <w:color w:val="auto"/>
              </w:rPr>
            </w:pPr>
            <w:r>
              <w:rPr>
                <w:rFonts w:ascii="Calibri" w:cs="Calibri" w:eastAsia="Calibri" w:hAnsi="Calibri"/>
                <w:sz w:val="12"/>
                <w:szCs w:val="12"/>
                <w:color w:val="auto"/>
              </w:rPr>
              <w:t>3,373</w:t>
            </w:r>
          </w:p>
        </w:tc>
        <w:tc>
          <w:tcPr>
            <w:tcW w:w="800" w:type="dxa"/>
            <w:vAlign w:val="bottom"/>
          </w:tcPr>
          <w:p>
            <w:pPr>
              <w:jc w:val="center"/>
              <w:ind w:left="38"/>
              <w:spacing w:after="0"/>
              <w:rPr>
                <w:sz w:val="20"/>
                <w:szCs w:val="20"/>
                <w:color w:val="auto"/>
              </w:rPr>
            </w:pPr>
            <w:r>
              <w:rPr>
                <w:rFonts w:ascii="Calibri" w:cs="Calibri" w:eastAsia="Calibri" w:hAnsi="Calibri"/>
                <w:sz w:val="12"/>
                <w:szCs w:val="12"/>
                <w:color w:val="auto"/>
              </w:rPr>
              <w:t>10,097</w:t>
            </w:r>
          </w:p>
        </w:tc>
        <w:tc>
          <w:tcPr>
            <w:tcW w:w="200" w:type="dxa"/>
            <w:vAlign w:val="bottom"/>
            <w:tcBorders>
              <w:right w:val="single" w:sz="8" w:color="auto"/>
            </w:tcBorders>
          </w:tcPr>
          <w:p>
            <w:pPr>
              <w:spacing w:after="0"/>
              <w:rPr>
                <w:sz w:val="14"/>
                <w:szCs w:val="14"/>
                <w:color w:val="auto"/>
              </w:rPr>
            </w:pPr>
          </w:p>
        </w:tc>
      </w:tr>
      <w:tr>
        <w:trPr>
          <w:trHeight w:val="36"/>
        </w:trPr>
        <w:tc>
          <w:tcPr>
            <w:tcW w:w="3060" w:type="dxa"/>
            <w:vAlign w:val="bottom"/>
            <w:tcBorders>
              <w:right w:val="single" w:sz="8" w:color="auto"/>
            </w:tcBorders>
          </w:tcPr>
          <w:p>
            <w:pPr>
              <w:spacing w:after="0"/>
              <w:rPr>
                <w:sz w:val="3"/>
                <w:szCs w:val="3"/>
                <w:color w:val="auto"/>
              </w:rPr>
            </w:pPr>
          </w:p>
        </w:tc>
        <w:tc>
          <w:tcPr>
            <w:tcW w:w="1140" w:type="dxa"/>
            <w:vAlign w:val="bottom"/>
            <w:gridSpan w:val="2"/>
          </w:tcPr>
          <w:p>
            <w:pPr>
              <w:spacing w:after="0"/>
              <w:rPr>
                <w:sz w:val="3"/>
                <w:szCs w:val="3"/>
                <w:color w:val="auto"/>
              </w:rPr>
            </w:pPr>
          </w:p>
        </w:tc>
        <w:tc>
          <w:tcPr>
            <w:tcW w:w="1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r>
      <w:tr>
        <w:trPr>
          <w:trHeight w:val="179"/>
        </w:trPr>
        <w:tc>
          <w:tcPr>
            <w:tcW w:w="3060" w:type="dxa"/>
            <w:vAlign w:val="bottom"/>
            <w:tcBorders>
              <w:right w:val="single" w:sz="8" w:color="auto"/>
            </w:tcBorders>
          </w:tcPr>
          <w:p>
            <w:pPr>
              <w:spacing w:after="0"/>
              <w:rPr>
                <w:sz w:val="15"/>
                <w:szCs w:val="15"/>
                <w:color w:val="auto"/>
              </w:rPr>
            </w:pP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2"/>
                <w:szCs w:val="12"/>
                <w:color w:val="auto"/>
              </w:rPr>
              <w:t>Nancy J. Laben</w:t>
            </w:r>
          </w:p>
        </w:tc>
        <w:tc>
          <w:tcPr>
            <w:tcW w:w="1380" w:type="dxa"/>
            <w:vAlign w:val="bottom"/>
            <w:tcBorders>
              <w:bottom w:val="single" w:sz="8" w:color="CCEEFF"/>
            </w:tcBorders>
            <w:shd w:val="clear" w:color="auto" w:fill="CCEEFF"/>
          </w:tcPr>
          <w:p>
            <w:pPr>
              <w:jc w:val="center"/>
              <w:ind w:left="238"/>
              <w:spacing w:after="0"/>
              <w:rPr>
                <w:sz w:val="20"/>
                <w:szCs w:val="20"/>
                <w:color w:val="auto"/>
              </w:rPr>
            </w:pPr>
            <w:r>
              <w:rPr>
                <w:rFonts w:ascii="Calibri" w:cs="Calibri" w:eastAsia="Calibri" w:hAnsi="Calibri"/>
                <w:sz w:val="12"/>
                <w:szCs w:val="12"/>
                <w:color w:val="auto"/>
              </w:rPr>
              <w:t>3,571</w:t>
            </w:r>
          </w:p>
        </w:tc>
        <w:tc>
          <w:tcPr>
            <w:tcW w:w="1160" w:type="dxa"/>
            <w:vAlign w:val="bottom"/>
            <w:tcBorders>
              <w:bottom w:val="single" w:sz="8" w:color="CCEEFF"/>
            </w:tcBorders>
            <w:shd w:val="clear" w:color="auto" w:fill="CCEEFF"/>
          </w:tcPr>
          <w:p>
            <w:pPr>
              <w:jc w:val="center"/>
              <w:ind w:right="58"/>
              <w:spacing w:after="0"/>
              <w:rPr>
                <w:sz w:val="20"/>
                <w:szCs w:val="20"/>
                <w:color w:val="auto"/>
              </w:rPr>
            </w:pPr>
            <w:r>
              <w:rPr>
                <w:rFonts w:ascii="Calibri" w:cs="Calibri" w:eastAsia="Calibri" w:hAnsi="Calibri"/>
                <w:sz w:val="12"/>
                <w:szCs w:val="12"/>
                <w:color w:val="auto"/>
              </w:rPr>
              <w:t>1,828</w:t>
            </w:r>
          </w:p>
        </w:tc>
        <w:tc>
          <w:tcPr>
            <w:tcW w:w="800" w:type="dxa"/>
            <w:vAlign w:val="bottom"/>
            <w:tcBorders>
              <w:bottom w:val="single" w:sz="8" w:color="CCEEFF"/>
              <w:right w:val="single" w:sz="8" w:color="CCEEFF"/>
            </w:tcBorders>
            <w:shd w:val="clear" w:color="auto" w:fill="CCEEFF"/>
          </w:tcPr>
          <w:p>
            <w:pPr>
              <w:jc w:val="center"/>
              <w:ind w:left="18"/>
              <w:spacing w:after="0"/>
              <w:rPr>
                <w:sz w:val="20"/>
                <w:szCs w:val="20"/>
                <w:color w:val="auto"/>
              </w:rPr>
            </w:pPr>
            <w:r>
              <w:rPr>
                <w:rFonts w:ascii="Calibri" w:cs="Calibri" w:eastAsia="Calibri" w:hAnsi="Calibri"/>
                <w:sz w:val="12"/>
                <w:szCs w:val="12"/>
                <w:color w:val="auto"/>
              </w:rPr>
              <w:t>5,399</w:t>
            </w:r>
          </w:p>
        </w:tc>
        <w:tc>
          <w:tcPr>
            <w:tcW w:w="20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63"/>
        </w:trPr>
        <w:tc>
          <w:tcPr>
            <w:tcW w:w="3060" w:type="dxa"/>
            <w:vAlign w:val="bottom"/>
            <w:tcBorders>
              <w:right w:val="single" w:sz="8" w:color="auto"/>
            </w:tcBorders>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Calibri" w:cs="Calibri" w:eastAsia="Calibri" w:hAnsi="Calibri"/>
                <w:sz w:val="12"/>
                <w:szCs w:val="12"/>
                <w:color w:val="auto"/>
              </w:rPr>
              <w:t>Susan L. Penfeld</w:t>
            </w:r>
          </w:p>
        </w:tc>
        <w:tc>
          <w:tcPr>
            <w:tcW w:w="1380" w:type="dxa"/>
            <w:vAlign w:val="bottom"/>
          </w:tcPr>
          <w:p>
            <w:pPr>
              <w:jc w:val="center"/>
              <w:ind w:left="238"/>
              <w:spacing w:after="0"/>
              <w:rPr>
                <w:sz w:val="20"/>
                <w:szCs w:val="20"/>
                <w:color w:val="auto"/>
              </w:rPr>
            </w:pPr>
            <w:r>
              <w:rPr>
                <w:rFonts w:ascii="Calibri" w:cs="Calibri" w:eastAsia="Calibri" w:hAnsi="Calibri"/>
                <w:sz w:val="12"/>
                <w:szCs w:val="12"/>
                <w:color w:val="auto"/>
              </w:rPr>
              <w:t>3,230</w:t>
            </w:r>
          </w:p>
        </w:tc>
        <w:tc>
          <w:tcPr>
            <w:tcW w:w="1160" w:type="dxa"/>
            <w:vAlign w:val="bottom"/>
          </w:tcPr>
          <w:p>
            <w:pPr>
              <w:jc w:val="center"/>
              <w:ind w:right="58"/>
              <w:spacing w:after="0"/>
              <w:rPr>
                <w:sz w:val="20"/>
                <w:szCs w:val="20"/>
                <w:color w:val="auto"/>
              </w:rPr>
            </w:pPr>
            <w:r>
              <w:rPr>
                <w:rFonts w:ascii="Calibri" w:cs="Calibri" w:eastAsia="Calibri" w:hAnsi="Calibri"/>
                <w:sz w:val="12"/>
                <w:szCs w:val="12"/>
                <w:color w:val="auto"/>
              </w:rPr>
              <w:t>1,667</w:t>
            </w:r>
          </w:p>
        </w:tc>
        <w:tc>
          <w:tcPr>
            <w:tcW w:w="800" w:type="dxa"/>
            <w:vAlign w:val="bottom"/>
          </w:tcPr>
          <w:p>
            <w:pPr>
              <w:jc w:val="center"/>
              <w:ind w:left="18"/>
              <w:spacing w:after="0"/>
              <w:rPr>
                <w:sz w:val="20"/>
                <w:szCs w:val="20"/>
                <w:color w:val="auto"/>
              </w:rPr>
            </w:pPr>
            <w:r>
              <w:rPr>
                <w:rFonts w:ascii="Calibri" w:cs="Calibri" w:eastAsia="Calibri" w:hAnsi="Calibri"/>
                <w:sz w:val="12"/>
                <w:szCs w:val="12"/>
                <w:color w:val="auto"/>
              </w:rPr>
              <w:t>4,897</w:t>
            </w:r>
          </w:p>
        </w:tc>
        <w:tc>
          <w:tcPr>
            <w:tcW w:w="200" w:type="dxa"/>
            <w:vAlign w:val="bottom"/>
            <w:tcBorders>
              <w:right w:val="single" w:sz="8" w:color="auto"/>
            </w:tcBorders>
          </w:tcPr>
          <w:p>
            <w:pPr>
              <w:spacing w:after="0"/>
              <w:rPr>
                <w:sz w:val="14"/>
                <w:szCs w:val="14"/>
                <w:color w:val="auto"/>
              </w:rPr>
            </w:pPr>
          </w:p>
        </w:tc>
      </w:tr>
      <w:tr>
        <w:trPr>
          <w:trHeight w:val="36"/>
        </w:trPr>
        <w:tc>
          <w:tcPr>
            <w:tcW w:w="3060" w:type="dxa"/>
            <w:vAlign w:val="bottom"/>
            <w:tcBorders>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r>
    </w:tbl>
    <w:p>
      <w:pPr>
        <w:spacing w:after="0" w:line="179" w:lineRule="exact"/>
        <w:rPr>
          <w:sz w:val="20"/>
          <w:szCs w:val="20"/>
          <w:color w:val="auto"/>
        </w:rPr>
      </w:pPr>
    </w:p>
    <w:p>
      <w:pPr>
        <w:ind w:left="560"/>
        <w:spacing w:after="0"/>
        <w:rPr>
          <w:sz w:val="20"/>
          <w:szCs w:val="20"/>
          <w:color w:val="auto"/>
        </w:rPr>
      </w:pPr>
      <w:r>
        <w:rPr>
          <w:rFonts w:ascii="Calibri" w:cs="Calibri" w:eastAsia="Calibri" w:hAnsi="Calibri"/>
          <w:sz w:val="13"/>
          <w:szCs w:val="13"/>
          <w:color w:val="666666"/>
        </w:rPr>
        <w:t>Such restricted stock units become fully vested upon certain change in control events, unless otherwise determined by our Compensaton, Culture and People Commitee.</w:t>
      </w:r>
    </w:p>
    <w:p>
      <w:pPr>
        <w:spacing w:after="0" w:line="107" w:lineRule="exact"/>
        <w:rPr>
          <w:sz w:val="20"/>
          <w:szCs w:val="20"/>
          <w:color w:val="auto"/>
        </w:rPr>
      </w:pPr>
    </w:p>
    <w:p>
      <w:pPr>
        <w:ind w:left="520" w:hanging="275"/>
        <w:spacing w:after="0"/>
        <w:tabs>
          <w:tab w:leader="none" w:pos="520" w:val="left"/>
        </w:tabs>
        <w:numPr>
          <w:ilvl w:val="0"/>
          <w:numId w:val="51"/>
        </w:numPr>
        <w:rPr>
          <w:rFonts w:ascii="Calibri" w:cs="Calibri" w:eastAsia="Calibri" w:hAnsi="Calibri"/>
          <w:sz w:val="13"/>
          <w:szCs w:val="13"/>
          <w:color w:val="666666"/>
        </w:rPr>
      </w:pPr>
      <w:r>
        <w:rPr>
          <w:rFonts w:ascii="Calibri" w:cs="Calibri" w:eastAsia="Calibri" w:hAnsi="Calibri"/>
          <w:sz w:val="13"/>
          <w:szCs w:val="13"/>
          <w:color w:val="666666"/>
        </w:rPr>
        <w:t>The market value reported in this column has been determined based on the fair market value of our common stock on March 31, 2022 of $87.84.</w:t>
      </w:r>
    </w:p>
    <w:p>
      <w:pPr>
        <w:spacing w:after="0" w:line="108" w:lineRule="exact"/>
        <w:rPr>
          <w:rFonts w:ascii="Calibri" w:cs="Calibri" w:eastAsia="Calibri" w:hAnsi="Calibri"/>
          <w:sz w:val="13"/>
          <w:szCs w:val="13"/>
          <w:color w:val="666666"/>
        </w:rPr>
      </w:pPr>
    </w:p>
    <w:p>
      <w:pPr>
        <w:jc w:val="both"/>
        <w:ind w:left="560" w:right="20" w:hanging="315"/>
        <w:spacing w:after="0"/>
        <w:tabs>
          <w:tab w:leader="none" w:pos="524" w:val="left"/>
        </w:tabs>
        <w:numPr>
          <w:ilvl w:val="0"/>
          <w:numId w:val="51"/>
        </w:numPr>
        <w:rPr>
          <w:rFonts w:ascii="Calibri" w:cs="Calibri" w:eastAsia="Calibri" w:hAnsi="Calibri"/>
          <w:sz w:val="13"/>
          <w:szCs w:val="13"/>
          <w:color w:val="666666"/>
        </w:rPr>
      </w:pPr>
      <w:r>
        <w:rPr>
          <w:rFonts w:ascii="Calibri" w:cs="Calibri" w:eastAsia="Calibri" w:hAnsi="Calibri"/>
          <w:sz w:val="13"/>
          <w:szCs w:val="13"/>
          <w:color w:val="666666"/>
        </w:rPr>
        <w:t>This column refects the number of performance-based restricted stock units based on achievement of maximum performance, which is 200% of the target grant amount for fscal year 2021, and for fscal year 2022, threshold performance for the fnancial goals and target performance for the non-fnancial strategic goals, which is 55% of the total target grant amount, rounded down to the nearest whole share. The table below refects the vestng opportunity for fscal year 2021 and fscal year 2022 performance-based restricted stock unit grants assuming achievement of target performance for the named executve ofcers.</w:t>
      </w: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666666"/>
        </w:rPr>
        <w:t>45</w:t>
      </w:r>
    </w:p>
    <w:p>
      <w:pPr>
        <w:sectPr>
          <w:pgSz w:w="11900" w:h="16838" w:orient="portrait"/>
          <w:cols w:equalWidth="0" w:num="1">
            <w:col w:w="11260"/>
          </w:cols>
          <w:pgMar w:left="320" w:top="118"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3290" w:type="dxa"/>
        <w:tblCellMar>
          <w:top w:w="0" w:type="dxa"/>
          <w:left w:w="0" w:type="dxa"/>
          <w:bottom w:w="0" w:type="dxa"/>
          <w:right w:w="0" w:type="dxa"/>
        </w:tblCellMar>
      </w:tblPr>
      <w:tr>
        <w:trPr>
          <w:trHeight w:val="204"/>
        </w:trPr>
        <w:tc>
          <w:tcPr>
            <w:tcW w:w="1300" w:type="dxa"/>
            <w:vAlign w:val="bottom"/>
            <w:tcBorders>
              <w:top w:val="single" w:sz="8" w:color="auto"/>
              <w:left w:val="single" w:sz="8" w:color="auto"/>
              <w:bottom w:val="single" w:sz="8" w:color="CCEEFF"/>
            </w:tcBorders>
            <w:shd w:val="clear" w:color="auto" w:fill="CCEEFF"/>
          </w:tcPr>
          <w:p>
            <w:pPr>
              <w:ind w:left="40"/>
              <w:spacing w:after="0"/>
              <w:rPr>
                <w:sz w:val="20"/>
                <w:szCs w:val="20"/>
                <w:color w:val="auto"/>
              </w:rPr>
            </w:pPr>
            <w:r>
              <w:rPr>
                <w:rFonts w:ascii="Calibri" w:cs="Calibri" w:eastAsia="Calibri" w:hAnsi="Calibri"/>
                <w:sz w:val="12"/>
                <w:szCs w:val="12"/>
                <w:b w:val="1"/>
                <w:bCs w:val="1"/>
                <w:color w:val="auto"/>
              </w:rPr>
              <w:t>Name</w:t>
            </w:r>
          </w:p>
        </w:tc>
        <w:tc>
          <w:tcPr>
            <w:tcW w:w="1220" w:type="dxa"/>
            <w:vAlign w:val="bottom"/>
            <w:tcBorders>
              <w:top w:val="single" w:sz="8" w:color="auto"/>
              <w:bottom w:val="single" w:sz="8" w:color="CCEEFF"/>
            </w:tcBorders>
            <w:shd w:val="clear" w:color="auto" w:fill="CCEEFF"/>
          </w:tcPr>
          <w:p>
            <w:pPr>
              <w:ind w:left="300"/>
              <w:spacing w:after="0"/>
              <w:rPr>
                <w:sz w:val="20"/>
                <w:szCs w:val="20"/>
                <w:color w:val="auto"/>
              </w:rPr>
            </w:pPr>
            <w:r>
              <w:rPr>
                <w:rFonts w:ascii="Calibri" w:cs="Calibri" w:eastAsia="Calibri" w:hAnsi="Calibri"/>
                <w:sz w:val="12"/>
                <w:szCs w:val="12"/>
                <w:b w:val="1"/>
                <w:bCs w:val="1"/>
                <w:color w:val="auto"/>
              </w:rPr>
              <w:t>March 31, 2023</w:t>
            </w:r>
          </w:p>
        </w:tc>
        <w:tc>
          <w:tcPr>
            <w:tcW w:w="1180" w:type="dxa"/>
            <w:vAlign w:val="bottom"/>
            <w:tcBorders>
              <w:top w:val="single" w:sz="8" w:color="auto"/>
              <w:bottom w:val="single" w:sz="8" w:color="CCEEFF"/>
            </w:tcBorders>
            <w:shd w:val="clear" w:color="auto" w:fill="CCEEFF"/>
          </w:tcPr>
          <w:p>
            <w:pPr>
              <w:ind w:left="160"/>
              <w:spacing w:after="0"/>
              <w:rPr>
                <w:sz w:val="20"/>
                <w:szCs w:val="20"/>
                <w:color w:val="auto"/>
              </w:rPr>
            </w:pPr>
            <w:r>
              <w:rPr>
                <w:rFonts w:ascii="Calibri" w:cs="Calibri" w:eastAsia="Calibri" w:hAnsi="Calibri"/>
                <w:sz w:val="12"/>
                <w:szCs w:val="12"/>
                <w:b w:val="1"/>
                <w:bCs w:val="1"/>
                <w:color w:val="auto"/>
              </w:rPr>
              <w:t>March 31, 2024</w:t>
            </w:r>
          </w:p>
        </w:tc>
        <w:tc>
          <w:tcPr>
            <w:tcW w:w="1000" w:type="dxa"/>
            <w:vAlign w:val="bottom"/>
            <w:tcBorders>
              <w:top w:val="single" w:sz="8" w:color="auto"/>
              <w:bottom w:val="single" w:sz="8" w:color="CCEEFF"/>
              <w:right w:val="single" w:sz="8" w:color="auto"/>
            </w:tcBorders>
            <w:shd w:val="clear" w:color="auto" w:fill="CCEEFF"/>
          </w:tcPr>
          <w:p>
            <w:pPr>
              <w:ind w:left="320"/>
              <w:spacing w:after="0"/>
              <w:rPr>
                <w:sz w:val="20"/>
                <w:szCs w:val="20"/>
                <w:color w:val="auto"/>
              </w:rPr>
            </w:pPr>
            <w:r>
              <w:rPr>
                <w:rFonts w:ascii="Calibri" w:cs="Calibri" w:eastAsia="Calibri" w:hAnsi="Calibri"/>
                <w:sz w:val="12"/>
                <w:szCs w:val="12"/>
                <w:b w:val="1"/>
                <w:bCs w:val="1"/>
                <w:color w:val="auto"/>
              </w:rPr>
              <w:t>Total</w:t>
            </w:r>
          </w:p>
        </w:tc>
      </w:tr>
      <w:tr>
        <w:trPr>
          <w:trHeight w:val="143"/>
        </w:trPr>
        <w:tc>
          <w:tcPr>
            <w:tcW w:w="1300" w:type="dxa"/>
            <w:vAlign w:val="bottom"/>
            <w:tcBorders>
              <w:top w:val="single" w:sz="8" w:color="auto"/>
              <w:left w:val="single" w:sz="8" w:color="auto"/>
            </w:tcBorders>
          </w:tcPr>
          <w:p>
            <w:pPr>
              <w:ind w:left="40"/>
              <w:spacing w:after="0" w:line="143" w:lineRule="exact"/>
              <w:rPr>
                <w:sz w:val="20"/>
                <w:szCs w:val="20"/>
                <w:color w:val="auto"/>
              </w:rPr>
            </w:pPr>
            <w:r>
              <w:rPr>
                <w:rFonts w:ascii="Calibri" w:cs="Calibri" w:eastAsia="Calibri" w:hAnsi="Calibri"/>
                <w:sz w:val="12"/>
                <w:szCs w:val="12"/>
                <w:color w:val="auto"/>
              </w:rPr>
              <w:t>Horacio D. Rozanski</w:t>
            </w:r>
          </w:p>
        </w:tc>
        <w:tc>
          <w:tcPr>
            <w:tcW w:w="1220" w:type="dxa"/>
            <w:vAlign w:val="bottom"/>
            <w:tcBorders>
              <w:top w:val="single" w:sz="8" w:color="auto"/>
            </w:tcBorders>
          </w:tcPr>
          <w:p>
            <w:pPr>
              <w:jc w:val="center"/>
              <w:ind w:left="98"/>
              <w:spacing w:after="0" w:line="143" w:lineRule="exact"/>
              <w:rPr>
                <w:sz w:val="20"/>
                <w:szCs w:val="20"/>
                <w:color w:val="auto"/>
              </w:rPr>
            </w:pPr>
            <w:r>
              <w:rPr>
                <w:rFonts w:ascii="Calibri" w:cs="Calibri" w:eastAsia="Calibri" w:hAnsi="Calibri"/>
                <w:sz w:val="12"/>
                <w:szCs w:val="12"/>
                <w:color w:val="auto"/>
              </w:rPr>
              <w:t>47,930</w:t>
            </w:r>
          </w:p>
        </w:tc>
        <w:tc>
          <w:tcPr>
            <w:tcW w:w="1180" w:type="dxa"/>
            <w:vAlign w:val="bottom"/>
            <w:tcBorders>
              <w:top w:val="single" w:sz="8" w:color="auto"/>
            </w:tcBorders>
          </w:tcPr>
          <w:p>
            <w:pPr>
              <w:jc w:val="center"/>
              <w:ind w:right="18"/>
              <w:spacing w:after="0" w:line="143" w:lineRule="exact"/>
              <w:rPr>
                <w:sz w:val="20"/>
                <w:szCs w:val="20"/>
                <w:color w:val="auto"/>
              </w:rPr>
            </w:pPr>
            <w:r>
              <w:rPr>
                <w:rFonts w:ascii="Calibri" w:cs="Calibri" w:eastAsia="Calibri" w:hAnsi="Calibri"/>
                <w:sz w:val="12"/>
                <w:szCs w:val="12"/>
                <w:color w:val="auto"/>
              </w:rPr>
              <w:t>68,167</w:t>
            </w:r>
          </w:p>
        </w:tc>
        <w:tc>
          <w:tcPr>
            <w:tcW w:w="1000" w:type="dxa"/>
            <w:vAlign w:val="bottom"/>
            <w:tcBorders>
              <w:top w:val="single" w:sz="8" w:color="auto"/>
              <w:right w:val="single" w:sz="8" w:color="auto"/>
            </w:tcBorders>
          </w:tcPr>
          <w:p>
            <w:pPr>
              <w:jc w:val="center"/>
              <w:ind w:right="58"/>
              <w:spacing w:after="0" w:line="143" w:lineRule="exact"/>
              <w:rPr>
                <w:sz w:val="20"/>
                <w:szCs w:val="20"/>
                <w:color w:val="auto"/>
              </w:rPr>
            </w:pPr>
            <w:r>
              <w:rPr>
                <w:rFonts w:ascii="Calibri" w:cs="Calibri" w:eastAsia="Calibri" w:hAnsi="Calibri"/>
                <w:sz w:val="12"/>
                <w:szCs w:val="12"/>
                <w:color w:val="auto"/>
              </w:rPr>
              <w:t>116,097</w:t>
            </w:r>
          </w:p>
        </w:tc>
      </w:tr>
      <w:tr>
        <w:trPr>
          <w:trHeight w:val="36"/>
        </w:trPr>
        <w:tc>
          <w:tcPr>
            <w:tcW w:w="1300" w:type="dxa"/>
            <w:vAlign w:val="bottom"/>
            <w:tcBorders>
              <w:left w:val="single" w:sz="8" w:color="auto"/>
            </w:tcBorders>
          </w:tcPr>
          <w:p>
            <w:pPr>
              <w:spacing w:after="0"/>
              <w:rPr>
                <w:sz w:val="3"/>
                <w:szCs w:val="3"/>
                <w:color w:val="auto"/>
              </w:rPr>
            </w:pPr>
          </w:p>
        </w:tc>
        <w:tc>
          <w:tcPr>
            <w:tcW w:w="1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0" w:type="dxa"/>
            <w:vAlign w:val="bottom"/>
            <w:tcBorders>
              <w:right w:val="single" w:sz="8" w:color="auto"/>
            </w:tcBorders>
          </w:tcPr>
          <w:p>
            <w:pPr>
              <w:spacing w:after="0"/>
              <w:rPr>
                <w:sz w:val="3"/>
                <w:szCs w:val="3"/>
                <w:color w:val="auto"/>
              </w:rPr>
            </w:pPr>
          </w:p>
        </w:tc>
      </w:tr>
      <w:tr>
        <w:trPr>
          <w:trHeight w:val="179"/>
        </w:trPr>
        <w:tc>
          <w:tcPr>
            <w:tcW w:w="130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Calibri" w:cs="Calibri" w:eastAsia="Calibri" w:hAnsi="Calibri"/>
                <w:sz w:val="12"/>
                <w:szCs w:val="12"/>
                <w:color w:val="auto"/>
              </w:rPr>
              <w:t>Lloyd W. Howell, Jr.</w:t>
            </w:r>
          </w:p>
        </w:tc>
        <w:tc>
          <w:tcPr>
            <w:tcW w:w="1220" w:type="dxa"/>
            <w:vAlign w:val="bottom"/>
            <w:tcBorders>
              <w:bottom w:val="single" w:sz="8" w:color="CCEEFF"/>
            </w:tcBorders>
            <w:shd w:val="clear" w:color="auto" w:fill="CCEEFF"/>
          </w:tcPr>
          <w:p>
            <w:pPr>
              <w:jc w:val="center"/>
              <w:ind w:left="98"/>
              <w:spacing w:after="0"/>
              <w:rPr>
                <w:sz w:val="20"/>
                <w:szCs w:val="20"/>
                <w:color w:val="auto"/>
              </w:rPr>
            </w:pPr>
            <w:r>
              <w:rPr>
                <w:rFonts w:ascii="Calibri" w:cs="Calibri" w:eastAsia="Calibri" w:hAnsi="Calibri"/>
                <w:sz w:val="12"/>
                <w:szCs w:val="12"/>
                <w:color w:val="auto"/>
              </w:rPr>
              <w:t>14,979</w:t>
            </w:r>
          </w:p>
        </w:tc>
        <w:tc>
          <w:tcPr>
            <w:tcW w:w="1180" w:type="dxa"/>
            <w:vAlign w:val="bottom"/>
            <w:tcBorders>
              <w:bottom w:val="single" w:sz="8" w:color="CCEEFF"/>
            </w:tcBorders>
            <w:shd w:val="clear" w:color="auto" w:fill="CCEEFF"/>
          </w:tcPr>
          <w:p>
            <w:pPr>
              <w:jc w:val="center"/>
              <w:ind w:right="18"/>
              <w:spacing w:after="0"/>
              <w:rPr>
                <w:sz w:val="20"/>
                <w:szCs w:val="20"/>
                <w:color w:val="auto"/>
              </w:rPr>
            </w:pPr>
            <w:r>
              <w:rPr>
                <w:rFonts w:ascii="Calibri" w:cs="Calibri" w:eastAsia="Calibri" w:hAnsi="Calibri"/>
                <w:sz w:val="12"/>
                <w:szCs w:val="12"/>
                <w:color w:val="auto"/>
              </w:rPr>
              <w:t>13,868</w:t>
            </w:r>
          </w:p>
        </w:tc>
        <w:tc>
          <w:tcPr>
            <w:tcW w:w="1000" w:type="dxa"/>
            <w:vAlign w:val="bottom"/>
            <w:tcBorders>
              <w:bottom w:val="single" w:sz="8" w:color="CCEEFF"/>
              <w:right w:val="single" w:sz="8" w:color="auto"/>
            </w:tcBorders>
            <w:shd w:val="clear" w:color="auto" w:fill="CCEEFF"/>
          </w:tcPr>
          <w:p>
            <w:pPr>
              <w:jc w:val="center"/>
              <w:ind w:right="38"/>
              <w:spacing w:after="0"/>
              <w:rPr>
                <w:sz w:val="20"/>
                <w:szCs w:val="20"/>
                <w:color w:val="auto"/>
              </w:rPr>
            </w:pPr>
            <w:r>
              <w:rPr>
                <w:rFonts w:ascii="Calibri" w:cs="Calibri" w:eastAsia="Calibri" w:hAnsi="Calibri"/>
                <w:sz w:val="12"/>
                <w:szCs w:val="12"/>
                <w:color w:val="auto"/>
              </w:rPr>
              <w:t>28,847</w:t>
            </w:r>
          </w:p>
        </w:tc>
      </w:tr>
      <w:tr>
        <w:trPr>
          <w:trHeight w:val="163"/>
        </w:trPr>
        <w:tc>
          <w:tcPr>
            <w:tcW w:w="1300" w:type="dxa"/>
            <w:vAlign w:val="bottom"/>
            <w:tcBorders>
              <w:left w:val="single" w:sz="8" w:color="auto"/>
            </w:tcBorders>
          </w:tcPr>
          <w:p>
            <w:pPr>
              <w:ind w:left="40"/>
              <w:spacing w:after="0"/>
              <w:rPr>
                <w:sz w:val="20"/>
                <w:szCs w:val="20"/>
                <w:color w:val="auto"/>
              </w:rPr>
            </w:pPr>
            <w:r>
              <w:rPr>
                <w:rFonts w:ascii="Calibri" w:cs="Calibri" w:eastAsia="Calibri" w:hAnsi="Calibri"/>
                <w:sz w:val="12"/>
                <w:szCs w:val="12"/>
                <w:color w:val="auto"/>
              </w:rPr>
              <w:t>Karen M. Dahut</w:t>
            </w:r>
          </w:p>
        </w:tc>
        <w:tc>
          <w:tcPr>
            <w:tcW w:w="1220" w:type="dxa"/>
            <w:vAlign w:val="bottom"/>
          </w:tcPr>
          <w:p>
            <w:pPr>
              <w:jc w:val="center"/>
              <w:ind w:left="98"/>
              <w:spacing w:after="0"/>
              <w:rPr>
                <w:sz w:val="20"/>
                <w:szCs w:val="20"/>
                <w:color w:val="auto"/>
              </w:rPr>
            </w:pPr>
            <w:r>
              <w:rPr>
                <w:rFonts w:ascii="Calibri" w:cs="Calibri" w:eastAsia="Calibri" w:hAnsi="Calibri"/>
                <w:sz w:val="12"/>
                <w:szCs w:val="12"/>
                <w:color w:val="auto"/>
              </w:rPr>
              <w:t>14,979</w:t>
            </w:r>
          </w:p>
        </w:tc>
        <w:tc>
          <w:tcPr>
            <w:tcW w:w="1180" w:type="dxa"/>
            <w:vAlign w:val="bottom"/>
          </w:tcPr>
          <w:p>
            <w:pPr>
              <w:jc w:val="center"/>
              <w:ind w:right="18"/>
              <w:spacing w:after="0"/>
              <w:rPr>
                <w:sz w:val="20"/>
                <w:szCs w:val="20"/>
                <w:color w:val="auto"/>
              </w:rPr>
            </w:pPr>
            <w:r>
              <w:rPr>
                <w:rFonts w:ascii="Calibri" w:cs="Calibri" w:eastAsia="Calibri" w:hAnsi="Calibri"/>
                <w:sz w:val="12"/>
                <w:szCs w:val="12"/>
                <w:color w:val="auto"/>
              </w:rPr>
              <w:t>13,868</w:t>
            </w:r>
          </w:p>
        </w:tc>
        <w:tc>
          <w:tcPr>
            <w:tcW w:w="1000" w:type="dxa"/>
            <w:vAlign w:val="bottom"/>
            <w:tcBorders>
              <w:right w:val="single" w:sz="8" w:color="auto"/>
            </w:tcBorders>
          </w:tcPr>
          <w:p>
            <w:pPr>
              <w:jc w:val="center"/>
              <w:ind w:right="38"/>
              <w:spacing w:after="0"/>
              <w:rPr>
                <w:sz w:val="20"/>
                <w:szCs w:val="20"/>
                <w:color w:val="auto"/>
              </w:rPr>
            </w:pPr>
            <w:r>
              <w:rPr>
                <w:rFonts w:ascii="Calibri" w:cs="Calibri" w:eastAsia="Calibri" w:hAnsi="Calibri"/>
                <w:sz w:val="12"/>
                <w:szCs w:val="12"/>
                <w:color w:val="auto"/>
              </w:rPr>
              <w:t>28,847</w:t>
            </w:r>
          </w:p>
        </w:tc>
      </w:tr>
      <w:tr>
        <w:trPr>
          <w:trHeight w:val="36"/>
        </w:trPr>
        <w:tc>
          <w:tcPr>
            <w:tcW w:w="1300" w:type="dxa"/>
            <w:vAlign w:val="bottom"/>
            <w:tcBorders>
              <w:left w:val="single" w:sz="8" w:color="auto"/>
            </w:tcBorders>
          </w:tcPr>
          <w:p>
            <w:pPr>
              <w:spacing w:after="0"/>
              <w:rPr>
                <w:sz w:val="3"/>
                <w:szCs w:val="3"/>
                <w:color w:val="auto"/>
              </w:rPr>
            </w:pPr>
          </w:p>
        </w:tc>
        <w:tc>
          <w:tcPr>
            <w:tcW w:w="1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0" w:type="dxa"/>
            <w:vAlign w:val="bottom"/>
            <w:tcBorders>
              <w:right w:val="single" w:sz="8" w:color="auto"/>
            </w:tcBorders>
          </w:tcPr>
          <w:p>
            <w:pPr>
              <w:spacing w:after="0"/>
              <w:rPr>
                <w:sz w:val="3"/>
                <w:szCs w:val="3"/>
                <w:color w:val="auto"/>
              </w:rPr>
            </w:pPr>
          </w:p>
        </w:tc>
      </w:tr>
      <w:tr>
        <w:trPr>
          <w:trHeight w:val="179"/>
        </w:trPr>
        <w:tc>
          <w:tcPr>
            <w:tcW w:w="130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Calibri" w:cs="Calibri" w:eastAsia="Calibri" w:hAnsi="Calibri"/>
                <w:sz w:val="12"/>
                <w:szCs w:val="12"/>
                <w:color w:val="auto"/>
              </w:rPr>
              <w:t>Nancy J. Laben</w:t>
            </w:r>
          </w:p>
        </w:tc>
        <w:tc>
          <w:tcPr>
            <w:tcW w:w="1220" w:type="dxa"/>
            <w:vAlign w:val="bottom"/>
            <w:tcBorders>
              <w:bottom w:val="single" w:sz="8" w:color="CCEEFF"/>
            </w:tcBorders>
            <w:shd w:val="clear" w:color="auto" w:fill="CCEEFF"/>
          </w:tcPr>
          <w:p>
            <w:pPr>
              <w:jc w:val="center"/>
              <w:ind w:left="118"/>
              <w:spacing w:after="0"/>
              <w:rPr>
                <w:sz w:val="20"/>
                <w:szCs w:val="20"/>
                <w:color w:val="auto"/>
              </w:rPr>
            </w:pPr>
            <w:r>
              <w:rPr>
                <w:rFonts w:ascii="Calibri" w:cs="Calibri" w:eastAsia="Calibri" w:hAnsi="Calibri"/>
                <w:sz w:val="12"/>
                <w:szCs w:val="12"/>
                <w:color w:val="auto"/>
              </w:rPr>
              <w:t>7,789</w:t>
            </w:r>
          </w:p>
        </w:tc>
        <w:tc>
          <w:tcPr>
            <w:tcW w:w="1180" w:type="dxa"/>
            <w:vAlign w:val="bottom"/>
            <w:tcBorders>
              <w:bottom w:val="single" w:sz="8" w:color="CCEEFF"/>
            </w:tcBorders>
            <w:shd w:val="clear" w:color="auto" w:fill="CCEEFF"/>
          </w:tcPr>
          <w:p>
            <w:pPr>
              <w:jc w:val="center"/>
              <w:ind w:right="38"/>
              <w:spacing w:after="0"/>
              <w:rPr>
                <w:sz w:val="20"/>
                <w:szCs w:val="20"/>
                <w:color w:val="auto"/>
              </w:rPr>
            </w:pPr>
            <w:r>
              <w:rPr>
                <w:rFonts w:ascii="Calibri" w:cs="Calibri" w:eastAsia="Calibri" w:hAnsi="Calibri"/>
                <w:sz w:val="12"/>
                <w:szCs w:val="12"/>
                <w:color w:val="auto"/>
              </w:rPr>
              <w:t>7,519</w:t>
            </w:r>
          </w:p>
        </w:tc>
        <w:tc>
          <w:tcPr>
            <w:tcW w:w="1000" w:type="dxa"/>
            <w:vAlign w:val="bottom"/>
            <w:tcBorders>
              <w:bottom w:val="single" w:sz="8" w:color="CCEEFF"/>
              <w:right w:val="single" w:sz="8" w:color="auto"/>
            </w:tcBorders>
            <w:shd w:val="clear" w:color="auto" w:fill="CCEEFF"/>
          </w:tcPr>
          <w:p>
            <w:pPr>
              <w:jc w:val="center"/>
              <w:ind w:right="38"/>
              <w:spacing w:after="0"/>
              <w:rPr>
                <w:sz w:val="20"/>
                <w:szCs w:val="20"/>
                <w:color w:val="auto"/>
              </w:rPr>
            </w:pPr>
            <w:r>
              <w:rPr>
                <w:rFonts w:ascii="Calibri" w:cs="Calibri" w:eastAsia="Calibri" w:hAnsi="Calibri"/>
                <w:sz w:val="12"/>
                <w:szCs w:val="12"/>
                <w:color w:val="auto"/>
              </w:rPr>
              <w:t>15,308</w:t>
            </w:r>
          </w:p>
        </w:tc>
      </w:tr>
      <w:tr>
        <w:trPr>
          <w:trHeight w:val="163"/>
        </w:trPr>
        <w:tc>
          <w:tcPr>
            <w:tcW w:w="1300" w:type="dxa"/>
            <w:vAlign w:val="bottom"/>
            <w:tcBorders>
              <w:left w:val="single" w:sz="8" w:color="auto"/>
            </w:tcBorders>
          </w:tcPr>
          <w:p>
            <w:pPr>
              <w:ind w:left="40"/>
              <w:spacing w:after="0"/>
              <w:rPr>
                <w:sz w:val="20"/>
                <w:szCs w:val="20"/>
                <w:color w:val="auto"/>
              </w:rPr>
            </w:pPr>
            <w:r>
              <w:rPr>
                <w:rFonts w:ascii="Calibri" w:cs="Calibri" w:eastAsia="Calibri" w:hAnsi="Calibri"/>
                <w:sz w:val="12"/>
                <w:szCs w:val="12"/>
                <w:color w:val="auto"/>
              </w:rPr>
              <w:t>Susan L. Penfeld</w:t>
            </w:r>
          </w:p>
        </w:tc>
        <w:tc>
          <w:tcPr>
            <w:tcW w:w="1220" w:type="dxa"/>
            <w:vAlign w:val="bottom"/>
          </w:tcPr>
          <w:p>
            <w:pPr>
              <w:jc w:val="center"/>
              <w:ind w:left="118"/>
              <w:spacing w:after="0"/>
              <w:rPr>
                <w:sz w:val="20"/>
                <w:szCs w:val="20"/>
                <w:color w:val="auto"/>
              </w:rPr>
            </w:pPr>
            <w:r>
              <w:rPr>
                <w:rFonts w:ascii="Calibri" w:cs="Calibri" w:eastAsia="Calibri" w:hAnsi="Calibri"/>
                <w:sz w:val="12"/>
                <w:szCs w:val="12"/>
                <w:color w:val="auto"/>
              </w:rPr>
              <w:t>6,990</w:t>
            </w:r>
          </w:p>
        </w:tc>
        <w:tc>
          <w:tcPr>
            <w:tcW w:w="1180" w:type="dxa"/>
            <w:vAlign w:val="bottom"/>
          </w:tcPr>
          <w:p>
            <w:pPr>
              <w:jc w:val="center"/>
              <w:ind w:right="38"/>
              <w:spacing w:after="0"/>
              <w:rPr>
                <w:sz w:val="20"/>
                <w:szCs w:val="20"/>
                <w:color w:val="auto"/>
              </w:rPr>
            </w:pPr>
            <w:r>
              <w:rPr>
                <w:rFonts w:ascii="Calibri" w:cs="Calibri" w:eastAsia="Calibri" w:hAnsi="Calibri"/>
                <w:sz w:val="12"/>
                <w:szCs w:val="12"/>
                <w:color w:val="auto"/>
              </w:rPr>
              <w:t>6,851</w:t>
            </w:r>
          </w:p>
        </w:tc>
        <w:tc>
          <w:tcPr>
            <w:tcW w:w="1000" w:type="dxa"/>
            <w:vAlign w:val="bottom"/>
            <w:tcBorders>
              <w:right w:val="single" w:sz="8" w:color="auto"/>
            </w:tcBorders>
          </w:tcPr>
          <w:p>
            <w:pPr>
              <w:jc w:val="center"/>
              <w:ind w:right="38"/>
              <w:spacing w:after="0"/>
              <w:rPr>
                <w:sz w:val="20"/>
                <w:szCs w:val="20"/>
                <w:color w:val="auto"/>
              </w:rPr>
            </w:pPr>
            <w:r>
              <w:rPr>
                <w:rFonts w:ascii="Calibri" w:cs="Calibri" w:eastAsia="Calibri" w:hAnsi="Calibri"/>
                <w:sz w:val="12"/>
                <w:szCs w:val="12"/>
                <w:color w:val="auto"/>
              </w:rPr>
              <w:t>13,841</w:t>
            </w:r>
          </w:p>
        </w:tc>
      </w:tr>
      <w:tr>
        <w:trPr>
          <w:trHeight w:val="36"/>
        </w:trPr>
        <w:tc>
          <w:tcPr>
            <w:tcW w:w="1300" w:type="dxa"/>
            <w:vAlign w:val="bottom"/>
            <w:tcBorders>
              <w:left w:val="single" w:sz="8" w:color="auto"/>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r>
    </w:tbl>
    <w:p>
      <w:pPr>
        <w:spacing w:after="0" w:line="171" w:lineRule="exact"/>
        <w:rPr>
          <w:sz w:val="20"/>
          <w:szCs w:val="20"/>
          <w:color w:val="auto"/>
        </w:rPr>
      </w:pPr>
    </w:p>
    <w:p>
      <w:pPr>
        <w:jc w:val="both"/>
        <w:ind w:left="560" w:hanging="165"/>
        <w:spacing w:after="0" w:line="239" w:lineRule="auto"/>
        <w:rPr>
          <w:sz w:val="20"/>
          <w:szCs w:val="20"/>
          <w:color w:val="auto"/>
        </w:rPr>
      </w:pPr>
      <w:r>
        <w:rPr>
          <w:rFonts w:ascii="Calibri" w:cs="Calibri" w:eastAsia="Calibri" w:hAnsi="Calibri"/>
          <w:sz w:val="14"/>
          <w:szCs w:val="14"/>
          <w:color w:val="666666"/>
        </w:rPr>
        <w:t>For fscal year 2022 performance-based restricted stock unit grants, v</w:t>
      </w:r>
      <w:r>
        <w:rPr>
          <w:rFonts w:ascii="Calibri" w:cs="Calibri" w:eastAsia="Calibri" w:hAnsi="Calibri"/>
          <w:sz w:val="13"/>
          <w:szCs w:val="13"/>
          <w:color w:val="666666"/>
        </w:rPr>
        <w:t>estng opportunity ranges from 0-220% based on actual performance during the three-year performance period compared to</w:t>
      </w:r>
      <w:r>
        <w:rPr>
          <w:rFonts w:ascii="Calibri" w:cs="Calibri" w:eastAsia="Calibri" w:hAnsi="Calibri"/>
          <w:sz w:val="14"/>
          <w:szCs w:val="14"/>
          <w:color w:val="666666"/>
        </w:rPr>
        <w:t xml:space="preserve"> </w:t>
      </w:r>
      <w:r>
        <w:rPr>
          <w:rFonts w:ascii="Calibri" w:cs="Calibri" w:eastAsia="Calibri" w:hAnsi="Calibri"/>
          <w:sz w:val="13"/>
          <w:szCs w:val="13"/>
          <w:color w:val="666666"/>
        </w:rPr>
        <w:t>the three-year cumulatve ADEPS and VAR performance fnancial goals and two non-fnancial goals. Upon a change in control, the performance-based restricted stock units will remain outstanding and will vest on the vestng date at target performance levels, subject to the contnued employment or service of the partcipant by the Company or any subsidiary thereof through such date, but without regard to achievement of any Performance Goals; provided, that, if the partcipant’s employment or service is terminated by the Company without cause or for good reason within two years following the efectve date of the change in control, such outstanding restricted stock units will vest as of the date of terminaton.</w:t>
      </w:r>
    </w:p>
    <w:p>
      <w:pPr>
        <w:spacing w:after="0" w:line="109" w:lineRule="exact"/>
        <w:rPr>
          <w:sz w:val="20"/>
          <w:szCs w:val="20"/>
          <w:color w:val="auto"/>
        </w:rPr>
      </w:pPr>
    </w:p>
    <w:p>
      <w:pPr>
        <w:jc w:val="both"/>
        <w:ind w:left="560" w:hanging="315"/>
        <w:spacing w:after="0"/>
        <w:tabs>
          <w:tab w:leader="none" w:pos="543" w:val="left"/>
        </w:tabs>
        <w:numPr>
          <w:ilvl w:val="0"/>
          <w:numId w:val="52"/>
        </w:numPr>
        <w:rPr>
          <w:rFonts w:ascii="Calibri" w:cs="Calibri" w:eastAsia="Calibri" w:hAnsi="Calibri"/>
          <w:sz w:val="13"/>
          <w:szCs w:val="13"/>
          <w:color w:val="666666"/>
        </w:rPr>
      </w:pPr>
      <w:r>
        <w:rPr>
          <w:rFonts w:ascii="Calibri" w:cs="Calibri" w:eastAsia="Calibri" w:hAnsi="Calibri"/>
          <w:sz w:val="13"/>
          <w:szCs w:val="13"/>
          <w:color w:val="666666"/>
        </w:rPr>
        <w:t>The market value reported in this column has been determined based on maximum performance which is 200% of the target grant amount for fscal year 2021, and for fscal year 2022, threshold performance for the fnancial goals and target performance for the non-fnancial strategic goals, which is 55% of the total target grant amount, rounded down to the nearest whole share, using the fair market value of our common stock on March 31, 2022 of $87.84.</w:t>
      </w:r>
    </w:p>
    <w:p>
      <w:pPr>
        <w:spacing w:after="0" w:line="156"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547BCC"/>
        </w:rPr>
        <w:t>Opton Exercises and Stock Vested Table</w:t>
      </w:r>
    </w:p>
    <w:p>
      <w:pPr>
        <w:spacing w:after="0" w:line="170" w:lineRule="exact"/>
        <w:rPr>
          <w:sz w:val="20"/>
          <w:szCs w:val="20"/>
          <w:color w:val="auto"/>
        </w:rPr>
      </w:pPr>
    </w:p>
    <w:p>
      <w:pPr>
        <w:ind w:firstLine="319"/>
        <w:spacing w:after="0" w:line="231" w:lineRule="auto"/>
        <w:rPr>
          <w:sz w:val="20"/>
          <w:szCs w:val="20"/>
          <w:color w:val="auto"/>
        </w:rPr>
      </w:pPr>
      <w:r>
        <w:rPr>
          <w:rFonts w:ascii="Calibri" w:cs="Calibri" w:eastAsia="Calibri" w:hAnsi="Calibri"/>
          <w:sz w:val="18"/>
          <w:szCs w:val="18"/>
          <w:color w:val="666666"/>
        </w:rPr>
        <w:t>The table below provides informaton on vestng of the restricted stock units and exercise of the stock optons of each of our named executve ofcers during fscal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132715</wp:posOffset>
            </wp:positionV>
            <wp:extent cx="5861050" cy="11303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61050" cy="113030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Calibri" w:cs="Calibri" w:eastAsia="Calibri" w:hAnsi="Calibri"/>
          <w:sz w:val="16"/>
          <w:szCs w:val="16"/>
          <w:b w:val="1"/>
          <w:bCs w:val="1"/>
          <w:color w:val="494949"/>
        </w:rPr>
        <w:t>OPTION EXERCISES AND STOCK VESTED TABLE</w:t>
      </w:r>
    </w:p>
    <w:p>
      <w:pPr>
        <w:spacing w:after="0" w:line="58" w:lineRule="exact"/>
        <w:rPr>
          <w:sz w:val="20"/>
          <w:szCs w:val="20"/>
          <w:color w:val="auto"/>
        </w:rPr>
      </w:pPr>
    </w:p>
    <w:tbl>
      <w:tblPr>
        <w:tblLayout w:type="fixed"/>
        <w:tblInd w:w="1020" w:type="dxa"/>
        <w:tblCellMar>
          <w:top w:w="0" w:type="dxa"/>
          <w:left w:w="0" w:type="dxa"/>
          <w:bottom w:w="0" w:type="dxa"/>
          <w:right w:w="0" w:type="dxa"/>
        </w:tblCellMar>
      </w:tblPr>
      <w:tr>
        <w:trPr>
          <w:trHeight w:val="147"/>
        </w:trPr>
        <w:tc>
          <w:tcPr>
            <w:tcW w:w="1780" w:type="dxa"/>
            <w:vAlign w:val="bottom"/>
          </w:tcPr>
          <w:p>
            <w:pPr>
              <w:spacing w:after="0"/>
              <w:rPr>
                <w:sz w:val="12"/>
                <w:szCs w:val="12"/>
                <w:color w:val="auto"/>
              </w:rPr>
            </w:pPr>
          </w:p>
        </w:tc>
        <w:tc>
          <w:tcPr>
            <w:tcW w:w="2500" w:type="dxa"/>
            <w:vAlign w:val="bottom"/>
          </w:tcPr>
          <w:p>
            <w:pPr>
              <w:jc w:val="right"/>
              <w:spacing w:after="0"/>
              <w:rPr>
                <w:sz w:val="20"/>
                <w:szCs w:val="20"/>
                <w:color w:val="auto"/>
              </w:rPr>
            </w:pPr>
            <w:r>
              <w:rPr>
                <w:rFonts w:ascii="Calibri" w:cs="Calibri" w:eastAsia="Calibri" w:hAnsi="Calibri"/>
                <w:sz w:val="12"/>
                <w:szCs w:val="12"/>
                <w:b w:val="1"/>
                <w:bCs w:val="1"/>
                <w:color w:val="494949"/>
              </w:rPr>
              <w:t>Opton Awards</w:t>
            </w:r>
          </w:p>
        </w:tc>
        <w:tc>
          <w:tcPr>
            <w:tcW w:w="1540" w:type="dxa"/>
            <w:vAlign w:val="bottom"/>
          </w:tcPr>
          <w:p>
            <w:pPr>
              <w:spacing w:after="0"/>
              <w:rPr>
                <w:sz w:val="12"/>
                <w:szCs w:val="12"/>
                <w:color w:val="auto"/>
              </w:rPr>
            </w:pPr>
          </w:p>
        </w:tc>
        <w:tc>
          <w:tcPr>
            <w:tcW w:w="2060" w:type="dxa"/>
            <w:vAlign w:val="bottom"/>
          </w:tcPr>
          <w:p>
            <w:pPr>
              <w:jc w:val="right"/>
              <w:spacing w:after="0"/>
              <w:rPr>
                <w:sz w:val="20"/>
                <w:szCs w:val="20"/>
                <w:color w:val="auto"/>
              </w:rPr>
            </w:pPr>
            <w:r>
              <w:rPr>
                <w:rFonts w:ascii="Calibri" w:cs="Calibri" w:eastAsia="Calibri" w:hAnsi="Calibri"/>
                <w:sz w:val="12"/>
                <w:szCs w:val="12"/>
                <w:b w:val="1"/>
                <w:bCs w:val="1"/>
                <w:color w:val="494949"/>
              </w:rPr>
              <w:t>Stock Awards</w:t>
            </w:r>
          </w:p>
        </w:tc>
        <w:tc>
          <w:tcPr>
            <w:tcW w:w="1340" w:type="dxa"/>
            <w:vAlign w:val="bottom"/>
          </w:tcPr>
          <w:p>
            <w:pPr>
              <w:spacing w:after="0"/>
              <w:rPr>
                <w:sz w:val="12"/>
                <w:szCs w:val="12"/>
                <w:color w:val="auto"/>
              </w:rPr>
            </w:pPr>
          </w:p>
        </w:tc>
      </w:tr>
      <w:tr>
        <w:trPr>
          <w:trHeight w:val="145"/>
        </w:trPr>
        <w:tc>
          <w:tcPr>
            <w:tcW w:w="1780" w:type="dxa"/>
            <w:vAlign w:val="bottom"/>
          </w:tcPr>
          <w:p>
            <w:pPr>
              <w:spacing w:after="0"/>
              <w:rPr>
                <w:sz w:val="12"/>
                <w:szCs w:val="12"/>
                <w:color w:val="auto"/>
              </w:rPr>
            </w:pPr>
          </w:p>
        </w:tc>
        <w:tc>
          <w:tcPr>
            <w:tcW w:w="2500" w:type="dxa"/>
            <w:vAlign w:val="bottom"/>
          </w:tcPr>
          <w:p>
            <w:pPr>
              <w:jc w:val="center"/>
              <w:spacing w:after="0" w:line="145" w:lineRule="exact"/>
              <w:rPr>
                <w:sz w:val="20"/>
                <w:szCs w:val="20"/>
                <w:color w:val="auto"/>
              </w:rPr>
            </w:pPr>
            <w:r>
              <w:rPr>
                <w:rFonts w:ascii="Calibri" w:cs="Calibri" w:eastAsia="Calibri" w:hAnsi="Calibri"/>
                <w:sz w:val="12"/>
                <w:szCs w:val="12"/>
                <w:b w:val="1"/>
                <w:bCs w:val="1"/>
                <w:color w:val="494949"/>
              </w:rPr>
              <w:t>Number of Shares</w:t>
            </w:r>
          </w:p>
        </w:tc>
        <w:tc>
          <w:tcPr>
            <w:tcW w:w="1540" w:type="dxa"/>
            <w:vAlign w:val="bottom"/>
          </w:tcPr>
          <w:p>
            <w:pPr>
              <w:jc w:val="center"/>
              <w:ind w:right="579"/>
              <w:spacing w:after="0" w:line="145" w:lineRule="exact"/>
              <w:rPr>
                <w:sz w:val="20"/>
                <w:szCs w:val="20"/>
                <w:color w:val="auto"/>
              </w:rPr>
            </w:pPr>
            <w:r>
              <w:rPr>
                <w:rFonts w:ascii="Calibri" w:cs="Calibri" w:eastAsia="Calibri" w:hAnsi="Calibri"/>
                <w:sz w:val="12"/>
                <w:szCs w:val="12"/>
                <w:b w:val="1"/>
                <w:bCs w:val="1"/>
                <w:color w:val="494949"/>
              </w:rPr>
              <w:t>Value Realized on</w:t>
            </w:r>
          </w:p>
        </w:tc>
        <w:tc>
          <w:tcPr>
            <w:tcW w:w="2060" w:type="dxa"/>
            <w:vAlign w:val="bottom"/>
          </w:tcPr>
          <w:p>
            <w:pPr>
              <w:jc w:val="center"/>
              <w:ind w:right="319"/>
              <w:spacing w:after="0" w:line="145" w:lineRule="exact"/>
              <w:rPr>
                <w:sz w:val="20"/>
                <w:szCs w:val="20"/>
                <w:color w:val="auto"/>
              </w:rPr>
            </w:pPr>
            <w:r>
              <w:rPr>
                <w:rFonts w:ascii="Calibri" w:cs="Calibri" w:eastAsia="Calibri" w:hAnsi="Calibri"/>
                <w:sz w:val="12"/>
                <w:szCs w:val="12"/>
                <w:b w:val="1"/>
                <w:bCs w:val="1"/>
                <w:color w:val="494949"/>
              </w:rPr>
              <w:t>Number of Shares</w:t>
            </w:r>
          </w:p>
        </w:tc>
        <w:tc>
          <w:tcPr>
            <w:tcW w:w="1340" w:type="dxa"/>
            <w:vAlign w:val="bottom"/>
          </w:tcPr>
          <w:p>
            <w:pPr>
              <w:jc w:val="center"/>
              <w:ind w:right="339"/>
              <w:spacing w:after="0" w:line="145" w:lineRule="exact"/>
              <w:rPr>
                <w:sz w:val="20"/>
                <w:szCs w:val="20"/>
                <w:color w:val="auto"/>
              </w:rPr>
            </w:pPr>
            <w:r>
              <w:rPr>
                <w:rFonts w:ascii="Calibri" w:cs="Calibri" w:eastAsia="Calibri" w:hAnsi="Calibri"/>
                <w:sz w:val="12"/>
                <w:szCs w:val="12"/>
                <w:b w:val="1"/>
                <w:bCs w:val="1"/>
                <w:color w:val="494949"/>
              </w:rPr>
              <w:t>Value Realized on</w:t>
            </w:r>
          </w:p>
        </w:tc>
      </w:tr>
      <w:tr>
        <w:trPr>
          <w:trHeight w:val="133"/>
        </w:trPr>
        <w:tc>
          <w:tcPr>
            <w:tcW w:w="1780" w:type="dxa"/>
            <w:vAlign w:val="bottom"/>
          </w:tcPr>
          <w:p>
            <w:pPr>
              <w:spacing w:after="0"/>
              <w:rPr>
                <w:sz w:val="11"/>
                <w:szCs w:val="11"/>
                <w:color w:val="auto"/>
              </w:rPr>
            </w:pPr>
          </w:p>
        </w:tc>
        <w:tc>
          <w:tcPr>
            <w:tcW w:w="2500" w:type="dxa"/>
            <w:vAlign w:val="bottom"/>
          </w:tcPr>
          <w:p>
            <w:pPr>
              <w:jc w:val="center"/>
              <w:spacing w:after="0" w:line="133" w:lineRule="exact"/>
              <w:rPr>
                <w:sz w:val="20"/>
                <w:szCs w:val="20"/>
                <w:color w:val="auto"/>
              </w:rPr>
            </w:pPr>
            <w:r>
              <w:rPr>
                <w:rFonts w:ascii="Calibri" w:cs="Calibri" w:eastAsia="Calibri" w:hAnsi="Calibri"/>
                <w:sz w:val="12"/>
                <w:szCs w:val="12"/>
                <w:b w:val="1"/>
                <w:bCs w:val="1"/>
                <w:color w:val="494949"/>
              </w:rPr>
              <w:t>Acquired on Exercise</w:t>
            </w:r>
          </w:p>
        </w:tc>
        <w:tc>
          <w:tcPr>
            <w:tcW w:w="1540" w:type="dxa"/>
            <w:vAlign w:val="bottom"/>
          </w:tcPr>
          <w:p>
            <w:pPr>
              <w:jc w:val="center"/>
              <w:ind w:right="559"/>
              <w:spacing w:after="0" w:line="133" w:lineRule="exact"/>
              <w:rPr>
                <w:sz w:val="20"/>
                <w:szCs w:val="20"/>
                <w:color w:val="auto"/>
              </w:rPr>
            </w:pPr>
            <w:r>
              <w:rPr>
                <w:rFonts w:ascii="Calibri" w:cs="Calibri" w:eastAsia="Calibri" w:hAnsi="Calibri"/>
                <w:sz w:val="11"/>
                <w:szCs w:val="11"/>
                <w:b w:val="1"/>
                <w:bCs w:val="1"/>
                <w:color w:val="494949"/>
              </w:rPr>
              <w:t xml:space="preserve">Exercise </w:t>
            </w:r>
            <w:r>
              <w:rPr>
                <w:rFonts w:ascii="Calibri" w:cs="Calibri" w:eastAsia="Calibri" w:hAnsi="Calibri"/>
                <w:sz w:val="14"/>
                <w:szCs w:val="14"/>
                <w:b w:val="1"/>
                <w:bCs w:val="1"/>
                <w:color w:val="494949"/>
                <w:vertAlign w:val="superscript"/>
              </w:rPr>
              <w:t>1</w:t>
            </w:r>
          </w:p>
        </w:tc>
        <w:tc>
          <w:tcPr>
            <w:tcW w:w="2060" w:type="dxa"/>
            <w:vAlign w:val="bottom"/>
          </w:tcPr>
          <w:p>
            <w:pPr>
              <w:jc w:val="center"/>
              <w:ind w:right="319"/>
              <w:spacing w:after="0" w:line="133" w:lineRule="exact"/>
              <w:rPr>
                <w:sz w:val="20"/>
                <w:szCs w:val="20"/>
                <w:color w:val="auto"/>
              </w:rPr>
            </w:pPr>
            <w:r>
              <w:rPr>
                <w:rFonts w:ascii="Calibri" w:cs="Calibri" w:eastAsia="Calibri" w:hAnsi="Calibri"/>
                <w:sz w:val="11"/>
                <w:szCs w:val="11"/>
                <w:b w:val="1"/>
                <w:bCs w:val="1"/>
                <w:color w:val="494949"/>
              </w:rPr>
              <w:t xml:space="preserve">Acquired on Vestng </w:t>
            </w:r>
            <w:r>
              <w:rPr>
                <w:rFonts w:ascii="Calibri" w:cs="Calibri" w:eastAsia="Calibri" w:hAnsi="Calibri"/>
                <w:sz w:val="14"/>
                <w:szCs w:val="14"/>
                <w:b w:val="1"/>
                <w:bCs w:val="1"/>
                <w:color w:val="494949"/>
                <w:vertAlign w:val="superscript"/>
              </w:rPr>
              <w:t>2</w:t>
            </w:r>
          </w:p>
        </w:tc>
        <w:tc>
          <w:tcPr>
            <w:tcW w:w="1340" w:type="dxa"/>
            <w:vAlign w:val="bottom"/>
          </w:tcPr>
          <w:p>
            <w:pPr>
              <w:jc w:val="center"/>
              <w:ind w:right="339"/>
              <w:spacing w:after="0" w:line="133" w:lineRule="exact"/>
              <w:rPr>
                <w:sz w:val="20"/>
                <w:szCs w:val="20"/>
                <w:color w:val="auto"/>
              </w:rPr>
            </w:pPr>
            <w:r>
              <w:rPr>
                <w:rFonts w:ascii="Calibri" w:cs="Calibri" w:eastAsia="Calibri" w:hAnsi="Calibri"/>
                <w:sz w:val="11"/>
                <w:szCs w:val="11"/>
                <w:b w:val="1"/>
                <w:bCs w:val="1"/>
                <w:color w:val="494949"/>
              </w:rPr>
              <w:t xml:space="preserve">Vestng </w:t>
            </w:r>
            <w:r>
              <w:rPr>
                <w:rFonts w:ascii="Calibri" w:cs="Calibri" w:eastAsia="Calibri" w:hAnsi="Calibri"/>
                <w:sz w:val="14"/>
                <w:szCs w:val="14"/>
                <w:b w:val="1"/>
                <w:bCs w:val="1"/>
                <w:color w:val="494949"/>
                <w:vertAlign w:val="superscript"/>
              </w:rPr>
              <w:t>3</w:t>
            </w:r>
          </w:p>
        </w:tc>
      </w:tr>
      <w:tr>
        <w:trPr>
          <w:trHeight w:val="147"/>
        </w:trPr>
        <w:tc>
          <w:tcPr>
            <w:tcW w:w="1780" w:type="dxa"/>
            <w:vAlign w:val="bottom"/>
          </w:tcPr>
          <w:p>
            <w:pPr>
              <w:ind w:left="40"/>
              <w:spacing w:after="0"/>
              <w:rPr>
                <w:sz w:val="20"/>
                <w:szCs w:val="20"/>
                <w:color w:val="auto"/>
              </w:rPr>
            </w:pPr>
            <w:r>
              <w:rPr>
                <w:rFonts w:ascii="Calibri" w:cs="Calibri" w:eastAsia="Calibri" w:hAnsi="Calibri"/>
                <w:sz w:val="12"/>
                <w:szCs w:val="12"/>
                <w:b w:val="1"/>
                <w:bCs w:val="1"/>
                <w:color w:val="494949"/>
              </w:rPr>
              <w:t>Name</w:t>
            </w:r>
          </w:p>
        </w:tc>
        <w:tc>
          <w:tcPr>
            <w:tcW w:w="2500" w:type="dxa"/>
            <w:vAlign w:val="bottom"/>
          </w:tcPr>
          <w:p>
            <w:pPr>
              <w:jc w:val="center"/>
              <w:spacing w:after="0"/>
              <w:rPr>
                <w:sz w:val="20"/>
                <w:szCs w:val="20"/>
                <w:color w:val="auto"/>
              </w:rPr>
            </w:pPr>
            <w:r>
              <w:rPr>
                <w:rFonts w:ascii="Calibri" w:cs="Calibri" w:eastAsia="Calibri" w:hAnsi="Calibri"/>
                <w:sz w:val="12"/>
                <w:szCs w:val="12"/>
                <w:b w:val="1"/>
                <w:bCs w:val="1"/>
                <w:color w:val="494949"/>
              </w:rPr>
              <w:t>(#)</w:t>
            </w:r>
          </w:p>
        </w:tc>
        <w:tc>
          <w:tcPr>
            <w:tcW w:w="1540" w:type="dxa"/>
            <w:vAlign w:val="bottom"/>
          </w:tcPr>
          <w:p>
            <w:pPr>
              <w:jc w:val="center"/>
              <w:ind w:right="579"/>
              <w:spacing w:after="0"/>
              <w:rPr>
                <w:sz w:val="20"/>
                <w:szCs w:val="20"/>
                <w:color w:val="auto"/>
              </w:rPr>
            </w:pPr>
            <w:r>
              <w:rPr>
                <w:rFonts w:ascii="Calibri" w:cs="Calibri" w:eastAsia="Calibri" w:hAnsi="Calibri"/>
                <w:sz w:val="12"/>
                <w:szCs w:val="12"/>
                <w:b w:val="1"/>
                <w:bCs w:val="1"/>
                <w:color w:val="494949"/>
              </w:rPr>
              <w:t>($)</w:t>
            </w:r>
          </w:p>
        </w:tc>
        <w:tc>
          <w:tcPr>
            <w:tcW w:w="2060" w:type="dxa"/>
            <w:vAlign w:val="bottom"/>
          </w:tcPr>
          <w:p>
            <w:pPr>
              <w:jc w:val="center"/>
              <w:ind w:right="299"/>
              <w:spacing w:after="0"/>
              <w:rPr>
                <w:sz w:val="20"/>
                <w:szCs w:val="20"/>
                <w:color w:val="auto"/>
              </w:rPr>
            </w:pPr>
            <w:r>
              <w:rPr>
                <w:rFonts w:ascii="Calibri" w:cs="Calibri" w:eastAsia="Calibri" w:hAnsi="Calibri"/>
                <w:sz w:val="12"/>
                <w:szCs w:val="12"/>
                <w:b w:val="1"/>
                <w:bCs w:val="1"/>
                <w:color w:val="494949"/>
              </w:rPr>
              <w:t>(#)</w:t>
            </w:r>
          </w:p>
        </w:tc>
        <w:tc>
          <w:tcPr>
            <w:tcW w:w="1340" w:type="dxa"/>
            <w:vAlign w:val="bottom"/>
          </w:tcPr>
          <w:p>
            <w:pPr>
              <w:jc w:val="center"/>
              <w:ind w:right="339"/>
              <w:spacing w:after="0"/>
              <w:rPr>
                <w:sz w:val="20"/>
                <w:szCs w:val="20"/>
                <w:color w:val="auto"/>
              </w:rPr>
            </w:pPr>
            <w:r>
              <w:rPr>
                <w:rFonts w:ascii="Calibri" w:cs="Calibri" w:eastAsia="Calibri" w:hAnsi="Calibri"/>
                <w:sz w:val="12"/>
                <w:szCs w:val="12"/>
                <w:b w:val="1"/>
                <w:bCs w:val="1"/>
                <w:color w:val="494949"/>
              </w:rPr>
              <w:t>($)</w:t>
            </w:r>
          </w:p>
        </w:tc>
      </w:tr>
      <w:tr>
        <w:trPr>
          <w:trHeight w:val="30"/>
        </w:trPr>
        <w:tc>
          <w:tcPr>
            <w:tcW w:w="17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53"/>
        </w:trPr>
        <w:tc>
          <w:tcPr>
            <w:tcW w:w="1780" w:type="dxa"/>
            <w:vAlign w:val="bottom"/>
            <w:tcBorders>
              <w:bottom w:val="single" w:sz="8" w:color="CCEEFF"/>
            </w:tcBorders>
            <w:shd w:val="clear" w:color="auto" w:fill="CCEEFF"/>
          </w:tcPr>
          <w:p>
            <w:pPr>
              <w:ind w:left="40"/>
              <w:spacing w:after="0"/>
              <w:rPr>
                <w:sz w:val="20"/>
                <w:szCs w:val="20"/>
                <w:color w:val="auto"/>
              </w:rPr>
            </w:pPr>
            <w:r>
              <w:rPr>
                <w:rFonts w:ascii="Calibri" w:cs="Calibri" w:eastAsia="Calibri" w:hAnsi="Calibri"/>
                <w:sz w:val="12"/>
                <w:szCs w:val="12"/>
                <w:b w:val="1"/>
                <w:bCs w:val="1"/>
                <w:color w:val="494949"/>
              </w:rPr>
              <w:t>Horacio D. Rozanski</w:t>
            </w:r>
          </w:p>
        </w:tc>
        <w:tc>
          <w:tcPr>
            <w:tcW w:w="2500" w:type="dxa"/>
            <w:vAlign w:val="bottom"/>
            <w:tcBorders>
              <w:bottom w:val="single" w:sz="8" w:color="CCEEFF"/>
            </w:tcBorders>
            <w:shd w:val="clear" w:color="auto" w:fill="CCEEFF"/>
          </w:tcPr>
          <w:p>
            <w:pPr>
              <w:jc w:val="right"/>
              <w:ind w:right="378"/>
              <w:spacing w:after="0"/>
              <w:rPr>
                <w:sz w:val="20"/>
                <w:szCs w:val="20"/>
                <w:color w:val="auto"/>
              </w:rPr>
            </w:pPr>
            <w:r>
              <w:rPr>
                <w:rFonts w:ascii="Calibri" w:cs="Calibri" w:eastAsia="Calibri" w:hAnsi="Calibri"/>
                <w:sz w:val="12"/>
                <w:szCs w:val="12"/>
                <w:color w:val="494949"/>
              </w:rPr>
              <w:t>—</w:t>
            </w:r>
          </w:p>
        </w:tc>
        <w:tc>
          <w:tcPr>
            <w:tcW w:w="1540" w:type="dxa"/>
            <w:vAlign w:val="bottom"/>
            <w:tcBorders>
              <w:bottom w:val="single" w:sz="8" w:color="CCEEFF"/>
            </w:tcBorders>
            <w:shd w:val="clear" w:color="auto" w:fill="CCEEFF"/>
          </w:tcPr>
          <w:p>
            <w:pPr>
              <w:jc w:val="right"/>
              <w:ind w:right="239"/>
              <w:spacing w:after="0"/>
              <w:rPr>
                <w:sz w:val="20"/>
                <w:szCs w:val="20"/>
                <w:color w:val="auto"/>
              </w:rPr>
            </w:pPr>
            <w:r>
              <w:rPr>
                <w:rFonts w:ascii="Calibri" w:cs="Calibri" w:eastAsia="Calibri" w:hAnsi="Calibri"/>
                <w:sz w:val="12"/>
                <w:szCs w:val="12"/>
                <w:color w:val="494949"/>
              </w:rPr>
              <w:t>—</w:t>
            </w:r>
          </w:p>
        </w:tc>
        <w:tc>
          <w:tcPr>
            <w:tcW w:w="2060" w:type="dxa"/>
            <w:vAlign w:val="bottom"/>
            <w:tcBorders>
              <w:bottom w:val="single" w:sz="8" w:color="CCEEFF"/>
            </w:tcBorders>
            <w:shd w:val="clear" w:color="auto" w:fill="CCEEFF"/>
          </w:tcPr>
          <w:p>
            <w:pPr>
              <w:jc w:val="right"/>
              <w:ind w:right="359"/>
              <w:spacing w:after="0"/>
              <w:rPr>
                <w:sz w:val="20"/>
                <w:szCs w:val="20"/>
                <w:color w:val="auto"/>
              </w:rPr>
            </w:pPr>
            <w:r>
              <w:rPr>
                <w:rFonts w:ascii="Calibri" w:cs="Calibri" w:eastAsia="Calibri" w:hAnsi="Calibri"/>
                <w:sz w:val="12"/>
                <w:szCs w:val="12"/>
                <w:color w:val="494949"/>
              </w:rPr>
              <w:t>127,171</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Calibri" w:cs="Calibri" w:eastAsia="Calibri" w:hAnsi="Calibri"/>
                <w:sz w:val="12"/>
                <w:szCs w:val="12"/>
                <w:color w:val="494949"/>
              </w:rPr>
              <w:t>10,708,047</w:t>
            </w:r>
          </w:p>
        </w:tc>
      </w:tr>
      <w:tr>
        <w:trPr>
          <w:trHeight w:val="150"/>
        </w:trPr>
        <w:tc>
          <w:tcPr>
            <w:tcW w:w="1780" w:type="dxa"/>
            <w:vAlign w:val="bottom"/>
          </w:tcPr>
          <w:p>
            <w:pPr>
              <w:ind w:left="40"/>
              <w:spacing w:after="0"/>
              <w:rPr>
                <w:sz w:val="20"/>
                <w:szCs w:val="20"/>
                <w:color w:val="auto"/>
              </w:rPr>
            </w:pPr>
            <w:r>
              <w:rPr>
                <w:rFonts w:ascii="Calibri" w:cs="Calibri" w:eastAsia="Calibri" w:hAnsi="Calibri"/>
                <w:sz w:val="12"/>
                <w:szCs w:val="12"/>
                <w:b w:val="1"/>
                <w:bCs w:val="1"/>
                <w:color w:val="494949"/>
              </w:rPr>
              <w:t>Lloyd W. Howell, Jr.</w:t>
            </w:r>
          </w:p>
        </w:tc>
        <w:tc>
          <w:tcPr>
            <w:tcW w:w="2500" w:type="dxa"/>
            <w:vAlign w:val="bottom"/>
          </w:tcPr>
          <w:p>
            <w:pPr>
              <w:jc w:val="right"/>
              <w:ind w:right="378"/>
              <w:spacing w:after="0"/>
              <w:rPr>
                <w:sz w:val="20"/>
                <w:szCs w:val="20"/>
                <w:color w:val="auto"/>
              </w:rPr>
            </w:pPr>
            <w:r>
              <w:rPr>
                <w:rFonts w:ascii="Calibri" w:cs="Calibri" w:eastAsia="Calibri" w:hAnsi="Calibri"/>
                <w:sz w:val="12"/>
                <w:szCs w:val="12"/>
                <w:color w:val="494949"/>
              </w:rPr>
              <w:t>—</w:t>
            </w:r>
          </w:p>
        </w:tc>
        <w:tc>
          <w:tcPr>
            <w:tcW w:w="1540" w:type="dxa"/>
            <w:vAlign w:val="bottom"/>
          </w:tcPr>
          <w:p>
            <w:pPr>
              <w:jc w:val="right"/>
              <w:ind w:right="239"/>
              <w:spacing w:after="0"/>
              <w:rPr>
                <w:sz w:val="20"/>
                <w:szCs w:val="20"/>
                <w:color w:val="auto"/>
              </w:rPr>
            </w:pPr>
            <w:r>
              <w:rPr>
                <w:rFonts w:ascii="Calibri" w:cs="Calibri" w:eastAsia="Calibri" w:hAnsi="Calibri"/>
                <w:sz w:val="12"/>
                <w:szCs w:val="12"/>
                <w:color w:val="494949"/>
              </w:rPr>
              <w:t>—</w:t>
            </w:r>
          </w:p>
        </w:tc>
        <w:tc>
          <w:tcPr>
            <w:tcW w:w="2060" w:type="dxa"/>
            <w:vAlign w:val="bottom"/>
          </w:tcPr>
          <w:p>
            <w:pPr>
              <w:jc w:val="right"/>
              <w:ind w:right="359"/>
              <w:spacing w:after="0"/>
              <w:rPr>
                <w:sz w:val="20"/>
                <w:szCs w:val="20"/>
                <w:color w:val="auto"/>
              </w:rPr>
            </w:pPr>
            <w:r>
              <w:rPr>
                <w:rFonts w:ascii="Calibri" w:cs="Calibri" w:eastAsia="Calibri" w:hAnsi="Calibri"/>
                <w:sz w:val="12"/>
                <w:szCs w:val="12"/>
                <w:color w:val="494949"/>
              </w:rPr>
              <w:t>43,163</w:t>
            </w:r>
          </w:p>
        </w:tc>
        <w:tc>
          <w:tcPr>
            <w:tcW w:w="1340" w:type="dxa"/>
            <w:vAlign w:val="bottom"/>
          </w:tcPr>
          <w:p>
            <w:pPr>
              <w:jc w:val="right"/>
              <w:ind w:right="19"/>
              <w:spacing w:after="0"/>
              <w:rPr>
                <w:sz w:val="20"/>
                <w:szCs w:val="20"/>
                <w:color w:val="auto"/>
              </w:rPr>
            </w:pPr>
            <w:r>
              <w:rPr>
                <w:rFonts w:ascii="Calibri" w:cs="Calibri" w:eastAsia="Calibri" w:hAnsi="Calibri"/>
                <w:sz w:val="12"/>
                <w:szCs w:val="12"/>
                <w:color w:val="494949"/>
              </w:rPr>
              <w:t>3,646,863</w:t>
            </w:r>
          </w:p>
        </w:tc>
      </w:tr>
      <w:tr>
        <w:trPr>
          <w:trHeight w:val="23"/>
        </w:trPr>
        <w:tc>
          <w:tcPr>
            <w:tcW w:w="17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53"/>
        </w:trPr>
        <w:tc>
          <w:tcPr>
            <w:tcW w:w="1780" w:type="dxa"/>
            <w:vAlign w:val="bottom"/>
            <w:tcBorders>
              <w:bottom w:val="single" w:sz="8" w:color="CCEEFF"/>
            </w:tcBorders>
            <w:shd w:val="clear" w:color="auto" w:fill="CCEEFF"/>
          </w:tcPr>
          <w:p>
            <w:pPr>
              <w:ind w:left="40"/>
              <w:spacing w:after="0"/>
              <w:rPr>
                <w:sz w:val="20"/>
                <w:szCs w:val="20"/>
                <w:color w:val="auto"/>
              </w:rPr>
            </w:pPr>
            <w:r>
              <w:rPr>
                <w:rFonts w:ascii="Calibri" w:cs="Calibri" w:eastAsia="Calibri" w:hAnsi="Calibri"/>
                <w:sz w:val="12"/>
                <w:szCs w:val="12"/>
                <w:b w:val="1"/>
                <w:bCs w:val="1"/>
                <w:color w:val="494949"/>
              </w:rPr>
              <w:t>Karen M. Dahut</w:t>
            </w:r>
          </w:p>
        </w:tc>
        <w:tc>
          <w:tcPr>
            <w:tcW w:w="2500" w:type="dxa"/>
            <w:vAlign w:val="bottom"/>
            <w:tcBorders>
              <w:bottom w:val="single" w:sz="8" w:color="CCEEFF"/>
            </w:tcBorders>
            <w:shd w:val="clear" w:color="auto" w:fill="CCEEFF"/>
          </w:tcPr>
          <w:p>
            <w:pPr>
              <w:jc w:val="right"/>
              <w:ind w:right="378"/>
              <w:spacing w:after="0"/>
              <w:rPr>
                <w:sz w:val="20"/>
                <w:szCs w:val="20"/>
                <w:color w:val="auto"/>
              </w:rPr>
            </w:pPr>
            <w:r>
              <w:rPr>
                <w:rFonts w:ascii="Calibri" w:cs="Calibri" w:eastAsia="Calibri" w:hAnsi="Calibri"/>
                <w:sz w:val="12"/>
                <w:szCs w:val="12"/>
                <w:color w:val="494949"/>
              </w:rPr>
              <w:t>45,000</w:t>
            </w:r>
          </w:p>
        </w:tc>
        <w:tc>
          <w:tcPr>
            <w:tcW w:w="1540" w:type="dxa"/>
            <w:vAlign w:val="bottom"/>
            <w:tcBorders>
              <w:bottom w:val="single" w:sz="8" w:color="CCEEFF"/>
            </w:tcBorders>
            <w:shd w:val="clear" w:color="auto" w:fill="CCEEFF"/>
          </w:tcPr>
          <w:p>
            <w:pPr>
              <w:jc w:val="right"/>
              <w:ind w:right="239"/>
              <w:spacing w:after="0"/>
              <w:rPr>
                <w:sz w:val="20"/>
                <w:szCs w:val="20"/>
                <w:color w:val="auto"/>
              </w:rPr>
            </w:pPr>
            <w:r>
              <w:rPr>
                <w:rFonts w:ascii="Calibri" w:cs="Calibri" w:eastAsia="Calibri" w:hAnsi="Calibri"/>
                <w:sz w:val="12"/>
                <w:szCs w:val="12"/>
                <w:color w:val="494949"/>
              </w:rPr>
              <w:t>3,546,859</w:t>
            </w:r>
          </w:p>
        </w:tc>
        <w:tc>
          <w:tcPr>
            <w:tcW w:w="2060" w:type="dxa"/>
            <w:vAlign w:val="bottom"/>
            <w:tcBorders>
              <w:bottom w:val="single" w:sz="8" w:color="CCEEFF"/>
            </w:tcBorders>
            <w:shd w:val="clear" w:color="auto" w:fill="CCEEFF"/>
          </w:tcPr>
          <w:p>
            <w:pPr>
              <w:jc w:val="right"/>
              <w:ind w:right="359"/>
              <w:spacing w:after="0"/>
              <w:rPr>
                <w:sz w:val="20"/>
                <w:szCs w:val="20"/>
                <w:color w:val="auto"/>
              </w:rPr>
            </w:pPr>
            <w:r>
              <w:rPr>
                <w:rFonts w:ascii="Calibri" w:cs="Calibri" w:eastAsia="Calibri" w:hAnsi="Calibri"/>
                <w:sz w:val="12"/>
                <w:szCs w:val="12"/>
                <w:color w:val="494949"/>
              </w:rPr>
              <w:t>43,163</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Calibri" w:cs="Calibri" w:eastAsia="Calibri" w:hAnsi="Calibri"/>
                <w:sz w:val="12"/>
                <w:szCs w:val="12"/>
                <w:color w:val="494949"/>
              </w:rPr>
              <w:t>3,646,863</w:t>
            </w:r>
          </w:p>
        </w:tc>
      </w:tr>
      <w:tr>
        <w:trPr>
          <w:trHeight w:val="150"/>
        </w:trPr>
        <w:tc>
          <w:tcPr>
            <w:tcW w:w="1780" w:type="dxa"/>
            <w:vAlign w:val="bottom"/>
          </w:tcPr>
          <w:p>
            <w:pPr>
              <w:ind w:left="40"/>
              <w:spacing w:after="0"/>
              <w:rPr>
                <w:sz w:val="20"/>
                <w:szCs w:val="20"/>
                <w:color w:val="auto"/>
              </w:rPr>
            </w:pPr>
            <w:r>
              <w:rPr>
                <w:rFonts w:ascii="Calibri" w:cs="Calibri" w:eastAsia="Calibri" w:hAnsi="Calibri"/>
                <w:sz w:val="12"/>
                <w:szCs w:val="12"/>
                <w:b w:val="1"/>
                <w:bCs w:val="1"/>
                <w:color w:val="494949"/>
              </w:rPr>
              <w:t>Nancy J. Laben</w:t>
            </w:r>
          </w:p>
        </w:tc>
        <w:tc>
          <w:tcPr>
            <w:tcW w:w="2500" w:type="dxa"/>
            <w:vAlign w:val="bottom"/>
          </w:tcPr>
          <w:p>
            <w:pPr>
              <w:jc w:val="right"/>
              <w:ind w:right="378"/>
              <w:spacing w:after="0"/>
              <w:rPr>
                <w:sz w:val="20"/>
                <w:szCs w:val="20"/>
                <w:color w:val="auto"/>
              </w:rPr>
            </w:pPr>
            <w:r>
              <w:rPr>
                <w:rFonts w:ascii="Calibri" w:cs="Calibri" w:eastAsia="Calibri" w:hAnsi="Calibri"/>
                <w:sz w:val="12"/>
                <w:szCs w:val="12"/>
                <w:color w:val="494949"/>
              </w:rPr>
              <w:t>8,103</w:t>
            </w:r>
          </w:p>
        </w:tc>
        <w:tc>
          <w:tcPr>
            <w:tcW w:w="1540" w:type="dxa"/>
            <w:vAlign w:val="bottom"/>
          </w:tcPr>
          <w:p>
            <w:pPr>
              <w:jc w:val="right"/>
              <w:ind w:right="239"/>
              <w:spacing w:after="0"/>
              <w:rPr>
                <w:sz w:val="20"/>
                <w:szCs w:val="20"/>
                <w:color w:val="auto"/>
              </w:rPr>
            </w:pPr>
            <w:r>
              <w:rPr>
                <w:rFonts w:ascii="Calibri" w:cs="Calibri" w:eastAsia="Calibri" w:hAnsi="Calibri"/>
                <w:sz w:val="12"/>
                <w:szCs w:val="12"/>
                <w:color w:val="494949"/>
              </w:rPr>
              <w:t>506,300</w:t>
            </w:r>
          </w:p>
        </w:tc>
        <w:tc>
          <w:tcPr>
            <w:tcW w:w="2060" w:type="dxa"/>
            <w:vAlign w:val="bottom"/>
          </w:tcPr>
          <w:p>
            <w:pPr>
              <w:jc w:val="right"/>
              <w:ind w:right="359"/>
              <w:spacing w:after="0"/>
              <w:rPr>
                <w:sz w:val="20"/>
                <w:szCs w:val="20"/>
                <w:color w:val="auto"/>
              </w:rPr>
            </w:pPr>
            <w:r>
              <w:rPr>
                <w:rFonts w:ascii="Calibri" w:cs="Calibri" w:eastAsia="Calibri" w:hAnsi="Calibri"/>
                <w:sz w:val="12"/>
                <w:szCs w:val="12"/>
                <w:color w:val="494949"/>
              </w:rPr>
              <w:t>22,521</w:t>
            </w:r>
          </w:p>
        </w:tc>
        <w:tc>
          <w:tcPr>
            <w:tcW w:w="1340" w:type="dxa"/>
            <w:vAlign w:val="bottom"/>
          </w:tcPr>
          <w:p>
            <w:pPr>
              <w:jc w:val="right"/>
              <w:ind w:right="19"/>
              <w:spacing w:after="0"/>
              <w:rPr>
                <w:sz w:val="20"/>
                <w:szCs w:val="20"/>
                <w:color w:val="auto"/>
              </w:rPr>
            </w:pPr>
            <w:r>
              <w:rPr>
                <w:rFonts w:ascii="Calibri" w:cs="Calibri" w:eastAsia="Calibri" w:hAnsi="Calibri"/>
                <w:sz w:val="12"/>
                <w:szCs w:val="12"/>
                <w:color w:val="494949"/>
              </w:rPr>
              <w:t>1,903,067</w:t>
            </w:r>
          </w:p>
        </w:tc>
      </w:tr>
      <w:tr>
        <w:trPr>
          <w:trHeight w:val="23"/>
        </w:trPr>
        <w:tc>
          <w:tcPr>
            <w:tcW w:w="17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50"/>
        </w:trPr>
        <w:tc>
          <w:tcPr>
            <w:tcW w:w="1780" w:type="dxa"/>
            <w:vAlign w:val="bottom"/>
            <w:shd w:val="clear" w:color="auto" w:fill="CCEEFF"/>
          </w:tcPr>
          <w:p>
            <w:pPr>
              <w:ind w:left="40"/>
              <w:spacing w:after="0"/>
              <w:rPr>
                <w:sz w:val="20"/>
                <w:szCs w:val="20"/>
                <w:color w:val="auto"/>
              </w:rPr>
            </w:pPr>
            <w:r>
              <w:rPr>
                <w:rFonts w:ascii="Calibri" w:cs="Calibri" w:eastAsia="Calibri" w:hAnsi="Calibri"/>
                <w:sz w:val="12"/>
                <w:szCs w:val="12"/>
                <w:b w:val="1"/>
                <w:bCs w:val="1"/>
                <w:color w:val="494949"/>
              </w:rPr>
              <w:t>Susan L. Penfeld</w:t>
            </w:r>
          </w:p>
        </w:tc>
        <w:tc>
          <w:tcPr>
            <w:tcW w:w="2500" w:type="dxa"/>
            <w:vAlign w:val="bottom"/>
            <w:shd w:val="clear" w:color="auto" w:fill="CCEEFF"/>
          </w:tcPr>
          <w:p>
            <w:pPr>
              <w:jc w:val="right"/>
              <w:ind w:right="378"/>
              <w:spacing w:after="0"/>
              <w:rPr>
                <w:sz w:val="20"/>
                <w:szCs w:val="20"/>
                <w:color w:val="auto"/>
              </w:rPr>
            </w:pPr>
            <w:r>
              <w:rPr>
                <w:rFonts w:ascii="Calibri" w:cs="Calibri" w:eastAsia="Calibri" w:hAnsi="Calibri"/>
                <w:sz w:val="12"/>
                <w:szCs w:val="12"/>
                <w:color w:val="494949"/>
              </w:rPr>
              <w:t>—</w:t>
            </w:r>
          </w:p>
        </w:tc>
        <w:tc>
          <w:tcPr>
            <w:tcW w:w="1540" w:type="dxa"/>
            <w:vAlign w:val="bottom"/>
            <w:shd w:val="clear" w:color="auto" w:fill="CCEEFF"/>
          </w:tcPr>
          <w:p>
            <w:pPr>
              <w:jc w:val="right"/>
              <w:ind w:right="239"/>
              <w:spacing w:after="0"/>
              <w:rPr>
                <w:sz w:val="20"/>
                <w:szCs w:val="20"/>
                <w:color w:val="auto"/>
              </w:rPr>
            </w:pPr>
            <w:r>
              <w:rPr>
                <w:rFonts w:ascii="Calibri" w:cs="Calibri" w:eastAsia="Calibri" w:hAnsi="Calibri"/>
                <w:sz w:val="12"/>
                <w:szCs w:val="12"/>
                <w:color w:val="494949"/>
              </w:rPr>
              <w:t>—</w:t>
            </w:r>
          </w:p>
        </w:tc>
        <w:tc>
          <w:tcPr>
            <w:tcW w:w="2060" w:type="dxa"/>
            <w:vAlign w:val="bottom"/>
            <w:shd w:val="clear" w:color="auto" w:fill="CCEEFF"/>
          </w:tcPr>
          <w:p>
            <w:pPr>
              <w:jc w:val="right"/>
              <w:ind w:right="359"/>
              <w:spacing w:after="0"/>
              <w:rPr>
                <w:sz w:val="20"/>
                <w:szCs w:val="20"/>
                <w:color w:val="auto"/>
              </w:rPr>
            </w:pPr>
            <w:r>
              <w:rPr>
                <w:rFonts w:ascii="Calibri" w:cs="Calibri" w:eastAsia="Calibri" w:hAnsi="Calibri"/>
                <w:sz w:val="12"/>
                <w:szCs w:val="12"/>
                <w:color w:val="494949"/>
              </w:rPr>
              <w:t>20,234</w:t>
            </w:r>
          </w:p>
        </w:tc>
        <w:tc>
          <w:tcPr>
            <w:tcW w:w="1340" w:type="dxa"/>
            <w:vAlign w:val="bottom"/>
            <w:shd w:val="clear" w:color="auto" w:fill="CCEEFF"/>
          </w:tcPr>
          <w:p>
            <w:pPr>
              <w:jc w:val="right"/>
              <w:ind w:right="19"/>
              <w:spacing w:after="0"/>
              <w:rPr>
                <w:sz w:val="20"/>
                <w:szCs w:val="20"/>
                <w:color w:val="auto"/>
              </w:rPr>
            </w:pPr>
            <w:r>
              <w:rPr>
                <w:rFonts w:ascii="Calibri" w:cs="Calibri" w:eastAsia="Calibri" w:hAnsi="Calibri"/>
                <w:sz w:val="12"/>
                <w:szCs w:val="12"/>
                <w:color w:val="494949"/>
              </w:rPr>
              <w:t>1,709,888</w:t>
            </w:r>
          </w:p>
        </w:tc>
      </w:tr>
      <w:tr>
        <w:trPr>
          <w:trHeight w:val="36"/>
        </w:trPr>
        <w:tc>
          <w:tcPr>
            <w:tcW w:w="1780" w:type="dxa"/>
            <w:vAlign w:val="bottom"/>
            <w:shd w:val="clear" w:color="auto" w:fill="CCEEFF"/>
          </w:tcPr>
          <w:p>
            <w:pPr>
              <w:spacing w:after="0"/>
              <w:rPr>
                <w:sz w:val="3"/>
                <w:szCs w:val="3"/>
                <w:color w:val="auto"/>
              </w:rPr>
            </w:pPr>
          </w:p>
        </w:tc>
        <w:tc>
          <w:tcPr>
            <w:tcW w:w="250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206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r>
    </w:tbl>
    <w:p>
      <w:pPr>
        <w:spacing w:after="0" w:line="192" w:lineRule="exact"/>
        <w:rPr>
          <w:sz w:val="20"/>
          <w:szCs w:val="20"/>
          <w:color w:val="auto"/>
        </w:rPr>
      </w:pPr>
    </w:p>
    <w:p>
      <w:pPr>
        <w:ind w:left="560" w:hanging="315"/>
        <w:spacing w:after="0"/>
        <w:tabs>
          <w:tab w:leader="none" w:pos="560" w:val="left"/>
        </w:tabs>
        <w:numPr>
          <w:ilvl w:val="0"/>
          <w:numId w:val="53"/>
        </w:numPr>
        <w:rPr>
          <w:rFonts w:ascii="Calibri" w:cs="Calibri" w:eastAsia="Calibri" w:hAnsi="Calibri"/>
          <w:sz w:val="13"/>
          <w:szCs w:val="13"/>
          <w:color w:val="666666"/>
        </w:rPr>
      </w:pPr>
      <w:r>
        <w:rPr>
          <w:rFonts w:ascii="Calibri" w:cs="Calibri" w:eastAsia="Calibri" w:hAnsi="Calibri"/>
          <w:sz w:val="13"/>
          <w:szCs w:val="13"/>
          <w:color w:val="666666"/>
        </w:rPr>
        <w:t>The value realized upon exercise is calculated based on the fair market value of our common stock at exercise less the exercise price of the opton.</w:t>
      </w:r>
    </w:p>
    <w:p>
      <w:pPr>
        <w:spacing w:after="0" w:line="108" w:lineRule="exact"/>
        <w:rPr>
          <w:rFonts w:ascii="Calibri" w:cs="Calibri" w:eastAsia="Calibri" w:hAnsi="Calibri"/>
          <w:sz w:val="13"/>
          <w:szCs w:val="13"/>
          <w:color w:val="666666"/>
        </w:rPr>
      </w:pPr>
    </w:p>
    <w:p>
      <w:pPr>
        <w:ind w:left="560" w:hanging="315"/>
        <w:spacing w:after="0" w:line="239" w:lineRule="auto"/>
        <w:tabs>
          <w:tab w:leader="none" w:pos="548" w:val="left"/>
        </w:tabs>
        <w:numPr>
          <w:ilvl w:val="0"/>
          <w:numId w:val="53"/>
        </w:numPr>
        <w:rPr>
          <w:rFonts w:ascii="Calibri" w:cs="Calibri" w:eastAsia="Calibri" w:hAnsi="Calibri"/>
          <w:sz w:val="13"/>
          <w:szCs w:val="13"/>
          <w:color w:val="666666"/>
        </w:rPr>
      </w:pPr>
      <w:r>
        <w:rPr>
          <w:rFonts w:ascii="Calibri" w:cs="Calibri" w:eastAsia="Calibri" w:hAnsi="Calibri"/>
          <w:sz w:val="13"/>
          <w:szCs w:val="13"/>
          <w:color w:val="666666"/>
        </w:rPr>
        <w:t>Includes performance-based RSUs earned by our named executve ofcers in connecton with the fscal years 2020-2022 performance period that vested on March 31, 2022, and a porton of the tme-based RSUs granted in previous fscal years that vested on March 31, 2022.</w:t>
      </w:r>
    </w:p>
    <w:p>
      <w:pPr>
        <w:spacing w:after="0" w:line="108" w:lineRule="exact"/>
        <w:rPr>
          <w:rFonts w:ascii="Calibri" w:cs="Calibri" w:eastAsia="Calibri" w:hAnsi="Calibri"/>
          <w:sz w:val="13"/>
          <w:szCs w:val="13"/>
          <w:color w:val="666666"/>
        </w:rPr>
      </w:pPr>
    </w:p>
    <w:p>
      <w:pPr>
        <w:ind w:left="560" w:hanging="315"/>
        <w:spacing w:after="0" w:line="239" w:lineRule="auto"/>
        <w:tabs>
          <w:tab w:leader="none" w:pos="548" w:val="left"/>
        </w:tabs>
        <w:numPr>
          <w:ilvl w:val="0"/>
          <w:numId w:val="53"/>
        </w:numPr>
        <w:rPr>
          <w:rFonts w:ascii="Calibri" w:cs="Calibri" w:eastAsia="Calibri" w:hAnsi="Calibri"/>
          <w:sz w:val="13"/>
          <w:szCs w:val="13"/>
          <w:color w:val="666666"/>
        </w:rPr>
      </w:pPr>
      <w:r>
        <w:rPr>
          <w:rFonts w:ascii="Calibri" w:cs="Calibri" w:eastAsia="Calibri" w:hAnsi="Calibri"/>
          <w:sz w:val="13"/>
          <w:szCs w:val="13"/>
          <w:color w:val="666666"/>
        </w:rPr>
        <w:t>The value realized on vestng is calculated based on fair market value on the applicable vestng date of March 31, 2022 for tme-based RSUs and May 17, 2022 for performance-based RSUs, respectvely, multplied by the number of shares of our common stock underlying such award.</w:t>
      </w:r>
    </w:p>
    <w:p>
      <w:pPr>
        <w:spacing w:after="0" w:line="396"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547BCC"/>
        </w:rPr>
        <w:t>Pension Benefts Table</w:t>
      </w:r>
    </w:p>
    <w:p>
      <w:pPr>
        <w:spacing w:after="0" w:line="157" w:lineRule="exact"/>
        <w:rPr>
          <w:sz w:val="20"/>
          <w:szCs w:val="20"/>
          <w:color w:val="auto"/>
        </w:rPr>
      </w:pPr>
    </w:p>
    <w:p>
      <w:pPr>
        <w:ind w:firstLine="319"/>
        <w:spacing w:after="0" w:line="245" w:lineRule="auto"/>
        <w:rPr>
          <w:sz w:val="20"/>
          <w:szCs w:val="20"/>
          <w:color w:val="auto"/>
        </w:rPr>
      </w:pPr>
      <w:r>
        <w:rPr>
          <w:rFonts w:ascii="Calibri" w:cs="Calibri" w:eastAsia="Calibri" w:hAnsi="Calibri"/>
          <w:sz w:val="17"/>
          <w:szCs w:val="17"/>
          <w:color w:val="666666"/>
        </w:rPr>
        <w:t>The Ofcers’ Retrement Plan is an unfunded defned beneft retrement plan that we maintain for our executves. Under the Ofcers’ Retrement Plan, if an executve retres of his or her own voliton (and is not enttled to severance) afer a minimum of either (a) age 60 with fve years of service as an executve, or</w:t>
      </w:r>
    </w:p>
    <w:p>
      <w:pPr>
        <w:spacing w:after="0" w:line="1" w:lineRule="exact"/>
        <w:rPr>
          <w:sz w:val="20"/>
          <w:szCs w:val="20"/>
          <w:color w:val="auto"/>
        </w:rPr>
      </w:pPr>
    </w:p>
    <w:p>
      <w:pPr>
        <w:jc w:val="both"/>
        <w:ind w:firstLine="6"/>
        <w:spacing w:after="0" w:line="231" w:lineRule="auto"/>
        <w:tabs>
          <w:tab w:leader="none" w:pos="244" w:val="left"/>
        </w:tabs>
        <w:numPr>
          <w:ilvl w:val="0"/>
          <w:numId w:val="54"/>
        </w:numPr>
        <w:rPr>
          <w:rFonts w:ascii="Calibri" w:cs="Calibri" w:eastAsia="Calibri" w:hAnsi="Calibri"/>
          <w:sz w:val="18"/>
          <w:szCs w:val="18"/>
          <w:color w:val="666666"/>
        </w:rPr>
      </w:pPr>
      <w:r>
        <w:rPr>
          <w:rFonts w:ascii="Calibri" w:cs="Calibri" w:eastAsia="Calibri" w:hAnsi="Calibri"/>
          <w:sz w:val="18"/>
          <w:szCs w:val="18"/>
          <w:color w:val="666666"/>
        </w:rPr>
        <w:t>age 50 with 10 years of service as an executve, such executve will be enttled to receive a single lump sum retrement payment equal to $10,000 for each year of service as an executve, pro-rated as appropriate. As of fscal year-end 2022, Messrs. Rozanski and Howell and Mses. Dahut, Laben, and Penfeld are eligible to receive benefts under the Ofcers’ Retrement Plan upon retrement.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133350</wp:posOffset>
            </wp:positionV>
            <wp:extent cx="6164580" cy="10960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64580" cy="109601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Calibri" w:cs="Calibri" w:eastAsia="Calibri" w:hAnsi="Calibri"/>
          <w:sz w:val="16"/>
          <w:szCs w:val="16"/>
          <w:b w:val="1"/>
          <w:bCs w:val="1"/>
          <w:color w:val="494949"/>
        </w:rPr>
        <w:t>PENSION BENEFITS TABLE</w:t>
      </w:r>
    </w:p>
    <w:p>
      <w:pPr>
        <w:spacing w:after="0" w:line="44" w:lineRule="exact"/>
        <w:rPr>
          <w:sz w:val="20"/>
          <w:szCs w:val="20"/>
          <w:color w:val="auto"/>
        </w:rPr>
      </w:pPr>
    </w:p>
    <w:tbl>
      <w:tblPr>
        <w:tblLayout w:type="fixed"/>
        <w:tblInd w:w="780" w:type="dxa"/>
        <w:tblCellMar>
          <w:top w:w="0" w:type="dxa"/>
          <w:left w:w="0" w:type="dxa"/>
          <w:bottom w:w="0" w:type="dxa"/>
          <w:right w:w="0" w:type="dxa"/>
        </w:tblCellMar>
      </w:tblPr>
      <w:tr>
        <w:trPr>
          <w:trHeight w:val="146"/>
        </w:trPr>
        <w:tc>
          <w:tcPr>
            <w:tcW w:w="18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780" w:type="dxa"/>
            <w:vAlign w:val="bottom"/>
            <w:vMerge w:val="restart"/>
          </w:tcPr>
          <w:p>
            <w:pPr>
              <w:ind w:left="460"/>
              <w:spacing w:after="0"/>
              <w:rPr>
                <w:sz w:val="20"/>
                <w:szCs w:val="20"/>
                <w:color w:val="auto"/>
              </w:rPr>
            </w:pPr>
            <w:r>
              <w:rPr>
                <w:rFonts w:ascii="Calibri" w:cs="Calibri" w:eastAsia="Calibri" w:hAnsi="Calibri"/>
                <w:sz w:val="12"/>
                <w:szCs w:val="12"/>
                <w:b w:val="1"/>
                <w:bCs w:val="1"/>
                <w:color w:val="494949"/>
              </w:rPr>
              <w:t>Number of Years</w:t>
            </w:r>
          </w:p>
        </w:tc>
        <w:tc>
          <w:tcPr>
            <w:tcW w:w="1760" w:type="dxa"/>
            <w:vAlign w:val="bottom"/>
          </w:tcPr>
          <w:p>
            <w:pPr>
              <w:jc w:val="center"/>
              <w:spacing w:after="0"/>
              <w:rPr>
                <w:sz w:val="20"/>
                <w:szCs w:val="20"/>
                <w:color w:val="auto"/>
              </w:rPr>
            </w:pPr>
            <w:r>
              <w:rPr>
                <w:rFonts w:ascii="Calibri" w:cs="Calibri" w:eastAsia="Calibri" w:hAnsi="Calibri"/>
                <w:sz w:val="12"/>
                <w:szCs w:val="12"/>
                <w:b w:val="1"/>
                <w:bCs w:val="1"/>
                <w:color w:val="494949"/>
              </w:rPr>
              <w:t>Present Value of</w:t>
            </w:r>
          </w:p>
        </w:tc>
        <w:tc>
          <w:tcPr>
            <w:tcW w:w="1820" w:type="dxa"/>
            <w:vAlign w:val="bottom"/>
            <w:vMerge w:val="restart"/>
          </w:tcPr>
          <w:p>
            <w:pPr>
              <w:jc w:val="center"/>
              <w:spacing w:after="0"/>
              <w:rPr>
                <w:sz w:val="20"/>
                <w:szCs w:val="20"/>
                <w:color w:val="auto"/>
              </w:rPr>
            </w:pPr>
            <w:r>
              <w:rPr>
                <w:rFonts w:ascii="Calibri" w:cs="Calibri" w:eastAsia="Calibri" w:hAnsi="Calibri"/>
                <w:sz w:val="12"/>
                <w:szCs w:val="12"/>
                <w:b w:val="1"/>
                <w:bCs w:val="1"/>
                <w:color w:val="494949"/>
              </w:rPr>
              <w:t>Payments During</w:t>
            </w:r>
          </w:p>
        </w:tc>
        <w:tc>
          <w:tcPr>
            <w:tcW w:w="0" w:type="dxa"/>
            <w:vAlign w:val="bottom"/>
          </w:tcPr>
          <w:p>
            <w:pPr>
              <w:spacing w:after="0"/>
              <w:rPr>
                <w:sz w:val="1"/>
                <w:szCs w:val="1"/>
                <w:color w:val="auto"/>
              </w:rPr>
            </w:pPr>
          </w:p>
        </w:tc>
      </w:tr>
      <w:tr>
        <w:trPr>
          <w:trHeight w:val="120"/>
        </w:trPr>
        <w:tc>
          <w:tcPr>
            <w:tcW w:w="18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1760" w:type="dxa"/>
            <w:vAlign w:val="bottom"/>
          </w:tcPr>
          <w:p>
            <w:pPr>
              <w:jc w:val="center"/>
              <w:spacing w:after="0" w:line="120" w:lineRule="exact"/>
              <w:rPr>
                <w:sz w:val="20"/>
                <w:szCs w:val="20"/>
                <w:color w:val="auto"/>
              </w:rPr>
            </w:pPr>
            <w:r>
              <w:rPr>
                <w:rFonts w:ascii="Calibri" w:cs="Calibri" w:eastAsia="Calibri" w:hAnsi="Calibri"/>
                <w:sz w:val="12"/>
                <w:szCs w:val="12"/>
                <w:b w:val="1"/>
                <w:bCs w:val="1"/>
                <w:color w:val="494949"/>
              </w:rPr>
              <w:t>Accumulated</w:t>
            </w: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8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780" w:type="dxa"/>
            <w:vAlign w:val="bottom"/>
          </w:tcPr>
          <w:p>
            <w:pPr>
              <w:ind w:left="460"/>
              <w:spacing w:after="0" w:line="120" w:lineRule="exact"/>
              <w:rPr>
                <w:sz w:val="20"/>
                <w:szCs w:val="20"/>
                <w:color w:val="auto"/>
              </w:rPr>
            </w:pPr>
            <w:r>
              <w:rPr>
                <w:rFonts w:ascii="Calibri" w:cs="Calibri" w:eastAsia="Calibri" w:hAnsi="Calibri"/>
                <w:sz w:val="12"/>
                <w:szCs w:val="12"/>
                <w:b w:val="1"/>
                <w:bCs w:val="1"/>
                <w:color w:val="494949"/>
              </w:rPr>
              <w:t>Credited Service</w:t>
            </w:r>
          </w:p>
        </w:tc>
        <w:tc>
          <w:tcPr>
            <w:tcW w:w="1760" w:type="dxa"/>
            <w:vAlign w:val="bottom"/>
          </w:tcPr>
          <w:p>
            <w:pPr>
              <w:jc w:val="center"/>
              <w:spacing w:after="0" w:line="120" w:lineRule="exact"/>
              <w:rPr>
                <w:sz w:val="20"/>
                <w:szCs w:val="20"/>
                <w:color w:val="auto"/>
              </w:rPr>
            </w:pPr>
            <w:r>
              <w:rPr>
                <w:rFonts w:ascii="Calibri" w:cs="Calibri" w:eastAsia="Calibri" w:hAnsi="Calibri"/>
                <w:sz w:val="10"/>
                <w:szCs w:val="10"/>
                <w:b w:val="1"/>
                <w:bCs w:val="1"/>
                <w:color w:val="494949"/>
              </w:rPr>
              <w:t xml:space="preserve">Benefts </w:t>
            </w:r>
            <w:r>
              <w:rPr>
                <w:rFonts w:ascii="Calibri" w:cs="Calibri" w:eastAsia="Calibri" w:hAnsi="Calibri"/>
                <w:sz w:val="13"/>
                <w:szCs w:val="13"/>
                <w:b w:val="1"/>
                <w:bCs w:val="1"/>
                <w:color w:val="494949"/>
                <w:vertAlign w:val="superscript"/>
              </w:rPr>
              <w:t>1</w:t>
            </w:r>
          </w:p>
        </w:tc>
        <w:tc>
          <w:tcPr>
            <w:tcW w:w="1820" w:type="dxa"/>
            <w:vAlign w:val="bottom"/>
          </w:tcPr>
          <w:p>
            <w:pPr>
              <w:jc w:val="center"/>
              <w:spacing w:after="0" w:line="120" w:lineRule="exact"/>
              <w:rPr>
                <w:sz w:val="20"/>
                <w:szCs w:val="20"/>
                <w:color w:val="auto"/>
              </w:rPr>
            </w:pPr>
            <w:r>
              <w:rPr>
                <w:rFonts w:ascii="Calibri" w:cs="Calibri" w:eastAsia="Calibri" w:hAnsi="Calibri"/>
                <w:sz w:val="12"/>
                <w:szCs w:val="12"/>
                <w:b w:val="1"/>
                <w:bCs w:val="1"/>
                <w:color w:val="494949"/>
              </w:rPr>
              <w:t>Last Fiscal Year</w:t>
            </w:r>
          </w:p>
        </w:tc>
        <w:tc>
          <w:tcPr>
            <w:tcW w:w="0" w:type="dxa"/>
            <w:vAlign w:val="bottom"/>
          </w:tcPr>
          <w:p>
            <w:pPr>
              <w:spacing w:after="0"/>
              <w:rPr>
                <w:sz w:val="1"/>
                <w:szCs w:val="1"/>
                <w:color w:val="auto"/>
              </w:rPr>
            </w:pPr>
          </w:p>
        </w:tc>
      </w:tr>
      <w:tr>
        <w:trPr>
          <w:trHeight w:val="147"/>
        </w:trPr>
        <w:tc>
          <w:tcPr>
            <w:tcW w:w="1820" w:type="dxa"/>
            <w:vAlign w:val="bottom"/>
          </w:tcPr>
          <w:p>
            <w:pPr>
              <w:ind w:left="40"/>
              <w:spacing w:after="0"/>
              <w:rPr>
                <w:sz w:val="20"/>
                <w:szCs w:val="20"/>
                <w:color w:val="auto"/>
              </w:rPr>
            </w:pPr>
            <w:r>
              <w:rPr>
                <w:rFonts w:ascii="Calibri" w:cs="Calibri" w:eastAsia="Calibri" w:hAnsi="Calibri"/>
                <w:sz w:val="12"/>
                <w:szCs w:val="12"/>
                <w:b w:val="1"/>
                <w:bCs w:val="1"/>
                <w:color w:val="494949"/>
              </w:rPr>
              <w:t>Name</w:t>
            </w:r>
          </w:p>
        </w:tc>
        <w:tc>
          <w:tcPr>
            <w:tcW w:w="2520" w:type="dxa"/>
            <w:vAlign w:val="bottom"/>
          </w:tcPr>
          <w:p>
            <w:pPr>
              <w:jc w:val="center"/>
              <w:ind w:left="258"/>
              <w:spacing w:after="0"/>
              <w:rPr>
                <w:sz w:val="20"/>
                <w:szCs w:val="20"/>
                <w:color w:val="auto"/>
              </w:rPr>
            </w:pPr>
            <w:r>
              <w:rPr>
                <w:rFonts w:ascii="Calibri" w:cs="Calibri" w:eastAsia="Calibri" w:hAnsi="Calibri"/>
                <w:sz w:val="12"/>
                <w:szCs w:val="12"/>
                <w:b w:val="1"/>
                <w:bCs w:val="1"/>
                <w:color w:val="494949"/>
              </w:rPr>
              <w:t>Plan Name</w:t>
            </w:r>
          </w:p>
        </w:tc>
        <w:tc>
          <w:tcPr>
            <w:tcW w:w="1780" w:type="dxa"/>
            <w:vAlign w:val="bottom"/>
          </w:tcPr>
          <w:p>
            <w:pPr>
              <w:jc w:val="center"/>
              <w:spacing w:after="0"/>
              <w:rPr>
                <w:sz w:val="20"/>
                <w:szCs w:val="20"/>
                <w:color w:val="auto"/>
              </w:rPr>
            </w:pPr>
            <w:r>
              <w:rPr>
                <w:rFonts w:ascii="Calibri" w:cs="Calibri" w:eastAsia="Calibri" w:hAnsi="Calibri"/>
                <w:sz w:val="12"/>
                <w:szCs w:val="12"/>
                <w:b w:val="1"/>
                <w:bCs w:val="1"/>
                <w:color w:val="494949"/>
              </w:rPr>
              <w:t>(#)</w:t>
            </w:r>
          </w:p>
        </w:tc>
        <w:tc>
          <w:tcPr>
            <w:tcW w:w="1760" w:type="dxa"/>
            <w:vAlign w:val="bottom"/>
          </w:tcPr>
          <w:p>
            <w:pPr>
              <w:jc w:val="center"/>
              <w:spacing w:after="0"/>
              <w:rPr>
                <w:sz w:val="20"/>
                <w:szCs w:val="20"/>
                <w:color w:val="auto"/>
              </w:rPr>
            </w:pPr>
            <w:r>
              <w:rPr>
                <w:rFonts w:ascii="Calibri" w:cs="Calibri" w:eastAsia="Calibri" w:hAnsi="Calibri"/>
                <w:sz w:val="12"/>
                <w:szCs w:val="12"/>
                <w:b w:val="1"/>
                <w:bCs w:val="1"/>
                <w:color w:val="494949"/>
              </w:rPr>
              <w:t>($)</w:t>
            </w:r>
          </w:p>
        </w:tc>
        <w:tc>
          <w:tcPr>
            <w:tcW w:w="1820" w:type="dxa"/>
            <w:vAlign w:val="bottom"/>
          </w:tcPr>
          <w:p>
            <w:pPr>
              <w:jc w:val="center"/>
              <w:spacing w:after="0"/>
              <w:rPr>
                <w:sz w:val="20"/>
                <w:szCs w:val="20"/>
                <w:color w:val="auto"/>
              </w:rPr>
            </w:pPr>
            <w:r>
              <w:rPr>
                <w:rFonts w:ascii="Calibri" w:cs="Calibri" w:eastAsia="Calibri" w:hAnsi="Calibri"/>
                <w:sz w:val="12"/>
                <w:szCs w:val="12"/>
                <w:b w:val="1"/>
                <w:bCs w:val="1"/>
                <w:color w:val="494949"/>
              </w:rPr>
              <w:t>($)</w:t>
            </w:r>
          </w:p>
        </w:tc>
        <w:tc>
          <w:tcPr>
            <w:tcW w:w="0" w:type="dxa"/>
            <w:vAlign w:val="bottom"/>
          </w:tcPr>
          <w:p>
            <w:pPr>
              <w:spacing w:after="0"/>
              <w:rPr>
                <w:sz w:val="1"/>
                <w:szCs w:val="1"/>
                <w:color w:val="auto"/>
              </w:rPr>
            </w:pPr>
          </w:p>
        </w:tc>
      </w:tr>
      <w:tr>
        <w:trPr>
          <w:trHeight w:val="30"/>
        </w:trPr>
        <w:tc>
          <w:tcPr>
            <w:tcW w:w="18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820" w:type="dxa"/>
            <w:vAlign w:val="bottom"/>
            <w:tcBorders>
              <w:bottom w:val="single" w:sz="8" w:color="CCEEFF"/>
            </w:tcBorders>
            <w:shd w:val="clear" w:color="auto" w:fill="CCEEFF"/>
          </w:tcPr>
          <w:p>
            <w:pPr>
              <w:ind w:left="40"/>
              <w:spacing w:after="0"/>
              <w:rPr>
                <w:sz w:val="20"/>
                <w:szCs w:val="20"/>
                <w:color w:val="auto"/>
              </w:rPr>
            </w:pPr>
            <w:r>
              <w:rPr>
                <w:rFonts w:ascii="Calibri" w:cs="Calibri" w:eastAsia="Calibri" w:hAnsi="Calibri"/>
                <w:sz w:val="12"/>
                <w:szCs w:val="12"/>
                <w:b w:val="1"/>
                <w:bCs w:val="1"/>
                <w:color w:val="494949"/>
              </w:rPr>
              <w:t>Horacio D. Rozanski</w:t>
            </w:r>
          </w:p>
        </w:tc>
        <w:tc>
          <w:tcPr>
            <w:tcW w:w="2520" w:type="dxa"/>
            <w:vAlign w:val="bottom"/>
            <w:tcBorders>
              <w:bottom w:val="single" w:sz="8" w:color="CCEEFF"/>
            </w:tcBorders>
            <w:shd w:val="clear" w:color="auto" w:fill="CCEEFF"/>
          </w:tcPr>
          <w:p>
            <w:pPr>
              <w:jc w:val="center"/>
              <w:ind w:left="258"/>
              <w:spacing w:after="0"/>
              <w:rPr>
                <w:sz w:val="20"/>
                <w:szCs w:val="20"/>
                <w:color w:val="auto"/>
              </w:rPr>
            </w:pPr>
            <w:r>
              <w:rPr>
                <w:rFonts w:ascii="Calibri" w:cs="Calibri" w:eastAsia="Calibri" w:hAnsi="Calibri"/>
                <w:sz w:val="12"/>
                <w:szCs w:val="12"/>
                <w:color w:val="494949"/>
              </w:rPr>
              <w:t>Ofcers’ Retrement Plan</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Calibri" w:cs="Calibri" w:eastAsia="Calibri" w:hAnsi="Calibri"/>
                <w:sz w:val="12"/>
                <w:szCs w:val="12"/>
                <w:color w:val="494949"/>
              </w:rPr>
              <w:t>22.5</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Calibri" w:cs="Calibri" w:eastAsia="Calibri" w:hAnsi="Calibri"/>
                <w:sz w:val="12"/>
                <w:szCs w:val="12"/>
                <w:color w:val="494949"/>
              </w:rPr>
              <w:t>225,000</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Calibri" w:cs="Calibri" w:eastAsia="Calibri" w:hAnsi="Calibri"/>
                <w:sz w:val="12"/>
                <w:szCs w:val="12"/>
                <w:color w:val="494949"/>
                <w:w w:val="91"/>
              </w:rPr>
              <w:t>—</w:t>
            </w:r>
          </w:p>
        </w:tc>
        <w:tc>
          <w:tcPr>
            <w:tcW w:w="0" w:type="dxa"/>
            <w:vAlign w:val="bottom"/>
          </w:tcPr>
          <w:p>
            <w:pPr>
              <w:spacing w:after="0"/>
              <w:rPr>
                <w:sz w:val="1"/>
                <w:szCs w:val="1"/>
                <w:color w:val="auto"/>
              </w:rPr>
            </w:pPr>
          </w:p>
        </w:tc>
      </w:tr>
      <w:tr>
        <w:trPr>
          <w:trHeight w:val="150"/>
        </w:trPr>
        <w:tc>
          <w:tcPr>
            <w:tcW w:w="1820" w:type="dxa"/>
            <w:vAlign w:val="bottom"/>
          </w:tcPr>
          <w:p>
            <w:pPr>
              <w:ind w:left="40"/>
              <w:spacing w:after="0"/>
              <w:rPr>
                <w:sz w:val="20"/>
                <w:szCs w:val="20"/>
                <w:color w:val="auto"/>
              </w:rPr>
            </w:pPr>
            <w:r>
              <w:rPr>
                <w:rFonts w:ascii="Calibri" w:cs="Calibri" w:eastAsia="Calibri" w:hAnsi="Calibri"/>
                <w:sz w:val="12"/>
                <w:szCs w:val="12"/>
                <w:b w:val="1"/>
                <w:bCs w:val="1"/>
                <w:color w:val="494949"/>
              </w:rPr>
              <w:t>Lloyd W. Howell, Jr.</w:t>
            </w:r>
          </w:p>
        </w:tc>
        <w:tc>
          <w:tcPr>
            <w:tcW w:w="2520" w:type="dxa"/>
            <w:vAlign w:val="bottom"/>
          </w:tcPr>
          <w:p>
            <w:pPr>
              <w:jc w:val="center"/>
              <w:ind w:left="258"/>
              <w:spacing w:after="0"/>
              <w:rPr>
                <w:sz w:val="20"/>
                <w:szCs w:val="20"/>
                <w:color w:val="auto"/>
              </w:rPr>
            </w:pPr>
            <w:r>
              <w:rPr>
                <w:rFonts w:ascii="Calibri" w:cs="Calibri" w:eastAsia="Calibri" w:hAnsi="Calibri"/>
                <w:sz w:val="12"/>
                <w:szCs w:val="12"/>
                <w:color w:val="494949"/>
              </w:rPr>
              <w:t>Ofcers’ Retrement Plan</w:t>
            </w:r>
          </w:p>
        </w:tc>
        <w:tc>
          <w:tcPr>
            <w:tcW w:w="1780" w:type="dxa"/>
            <w:vAlign w:val="bottom"/>
          </w:tcPr>
          <w:p>
            <w:pPr>
              <w:jc w:val="center"/>
              <w:spacing w:after="0"/>
              <w:rPr>
                <w:sz w:val="20"/>
                <w:szCs w:val="20"/>
                <w:color w:val="auto"/>
              </w:rPr>
            </w:pPr>
            <w:r>
              <w:rPr>
                <w:rFonts w:ascii="Calibri" w:cs="Calibri" w:eastAsia="Calibri" w:hAnsi="Calibri"/>
                <w:sz w:val="12"/>
                <w:szCs w:val="12"/>
                <w:color w:val="494949"/>
              </w:rPr>
              <w:t>21.5</w:t>
            </w:r>
          </w:p>
        </w:tc>
        <w:tc>
          <w:tcPr>
            <w:tcW w:w="1760" w:type="dxa"/>
            <w:vAlign w:val="bottom"/>
          </w:tcPr>
          <w:p>
            <w:pPr>
              <w:jc w:val="center"/>
              <w:spacing w:after="0"/>
              <w:rPr>
                <w:sz w:val="20"/>
                <w:szCs w:val="20"/>
                <w:color w:val="auto"/>
              </w:rPr>
            </w:pPr>
            <w:r>
              <w:rPr>
                <w:rFonts w:ascii="Calibri" w:cs="Calibri" w:eastAsia="Calibri" w:hAnsi="Calibri"/>
                <w:sz w:val="12"/>
                <w:szCs w:val="12"/>
                <w:color w:val="494949"/>
              </w:rPr>
              <w:t>215,000</w:t>
            </w:r>
          </w:p>
        </w:tc>
        <w:tc>
          <w:tcPr>
            <w:tcW w:w="1820" w:type="dxa"/>
            <w:vAlign w:val="bottom"/>
          </w:tcPr>
          <w:p>
            <w:pPr>
              <w:jc w:val="center"/>
              <w:spacing w:after="0"/>
              <w:rPr>
                <w:sz w:val="20"/>
                <w:szCs w:val="20"/>
                <w:color w:val="auto"/>
              </w:rPr>
            </w:pPr>
            <w:r>
              <w:rPr>
                <w:rFonts w:ascii="Calibri" w:cs="Calibri" w:eastAsia="Calibri" w:hAnsi="Calibri"/>
                <w:sz w:val="12"/>
                <w:szCs w:val="12"/>
                <w:color w:val="494949"/>
                <w:w w:val="91"/>
              </w:rPr>
              <w:t>—</w:t>
            </w:r>
          </w:p>
        </w:tc>
        <w:tc>
          <w:tcPr>
            <w:tcW w:w="0" w:type="dxa"/>
            <w:vAlign w:val="bottom"/>
          </w:tcPr>
          <w:p>
            <w:pPr>
              <w:spacing w:after="0"/>
              <w:rPr>
                <w:sz w:val="1"/>
                <w:szCs w:val="1"/>
                <w:color w:val="auto"/>
              </w:rPr>
            </w:pPr>
          </w:p>
        </w:tc>
      </w:tr>
      <w:tr>
        <w:trPr>
          <w:trHeight w:val="23"/>
        </w:trPr>
        <w:tc>
          <w:tcPr>
            <w:tcW w:w="18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1820" w:type="dxa"/>
            <w:vAlign w:val="bottom"/>
            <w:tcBorders>
              <w:bottom w:val="single" w:sz="8" w:color="CCEEFF"/>
            </w:tcBorders>
            <w:shd w:val="clear" w:color="auto" w:fill="CCEEFF"/>
          </w:tcPr>
          <w:p>
            <w:pPr>
              <w:ind w:left="40"/>
              <w:spacing w:after="0"/>
              <w:rPr>
                <w:sz w:val="20"/>
                <w:szCs w:val="20"/>
                <w:color w:val="auto"/>
              </w:rPr>
            </w:pPr>
            <w:r>
              <w:rPr>
                <w:rFonts w:ascii="Calibri" w:cs="Calibri" w:eastAsia="Calibri" w:hAnsi="Calibri"/>
                <w:sz w:val="12"/>
                <w:szCs w:val="12"/>
                <w:b w:val="1"/>
                <w:bCs w:val="1"/>
                <w:color w:val="494949"/>
              </w:rPr>
              <w:t>Karen M. Dahut</w:t>
            </w:r>
          </w:p>
        </w:tc>
        <w:tc>
          <w:tcPr>
            <w:tcW w:w="2520" w:type="dxa"/>
            <w:vAlign w:val="bottom"/>
            <w:tcBorders>
              <w:bottom w:val="single" w:sz="8" w:color="CCEEFF"/>
            </w:tcBorders>
            <w:shd w:val="clear" w:color="auto" w:fill="CCEEFF"/>
          </w:tcPr>
          <w:p>
            <w:pPr>
              <w:jc w:val="center"/>
              <w:ind w:left="258"/>
              <w:spacing w:after="0"/>
              <w:rPr>
                <w:sz w:val="20"/>
                <w:szCs w:val="20"/>
                <w:color w:val="auto"/>
              </w:rPr>
            </w:pPr>
            <w:r>
              <w:rPr>
                <w:rFonts w:ascii="Calibri" w:cs="Calibri" w:eastAsia="Calibri" w:hAnsi="Calibri"/>
                <w:sz w:val="12"/>
                <w:szCs w:val="12"/>
                <w:color w:val="494949"/>
              </w:rPr>
              <w:t>Ofcers’ Retrement Plan</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Calibri" w:cs="Calibri" w:eastAsia="Calibri" w:hAnsi="Calibri"/>
                <w:sz w:val="12"/>
                <w:szCs w:val="12"/>
                <w:color w:val="494949"/>
              </w:rPr>
              <w:t>17.5</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Calibri" w:cs="Calibri" w:eastAsia="Calibri" w:hAnsi="Calibri"/>
                <w:sz w:val="12"/>
                <w:szCs w:val="12"/>
                <w:color w:val="494949"/>
              </w:rPr>
              <w:t>175,000</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Calibri" w:cs="Calibri" w:eastAsia="Calibri" w:hAnsi="Calibri"/>
                <w:sz w:val="12"/>
                <w:szCs w:val="12"/>
                <w:color w:val="494949"/>
                <w:w w:val="91"/>
              </w:rPr>
              <w:t>—</w:t>
            </w:r>
          </w:p>
        </w:tc>
        <w:tc>
          <w:tcPr>
            <w:tcW w:w="0" w:type="dxa"/>
            <w:vAlign w:val="bottom"/>
          </w:tcPr>
          <w:p>
            <w:pPr>
              <w:spacing w:after="0"/>
              <w:rPr>
                <w:sz w:val="1"/>
                <w:szCs w:val="1"/>
                <w:color w:val="auto"/>
              </w:rPr>
            </w:pPr>
          </w:p>
        </w:tc>
      </w:tr>
      <w:tr>
        <w:trPr>
          <w:trHeight w:val="150"/>
        </w:trPr>
        <w:tc>
          <w:tcPr>
            <w:tcW w:w="1820" w:type="dxa"/>
            <w:vAlign w:val="bottom"/>
          </w:tcPr>
          <w:p>
            <w:pPr>
              <w:ind w:left="40"/>
              <w:spacing w:after="0"/>
              <w:rPr>
                <w:sz w:val="20"/>
                <w:szCs w:val="20"/>
                <w:color w:val="auto"/>
              </w:rPr>
            </w:pPr>
            <w:r>
              <w:rPr>
                <w:rFonts w:ascii="Calibri" w:cs="Calibri" w:eastAsia="Calibri" w:hAnsi="Calibri"/>
                <w:sz w:val="12"/>
                <w:szCs w:val="12"/>
                <w:b w:val="1"/>
                <w:bCs w:val="1"/>
                <w:color w:val="494949"/>
              </w:rPr>
              <w:t>Nancy J. Laben</w:t>
            </w:r>
          </w:p>
        </w:tc>
        <w:tc>
          <w:tcPr>
            <w:tcW w:w="2520" w:type="dxa"/>
            <w:vAlign w:val="bottom"/>
          </w:tcPr>
          <w:p>
            <w:pPr>
              <w:jc w:val="center"/>
              <w:ind w:left="258"/>
              <w:spacing w:after="0"/>
              <w:rPr>
                <w:sz w:val="20"/>
                <w:szCs w:val="20"/>
                <w:color w:val="auto"/>
              </w:rPr>
            </w:pPr>
            <w:r>
              <w:rPr>
                <w:rFonts w:ascii="Calibri" w:cs="Calibri" w:eastAsia="Calibri" w:hAnsi="Calibri"/>
                <w:sz w:val="12"/>
                <w:szCs w:val="12"/>
                <w:color w:val="494949"/>
              </w:rPr>
              <w:t>Ofcers’ Retrement Plan</w:t>
            </w:r>
          </w:p>
        </w:tc>
        <w:tc>
          <w:tcPr>
            <w:tcW w:w="1780" w:type="dxa"/>
            <w:vAlign w:val="bottom"/>
          </w:tcPr>
          <w:p>
            <w:pPr>
              <w:jc w:val="center"/>
              <w:spacing w:after="0"/>
              <w:rPr>
                <w:sz w:val="20"/>
                <w:szCs w:val="20"/>
                <w:color w:val="auto"/>
              </w:rPr>
            </w:pPr>
            <w:r>
              <w:rPr>
                <w:rFonts w:ascii="Calibri" w:cs="Calibri" w:eastAsia="Calibri" w:hAnsi="Calibri"/>
                <w:sz w:val="12"/>
                <w:szCs w:val="12"/>
                <w:color w:val="494949"/>
              </w:rPr>
              <w:t>8.5</w:t>
            </w:r>
          </w:p>
        </w:tc>
        <w:tc>
          <w:tcPr>
            <w:tcW w:w="1760" w:type="dxa"/>
            <w:vAlign w:val="bottom"/>
          </w:tcPr>
          <w:p>
            <w:pPr>
              <w:jc w:val="center"/>
              <w:spacing w:after="0"/>
              <w:rPr>
                <w:sz w:val="20"/>
                <w:szCs w:val="20"/>
                <w:color w:val="auto"/>
              </w:rPr>
            </w:pPr>
            <w:r>
              <w:rPr>
                <w:rFonts w:ascii="Calibri" w:cs="Calibri" w:eastAsia="Calibri" w:hAnsi="Calibri"/>
                <w:sz w:val="12"/>
                <w:szCs w:val="12"/>
                <w:color w:val="494949"/>
              </w:rPr>
              <w:t>85,000</w:t>
            </w:r>
          </w:p>
        </w:tc>
        <w:tc>
          <w:tcPr>
            <w:tcW w:w="1820" w:type="dxa"/>
            <w:vAlign w:val="bottom"/>
          </w:tcPr>
          <w:p>
            <w:pPr>
              <w:jc w:val="center"/>
              <w:spacing w:after="0"/>
              <w:rPr>
                <w:sz w:val="20"/>
                <w:szCs w:val="20"/>
                <w:color w:val="auto"/>
              </w:rPr>
            </w:pPr>
            <w:r>
              <w:rPr>
                <w:rFonts w:ascii="Calibri" w:cs="Calibri" w:eastAsia="Calibri" w:hAnsi="Calibri"/>
                <w:sz w:val="12"/>
                <w:szCs w:val="12"/>
                <w:color w:val="494949"/>
                <w:w w:val="91"/>
              </w:rPr>
              <w:t>—</w:t>
            </w:r>
          </w:p>
        </w:tc>
        <w:tc>
          <w:tcPr>
            <w:tcW w:w="0" w:type="dxa"/>
            <w:vAlign w:val="bottom"/>
          </w:tcPr>
          <w:p>
            <w:pPr>
              <w:spacing w:after="0"/>
              <w:rPr>
                <w:sz w:val="1"/>
                <w:szCs w:val="1"/>
                <w:color w:val="auto"/>
              </w:rPr>
            </w:pPr>
          </w:p>
        </w:tc>
      </w:tr>
      <w:tr>
        <w:trPr>
          <w:trHeight w:val="23"/>
        </w:trPr>
        <w:tc>
          <w:tcPr>
            <w:tcW w:w="18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1820" w:type="dxa"/>
            <w:vAlign w:val="bottom"/>
            <w:shd w:val="clear" w:color="auto" w:fill="CCEEFF"/>
          </w:tcPr>
          <w:p>
            <w:pPr>
              <w:ind w:left="40"/>
              <w:spacing w:after="0"/>
              <w:rPr>
                <w:sz w:val="20"/>
                <w:szCs w:val="20"/>
                <w:color w:val="auto"/>
              </w:rPr>
            </w:pPr>
            <w:r>
              <w:rPr>
                <w:rFonts w:ascii="Calibri" w:cs="Calibri" w:eastAsia="Calibri" w:hAnsi="Calibri"/>
                <w:sz w:val="12"/>
                <w:szCs w:val="12"/>
                <w:b w:val="1"/>
                <w:bCs w:val="1"/>
                <w:color w:val="494949"/>
              </w:rPr>
              <w:t>Susan L. Penfeld</w:t>
            </w:r>
          </w:p>
        </w:tc>
        <w:tc>
          <w:tcPr>
            <w:tcW w:w="2520" w:type="dxa"/>
            <w:vAlign w:val="bottom"/>
            <w:shd w:val="clear" w:color="auto" w:fill="CCEEFF"/>
          </w:tcPr>
          <w:p>
            <w:pPr>
              <w:jc w:val="center"/>
              <w:ind w:left="258"/>
              <w:spacing w:after="0"/>
              <w:rPr>
                <w:sz w:val="20"/>
                <w:szCs w:val="20"/>
                <w:color w:val="auto"/>
              </w:rPr>
            </w:pPr>
            <w:r>
              <w:rPr>
                <w:rFonts w:ascii="Calibri" w:cs="Calibri" w:eastAsia="Calibri" w:hAnsi="Calibri"/>
                <w:sz w:val="12"/>
                <w:szCs w:val="12"/>
                <w:color w:val="494949"/>
              </w:rPr>
              <w:t>Ofcers’ Retrement Plan</w:t>
            </w:r>
          </w:p>
        </w:tc>
        <w:tc>
          <w:tcPr>
            <w:tcW w:w="178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19.5</w:t>
            </w:r>
          </w:p>
        </w:tc>
        <w:tc>
          <w:tcPr>
            <w:tcW w:w="176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195,000</w:t>
            </w:r>
          </w:p>
        </w:tc>
        <w:tc>
          <w:tcPr>
            <w:tcW w:w="182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w w:val="91"/>
              </w:rPr>
              <w:t>—</w:t>
            </w:r>
          </w:p>
        </w:tc>
        <w:tc>
          <w:tcPr>
            <w:tcW w:w="0" w:type="dxa"/>
            <w:vAlign w:val="bottom"/>
          </w:tcPr>
          <w:p>
            <w:pPr>
              <w:spacing w:after="0"/>
              <w:rPr>
                <w:sz w:val="1"/>
                <w:szCs w:val="1"/>
                <w:color w:val="auto"/>
              </w:rPr>
            </w:pPr>
          </w:p>
        </w:tc>
      </w:tr>
      <w:tr>
        <w:trPr>
          <w:trHeight w:val="36"/>
        </w:trPr>
        <w:tc>
          <w:tcPr>
            <w:tcW w:w="1820" w:type="dxa"/>
            <w:vAlign w:val="bottom"/>
            <w:shd w:val="clear" w:color="auto" w:fill="CCEEFF"/>
          </w:tcPr>
          <w:p>
            <w:pPr>
              <w:spacing w:after="0"/>
              <w:rPr>
                <w:sz w:val="3"/>
                <w:szCs w:val="3"/>
                <w:color w:val="auto"/>
              </w:rPr>
            </w:pPr>
          </w:p>
        </w:tc>
        <w:tc>
          <w:tcPr>
            <w:tcW w:w="252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left="440" w:hanging="314"/>
        <w:spacing w:after="0"/>
        <w:tabs>
          <w:tab w:leader="none" w:pos="428" w:val="left"/>
        </w:tabs>
        <w:numPr>
          <w:ilvl w:val="0"/>
          <w:numId w:val="55"/>
        </w:numPr>
        <w:rPr>
          <w:rFonts w:ascii="Calibri" w:cs="Calibri" w:eastAsia="Calibri" w:hAnsi="Calibri"/>
          <w:sz w:val="13"/>
          <w:szCs w:val="13"/>
          <w:color w:val="666666"/>
        </w:rPr>
      </w:pPr>
      <w:r>
        <w:rPr>
          <w:rFonts w:ascii="Calibri" w:cs="Calibri" w:eastAsia="Calibri" w:hAnsi="Calibri"/>
          <w:sz w:val="13"/>
          <w:szCs w:val="13"/>
          <w:color w:val="666666"/>
        </w:rPr>
        <w:t>The present value of accumulated benefts has been calculated in a manner consistent with our reportng of the Retred Ofcers’ Bonus Plan under FASB ASC 715-30, using the Accumulated Beneft Obligaton with the excepton of the retrement rate assumptons, as set forth in Note 14 to our fnancial statements for the fscal year ended March 31, 2022, which are incorporated by reference herein. The amounts shown above refect an assumpton that each partcipant collects his or her beneft at the earliest age at which an unreduced beneft is available.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46</w:t>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547BCC"/>
        </w:rPr>
        <w:t>Potental Payments upon Terminaton or a Change in Control</w:t>
      </w:r>
    </w:p>
    <w:p>
      <w:pPr>
        <w:spacing w:after="0" w:line="161" w:lineRule="exact"/>
        <w:rPr>
          <w:sz w:val="20"/>
          <w:szCs w:val="20"/>
          <w:color w:val="auto"/>
        </w:rPr>
      </w:pPr>
    </w:p>
    <w:p>
      <w:pPr>
        <w:ind w:left="320"/>
        <w:spacing w:after="0"/>
        <w:rPr>
          <w:sz w:val="20"/>
          <w:szCs w:val="20"/>
          <w:color w:val="auto"/>
        </w:rPr>
      </w:pPr>
      <w:r>
        <w:rPr>
          <w:rFonts w:ascii="Calibri" w:cs="Calibri" w:eastAsia="Calibri" w:hAnsi="Calibri"/>
          <w:sz w:val="18"/>
          <w:szCs w:val="18"/>
          <w:b w:val="1"/>
          <w:bCs w:val="1"/>
          <w:color w:val="4F81BD"/>
        </w:rPr>
        <w:t>Transiton Pay</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Consistent with our Transiton Policy, which deals with departures other than retrement, resignaton, death, disability, and terminatons for cause, each named executve ofcer is eligible for transiton pay equal to four months of base pay, plus one additonal month for each year of service as an executve, up to a maximum of 12 months’ base pay. Under the terms of our Transiton Policy and Retrement Policy, all departure payments and benefts are contngent upon the executves’ signing of a general release.</w:t>
      </w:r>
    </w:p>
    <w:p>
      <w:pPr>
        <w:spacing w:after="0" w:line="154" w:lineRule="exact"/>
        <w:rPr>
          <w:sz w:val="20"/>
          <w:szCs w:val="20"/>
          <w:color w:val="auto"/>
        </w:rPr>
      </w:pPr>
    </w:p>
    <w:p>
      <w:pPr>
        <w:ind w:left="320"/>
        <w:spacing w:after="0"/>
        <w:rPr>
          <w:sz w:val="20"/>
          <w:szCs w:val="20"/>
          <w:color w:val="auto"/>
        </w:rPr>
      </w:pPr>
      <w:r>
        <w:rPr>
          <w:rFonts w:ascii="Calibri" w:cs="Calibri" w:eastAsia="Calibri" w:hAnsi="Calibri"/>
          <w:sz w:val="18"/>
          <w:szCs w:val="18"/>
          <w:b w:val="1"/>
          <w:bCs w:val="1"/>
          <w:color w:val="4F81BD"/>
        </w:rPr>
        <w:t>Retrement Benefts</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Under our Ofcers' Retrement Plan, if our named executve ofcers retre, they will each be enttled to receive a single lump sum retrement payment equal to $10,000 for each year of service as an executve, pro-rated as appropriate, and an annual allowance of $4,000 for fnancial counseling and tax preparaton assistance. They are also eligible for a one-tme payment of $5,000 upon entering retrement for fnancial counseling expenses associated with developing a retrement fnancial strategy. In additon, each of our named executve ofcers and their eligible dependents will be enttled to receive the beneft of Company-paid retree medical and dental coverage for life.</w:t>
      </w:r>
    </w:p>
    <w:p>
      <w:pPr>
        <w:spacing w:after="0" w:line="155" w:lineRule="exact"/>
        <w:rPr>
          <w:sz w:val="20"/>
          <w:szCs w:val="20"/>
          <w:color w:val="auto"/>
        </w:rPr>
      </w:pPr>
    </w:p>
    <w:p>
      <w:pPr>
        <w:ind w:left="320"/>
        <w:spacing w:after="0"/>
        <w:rPr>
          <w:sz w:val="20"/>
          <w:szCs w:val="20"/>
          <w:color w:val="auto"/>
        </w:rPr>
      </w:pPr>
      <w:r>
        <w:rPr>
          <w:rFonts w:ascii="Calibri" w:cs="Calibri" w:eastAsia="Calibri" w:hAnsi="Calibri"/>
          <w:sz w:val="18"/>
          <w:szCs w:val="18"/>
          <w:b w:val="1"/>
          <w:bCs w:val="1"/>
          <w:color w:val="4F81BD"/>
        </w:rPr>
        <w:t>Treatment of Equity Awards</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In additon, our Equity Incentve Plan and the award agreements governing the equity awards held by our named executve ofcers include provisions related to the treatment of the awards upon a terminaton of employment:</w:t>
      </w:r>
    </w:p>
    <w:p>
      <w:pPr>
        <w:spacing w:after="0" w:line="152" w:lineRule="exact"/>
        <w:rPr>
          <w:sz w:val="20"/>
          <w:szCs w:val="20"/>
          <w:color w:val="auto"/>
        </w:rPr>
      </w:pPr>
    </w:p>
    <w:p>
      <w:pPr>
        <w:ind w:left="320"/>
        <w:spacing w:after="0"/>
        <w:rPr>
          <w:sz w:val="20"/>
          <w:szCs w:val="20"/>
          <w:color w:val="auto"/>
        </w:rPr>
      </w:pPr>
      <w:r>
        <w:rPr>
          <w:rFonts w:ascii="Calibri" w:cs="Calibri" w:eastAsia="Calibri" w:hAnsi="Calibri"/>
          <w:sz w:val="18"/>
          <w:szCs w:val="18"/>
          <w:i w:val="1"/>
          <w:iCs w:val="1"/>
          <w:color w:val="4F81BD"/>
        </w:rPr>
        <w:t>Death</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In the event of a named executve ofcer’s terminaton of employment due to death, (i) unvested optons immediately vest and remain outstanding untl the frst anniversary of the terminaton date, or if earlier, the opton’s expiraton date, (ii) unvested tme-based restricted stock units and restricted stock immediately vest, and (iii) unvested performance-based restricted stock units immediately vest at target award levels.</w:t>
      </w:r>
    </w:p>
    <w:p>
      <w:pPr>
        <w:spacing w:after="0" w:line="153" w:lineRule="exact"/>
        <w:rPr>
          <w:sz w:val="20"/>
          <w:szCs w:val="20"/>
          <w:color w:val="auto"/>
        </w:rPr>
      </w:pPr>
    </w:p>
    <w:p>
      <w:pPr>
        <w:ind w:left="320"/>
        <w:spacing w:after="0"/>
        <w:rPr>
          <w:sz w:val="20"/>
          <w:szCs w:val="20"/>
          <w:color w:val="auto"/>
        </w:rPr>
      </w:pPr>
      <w:r>
        <w:rPr>
          <w:rFonts w:ascii="Calibri" w:cs="Calibri" w:eastAsia="Calibri" w:hAnsi="Calibri"/>
          <w:sz w:val="18"/>
          <w:szCs w:val="18"/>
          <w:i w:val="1"/>
          <w:iCs w:val="1"/>
          <w:color w:val="4F81BD"/>
        </w:rPr>
        <w:t>Disability</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In the event of a named executve ofcer’s terminaton of employment due to disability, (i) unvested optons contnue to vest on the normal schedule, and vested optons will remain outstanding untl the frst anniversary of the terminaton date (or for optons vestng afer the terminaton date, the frst anniversary of the vestng date), or if earlier, the opton’s expiraton date, (ii) unvested tme-based restricted stock units and restricted stock contnue to vest on the normal schedule, and (iii) unvested performance-based restricted stock units vest on the normal vestng date in a pro rata amount of the units that would have been earned and vested based on the actual achievement of the performance goals as if employment had not terminated (with the amount prorated based on the porton of the performance period that lapsed prior to the terminaton date).</w:t>
      </w:r>
    </w:p>
    <w:p>
      <w:pPr>
        <w:spacing w:after="0" w:line="156" w:lineRule="exact"/>
        <w:rPr>
          <w:sz w:val="20"/>
          <w:szCs w:val="20"/>
          <w:color w:val="auto"/>
        </w:rPr>
      </w:pPr>
    </w:p>
    <w:p>
      <w:pPr>
        <w:ind w:left="320"/>
        <w:spacing w:after="0"/>
        <w:rPr>
          <w:sz w:val="20"/>
          <w:szCs w:val="20"/>
          <w:color w:val="auto"/>
        </w:rPr>
      </w:pPr>
      <w:r>
        <w:rPr>
          <w:rFonts w:ascii="Calibri" w:cs="Calibri" w:eastAsia="Calibri" w:hAnsi="Calibri"/>
          <w:sz w:val="18"/>
          <w:szCs w:val="18"/>
          <w:i w:val="1"/>
          <w:iCs w:val="1"/>
          <w:color w:val="4F81BD"/>
        </w:rPr>
        <w:t>Company Approved Departure</w:t>
      </w:r>
    </w:p>
    <w:p>
      <w:pPr>
        <w:spacing w:after="0" w:line="161" w:lineRule="exact"/>
        <w:rPr>
          <w:sz w:val="20"/>
          <w:szCs w:val="20"/>
          <w:color w:val="auto"/>
        </w:rPr>
      </w:pPr>
    </w:p>
    <w:p>
      <w:pPr>
        <w:jc w:val="both"/>
        <w:ind w:firstLine="319"/>
        <w:spacing w:after="0" w:line="246" w:lineRule="auto"/>
        <w:rPr>
          <w:sz w:val="20"/>
          <w:szCs w:val="20"/>
          <w:color w:val="auto"/>
        </w:rPr>
      </w:pPr>
      <w:r>
        <w:rPr>
          <w:rFonts w:ascii="Calibri" w:cs="Calibri" w:eastAsia="Calibri" w:hAnsi="Calibri"/>
          <w:sz w:val="17"/>
          <w:szCs w:val="17"/>
          <w:color w:val="666666"/>
        </w:rPr>
        <w:t>In the event of a named executve ofcer’s terminaton of employment by reason of a “Company approved departure” (as defned in the Equity Incentve Plan or applicable award agreement), (i) unvested optons contnue to vest on the normal schedule, and vested optons remain outstanding untl the 90th day following the terminaton date (or for optons vestng afer the terminaton date, the 90th day following the vestng date), or if earlier, the opton’s expiraton date, (ii) unvested tme-based restricted stock units contnue to vest on the normal schedule, and (iii) unvested performance-based restricted stock units vest on the normal vestng date in a pro rata amount of the units that would have been earned and vested based on the actual achievement of the performance goals as if employment had not terminated (with the amount prorated based on the porton of the performance period that lapsed prior to the terminaton date).</w:t>
      </w:r>
    </w:p>
    <w:p>
      <w:pPr>
        <w:spacing w:after="0" w:line="149" w:lineRule="exact"/>
        <w:rPr>
          <w:sz w:val="20"/>
          <w:szCs w:val="20"/>
          <w:color w:val="auto"/>
        </w:rPr>
      </w:pPr>
    </w:p>
    <w:p>
      <w:pPr>
        <w:ind w:left="320"/>
        <w:spacing w:after="0"/>
        <w:rPr>
          <w:sz w:val="20"/>
          <w:szCs w:val="20"/>
          <w:color w:val="auto"/>
        </w:rPr>
      </w:pPr>
      <w:r>
        <w:rPr>
          <w:rFonts w:ascii="Calibri" w:cs="Calibri" w:eastAsia="Calibri" w:hAnsi="Calibri"/>
          <w:sz w:val="18"/>
          <w:szCs w:val="18"/>
          <w:i w:val="1"/>
          <w:iCs w:val="1"/>
          <w:color w:val="4F81BD"/>
        </w:rPr>
        <w:t>For Cause</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In the event of a named executve ofcer’s terminaton of employment for cause (as defned in the applicable award agreement), all vested and unvested optons, and all unvested tme-based restricted stock units, restricted stock, and performance-based restricted stock units are immediately forfeited and canceled, efectve as of the terminaton date.</w:t>
      </w:r>
    </w:p>
    <w:p>
      <w:pPr>
        <w:spacing w:after="0" w:line="153" w:lineRule="exact"/>
        <w:rPr>
          <w:sz w:val="20"/>
          <w:szCs w:val="20"/>
          <w:color w:val="auto"/>
        </w:rPr>
      </w:pPr>
    </w:p>
    <w:p>
      <w:pPr>
        <w:ind w:left="320"/>
        <w:spacing w:after="0"/>
        <w:rPr>
          <w:sz w:val="20"/>
          <w:szCs w:val="20"/>
          <w:color w:val="auto"/>
        </w:rPr>
      </w:pPr>
      <w:r>
        <w:rPr>
          <w:rFonts w:ascii="Calibri" w:cs="Calibri" w:eastAsia="Calibri" w:hAnsi="Calibri"/>
          <w:sz w:val="18"/>
          <w:szCs w:val="18"/>
          <w:i w:val="1"/>
          <w:iCs w:val="1"/>
          <w:color w:val="4F81BD"/>
        </w:rPr>
        <w:t>Qualifed Permanent Retrement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47</w:t>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If a named executve ofcer’s employment is terminated by reason of a qualifying permanent retrement on or afer March 31 of the frst fscal year of a performance period, unvested performance-based restricted stock units will contnue to vest on the vestng date based on actual achievement of the performance goals as if employment had not terminated. In the event of a retrement occurring prior to March 31 of the frst fscal year of the performance period, or if at any tme if the retrement is not a qualifying permanent retrement, all unvested performance-based restricted stock units will be immediately forfeited.</w:t>
      </w:r>
    </w:p>
    <w:p>
      <w:pPr>
        <w:spacing w:after="0" w:line="155" w:lineRule="exact"/>
        <w:rPr>
          <w:sz w:val="20"/>
          <w:szCs w:val="20"/>
          <w:color w:val="auto"/>
        </w:rPr>
      </w:pPr>
    </w:p>
    <w:p>
      <w:pPr>
        <w:ind w:left="320"/>
        <w:spacing w:after="0"/>
        <w:rPr>
          <w:sz w:val="20"/>
          <w:szCs w:val="20"/>
          <w:color w:val="auto"/>
        </w:rPr>
      </w:pPr>
      <w:r>
        <w:rPr>
          <w:rFonts w:ascii="Calibri" w:cs="Calibri" w:eastAsia="Calibri" w:hAnsi="Calibri"/>
          <w:sz w:val="18"/>
          <w:szCs w:val="18"/>
          <w:i w:val="1"/>
          <w:iCs w:val="1"/>
          <w:color w:val="4F81BD"/>
        </w:rPr>
        <w:t>Any Other Terminaton</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In the event of a named executve ofcer’s terminaton of employment for any reason other than death, disability, a Company approved departure, a qualifed permanent retrement afer the frst fscal year of a performance period (in the case of the performance-based restricted stock units), or cause, unvested optons are immediately forfeited and canceled, and vested optons remain outstanding untl the 90th day following the terminaton date, or if earlier, the opton’s expiraton date, and unvested tme-based restricted stock units and performance-based restricted stock units are immediately forfeited, in each case unless otherwise determined by our Compensaton, Culture and People Commitee.</w:t>
      </w:r>
    </w:p>
    <w:p>
      <w:pPr>
        <w:spacing w:after="0" w:line="155" w:lineRule="exact"/>
        <w:rPr>
          <w:sz w:val="20"/>
          <w:szCs w:val="20"/>
          <w:color w:val="auto"/>
        </w:rPr>
      </w:pPr>
    </w:p>
    <w:p>
      <w:pPr>
        <w:ind w:left="320"/>
        <w:spacing w:after="0"/>
        <w:rPr>
          <w:sz w:val="20"/>
          <w:szCs w:val="20"/>
          <w:color w:val="auto"/>
        </w:rPr>
      </w:pPr>
      <w:r>
        <w:rPr>
          <w:rFonts w:ascii="Calibri" w:cs="Calibri" w:eastAsia="Calibri" w:hAnsi="Calibri"/>
          <w:sz w:val="18"/>
          <w:szCs w:val="18"/>
          <w:i w:val="1"/>
          <w:iCs w:val="1"/>
          <w:color w:val="4F81BD"/>
        </w:rPr>
        <w:t>Non-Competton Agreements</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named executve ofcers are party to agreements that include non-competton, non-solicitaton, and non-recruitment covenants, which generally cover the period during which the executve is employed with us and for one year following terminaton of employment, along with perpetual confdentality covenants. If the named executve ofcer breaches these agreements or otherwise engages in compettve actvity as defned in the Equity Incentve Plan, the Company has the discreton to suspend vestng of all or a porton of any award and/or require the forfeiture or disgorgement to us of any equity award (including gains on the sale of the stock, if any) that vested, or was paid or setled, in the 12 months prior to, or any tme afer, such breach or the date the individual otherwise engaged in such compettve actvity.</w:t>
      </w:r>
    </w:p>
    <w:p>
      <w:pPr>
        <w:spacing w:after="0" w:line="156" w:lineRule="exact"/>
        <w:rPr>
          <w:sz w:val="20"/>
          <w:szCs w:val="20"/>
          <w:color w:val="auto"/>
        </w:rPr>
      </w:pPr>
    </w:p>
    <w:p>
      <w:pPr>
        <w:ind w:left="320"/>
        <w:spacing w:after="0"/>
        <w:rPr>
          <w:sz w:val="20"/>
          <w:szCs w:val="20"/>
          <w:color w:val="auto"/>
        </w:rPr>
      </w:pPr>
      <w:r>
        <w:rPr>
          <w:rFonts w:ascii="Calibri" w:cs="Calibri" w:eastAsia="Calibri" w:hAnsi="Calibri"/>
          <w:sz w:val="18"/>
          <w:szCs w:val="18"/>
          <w:i w:val="1"/>
          <w:iCs w:val="1"/>
          <w:color w:val="547BCC"/>
        </w:rPr>
        <w:t>Change in Control Protectons</w:t>
      </w:r>
    </w:p>
    <w:p>
      <w:pPr>
        <w:spacing w:after="0" w:line="232" w:lineRule="exact"/>
        <w:rPr>
          <w:sz w:val="20"/>
          <w:szCs w:val="20"/>
          <w:color w:val="auto"/>
        </w:rPr>
      </w:pPr>
    </w:p>
    <w:p>
      <w:pPr>
        <w:ind w:left="320"/>
        <w:spacing w:after="0"/>
        <w:rPr>
          <w:sz w:val="20"/>
          <w:szCs w:val="20"/>
          <w:color w:val="auto"/>
        </w:rPr>
      </w:pPr>
      <w:r>
        <w:rPr>
          <w:rFonts w:ascii="Calibri" w:cs="Calibri" w:eastAsia="Calibri" w:hAnsi="Calibri"/>
          <w:sz w:val="18"/>
          <w:szCs w:val="18"/>
          <w:color w:val="666666"/>
        </w:rPr>
        <w:t>We do not have change in control agreements with any of our employees.</w:t>
      </w:r>
    </w:p>
    <w:p>
      <w:pPr>
        <w:spacing w:after="0" w:line="24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Prior to May 2022, under the Equity Incentve Plan, and unless provided otherwise in an award agreement or determined by our Compensaton, Culture and People Commitee, if a change in control occurs, outstanding service-vestng optons will vest immediately prior to the change in control and tme-based restricted stock units will vest upon the change in control. In May 2022, our Compensaton, Culture and People Commitee, based on benchmarking analysis and input from Korn Ferry, approved revisions to the vestng terms in the prospectve award agreements governing the optons and tme-based restricted stock units to provide that, in the event of a change in control, all such optons and tme-based restricted stock units shall remain outstanding and vest on the applicable vestng date, subject to the contnued employment or service of the partcipant by the Company or any subsidiary thereof through such vestng date. If the partcipant’s employment or service is terminated by the Company without “cause” or for “good reason” (in each case, as defned in the applicable award agreement) within two years following the efectve date of the change in control, then the outstanding optons and tme-based restricted stock units will vest as of the terminaton date.</w:t>
      </w:r>
    </w:p>
    <w:p>
      <w:pPr>
        <w:spacing w:after="0" w:line="248"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With respect to performance-based restricted stock units, in the event of a change in control, an amount of restricted stock units equal to the target award will remain outstanding and will vest on the vestng date, subject to the contnued employment or service of the partcipant but without regard to the achievement of any performance goals. If the partcipant's employment or service is terminated by the Company without “cause” or for “good reason” (in each case, as defned in the applicable award agreement) within two years following the efectve date of the change in control, then the outstanding performance-based restricted stock units will vest (at target) as of the terminaton date.</w:t>
      </w:r>
    </w:p>
    <w:p>
      <w:pPr>
        <w:spacing w:after="0" w:line="244"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In additon, if during the fve-year period afer a change in control our executves’ retree medical plan is terminated or modifed in a manner that is materially adverse to our executves, our executves, including our named executve ofcers, will be guaranteed their existng benefts under the plan during such fve-year period and will receive a cash payment equal to the excess of the actuarial cost of the executve’s benefts under the plan that would be accrued on the Company’s fnancial statements on the ffh anniversary of the change in control in the absence of the terminaton or modifcaton over the amount that is accrued on our fnancial statements on the ffh anniversary of the change in control afer giving efect to the terminaton or modifcaton (but excluding the accrual on the payment itself).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48</w:t>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following table presents potental payments to each named executve ofcer as if the named executve ofcer’s employment had been terminated or a change in control had occurred as of the last day of fscal year 2022. If applicable, amounts in the table were calculated using $87.84, the closing fair market value of our common stock on March 31, 2022. The actual amounts that would be paid to any named executve ofcer can only be determined at the tme of an actual terminaton of employment or change in control and would vary from those listed below. The estmated amounts listed below are in additon to any retrement, welfare, and other benefts that are available to our salaried employees generally.</w:t>
      </w:r>
    </w:p>
    <w:p>
      <w:pPr>
        <w:spacing w:after="0" w:line="192" w:lineRule="exact"/>
        <w:rPr>
          <w:sz w:val="20"/>
          <w:szCs w:val="20"/>
          <w:color w:val="auto"/>
        </w:rPr>
      </w:pPr>
    </w:p>
    <w:tbl>
      <w:tblPr>
        <w:tblLayout w:type="fixed"/>
        <w:tblInd w:w="990" w:type="dxa"/>
        <w:tblCellMar>
          <w:top w:w="0" w:type="dxa"/>
          <w:left w:w="0" w:type="dxa"/>
          <w:bottom w:w="0" w:type="dxa"/>
          <w:right w:w="0" w:type="dxa"/>
        </w:tblCellMar>
      </w:tblPr>
      <w:tr>
        <w:trPr>
          <w:trHeight w:val="149"/>
        </w:trPr>
        <w:tc>
          <w:tcPr>
            <w:tcW w:w="2940" w:type="dxa"/>
            <w:vAlign w:val="bottom"/>
            <w:tcBorders>
              <w:top w:val="single" w:sz="8" w:color="auto"/>
              <w:left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spacing w:after="0"/>
              <w:rPr>
                <w:sz w:val="20"/>
                <w:szCs w:val="20"/>
                <w:color w:val="auto"/>
              </w:rPr>
            </w:pPr>
            <w:r>
              <w:rPr>
                <w:rFonts w:ascii="Calibri" w:cs="Calibri" w:eastAsia="Calibri" w:hAnsi="Calibri"/>
                <w:sz w:val="12"/>
                <w:szCs w:val="12"/>
                <w:b w:val="1"/>
                <w:bCs w:val="1"/>
                <w:color w:val="494949"/>
              </w:rPr>
              <w:t>Equity With</w:t>
            </w:r>
          </w:p>
        </w:tc>
        <w:tc>
          <w:tcPr>
            <w:tcW w:w="1160" w:type="dxa"/>
            <w:vAlign w:val="bottom"/>
            <w:tcBorders>
              <w:top w:val="single" w:sz="8" w:color="auto"/>
            </w:tcBorders>
          </w:tcPr>
          <w:p>
            <w:pPr>
              <w:jc w:val="center"/>
              <w:ind w:left="158"/>
              <w:spacing w:after="0"/>
              <w:rPr>
                <w:sz w:val="20"/>
                <w:szCs w:val="20"/>
                <w:color w:val="auto"/>
              </w:rPr>
            </w:pPr>
            <w:r>
              <w:rPr>
                <w:rFonts w:ascii="Calibri" w:cs="Calibri" w:eastAsia="Calibri" w:hAnsi="Calibri"/>
                <w:sz w:val="12"/>
                <w:szCs w:val="12"/>
                <w:b w:val="1"/>
                <w:bCs w:val="1"/>
                <w:color w:val="494949"/>
              </w:rPr>
              <w:t>Retrement</w:t>
            </w:r>
          </w:p>
        </w:tc>
        <w:tc>
          <w:tcPr>
            <w:tcW w:w="1000" w:type="dxa"/>
            <w:vAlign w:val="bottom"/>
            <w:tcBorders>
              <w:top w:val="single" w:sz="8" w:color="auto"/>
            </w:tcBorders>
          </w:tcPr>
          <w:p>
            <w:pPr>
              <w:jc w:val="center"/>
              <w:spacing w:after="0"/>
              <w:rPr>
                <w:sz w:val="20"/>
                <w:szCs w:val="20"/>
                <w:color w:val="auto"/>
              </w:rPr>
            </w:pPr>
            <w:r>
              <w:rPr>
                <w:rFonts w:ascii="Calibri" w:cs="Calibri" w:eastAsia="Calibri" w:hAnsi="Calibri"/>
                <w:sz w:val="12"/>
                <w:szCs w:val="12"/>
                <w:b w:val="1"/>
                <w:bCs w:val="1"/>
                <w:color w:val="494949"/>
              </w:rPr>
              <w:t>Death and</w:t>
            </w: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spacing w:after="0"/>
              <w:rPr>
                <w:sz w:val="20"/>
                <w:szCs w:val="20"/>
                <w:color w:val="auto"/>
              </w:rPr>
            </w:pPr>
            <w:r>
              <w:rPr>
                <w:rFonts w:ascii="Calibri" w:cs="Calibri" w:eastAsia="Calibri" w:hAnsi="Calibri"/>
                <w:sz w:val="12"/>
                <w:szCs w:val="12"/>
                <w:b w:val="1"/>
                <w:bCs w:val="1"/>
                <w:color w:val="494949"/>
              </w:rPr>
              <w:t>Contnued</w:t>
            </w: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r>
      <w:tr>
        <w:trPr>
          <w:trHeight w:val="120"/>
        </w:trPr>
        <w:tc>
          <w:tcPr>
            <w:tcW w:w="2940" w:type="dxa"/>
            <w:vAlign w:val="bottom"/>
            <w:tcBorders>
              <w:left w:val="single" w:sz="8" w:color="auto"/>
            </w:tcBorders>
          </w:tcPr>
          <w:p>
            <w:pPr>
              <w:spacing w:after="0"/>
              <w:rPr>
                <w:sz w:val="10"/>
                <w:szCs w:val="10"/>
                <w:color w:val="auto"/>
              </w:rPr>
            </w:pPr>
          </w:p>
        </w:tc>
        <w:tc>
          <w:tcPr>
            <w:tcW w:w="820" w:type="dxa"/>
            <w:vAlign w:val="bottom"/>
          </w:tcPr>
          <w:p>
            <w:pPr>
              <w:jc w:val="center"/>
              <w:spacing w:after="0" w:line="120" w:lineRule="exact"/>
              <w:rPr>
                <w:sz w:val="20"/>
                <w:szCs w:val="20"/>
                <w:color w:val="auto"/>
              </w:rPr>
            </w:pPr>
            <w:r>
              <w:rPr>
                <w:rFonts w:ascii="Calibri" w:cs="Calibri" w:eastAsia="Calibri" w:hAnsi="Calibri"/>
                <w:sz w:val="12"/>
                <w:szCs w:val="12"/>
                <w:b w:val="1"/>
                <w:bCs w:val="1"/>
                <w:color w:val="494949"/>
              </w:rPr>
              <w:t>Severance</w:t>
            </w:r>
          </w:p>
        </w:tc>
        <w:tc>
          <w:tcPr>
            <w:tcW w:w="1000" w:type="dxa"/>
            <w:vAlign w:val="bottom"/>
          </w:tcPr>
          <w:p>
            <w:pPr>
              <w:jc w:val="center"/>
              <w:spacing w:after="0" w:line="120" w:lineRule="exact"/>
              <w:rPr>
                <w:sz w:val="20"/>
                <w:szCs w:val="20"/>
                <w:color w:val="auto"/>
              </w:rPr>
            </w:pPr>
            <w:r>
              <w:rPr>
                <w:rFonts w:ascii="Calibri" w:cs="Calibri" w:eastAsia="Calibri" w:hAnsi="Calibri"/>
                <w:sz w:val="12"/>
                <w:szCs w:val="12"/>
                <w:b w:val="1"/>
                <w:bCs w:val="1"/>
                <w:color w:val="494949"/>
              </w:rPr>
              <w:t>Accelerated</w:t>
            </w:r>
          </w:p>
        </w:tc>
        <w:tc>
          <w:tcPr>
            <w:tcW w:w="1160" w:type="dxa"/>
            <w:vAlign w:val="bottom"/>
          </w:tcPr>
          <w:p>
            <w:pPr>
              <w:jc w:val="center"/>
              <w:ind w:left="178"/>
              <w:spacing w:after="0" w:line="120" w:lineRule="exact"/>
              <w:rPr>
                <w:sz w:val="20"/>
                <w:szCs w:val="20"/>
                <w:color w:val="auto"/>
              </w:rPr>
            </w:pPr>
            <w:r>
              <w:rPr>
                <w:rFonts w:ascii="Calibri" w:cs="Calibri" w:eastAsia="Calibri" w:hAnsi="Calibri"/>
                <w:sz w:val="12"/>
                <w:szCs w:val="12"/>
                <w:b w:val="1"/>
                <w:bCs w:val="1"/>
                <w:color w:val="494949"/>
              </w:rPr>
              <w:t>Plan</w:t>
            </w:r>
          </w:p>
        </w:tc>
        <w:tc>
          <w:tcPr>
            <w:tcW w:w="1000" w:type="dxa"/>
            <w:vAlign w:val="bottom"/>
          </w:tcPr>
          <w:p>
            <w:pPr>
              <w:jc w:val="center"/>
              <w:spacing w:after="0" w:line="120" w:lineRule="exact"/>
              <w:rPr>
                <w:sz w:val="20"/>
                <w:szCs w:val="20"/>
                <w:color w:val="auto"/>
              </w:rPr>
            </w:pPr>
            <w:r>
              <w:rPr>
                <w:rFonts w:ascii="Calibri" w:cs="Calibri" w:eastAsia="Calibri" w:hAnsi="Calibri"/>
                <w:sz w:val="12"/>
                <w:szCs w:val="12"/>
                <w:b w:val="1"/>
                <w:bCs w:val="1"/>
                <w:color w:val="494949"/>
              </w:rPr>
              <w:t>Disability</w:t>
            </w:r>
          </w:p>
        </w:tc>
        <w:tc>
          <w:tcPr>
            <w:tcW w:w="260" w:type="dxa"/>
            <w:vAlign w:val="bottom"/>
          </w:tcPr>
          <w:p>
            <w:pPr>
              <w:spacing w:after="0"/>
              <w:rPr>
                <w:sz w:val="10"/>
                <w:szCs w:val="10"/>
                <w:color w:val="auto"/>
              </w:rPr>
            </w:pPr>
          </w:p>
        </w:tc>
        <w:tc>
          <w:tcPr>
            <w:tcW w:w="1000" w:type="dxa"/>
            <w:vAlign w:val="bottom"/>
          </w:tcPr>
          <w:p>
            <w:pPr>
              <w:jc w:val="center"/>
              <w:spacing w:after="0" w:line="120" w:lineRule="exact"/>
              <w:rPr>
                <w:sz w:val="20"/>
                <w:szCs w:val="20"/>
                <w:color w:val="auto"/>
              </w:rPr>
            </w:pPr>
            <w:r>
              <w:rPr>
                <w:rFonts w:ascii="Calibri" w:cs="Calibri" w:eastAsia="Calibri" w:hAnsi="Calibri"/>
                <w:sz w:val="12"/>
                <w:szCs w:val="12"/>
                <w:b w:val="1"/>
                <w:bCs w:val="1"/>
                <w:color w:val="494949"/>
              </w:rPr>
              <w:t>Perquisites</w:t>
            </w:r>
          </w:p>
        </w:tc>
        <w:tc>
          <w:tcPr>
            <w:tcW w:w="28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r>
      <w:tr>
        <w:trPr>
          <w:trHeight w:val="186"/>
        </w:trPr>
        <w:tc>
          <w:tcPr>
            <w:tcW w:w="2940" w:type="dxa"/>
            <w:vAlign w:val="bottom"/>
            <w:tcBorders>
              <w:left w:val="single" w:sz="8" w:color="auto"/>
            </w:tcBorders>
          </w:tcPr>
          <w:p>
            <w:pPr>
              <w:spacing w:after="0"/>
              <w:rPr>
                <w:sz w:val="16"/>
                <w:szCs w:val="16"/>
                <w:color w:val="auto"/>
              </w:rPr>
            </w:pPr>
          </w:p>
        </w:tc>
        <w:tc>
          <w:tcPr>
            <w:tcW w:w="820" w:type="dxa"/>
            <w:vAlign w:val="bottom"/>
          </w:tcPr>
          <w:p>
            <w:pPr>
              <w:jc w:val="center"/>
              <w:spacing w:after="0" w:line="186" w:lineRule="exact"/>
              <w:rPr>
                <w:sz w:val="20"/>
                <w:szCs w:val="20"/>
                <w:color w:val="auto"/>
              </w:rPr>
            </w:pPr>
            <w:r>
              <w:rPr>
                <w:rFonts w:ascii="Calibri" w:cs="Calibri" w:eastAsia="Calibri" w:hAnsi="Calibri"/>
                <w:sz w:val="12"/>
                <w:szCs w:val="12"/>
                <w:b w:val="1"/>
                <w:bCs w:val="1"/>
                <w:color w:val="494949"/>
                <w:w w:val="91"/>
              </w:rPr>
              <w:t xml:space="preserve">Pay </w:t>
            </w:r>
            <w:r>
              <w:rPr>
                <w:rFonts w:ascii="Calibri" w:cs="Calibri" w:eastAsia="Calibri" w:hAnsi="Calibri"/>
                <w:sz w:val="16"/>
                <w:szCs w:val="16"/>
                <w:b w:val="1"/>
                <w:bCs w:val="1"/>
                <w:color w:val="494949"/>
                <w:w w:val="91"/>
                <w:vertAlign w:val="superscript"/>
              </w:rPr>
              <w:t>1</w:t>
            </w:r>
          </w:p>
        </w:tc>
        <w:tc>
          <w:tcPr>
            <w:tcW w:w="1000" w:type="dxa"/>
            <w:vAlign w:val="bottom"/>
          </w:tcPr>
          <w:p>
            <w:pPr>
              <w:jc w:val="center"/>
              <w:spacing w:after="0" w:line="186" w:lineRule="exact"/>
              <w:rPr>
                <w:sz w:val="20"/>
                <w:szCs w:val="20"/>
                <w:color w:val="auto"/>
              </w:rPr>
            </w:pPr>
            <w:r>
              <w:rPr>
                <w:rFonts w:ascii="Calibri" w:cs="Calibri" w:eastAsia="Calibri" w:hAnsi="Calibri"/>
                <w:sz w:val="12"/>
                <w:szCs w:val="12"/>
                <w:b w:val="1"/>
                <w:bCs w:val="1"/>
                <w:color w:val="494949"/>
                <w:w w:val="99"/>
              </w:rPr>
              <w:t xml:space="preserve">Vestng </w:t>
            </w:r>
            <w:r>
              <w:rPr>
                <w:rFonts w:ascii="Calibri" w:cs="Calibri" w:eastAsia="Calibri" w:hAnsi="Calibri"/>
                <w:sz w:val="16"/>
                <w:szCs w:val="16"/>
                <w:b w:val="1"/>
                <w:bCs w:val="1"/>
                <w:color w:val="494949"/>
                <w:w w:val="99"/>
                <w:vertAlign w:val="superscript"/>
              </w:rPr>
              <w:t>2</w:t>
            </w:r>
          </w:p>
        </w:tc>
        <w:tc>
          <w:tcPr>
            <w:tcW w:w="1160" w:type="dxa"/>
            <w:vAlign w:val="bottom"/>
          </w:tcPr>
          <w:p>
            <w:pPr>
              <w:jc w:val="center"/>
              <w:ind w:left="158"/>
              <w:spacing w:after="0" w:line="186" w:lineRule="exact"/>
              <w:rPr>
                <w:sz w:val="20"/>
                <w:szCs w:val="20"/>
                <w:color w:val="auto"/>
              </w:rPr>
            </w:pPr>
            <w:r>
              <w:rPr>
                <w:rFonts w:ascii="Calibri" w:cs="Calibri" w:eastAsia="Calibri" w:hAnsi="Calibri"/>
                <w:sz w:val="12"/>
                <w:szCs w:val="12"/>
                <w:b w:val="1"/>
                <w:bCs w:val="1"/>
                <w:color w:val="494949"/>
              </w:rPr>
              <w:t>Benefts</w:t>
            </w:r>
            <w:r>
              <w:rPr>
                <w:rFonts w:ascii="Calibri" w:cs="Calibri" w:eastAsia="Calibri" w:hAnsi="Calibri"/>
                <w:sz w:val="16"/>
                <w:szCs w:val="16"/>
                <w:b w:val="1"/>
                <w:bCs w:val="1"/>
                <w:color w:val="494949"/>
                <w:vertAlign w:val="superscript"/>
              </w:rPr>
              <w:t>3</w:t>
            </w: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494949"/>
              </w:rPr>
              <w:t>Benefts</w:t>
            </w:r>
          </w:p>
        </w:tc>
        <w:tc>
          <w:tcPr>
            <w:tcW w:w="2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494949"/>
              </w:rPr>
              <w:t>and Benefts</w:t>
            </w:r>
          </w:p>
        </w:tc>
        <w:tc>
          <w:tcPr>
            <w:tcW w:w="280" w:type="dxa"/>
            <w:vAlign w:val="bottom"/>
          </w:tcPr>
          <w:p>
            <w:pPr>
              <w:spacing w:after="0"/>
              <w:rPr>
                <w:sz w:val="16"/>
                <w:szCs w:val="16"/>
                <w:color w:val="auto"/>
              </w:rPr>
            </w:pPr>
          </w:p>
        </w:tc>
        <w:tc>
          <w:tcPr>
            <w:tcW w:w="840" w:type="dxa"/>
            <w:vAlign w:val="bottom"/>
            <w:tcBorders>
              <w:right w:val="single" w:sz="8" w:color="auto"/>
            </w:tcBorders>
          </w:tcPr>
          <w:p>
            <w:pPr>
              <w:jc w:val="right"/>
              <w:ind w:right="278"/>
              <w:spacing w:after="0"/>
              <w:rPr>
                <w:sz w:val="20"/>
                <w:szCs w:val="20"/>
                <w:color w:val="auto"/>
              </w:rPr>
            </w:pPr>
            <w:r>
              <w:rPr>
                <w:rFonts w:ascii="Calibri" w:cs="Calibri" w:eastAsia="Calibri" w:hAnsi="Calibri"/>
                <w:sz w:val="12"/>
                <w:szCs w:val="12"/>
                <w:b w:val="1"/>
                <w:bCs w:val="1"/>
                <w:color w:val="494949"/>
              </w:rPr>
              <w:t>Total</w:t>
            </w:r>
          </w:p>
        </w:tc>
      </w:tr>
      <w:tr>
        <w:trPr>
          <w:trHeight w:val="147"/>
        </w:trPr>
        <w:tc>
          <w:tcPr>
            <w:tcW w:w="2940" w:type="dxa"/>
            <w:vAlign w:val="bottom"/>
            <w:tcBorders>
              <w:left w:val="single" w:sz="8" w:color="auto"/>
            </w:tcBorders>
          </w:tcPr>
          <w:p>
            <w:pPr>
              <w:ind w:left="40"/>
              <w:spacing w:after="0"/>
              <w:rPr>
                <w:sz w:val="20"/>
                <w:szCs w:val="20"/>
                <w:color w:val="auto"/>
              </w:rPr>
            </w:pPr>
            <w:r>
              <w:rPr>
                <w:rFonts w:ascii="Calibri" w:cs="Calibri" w:eastAsia="Calibri" w:hAnsi="Calibri"/>
                <w:sz w:val="12"/>
                <w:szCs w:val="12"/>
                <w:b w:val="1"/>
                <w:bCs w:val="1"/>
                <w:color w:val="494949"/>
              </w:rPr>
              <w:t>Name</w:t>
            </w:r>
          </w:p>
        </w:tc>
        <w:tc>
          <w:tcPr>
            <w:tcW w:w="820" w:type="dxa"/>
            <w:vAlign w:val="bottom"/>
          </w:tcPr>
          <w:p>
            <w:pPr>
              <w:jc w:val="center"/>
              <w:spacing w:after="0"/>
              <w:rPr>
                <w:sz w:val="20"/>
                <w:szCs w:val="20"/>
                <w:color w:val="auto"/>
              </w:rPr>
            </w:pPr>
            <w:r>
              <w:rPr>
                <w:rFonts w:ascii="Calibri" w:cs="Calibri" w:eastAsia="Calibri" w:hAnsi="Calibri"/>
                <w:sz w:val="12"/>
                <w:szCs w:val="12"/>
                <w:b w:val="1"/>
                <w:bCs w:val="1"/>
                <w:color w:val="494949"/>
              </w:rPr>
              <w:t>($)</w:t>
            </w: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494949"/>
              </w:rPr>
              <w:t>($)</w:t>
            </w:r>
          </w:p>
        </w:tc>
        <w:tc>
          <w:tcPr>
            <w:tcW w:w="1160" w:type="dxa"/>
            <w:vAlign w:val="bottom"/>
          </w:tcPr>
          <w:p>
            <w:pPr>
              <w:jc w:val="center"/>
              <w:ind w:left="158"/>
              <w:spacing w:after="0"/>
              <w:rPr>
                <w:sz w:val="20"/>
                <w:szCs w:val="20"/>
                <w:color w:val="auto"/>
              </w:rPr>
            </w:pPr>
            <w:r>
              <w:rPr>
                <w:rFonts w:ascii="Calibri" w:cs="Calibri" w:eastAsia="Calibri" w:hAnsi="Calibri"/>
                <w:sz w:val="12"/>
                <w:szCs w:val="12"/>
                <w:b w:val="1"/>
                <w:bCs w:val="1"/>
                <w:color w:val="494949"/>
              </w:rPr>
              <w:t>($)</w:t>
            </w: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494949"/>
              </w:rPr>
              <w:t>($)</w:t>
            </w:r>
          </w:p>
        </w:tc>
        <w:tc>
          <w:tcPr>
            <w:tcW w:w="2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494949"/>
              </w:rPr>
              <w:t>($)</w:t>
            </w:r>
          </w:p>
        </w:tc>
        <w:tc>
          <w:tcPr>
            <w:tcW w:w="280" w:type="dxa"/>
            <w:vAlign w:val="bottom"/>
          </w:tcPr>
          <w:p>
            <w:pPr>
              <w:spacing w:after="0"/>
              <w:rPr>
                <w:sz w:val="12"/>
                <w:szCs w:val="12"/>
                <w:color w:val="auto"/>
              </w:rPr>
            </w:pP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494949"/>
              </w:rPr>
              <w:t>($)</w:t>
            </w:r>
          </w:p>
        </w:tc>
      </w:tr>
      <w:tr>
        <w:trPr>
          <w:trHeight w:val="30"/>
        </w:trPr>
        <w:tc>
          <w:tcPr>
            <w:tcW w:w="294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r>
      <w:tr>
        <w:trPr>
          <w:trHeight w:val="150"/>
        </w:trPr>
        <w:tc>
          <w:tcPr>
            <w:tcW w:w="2940" w:type="dxa"/>
            <w:vAlign w:val="bottom"/>
            <w:tcBorders>
              <w:left w:val="single" w:sz="8" w:color="auto"/>
            </w:tcBorders>
            <w:shd w:val="clear" w:color="auto" w:fill="CCEEFF"/>
          </w:tcPr>
          <w:p>
            <w:pPr>
              <w:ind w:left="40"/>
              <w:spacing w:after="0"/>
              <w:rPr>
                <w:sz w:val="20"/>
                <w:szCs w:val="20"/>
                <w:color w:val="auto"/>
              </w:rPr>
            </w:pPr>
            <w:r>
              <w:rPr>
                <w:rFonts w:ascii="Calibri" w:cs="Calibri" w:eastAsia="Calibri" w:hAnsi="Calibri"/>
                <w:sz w:val="12"/>
                <w:szCs w:val="12"/>
                <w:b w:val="1"/>
                <w:bCs w:val="1"/>
                <w:color w:val="494949"/>
              </w:rPr>
              <w:t>Horacio D. Rozanski</w:t>
            </w:r>
          </w:p>
        </w:tc>
        <w:tc>
          <w:tcPr>
            <w:tcW w:w="8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tcBorders>
              <w:right w:val="single" w:sz="8" w:color="auto"/>
            </w:tcBorders>
            <w:shd w:val="clear" w:color="auto" w:fill="CCEEFF"/>
          </w:tcPr>
          <w:p>
            <w:pPr>
              <w:spacing w:after="0"/>
              <w:rPr>
                <w:sz w:val="13"/>
                <w:szCs w:val="13"/>
                <w:color w:val="auto"/>
              </w:rPr>
            </w:pPr>
          </w:p>
        </w:tc>
      </w:tr>
      <w:tr>
        <w:trPr>
          <w:trHeight w:val="173"/>
        </w:trPr>
        <w:tc>
          <w:tcPr>
            <w:tcW w:w="2940" w:type="dxa"/>
            <w:vAlign w:val="bottom"/>
            <w:tcBorders>
              <w:left w:val="single" w:sz="8" w:color="auto"/>
            </w:tcBorders>
            <w:shd w:val="clear" w:color="auto" w:fill="CCEEFF"/>
          </w:tcPr>
          <w:p>
            <w:pPr>
              <w:ind w:left="360"/>
              <w:spacing w:after="0"/>
              <w:rPr>
                <w:sz w:val="20"/>
                <w:szCs w:val="20"/>
                <w:color w:val="auto"/>
              </w:rPr>
            </w:pPr>
            <w:r>
              <w:rPr>
                <w:rFonts w:ascii="Calibri" w:cs="Calibri" w:eastAsia="Calibri" w:hAnsi="Calibri"/>
                <w:sz w:val="12"/>
                <w:szCs w:val="12"/>
                <w:color w:val="494949"/>
              </w:rPr>
              <w:t>Death</w:t>
            </w:r>
          </w:p>
        </w:tc>
        <w:tc>
          <w:tcPr>
            <w:tcW w:w="82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12,446,137</w:t>
            </w:r>
          </w:p>
        </w:tc>
        <w:tc>
          <w:tcPr>
            <w:tcW w:w="1160" w:type="dxa"/>
            <w:vAlign w:val="bottom"/>
            <w:shd w:val="clear" w:color="auto" w:fill="CCEEFF"/>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2,125,000</w:t>
            </w:r>
          </w:p>
        </w:tc>
        <w:tc>
          <w:tcPr>
            <w:tcW w:w="260" w:type="dxa"/>
            <w:vAlign w:val="bottom"/>
            <w:shd w:val="clear" w:color="auto" w:fill="CCEEFF"/>
          </w:tcPr>
          <w:p>
            <w:pPr>
              <w:jc w:val="right"/>
              <w:ind w:right="38"/>
              <w:spacing w:after="0"/>
              <w:rPr>
                <w:sz w:val="20"/>
                <w:szCs w:val="20"/>
                <w:color w:val="auto"/>
              </w:rPr>
            </w:pPr>
            <w:r>
              <w:rPr>
                <w:rFonts w:ascii="Calibri" w:cs="Calibri" w:eastAsia="Calibri" w:hAnsi="Calibri"/>
                <w:sz w:val="12"/>
                <w:szCs w:val="12"/>
                <w:color w:val="494949"/>
              </w:rPr>
              <w:t>4</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280" w:type="dxa"/>
            <w:vAlign w:val="bottom"/>
            <w:shd w:val="clear" w:color="auto" w:fill="CCEEFF"/>
          </w:tcPr>
          <w:p>
            <w:pPr>
              <w:spacing w:after="0"/>
              <w:rPr>
                <w:sz w:val="15"/>
                <w:szCs w:val="15"/>
                <w:color w:val="auto"/>
              </w:rPr>
            </w:pPr>
          </w:p>
        </w:tc>
        <w:tc>
          <w:tcPr>
            <w:tcW w:w="840" w:type="dxa"/>
            <w:vAlign w:val="bottom"/>
            <w:tcBorders>
              <w:right w:val="single" w:sz="8" w:color="auto"/>
            </w:tcBorders>
            <w:shd w:val="clear" w:color="auto" w:fill="CCEEFF"/>
          </w:tcPr>
          <w:p>
            <w:pPr>
              <w:jc w:val="right"/>
              <w:ind w:right="18"/>
              <w:spacing w:after="0"/>
              <w:rPr>
                <w:sz w:val="20"/>
                <w:szCs w:val="20"/>
                <w:color w:val="auto"/>
              </w:rPr>
            </w:pPr>
            <w:r>
              <w:rPr>
                <w:rFonts w:ascii="Calibri" w:cs="Calibri" w:eastAsia="Calibri" w:hAnsi="Calibri"/>
                <w:sz w:val="12"/>
                <w:szCs w:val="12"/>
                <w:color w:val="494949"/>
              </w:rPr>
              <w:t>14,571,137</w:t>
            </w:r>
          </w:p>
        </w:tc>
      </w:tr>
      <w:tr>
        <w:trPr>
          <w:trHeight w:val="173"/>
        </w:trPr>
        <w:tc>
          <w:tcPr>
            <w:tcW w:w="2940" w:type="dxa"/>
            <w:vAlign w:val="bottom"/>
            <w:tcBorders>
              <w:left w:val="single" w:sz="8" w:color="auto"/>
            </w:tcBorders>
            <w:shd w:val="clear" w:color="auto" w:fill="CCEEFF"/>
          </w:tcPr>
          <w:p>
            <w:pPr>
              <w:ind w:left="360"/>
              <w:spacing w:after="0"/>
              <w:rPr>
                <w:sz w:val="20"/>
                <w:szCs w:val="20"/>
                <w:color w:val="auto"/>
              </w:rPr>
            </w:pPr>
            <w:r>
              <w:rPr>
                <w:rFonts w:ascii="Calibri" w:cs="Calibri" w:eastAsia="Calibri" w:hAnsi="Calibri"/>
                <w:sz w:val="12"/>
                <w:szCs w:val="12"/>
                <w:color w:val="494949"/>
              </w:rPr>
              <w:t>Disability</w:t>
            </w:r>
          </w:p>
        </w:tc>
        <w:tc>
          <w:tcPr>
            <w:tcW w:w="82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w w:val="91"/>
              </w:rPr>
              <w:t>—</w:t>
            </w:r>
          </w:p>
        </w:tc>
        <w:tc>
          <w:tcPr>
            <w:tcW w:w="1160" w:type="dxa"/>
            <w:vAlign w:val="bottom"/>
            <w:shd w:val="clear" w:color="auto" w:fill="CCEEFF"/>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2,732,372</w:t>
            </w:r>
          </w:p>
        </w:tc>
        <w:tc>
          <w:tcPr>
            <w:tcW w:w="260" w:type="dxa"/>
            <w:vAlign w:val="bottom"/>
            <w:shd w:val="clear" w:color="auto" w:fill="CCEEFF"/>
          </w:tcPr>
          <w:p>
            <w:pPr>
              <w:jc w:val="right"/>
              <w:ind w:right="38"/>
              <w:spacing w:after="0"/>
              <w:rPr>
                <w:sz w:val="20"/>
                <w:szCs w:val="20"/>
                <w:color w:val="auto"/>
              </w:rPr>
            </w:pPr>
            <w:r>
              <w:rPr>
                <w:rFonts w:ascii="Calibri" w:cs="Calibri" w:eastAsia="Calibri" w:hAnsi="Calibri"/>
                <w:sz w:val="12"/>
                <w:szCs w:val="12"/>
                <w:color w:val="494949"/>
              </w:rPr>
              <w:t>5</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1,207,128</w:t>
            </w:r>
          </w:p>
        </w:tc>
        <w:tc>
          <w:tcPr>
            <w:tcW w:w="280" w:type="dxa"/>
            <w:vAlign w:val="bottom"/>
            <w:shd w:val="clear" w:color="auto" w:fill="CCEEFF"/>
          </w:tcPr>
          <w:p>
            <w:pPr>
              <w:jc w:val="right"/>
              <w:ind w:right="138"/>
              <w:spacing w:after="0"/>
              <w:rPr>
                <w:sz w:val="20"/>
                <w:szCs w:val="20"/>
                <w:color w:val="auto"/>
              </w:rPr>
            </w:pPr>
            <w:r>
              <w:rPr>
                <w:rFonts w:ascii="Calibri" w:cs="Calibri" w:eastAsia="Calibri" w:hAnsi="Calibri"/>
                <w:sz w:val="12"/>
                <w:szCs w:val="12"/>
                <w:color w:val="494949"/>
                <w:w w:val="97"/>
              </w:rPr>
              <w:t>6</w:t>
            </w:r>
          </w:p>
        </w:tc>
        <w:tc>
          <w:tcPr>
            <w:tcW w:w="840" w:type="dxa"/>
            <w:vAlign w:val="bottom"/>
            <w:tcBorders>
              <w:right w:val="single" w:sz="8" w:color="auto"/>
            </w:tcBorders>
            <w:shd w:val="clear" w:color="auto" w:fill="CCEEFF"/>
          </w:tcPr>
          <w:p>
            <w:pPr>
              <w:jc w:val="right"/>
              <w:ind w:right="18"/>
              <w:spacing w:after="0"/>
              <w:rPr>
                <w:sz w:val="20"/>
                <w:szCs w:val="20"/>
                <w:color w:val="auto"/>
              </w:rPr>
            </w:pPr>
            <w:r>
              <w:rPr>
                <w:rFonts w:ascii="Calibri" w:cs="Calibri" w:eastAsia="Calibri" w:hAnsi="Calibri"/>
                <w:sz w:val="12"/>
                <w:szCs w:val="12"/>
                <w:color w:val="494949"/>
              </w:rPr>
              <w:t>3,939,500</w:t>
            </w:r>
          </w:p>
        </w:tc>
      </w:tr>
      <w:tr>
        <w:trPr>
          <w:trHeight w:val="173"/>
        </w:trPr>
        <w:tc>
          <w:tcPr>
            <w:tcW w:w="2940" w:type="dxa"/>
            <w:vAlign w:val="bottom"/>
            <w:tcBorders>
              <w:left w:val="single" w:sz="8" w:color="auto"/>
            </w:tcBorders>
            <w:shd w:val="clear" w:color="auto" w:fill="CCEEFF"/>
          </w:tcPr>
          <w:p>
            <w:pPr>
              <w:ind w:left="360"/>
              <w:spacing w:after="0"/>
              <w:rPr>
                <w:sz w:val="20"/>
                <w:szCs w:val="20"/>
                <w:color w:val="auto"/>
              </w:rPr>
            </w:pPr>
            <w:r>
              <w:rPr>
                <w:rFonts w:ascii="Calibri" w:cs="Calibri" w:eastAsia="Calibri" w:hAnsi="Calibri"/>
                <w:sz w:val="12"/>
                <w:szCs w:val="12"/>
                <w:color w:val="494949"/>
              </w:rPr>
              <w:t>Involuntary Terminaton</w:t>
            </w:r>
          </w:p>
        </w:tc>
        <w:tc>
          <w:tcPr>
            <w:tcW w:w="82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1,500,000</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w w:val="91"/>
              </w:rPr>
              <w:t>—</w:t>
            </w:r>
          </w:p>
        </w:tc>
        <w:tc>
          <w:tcPr>
            <w:tcW w:w="1160" w:type="dxa"/>
            <w:vAlign w:val="bottom"/>
            <w:shd w:val="clear" w:color="auto" w:fill="CCEEFF"/>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30,000</w:t>
            </w:r>
          </w:p>
        </w:tc>
        <w:tc>
          <w:tcPr>
            <w:tcW w:w="280" w:type="dxa"/>
            <w:vAlign w:val="bottom"/>
            <w:shd w:val="clear" w:color="auto" w:fill="CCEEFF"/>
          </w:tcPr>
          <w:p>
            <w:pPr>
              <w:jc w:val="right"/>
              <w:ind w:right="138"/>
              <w:spacing w:after="0"/>
              <w:rPr>
                <w:sz w:val="20"/>
                <w:szCs w:val="20"/>
                <w:color w:val="auto"/>
              </w:rPr>
            </w:pPr>
            <w:r>
              <w:rPr>
                <w:rFonts w:ascii="Calibri" w:cs="Calibri" w:eastAsia="Calibri" w:hAnsi="Calibri"/>
                <w:sz w:val="12"/>
                <w:szCs w:val="12"/>
                <w:color w:val="494949"/>
                <w:w w:val="97"/>
              </w:rPr>
              <w:t>7</w:t>
            </w:r>
          </w:p>
        </w:tc>
        <w:tc>
          <w:tcPr>
            <w:tcW w:w="840" w:type="dxa"/>
            <w:vAlign w:val="bottom"/>
            <w:tcBorders>
              <w:right w:val="single" w:sz="8" w:color="auto"/>
            </w:tcBorders>
            <w:shd w:val="clear" w:color="auto" w:fill="CCEEFF"/>
          </w:tcPr>
          <w:p>
            <w:pPr>
              <w:jc w:val="right"/>
              <w:ind w:right="18"/>
              <w:spacing w:after="0"/>
              <w:rPr>
                <w:sz w:val="20"/>
                <w:szCs w:val="20"/>
                <w:color w:val="auto"/>
              </w:rPr>
            </w:pPr>
            <w:r>
              <w:rPr>
                <w:rFonts w:ascii="Calibri" w:cs="Calibri" w:eastAsia="Calibri" w:hAnsi="Calibri"/>
                <w:sz w:val="12"/>
                <w:szCs w:val="12"/>
                <w:color w:val="494949"/>
              </w:rPr>
              <w:t>1,530,000</w:t>
            </w:r>
          </w:p>
        </w:tc>
      </w:tr>
      <w:tr>
        <w:trPr>
          <w:trHeight w:val="196"/>
        </w:trPr>
        <w:tc>
          <w:tcPr>
            <w:tcW w:w="2940" w:type="dxa"/>
            <w:vAlign w:val="bottom"/>
            <w:tcBorders>
              <w:left w:val="single" w:sz="8" w:color="auto"/>
            </w:tcBorders>
            <w:shd w:val="clear" w:color="auto" w:fill="CCEEFF"/>
          </w:tcPr>
          <w:p>
            <w:pPr>
              <w:ind w:left="360"/>
              <w:spacing w:after="0"/>
              <w:rPr>
                <w:sz w:val="20"/>
                <w:szCs w:val="20"/>
                <w:color w:val="auto"/>
              </w:rPr>
            </w:pPr>
            <w:r>
              <w:rPr>
                <w:rFonts w:ascii="Calibri" w:cs="Calibri" w:eastAsia="Calibri" w:hAnsi="Calibri"/>
                <w:sz w:val="12"/>
                <w:szCs w:val="12"/>
                <w:color w:val="494949"/>
              </w:rPr>
              <w:t xml:space="preserve">Retrement </w:t>
            </w:r>
            <w:r>
              <w:rPr>
                <w:rFonts w:ascii="Calibri" w:cs="Calibri" w:eastAsia="Calibri" w:hAnsi="Calibri"/>
                <w:sz w:val="16"/>
                <w:szCs w:val="16"/>
                <w:color w:val="494949"/>
                <w:vertAlign w:val="superscript"/>
              </w:rPr>
              <w:t>10</w:t>
            </w:r>
          </w:p>
        </w:tc>
        <w:tc>
          <w:tcPr>
            <w:tcW w:w="82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w w:val="91"/>
              </w:rPr>
              <w:t>—</w:t>
            </w:r>
          </w:p>
        </w:tc>
        <w:tc>
          <w:tcPr>
            <w:tcW w:w="1160" w:type="dxa"/>
            <w:vAlign w:val="bottom"/>
            <w:shd w:val="clear" w:color="auto" w:fill="CCEEFF"/>
          </w:tcPr>
          <w:p>
            <w:pPr>
              <w:jc w:val="center"/>
              <w:ind w:left="158"/>
              <w:spacing w:after="0"/>
              <w:rPr>
                <w:sz w:val="20"/>
                <w:szCs w:val="20"/>
                <w:color w:val="auto"/>
              </w:rPr>
            </w:pPr>
            <w:r>
              <w:rPr>
                <w:rFonts w:ascii="Calibri" w:cs="Calibri" w:eastAsia="Calibri" w:hAnsi="Calibri"/>
                <w:sz w:val="12"/>
                <w:szCs w:val="12"/>
                <w:color w:val="494949"/>
              </w:rPr>
              <w:t>225,000</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1,291,723</w:t>
            </w:r>
          </w:p>
        </w:tc>
        <w:tc>
          <w:tcPr>
            <w:tcW w:w="280" w:type="dxa"/>
            <w:vAlign w:val="bottom"/>
            <w:shd w:val="clear" w:color="auto" w:fill="CCEEFF"/>
          </w:tcPr>
          <w:p>
            <w:pPr>
              <w:jc w:val="right"/>
              <w:ind w:right="138"/>
              <w:spacing w:after="0"/>
              <w:rPr>
                <w:sz w:val="20"/>
                <w:szCs w:val="20"/>
                <w:color w:val="auto"/>
              </w:rPr>
            </w:pPr>
            <w:r>
              <w:rPr>
                <w:rFonts w:ascii="Calibri" w:cs="Calibri" w:eastAsia="Calibri" w:hAnsi="Calibri"/>
                <w:sz w:val="12"/>
                <w:szCs w:val="12"/>
                <w:color w:val="494949"/>
                <w:w w:val="97"/>
              </w:rPr>
              <w:t>8</w:t>
            </w:r>
          </w:p>
        </w:tc>
        <w:tc>
          <w:tcPr>
            <w:tcW w:w="840" w:type="dxa"/>
            <w:vAlign w:val="bottom"/>
            <w:tcBorders>
              <w:right w:val="single" w:sz="8" w:color="auto"/>
            </w:tcBorders>
            <w:shd w:val="clear" w:color="auto" w:fill="CCEEFF"/>
          </w:tcPr>
          <w:p>
            <w:pPr>
              <w:jc w:val="right"/>
              <w:ind w:right="18"/>
              <w:spacing w:after="0"/>
              <w:rPr>
                <w:sz w:val="20"/>
                <w:szCs w:val="20"/>
                <w:color w:val="auto"/>
              </w:rPr>
            </w:pPr>
            <w:r>
              <w:rPr>
                <w:rFonts w:ascii="Calibri" w:cs="Calibri" w:eastAsia="Calibri" w:hAnsi="Calibri"/>
                <w:sz w:val="12"/>
                <w:szCs w:val="12"/>
                <w:color w:val="494949"/>
              </w:rPr>
              <w:t>1,516,723</w:t>
            </w:r>
          </w:p>
        </w:tc>
      </w:tr>
      <w:tr>
        <w:trPr>
          <w:trHeight w:val="150"/>
        </w:trPr>
        <w:tc>
          <w:tcPr>
            <w:tcW w:w="2940" w:type="dxa"/>
            <w:vAlign w:val="bottom"/>
            <w:tcBorders>
              <w:left w:val="single" w:sz="8" w:color="auto"/>
            </w:tcBorders>
            <w:shd w:val="clear" w:color="auto" w:fill="CCEEFF"/>
          </w:tcPr>
          <w:p>
            <w:pPr>
              <w:ind w:left="360"/>
              <w:spacing w:after="0"/>
              <w:rPr>
                <w:sz w:val="20"/>
                <w:szCs w:val="20"/>
                <w:color w:val="auto"/>
              </w:rPr>
            </w:pPr>
            <w:r>
              <w:rPr>
                <w:rFonts w:ascii="Calibri" w:cs="Calibri" w:eastAsia="Calibri" w:hAnsi="Calibri"/>
                <w:sz w:val="12"/>
                <w:szCs w:val="12"/>
                <w:color w:val="494949"/>
              </w:rPr>
              <w:t>Voluntary Resignaton</w:t>
            </w:r>
          </w:p>
        </w:tc>
        <w:tc>
          <w:tcPr>
            <w:tcW w:w="82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w w:val="91"/>
              </w:rPr>
              <w:t>—</w:t>
            </w:r>
          </w:p>
        </w:tc>
        <w:tc>
          <w:tcPr>
            <w:tcW w:w="1160" w:type="dxa"/>
            <w:vAlign w:val="bottom"/>
            <w:shd w:val="clear" w:color="auto" w:fill="CCEEFF"/>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280" w:type="dxa"/>
            <w:vAlign w:val="bottom"/>
            <w:shd w:val="clear" w:color="auto" w:fill="CCEEFF"/>
          </w:tcPr>
          <w:p>
            <w:pPr>
              <w:spacing w:after="0"/>
              <w:rPr>
                <w:sz w:val="13"/>
                <w:szCs w:val="13"/>
                <w:color w:val="auto"/>
              </w:rPr>
            </w:pPr>
          </w:p>
        </w:tc>
        <w:tc>
          <w:tcPr>
            <w:tcW w:w="840" w:type="dxa"/>
            <w:vAlign w:val="bottom"/>
            <w:tcBorders>
              <w:right w:val="single" w:sz="8" w:color="auto"/>
            </w:tcBorders>
            <w:shd w:val="clear" w:color="auto" w:fill="CCEEFF"/>
          </w:tcPr>
          <w:p>
            <w:pPr>
              <w:jc w:val="center"/>
              <w:ind w:right="18"/>
              <w:spacing w:after="0"/>
              <w:rPr>
                <w:sz w:val="20"/>
                <w:szCs w:val="20"/>
                <w:color w:val="auto"/>
              </w:rPr>
            </w:pPr>
            <w:r>
              <w:rPr>
                <w:rFonts w:ascii="Calibri" w:cs="Calibri" w:eastAsia="Calibri" w:hAnsi="Calibri"/>
                <w:sz w:val="12"/>
                <w:szCs w:val="12"/>
                <w:color w:val="494949"/>
              </w:rPr>
              <w:t>—</w:t>
            </w:r>
          </w:p>
        </w:tc>
      </w:tr>
      <w:tr>
        <w:trPr>
          <w:trHeight w:val="173"/>
        </w:trPr>
        <w:tc>
          <w:tcPr>
            <w:tcW w:w="2940" w:type="dxa"/>
            <w:vAlign w:val="bottom"/>
            <w:tcBorders>
              <w:left w:val="single" w:sz="8" w:color="auto"/>
            </w:tcBorders>
            <w:shd w:val="clear" w:color="auto" w:fill="CCEEFF"/>
          </w:tcPr>
          <w:p>
            <w:pPr>
              <w:ind w:left="360"/>
              <w:spacing w:after="0"/>
              <w:rPr>
                <w:sz w:val="20"/>
                <w:szCs w:val="20"/>
                <w:color w:val="auto"/>
              </w:rPr>
            </w:pPr>
            <w:r>
              <w:rPr>
                <w:rFonts w:ascii="Calibri" w:cs="Calibri" w:eastAsia="Calibri" w:hAnsi="Calibri"/>
                <w:sz w:val="12"/>
                <w:szCs w:val="12"/>
                <w:color w:val="494949"/>
              </w:rPr>
              <w:t>Terminaton for Cause</w:t>
            </w:r>
          </w:p>
        </w:tc>
        <w:tc>
          <w:tcPr>
            <w:tcW w:w="82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w w:val="91"/>
              </w:rPr>
              <w:t>—</w:t>
            </w:r>
          </w:p>
        </w:tc>
        <w:tc>
          <w:tcPr>
            <w:tcW w:w="1160" w:type="dxa"/>
            <w:vAlign w:val="bottom"/>
            <w:shd w:val="clear" w:color="auto" w:fill="CCEEFF"/>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280" w:type="dxa"/>
            <w:vAlign w:val="bottom"/>
            <w:shd w:val="clear" w:color="auto" w:fill="CCEEFF"/>
          </w:tcPr>
          <w:p>
            <w:pPr>
              <w:spacing w:after="0"/>
              <w:rPr>
                <w:sz w:val="15"/>
                <w:szCs w:val="15"/>
                <w:color w:val="auto"/>
              </w:rPr>
            </w:pPr>
          </w:p>
        </w:tc>
        <w:tc>
          <w:tcPr>
            <w:tcW w:w="840" w:type="dxa"/>
            <w:vAlign w:val="bottom"/>
            <w:tcBorders>
              <w:right w:val="single" w:sz="8" w:color="auto"/>
            </w:tcBorders>
            <w:shd w:val="clear" w:color="auto" w:fill="CCEEFF"/>
          </w:tcPr>
          <w:p>
            <w:pPr>
              <w:jc w:val="center"/>
              <w:ind w:right="18"/>
              <w:spacing w:after="0"/>
              <w:rPr>
                <w:sz w:val="20"/>
                <w:szCs w:val="20"/>
                <w:color w:val="auto"/>
              </w:rPr>
            </w:pPr>
            <w:r>
              <w:rPr>
                <w:rFonts w:ascii="Calibri" w:cs="Calibri" w:eastAsia="Calibri" w:hAnsi="Calibri"/>
                <w:sz w:val="12"/>
                <w:szCs w:val="12"/>
                <w:color w:val="494949"/>
              </w:rPr>
              <w:t>—</w:t>
            </w:r>
          </w:p>
        </w:tc>
      </w:tr>
      <w:tr>
        <w:trPr>
          <w:trHeight w:val="173"/>
        </w:trPr>
        <w:tc>
          <w:tcPr>
            <w:tcW w:w="2940" w:type="dxa"/>
            <w:vAlign w:val="bottom"/>
            <w:tcBorders>
              <w:left w:val="single" w:sz="8" w:color="auto"/>
            </w:tcBorders>
            <w:shd w:val="clear" w:color="auto" w:fill="CCEEFF"/>
          </w:tcPr>
          <w:p>
            <w:pPr>
              <w:ind w:left="360"/>
              <w:spacing w:after="0"/>
              <w:rPr>
                <w:sz w:val="20"/>
                <w:szCs w:val="20"/>
                <w:color w:val="auto"/>
              </w:rPr>
            </w:pPr>
            <w:r>
              <w:rPr>
                <w:rFonts w:ascii="Calibri" w:cs="Calibri" w:eastAsia="Calibri" w:hAnsi="Calibri"/>
                <w:sz w:val="12"/>
                <w:szCs w:val="12"/>
                <w:color w:val="494949"/>
              </w:rPr>
              <w:t>Change-In-Control</w:t>
            </w:r>
          </w:p>
        </w:tc>
        <w:tc>
          <w:tcPr>
            <w:tcW w:w="82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2,248,177</w:t>
            </w:r>
          </w:p>
        </w:tc>
        <w:tc>
          <w:tcPr>
            <w:tcW w:w="1160" w:type="dxa"/>
            <w:vAlign w:val="bottom"/>
            <w:shd w:val="clear" w:color="auto" w:fill="CCEEFF"/>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1,207,128</w:t>
            </w:r>
          </w:p>
        </w:tc>
        <w:tc>
          <w:tcPr>
            <w:tcW w:w="280" w:type="dxa"/>
            <w:vAlign w:val="bottom"/>
            <w:shd w:val="clear" w:color="auto" w:fill="CCEEFF"/>
          </w:tcPr>
          <w:p>
            <w:pPr>
              <w:jc w:val="right"/>
              <w:ind w:right="138"/>
              <w:spacing w:after="0"/>
              <w:rPr>
                <w:sz w:val="20"/>
                <w:szCs w:val="20"/>
                <w:color w:val="auto"/>
              </w:rPr>
            </w:pPr>
            <w:r>
              <w:rPr>
                <w:rFonts w:ascii="Calibri" w:cs="Calibri" w:eastAsia="Calibri" w:hAnsi="Calibri"/>
                <w:sz w:val="12"/>
                <w:szCs w:val="12"/>
                <w:color w:val="494949"/>
                <w:w w:val="97"/>
              </w:rPr>
              <w:t>9</w:t>
            </w:r>
          </w:p>
        </w:tc>
        <w:tc>
          <w:tcPr>
            <w:tcW w:w="840" w:type="dxa"/>
            <w:vAlign w:val="bottom"/>
            <w:tcBorders>
              <w:right w:val="single" w:sz="8" w:color="auto"/>
            </w:tcBorders>
            <w:shd w:val="clear" w:color="auto" w:fill="CCEEFF"/>
          </w:tcPr>
          <w:p>
            <w:pPr>
              <w:jc w:val="right"/>
              <w:ind w:right="18"/>
              <w:spacing w:after="0"/>
              <w:rPr>
                <w:sz w:val="20"/>
                <w:szCs w:val="20"/>
                <w:color w:val="auto"/>
              </w:rPr>
            </w:pPr>
            <w:r>
              <w:rPr>
                <w:rFonts w:ascii="Calibri" w:cs="Calibri" w:eastAsia="Calibri" w:hAnsi="Calibri"/>
                <w:sz w:val="12"/>
                <w:szCs w:val="12"/>
                <w:color w:val="494949"/>
              </w:rPr>
              <w:t>3,455,305</w:t>
            </w:r>
          </w:p>
        </w:tc>
      </w:tr>
      <w:tr>
        <w:trPr>
          <w:trHeight w:val="176"/>
        </w:trPr>
        <w:tc>
          <w:tcPr>
            <w:tcW w:w="2940" w:type="dxa"/>
            <w:vAlign w:val="bottom"/>
            <w:tcBorders>
              <w:left w:val="single" w:sz="8" w:color="auto"/>
              <w:bottom w:val="single" w:sz="8" w:color="CCEEFF"/>
            </w:tcBorders>
            <w:shd w:val="clear" w:color="auto" w:fill="CCEEFF"/>
          </w:tcPr>
          <w:p>
            <w:pPr>
              <w:ind w:left="360"/>
              <w:spacing w:after="0"/>
              <w:rPr>
                <w:sz w:val="20"/>
                <w:szCs w:val="20"/>
                <w:color w:val="auto"/>
              </w:rPr>
            </w:pPr>
            <w:r>
              <w:rPr>
                <w:rFonts w:ascii="Calibri" w:cs="Calibri" w:eastAsia="Calibri" w:hAnsi="Calibri"/>
                <w:sz w:val="12"/>
                <w:szCs w:val="12"/>
                <w:color w:val="494949"/>
              </w:rPr>
              <w:t>Involuntary Terminaton Afer Change-In-Control</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Calibri" w:cs="Calibri" w:eastAsia="Calibri" w:hAnsi="Calibri"/>
                <w:sz w:val="12"/>
                <w:szCs w:val="12"/>
                <w:color w:val="494949"/>
              </w:rPr>
              <w:t>10,197,960</w:t>
            </w:r>
          </w:p>
        </w:tc>
        <w:tc>
          <w:tcPr>
            <w:tcW w:w="1160" w:type="dxa"/>
            <w:vAlign w:val="bottom"/>
            <w:tcBorders>
              <w:bottom w:val="single" w:sz="8" w:color="CCEEFF"/>
            </w:tcBorders>
            <w:shd w:val="clear" w:color="auto" w:fill="CCEEFF"/>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2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right w:val="single" w:sz="8" w:color="auto"/>
            </w:tcBorders>
            <w:shd w:val="clear" w:color="auto" w:fill="CCEEFF"/>
          </w:tcPr>
          <w:p>
            <w:pPr>
              <w:jc w:val="right"/>
              <w:ind w:right="18"/>
              <w:spacing w:after="0"/>
              <w:rPr>
                <w:sz w:val="20"/>
                <w:szCs w:val="20"/>
                <w:color w:val="auto"/>
              </w:rPr>
            </w:pPr>
            <w:r>
              <w:rPr>
                <w:rFonts w:ascii="Calibri" w:cs="Calibri" w:eastAsia="Calibri" w:hAnsi="Calibri"/>
                <w:sz w:val="12"/>
                <w:szCs w:val="12"/>
                <w:color w:val="494949"/>
              </w:rPr>
              <w:t>10,197,960</w:t>
            </w:r>
          </w:p>
        </w:tc>
      </w:tr>
      <w:tr>
        <w:trPr>
          <w:trHeight w:val="150"/>
        </w:trPr>
        <w:tc>
          <w:tcPr>
            <w:tcW w:w="2940" w:type="dxa"/>
            <w:vAlign w:val="bottom"/>
            <w:tcBorders>
              <w:left w:val="single" w:sz="8" w:color="auto"/>
            </w:tcBorders>
          </w:tcPr>
          <w:p>
            <w:pPr>
              <w:ind w:left="40"/>
              <w:spacing w:after="0"/>
              <w:rPr>
                <w:sz w:val="20"/>
                <w:szCs w:val="20"/>
                <w:color w:val="auto"/>
              </w:rPr>
            </w:pPr>
            <w:r>
              <w:rPr>
                <w:rFonts w:ascii="Calibri" w:cs="Calibri" w:eastAsia="Calibri" w:hAnsi="Calibri"/>
                <w:sz w:val="12"/>
                <w:szCs w:val="12"/>
                <w:b w:val="1"/>
                <w:bCs w:val="1"/>
                <w:color w:val="494949"/>
              </w:rPr>
              <w:t>Lloyd W. Howell, Jr.</w:t>
            </w: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r>
      <w:tr>
        <w:trPr>
          <w:trHeight w:val="173"/>
        </w:trPr>
        <w:tc>
          <w:tcPr>
            <w:tcW w:w="2940" w:type="dxa"/>
            <w:vAlign w:val="bottom"/>
            <w:tcBorders>
              <w:left w:val="single" w:sz="8" w:color="auto"/>
            </w:tcBorders>
          </w:tcPr>
          <w:p>
            <w:pPr>
              <w:ind w:left="360"/>
              <w:spacing w:after="0"/>
              <w:rPr>
                <w:sz w:val="20"/>
                <w:szCs w:val="20"/>
                <w:color w:val="auto"/>
              </w:rPr>
            </w:pPr>
            <w:r>
              <w:rPr>
                <w:rFonts w:ascii="Calibri" w:cs="Calibri" w:eastAsia="Calibri" w:hAnsi="Calibri"/>
                <w:sz w:val="12"/>
                <w:szCs w:val="12"/>
                <w:color w:val="494949"/>
              </w:rPr>
              <w:t>Death</w:t>
            </w:r>
          </w:p>
        </w:tc>
        <w:tc>
          <w:tcPr>
            <w:tcW w:w="82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3,420,841</w:t>
            </w:r>
          </w:p>
        </w:tc>
        <w:tc>
          <w:tcPr>
            <w:tcW w:w="1160" w:type="dxa"/>
            <w:vAlign w:val="bottom"/>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2,085,417</w:t>
            </w:r>
          </w:p>
        </w:tc>
        <w:tc>
          <w:tcPr>
            <w:tcW w:w="260" w:type="dxa"/>
            <w:vAlign w:val="bottom"/>
          </w:tcPr>
          <w:p>
            <w:pPr>
              <w:jc w:val="right"/>
              <w:ind w:right="38"/>
              <w:spacing w:after="0"/>
              <w:rPr>
                <w:sz w:val="20"/>
                <w:szCs w:val="20"/>
                <w:color w:val="auto"/>
              </w:rPr>
            </w:pPr>
            <w:r>
              <w:rPr>
                <w:rFonts w:ascii="Calibri" w:cs="Calibri" w:eastAsia="Calibri" w:hAnsi="Calibri"/>
                <w:sz w:val="12"/>
                <w:szCs w:val="12"/>
                <w:color w:val="494949"/>
              </w:rPr>
              <w:t>4</w:t>
            </w: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280" w:type="dxa"/>
            <w:vAlign w:val="bottom"/>
          </w:tcPr>
          <w:p>
            <w:pPr>
              <w:spacing w:after="0"/>
              <w:rPr>
                <w:sz w:val="15"/>
                <w:szCs w:val="15"/>
                <w:color w:val="auto"/>
              </w:rPr>
            </w:pPr>
          </w:p>
        </w:tc>
        <w:tc>
          <w:tcPr>
            <w:tcW w:w="840" w:type="dxa"/>
            <w:vAlign w:val="bottom"/>
            <w:tcBorders>
              <w:right w:val="single" w:sz="8" w:color="auto"/>
            </w:tcBorders>
          </w:tcPr>
          <w:p>
            <w:pPr>
              <w:jc w:val="right"/>
              <w:ind w:right="18"/>
              <w:spacing w:after="0"/>
              <w:rPr>
                <w:sz w:val="20"/>
                <w:szCs w:val="20"/>
                <w:color w:val="auto"/>
              </w:rPr>
            </w:pPr>
            <w:r>
              <w:rPr>
                <w:rFonts w:ascii="Calibri" w:cs="Calibri" w:eastAsia="Calibri" w:hAnsi="Calibri"/>
                <w:sz w:val="12"/>
                <w:szCs w:val="12"/>
                <w:color w:val="494949"/>
              </w:rPr>
              <w:t>5,506,258</w:t>
            </w:r>
          </w:p>
        </w:tc>
      </w:tr>
      <w:tr>
        <w:trPr>
          <w:trHeight w:val="173"/>
        </w:trPr>
        <w:tc>
          <w:tcPr>
            <w:tcW w:w="2940" w:type="dxa"/>
            <w:vAlign w:val="bottom"/>
            <w:tcBorders>
              <w:left w:val="single" w:sz="8" w:color="auto"/>
            </w:tcBorders>
          </w:tcPr>
          <w:p>
            <w:pPr>
              <w:ind w:left="360"/>
              <w:spacing w:after="0"/>
              <w:rPr>
                <w:sz w:val="20"/>
                <w:szCs w:val="20"/>
                <w:color w:val="auto"/>
              </w:rPr>
            </w:pPr>
            <w:r>
              <w:rPr>
                <w:rFonts w:ascii="Calibri" w:cs="Calibri" w:eastAsia="Calibri" w:hAnsi="Calibri"/>
                <w:sz w:val="12"/>
                <w:szCs w:val="12"/>
                <w:color w:val="494949"/>
              </w:rPr>
              <w:t>Disability</w:t>
            </w:r>
          </w:p>
        </w:tc>
        <w:tc>
          <w:tcPr>
            <w:tcW w:w="82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tcPr>
          <w:p>
            <w:pPr>
              <w:jc w:val="center"/>
              <w:spacing w:after="0"/>
              <w:rPr>
                <w:sz w:val="20"/>
                <w:szCs w:val="20"/>
                <w:color w:val="auto"/>
              </w:rPr>
            </w:pPr>
            <w:r>
              <w:rPr>
                <w:rFonts w:ascii="Calibri" w:cs="Calibri" w:eastAsia="Calibri" w:hAnsi="Calibri"/>
                <w:sz w:val="12"/>
                <w:szCs w:val="12"/>
                <w:color w:val="494949"/>
                <w:w w:val="91"/>
              </w:rPr>
              <w:t>—</w:t>
            </w:r>
          </w:p>
        </w:tc>
        <w:tc>
          <w:tcPr>
            <w:tcW w:w="1160" w:type="dxa"/>
            <w:vAlign w:val="bottom"/>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2,573,429</w:t>
            </w:r>
          </w:p>
        </w:tc>
        <w:tc>
          <w:tcPr>
            <w:tcW w:w="260" w:type="dxa"/>
            <w:vAlign w:val="bottom"/>
          </w:tcPr>
          <w:p>
            <w:pPr>
              <w:jc w:val="right"/>
              <w:ind w:right="38"/>
              <w:spacing w:after="0"/>
              <w:rPr>
                <w:sz w:val="20"/>
                <w:szCs w:val="20"/>
                <w:color w:val="auto"/>
              </w:rPr>
            </w:pPr>
            <w:r>
              <w:rPr>
                <w:rFonts w:ascii="Calibri" w:cs="Calibri" w:eastAsia="Calibri" w:hAnsi="Calibri"/>
                <w:sz w:val="12"/>
                <w:szCs w:val="12"/>
                <w:color w:val="494949"/>
              </w:rPr>
              <w:t>5</w:t>
            </w: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1,127,799</w:t>
            </w:r>
          </w:p>
        </w:tc>
        <w:tc>
          <w:tcPr>
            <w:tcW w:w="280" w:type="dxa"/>
            <w:vAlign w:val="bottom"/>
          </w:tcPr>
          <w:p>
            <w:pPr>
              <w:jc w:val="right"/>
              <w:ind w:right="138"/>
              <w:spacing w:after="0"/>
              <w:rPr>
                <w:sz w:val="20"/>
                <w:szCs w:val="20"/>
                <w:color w:val="auto"/>
              </w:rPr>
            </w:pPr>
            <w:r>
              <w:rPr>
                <w:rFonts w:ascii="Calibri" w:cs="Calibri" w:eastAsia="Calibri" w:hAnsi="Calibri"/>
                <w:sz w:val="12"/>
                <w:szCs w:val="12"/>
                <w:color w:val="494949"/>
                <w:w w:val="97"/>
              </w:rPr>
              <w:t>6</w:t>
            </w:r>
          </w:p>
        </w:tc>
        <w:tc>
          <w:tcPr>
            <w:tcW w:w="840" w:type="dxa"/>
            <w:vAlign w:val="bottom"/>
            <w:tcBorders>
              <w:right w:val="single" w:sz="8" w:color="auto"/>
            </w:tcBorders>
          </w:tcPr>
          <w:p>
            <w:pPr>
              <w:jc w:val="right"/>
              <w:ind w:right="18"/>
              <w:spacing w:after="0"/>
              <w:rPr>
                <w:sz w:val="20"/>
                <w:szCs w:val="20"/>
                <w:color w:val="auto"/>
              </w:rPr>
            </w:pPr>
            <w:r>
              <w:rPr>
                <w:rFonts w:ascii="Calibri" w:cs="Calibri" w:eastAsia="Calibri" w:hAnsi="Calibri"/>
                <w:sz w:val="12"/>
                <w:szCs w:val="12"/>
                <w:color w:val="494949"/>
              </w:rPr>
              <w:t>3,701,228</w:t>
            </w:r>
          </w:p>
        </w:tc>
      </w:tr>
      <w:tr>
        <w:trPr>
          <w:trHeight w:val="173"/>
        </w:trPr>
        <w:tc>
          <w:tcPr>
            <w:tcW w:w="2940" w:type="dxa"/>
            <w:vAlign w:val="bottom"/>
            <w:tcBorders>
              <w:left w:val="single" w:sz="8" w:color="auto"/>
            </w:tcBorders>
          </w:tcPr>
          <w:p>
            <w:pPr>
              <w:ind w:left="360"/>
              <w:spacing w:after="0"/>
              <w:rPr>
                <w:sz w:val="20"/>
                <w:szCs w:val="20"/>
                <w:color w:val="auto"/>
              </w:rPr>
            </w:pPr>
            <w:r>
              <w:rPr>
                <w:rFonts w:ascii="Calibri" w:cs="Calibri" w:eastAsia="Calibri" w:hAnsi="Calibri"/>
                <w:sz w:val="12"/>
                <w:szCs w:val="12"/>
                <w:color w:val="494949"/>
              </w:rPr>
              <w:t>Involuntary Terminaton</w:t>
            </w:r>
          </w:p>
        </w:tc>
        <w:tc>
          <w:tcPr>
            <w:tcW w:w="820" w:type="dxa"/>
            <w:vAlign w:val="bottom"/>
          </w:tcPr>
          <w:p>
            <w:pPr>
              <w:jc w:val="center"/>
              <w:spacing w:after="0"/>
              <w:rPr>
                <w:sz w:val="20"/>
                <w:szCs w:val="20"/>
                <w:color w:val="auto"/>
              </w:rPr>
            </w:pPr>
            <w:r>
              <w:rPr>
                <w:rFonts w:ascii="Calibri" w:cs="Calibri" w:eastAsia="Calibri" w:hAnsi="Calibri"/>
                <w:sz w:val="12"/>
                <w:szCs w:val="12"/>
                <w:color w:val="494949"/>
              </w:rPr>
              <w:t>1,025,000</w:t>
            </w:r>
          </w:p>
        </w:tc>
        <w:tc>
          <w:tcPr>
            <w:tcW w:w="1000" w:type="dxa"/>
            <w:vAlign w:val="bottom"/>
          </w:tcPr>
          <w:p>
            <w:pPr>
              <w:jc w:val="center"/>
              <w:spacing w:after="0"/>
              <w:rPr>
                <w:sz w:val="20"/>
                <w:szCs w:val="20"/>
                <w:color w:val="auto"/>
              </w:rPr>
            </w:pPr>
            <w:r>
              <w:rPr>
                <w:rFonts w:ascii="Calibri" w:cs="Calibri" w:eastAsia="Calibri" w:hAnsi="Calibri"/>
                <w:sz w:val="12"/>
                <w:szCs w:val="12"/>
                <w:color w:val="494949"/>
                <w:w w:val="91"/>
              </w:rPr>
              <w:t>—</w:t>
            </w:r>
          </w:p>
        </w:tc>
        <w:tc>
          <w:tcPr>
            <w:tcW w:w="1160" w:type="dxa"/>
            <w:vAlign w:val="bottom"/>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2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30,000</w:t>
            </w:r>
          </w:p>
        </w:tc>
        <w:tc>
          <w:tcPr>
            <w:tcW w:w="280" w:type="dxa"/>
            <w:vAlign w:val="bottom"/>
          </w:tcPr>
          <w:p>
            <w:pPr>
              <w:jc w:val="right"/>
              <w:ind w:right="138"/>
              <w:spacing w:after="0"/>
              <w:rPr>
                <w:sz w:val="20"/>
                <w:szCs w:val="20"/>
                <w:color w:val="auto"/>
              </w:rPr>
            </w:pPr>
            <w:r>
              <w:rPr>
                <w:rFonts w:ascii="Calibri" w:cs="Calibri" w:eastAsia="Calibri" w:hAnsi="Calibri"/>
                <w:sz w:val="12"/>
                <w:szCs w:val="12"/>
                <w:color w:val="494949"/>
                <w:w w:val="97"/>
              </w:rPr>
              <w:t>7</w:t>
            </w:r>
          </w:p>
        </w:tc>
        <w:tc>
          <w:tcPr>
            <w:tcW w:w="840" w:type="dxa"/>
            <w:vAlign w:val="bottom"/>
            <w:tcBorders>
              <w:right w:val="single" w:sz="8" w:color="auto"/>
            </w:tcBorders>
          </w:tcPr>
          <w:p>
            <w:pPr>
              <w:jc w:val="right"/>
              <w:ind w:right="18"/>
              <w:spacing w:after="0"/>
              <w:rPr>
                <w:sz w:val="20"/>
                <w:szCs w:val="20"/>
                <w:color w:val="auto"/>
              </w:rPr>
            </w:pPr>
            <w:r>
              <w:rPr>
                <w:rFonts w:ascii="Calibri" w:cs="Calibri" w:eastAsia="Calibri" w:hAnsi="Calibri"/>
                <w:sz w:val="12"/>
                <w:szCs w:val="12"/>
                <w:color w:val="494949"/>
              </w:rPr>
              <w:t>1,055,000</w:t>
            </w:r>
          </w:p>
        </w:tc>
      </w:tr>
      <w:tr>
        <w:trPr>
          <w:trHeight w:val="198"/>
        </w:trPr>
        <w:tc>
          <w:tcPr>
            <w:tcW w:w="2940" w:type="dxa"/>
            <w:vAlign w:val="bottom"/>
            <w:tcBorders>
              <w:left w:val="single" w:sz="8" w:color="auto"/>
            </w:tcBorders>
          </w:tcPr>
          <w:p>
            <w:pPr>
              <w:ind w:left="360"/>
              <w:spacing w:after="0"/>
              <w:rPr>
                <w:sz w:val="20"/>
                <w:szCs w:val="20"/>
                <w:color w:val="auto"/>
              </w:rPr>
            </w:pPr>
            <w:r>
              <w:rPr>
                <w:rFonts w:ascii="Calibri" w:cs="Calibri" w:eastAsia="Calibri" w:hAnsi="Calibri"/>
                <w:sz w:val="12"/>
                <w:szCs w:val="12"/>
                <w:color w:val="494949"/>
              </w:rPr>
              <w:t xml:space="preserve">Retrement </w:t>
            </w:r>
            <w:r>
              <w:rPr>
                <w:rFonts w:ascii="Calibri" w:cs="Calibri" w:eastAsia="Calibri" w:hAnsi="Calibri"/>
                <w:sz w:val="16"/>
                <w:szCs w:val="16"/>
                <w:color w:val="494949"/>
                <w:vertAlign w:val="superscript"/>
              </w:rPr>
              <w:t>10</w:t>
            </w:r>
          </w:p>
        </w:tc>
        <w:tc>
          <w:tcPr>
            <w:tcW w:w="82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tcPr>
          <w:p>
            <w:pPr>
              <w:jc w:val="center"/>
              <w:spacing w:after="0"/>
              <w:rPr>
                <w:sz w:val="20"/>
                <w:szCs w:val="20"/>
                <w:color w:val="auto"/>
              </w:rPr>
            </w:pPr>
            <w:r>
              <w:rPr>
                <w:rFonts w:ascii="Calibri" w:cs="Calibri" w:eastAsia="Calibri" w:hAnsi="Calibri"/>
                <w:sz w:val="12"/>
                <w:szCs w:val="12"/>
                <w:color w:val="494949"/>
                <w:w w:val="91"/>
              </w:rPr>
              <w:t>—</w:t>
            </w:r>
          </w:p>
        </w:tc>
        <w:tc>
          <w:tcPr>
            <w:tcW w:w="1160" w:type="dxa"/>
            <w:vAlign w:val="bottom"/>
          </w:tcPr>
          <w:p>
            <w:pPr>
              <w:jc w:val="center"/>
              <w:ind w:left="158"/>
              <w:spacing w:after="0"/>
              <w:rPr>
                <w:sz w:val="20"/>
                <w:szCs w:val="20"/>
                <w:color w:val="auto"/>
              </w:rPr>
            </w:pPr>
            <w:r>
              <w:rPr>
                <w:rFonts w:ascii="Calibri" w:cs="Calibri" w:eastAsia="Calibri" w:hAnsi="Calibri"/>
                <w:sz w:val="12"/>
                <w:szCs w:val="12"/>
                <w:color w:val="494949"/>
              </w:rPr>
              <w:t>215,000</w:t>
            </w: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2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1,210,174</w:t>
            </w:r>
          </w:p>
        </w:tc>
        <w:tc>
          <w:tcPr>
            <w:tcW w:w="280" w:type="dxa"/>
            <w:vAlign w:val="bottom"/>
          </w:tcPr>
          <w:p>
            <w:pPr>
              <w:jc w:val="right"/>
              <w:ind w:right="138"/>
              <w:spacing w:after="0"/>
              <w:rPr>
                <w:sz w:val="20"/>
                <w:szCs w:val="20"/>
                <w:color w:val="auto"/>
              </w:rPr>
            </w:pPr>
            <w:r>
              <w:rPr>
                <w:rFonts w:ascii="Calibri" w:cs="Calibri" w:eastAsia="Calibri" w:hAnsi="Calibri"/>
                <w:sz w:val="12"/>
                <w:szCs w:val="12"/>
                <w:color w:val="494949"/>
                <w:w w:val="97"/>
              </w:rPr>
              <w:t>8</w:t>
            </w:r>
          </w:p>
        </w:tc>
        <w:tc>
          <w:tcPr>
            <w:tcW w:w="840" w:type="dxa"/>
            <w:vAlign w:val="bottom"/>
            <w:tcBorders>
              <w:right w:val="single" w:sz="8" w:color="auto"/>
            </w:tcBorders>
          </w:tcPr>
          <w:p>
            <w:pPr>
              <w:jc w:val="right"/>
              <w:ind w:right="18"/>
              <w:spacing w:after="0"/>
              <w:rPr>
                <w:sz w:val="20"/>
                <w:szCs w:val="20"/>
                <w:color w:val="auto"/>
              </w:rPr>
            </w:pPr>
            <w:r>
              <w:rPr>
                <w:rFonts w:ascii="Calibri" w:cs="Calibri" w:eastAsia="Calibri" w:hAnsi="Calibri"/>
                <w:sz w:val="12"/>
                <w:szCs w:val="12"/>
                <w:color w:val="494949"/>
              </w:rPr>
              <w:t>1,425,174</w:t>
            </w:r>
          </w:p>
        </w:tc>
      </w:tr>
      <w:tr>
        <w:trPr>
          <w:trHeight w:val="147"/>
        </w:trPr>
        <w:tc>
          <w:tcPr>
            <w:tcW w:w="2940" w:type="dxa"/>
            <w:vAlign w:val="bottom"/>
            <w:tcBorders>
              <w:left w:val="single" w:sz="8" w:color="auto"/>
            </w:tcBorders>
          </w:tcPr>
          <w:p>
            <w:pPr>
              <w:ind w:left="360"/>
              <w:spacing w:after="0"/>
              <w:rPr>
                <w:sz w:val="20"/>
                <w:szCs w:val="20"/>
                <w:color w:val="auto"/>
              </w:rPr>
            </w:pPr>
            <w:r>
              <w:rPr>
                <w:rFonts w:ascii="Calibri" w:cs="Calibri" w:eastAsia="Calibri" w:hAnsi="Calibri"/>
                <w:sz w:val="12"/>
                <w:szCs w:val="12"/>
                <w:color w:val="494949"/>
              </w:rPr>
              <w:t>Voluntary Resignaton</w:t>
            </w:r>
          </w:p>
        </w:tc>
        <w:tc>
          <w:tcPr>
            <w:tcW w:w="82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tcPr>
          <w:p>
            <w:pPr>
              <w:jc w:val="center"/>
              <w:spacing w:after="0"/>
              <w:rPr>
                <w:sz w:val="20"/>
                <w:szCs w:val="20"/>
                <w:color w:val="auto"/>
              </w:rPr>
            </w:pPr>
            <w:r>
              <w:rPr>
                <w:rFonts w:ascii="Calibri" w:cs="Calibri" w:eastAsia="Calibri" w:hAnsi="Calibri"/>
                <w:sz w:val="12"/>
                <w:szCs w:val="12"/>
                <w:color w:val="494949"/>
                <w:w w:val="91"/>
              </w:rPr>
              <w:t>—</w:t>
            </w:r>
          </w:p>
        </w:tc>
        <w:tc>
          <w:tcPr>
            <w:tcW w:w="1160" w:type="dxa"/>
            <w:vAlign w:val="bottom"/>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2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280" w:type="dxa"/>
            <w:vAlign w:val="bottom"/>
          </w:tcPr>
          <w:p>
            <w:pPr>
              <w:spacing w:after="0"/>
              <w:rPr>
                <w:sz w:val="12"/>
                <w:szCs w:val="12"/>
                <w:color w:val="auto"/>
              </w:rPr>
            </w:pPr>
          </w:p>
        </w:tc>
        <w:tc>
          <w:tcPr>
            <w:tcW w:w="840" w:type="dxa"/>
            <w:vAlign w:val="bottom"/>
            <w:tcBorders>
              <w:right w:val="single" w:sz="8" w:color="auto"/>
            </w:tcBorders>
          </w:tcPr>
          <w:p>
            <w:pPr>
              <w:jc w:val="center"/>
              <w:ind w:right="18"/>
              <w:spacing w:after="0"/>
              <w:rPr>
                <w:sz w:val="20"/>
                <w:szCs w:val="20"/>
                <w:color w:val="auto"/>
              </w:rPr>
            </w:pPr>
            <w:r>
              <w:rPr>
                <w:rFonts w:ascii="Calibri" w:cs="Calibri" w:eastAsia="Calibri" w:hAnsi="Calibri"/>
                <w:sz w:val="12"/>
                <w:szCs w:val="12"/>
                <w:color w:val="494949"/>
              </w:rPr>
              <w:t>—</w:t>
            </w:r>
          </w:p>
        </w:tc>
      </w:tr>
      <w:tr>
        <w:trPr>
          <w:trHeight w:val="173"/>
        </w:trPr>
        <w:tc>
          <w:tcPr>
            <w:tcW w:w="2940" w:type="dxa"/>
            <w:vAlign w:val="bottom"/>
            <w:tcBorders>
              <w:left w:val="single" w:sz="8" w:color="auto"/>
            </w:tcBorders>
          </w:tcPr>
          <w:p>
            <w:pPr>
              <w:ind w:left="360"/>
              <w:spacing w:after="0"/>
              <w:rPr>
                <w:sz w:val="20"/>
                <w:szCs w:val="20"/>
                <w:color w:val="auto"/>
              </w:rPr>
            </w:pPr>
            <w:r>
              <w:rPr>
                <w:rFonts w:ascii="Calibri" w:cs="Calibri" w:eastAsia="Calibri" w:hAnsi="Calibri"/>
                <w:sz w:val="12"/>
                <w:szCs w:val="12"/>
                <w:color w:val="494949"/>
              </w:rPr>
              <w:t>Terminaton for Cause</w:t>
            </w:r>
          </w:p>
        </w:tc>
        <w:tc>
          <w:tcPr>
            <w:tcW w:w="82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tcPr>
          <w:p>
            <w:pPr>
              <w:jc w:val="center"/>
              <w:spacing w:after="0"/>
              <w:rPr>
                <w:sz w:val="20"/>
                <w:szCs w:val="20"/>
                <w:color w:val="auto"/>
              </w:rPr>
            </w:pPr>
            <w:r>
              <w:rPr>
                <w:rFonts w:ascii="Calibri" w:cs="Calibri" w:eastAsia="Calibri" w:hAnsi="Calibri"/>
                <w:sz w:val="12"/>
                <w:szCs w:val="12"/>
                <w:color w:val="494949"/>
                <w:w w:val="91"/>
              </w:rPr>
              <w:t>—</w:t>
            </w:r>
          </w:p>
        </w:tc>
        <w:tc>
          <w:tcPr>
            <w:tcW w:w="1160" w:type="dxa"/>
            <w:vAlign w:val="bottom"/>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2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280" w:type="dxa"/>
            <w:vAlign w:val="bottom"/>
          </w:tcPr>
          <w:p>
            <w:pPr>
              <w:spacing w:after="0"/>
              <w:rPr>
                <w:sz w:val="15"/>
                <w:szCs w:val="15"/>
                <w:color w:val="auto"/>
              </w:rPr>
            </w:pPr>
          </w:p>
        </w:tc>
        <w:tc>
          <w:tcPr>
            <w:tcW w:w="840" w:type="dxa"/>
            <w:vAlign w:val="bottom"/>
            <w:tcBorders>
              <w:right w:val="single" w:sz="8" w:color="auto"/>
            </w:tcBorders>
          </w:tcPr>
          <w:p>
            <w:pPr>
              <w:jc w:val="center"/>
              <w:ind w:right="18"/>
              <w:spacing w:after="0"/>
              <w:rPr>
                <w:sz w:val="20"/>
                <w:szCs w:val="20"/>
                <w:color w:val="auto"/>
              </w:rPr>
            </w:pPr>
            <w:r>
              <w:rPr>
                <w:rFonts w:ascii="Calibri" w:cs="Calibri" w:eastAsia="Calibri" w:hAnsi="Calibri"/>
                <w:sz w:val="12"/>
                <w:szCs w:val="12"/>
                <w:color w:val="494949"/>
              </w:rPr>
              <w:t>—</w:t>
            </w:r>
          </w:p>
        </w:tc>
      </w:tr>
      <w:tr>
        <w:trPr>
          <w:trHeight w:val="173"/>
        </w:trPr>
        <w:tc>
          <w:tcPr>
            <w:tcW w:w="2940" w:type="dxa"/>
            <w:vAlign w:val="bottom"/>
            <w:tcBorders>
              <w:left w:val="single" w:sz="8" w:color="auto"/>
            </w:tcBorders>
          </w:tcPr>
          <w:p>
            <w:pPr>
              <w:ind w:left="360"/>
              <w:spacing w:after="0"/>
              <w:rPr>
                <w:sz w:val="20"/>
                <w:szCs w:val="20"/>
                <w:color w:val="auto"/>
              </w:rPr>
            </w:pPr>
            <w:r>
              <w:rPr>
                <w:rFonts w:ascii="Calibri" w:cs="Calibri" w:eastAsia="Calibri" w:hAnsi="Calibri"/>
                <w:sz w:val="12"/>
                <w:szCs w:val="12"/>
                <w:color w:val="494949"/>
              </w:rPr>
              <w:t>Change-In-Control</w:t>
            </w:r>
          </w:p>
        </w:tc>
        <w:tc>
          <w:tcPr>
            <w:tcW w:w="82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886,920</w:t>
            </w:r>
          </w:p>
        </w:tc>
        <w:tc>
          <w:tcPr>
            <w:tcW w:w="1160" w:type="dxa"/>
            <w:vAlign w:val="bottom"/>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2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1,127,799</w:t>
            </w:r>
          </w:p>
        </w:tc>
        <w:tc>
          <w:tcPr>
            <w:tcW w:w="280" w:type="dxa"/>
            <w:vAlign w:val="bottom"/>
          </w:tcPr>
          <w:p>
            <w:pPr>
              <w:jc w:val="right"/>
              <w:ind w:right="138"/>
              <w:spacing w:after="0"/>
              <w:rPr>
                <w:sz w:val="20"/>
                <w:szCs w:val="20"/>
                <w:color w:val="auto"/>
              </w:rPr>
            </w:pPr>
            <w:r>
              <w:rPr>
                <w:rFonts w:ascii="Calibri" w:cs="Calibri" w:eastAsia="Calibri" w:hAnsi="Calibri"/>
                <w:sz w:val="12"/>
                <w:szCs w:val="12"/>
                <w:color w:val="494949"/>
                <w:w w:val="97"/>
              </w:rPr>
              <w:t>9</w:t>
            </w:r>
          </w:p>
        </w:tc>
        <w:tc>
          <w:tcPr>
            <w:tcW w:w="840" w:type="dxa"/>
            <w:vAlign w:val="bottom"/>
            <w:tcBorders>
              <w:right w:val="single" w:sz="8" w:color="auto"/>
            </w:tcBorders>
          </w:tcPr>
          <w:p>
            <w:pPr>
              <w:jc w:val="right"/>
              <w:ind w:right="18"/>
              <w:spacing w:after="0"/>
              <w:rPr>
                <w:sz w:val="20"/>
                <w:szCs w:val="20"/>
                <w:color w:val="auto"/>
              </w:rPr>
            </w:pPr>
            <w:r>
              <w:rPr>
                <w:rFonts w:ascii="Calibri" w:cs="Calibri" w:eastAsia="Calibri" w:hAnsi="Calibri"/>
                <w:sz w:val="12"/>
                <w:szCs w:val="12"/>
                <w:color w:val="494949"/>
              </w:rPr>
              <w:t>2,014,719</w:t>
            </w:r>
          </w:p>
        </w:tc>
      </w:tr>
      <w:tr>
        <w:trPr>
          <w:trHeight w:val="173"/>
        </w:trPr>
        <w:tc>
          <w:tcPr>
            <w:tcW w:w="2940" w:type="dxa"/>
            <w:vAlign w:val="bottom"/>
            <w:tcBorders>
              <w:left w:val="single" w:sz="8" w:color="auto"/>
            </w:tcBorders>
          </w:tcPr>
          <w:p>
            <w:pPr>
              <w:ind w:left="360"/>
              <w:spacing w:after="0"/>
              <w:rPr>
                <w:sz w:val="20"/>
                <w:szCs w:val="20"/>
                <w:color w:val="auto"/>
              </w:rPr>
            </w:pPr>
            <w:r>
              <w:rPr>
                <w:rFonts w:ascii="Calibri" w:cs="Calibri" w:eastAsia="Calibri" w:hAnsi="Calibri"/>
                <w:sz w:val="12"/>
                <w:szCs w:val="12"/>
                <w:color w:val="494949"/>
              </w:rPr>
              <w:t>Involuntary Terminaton Afer Change-In-Control</w:t>
            </w:r>
          </w:p>
        </w:tc>
        <w:tc>
          <w:tcPr>
            <w:tcW w:w="82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2,533,920</w:t>
            </w:r>
          </w:p>
        </w:tc>
        <w:tc>
          <w:tcPr>
            <w:tcW w:w="1160" w:type="dxa"/>
            <w:vAlign w:val="bottom"/>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2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280" w:type="dxa"/>
            <w:vAlign w:val="bottom"/>
          </w:tcPr>
          <w:p>
            <w:pPr>
              <w:spacing w:after="0"/>
              <w:rPr>
                <w:sz w:val="15"/>
                <w:szCs w:val="15"/>
                <w:color w:val="auto"/>
              </w:rPr>
            </w:pPr>
          </w:p>
        </w:tc>
        <w:tc>
          <w:tcPr>
            <w:tcW w:w="840" w:type="dxa"/>
            <w:vAlign w:val="bottom"/>
            <w:tcBorders>
              <w:right w:val="single" w:sz="8" w:color="auto"/>
            </w:tcBorders>
          </w:tcPr>
          <w:p>
            <w:pPr>
              <w:jc w:val="right"/>
              <w:ind w:right="18"/>
              <w:spacing w:after="0"/>
              <w:rPr>
                <w:sz w:val="20"/>
                <w:szCs w:val="20"/>
                <w:color w:val="auto"/>
              </w:rPr>
            </w:pPr>
            <w:r>
              <w:rPr>
                <w:rFonts w:ascii="Calibri" w:cs="Calibri" w:eastAsia="Calibri" w:hAnsi="Calibri"/>
                <w:sz w:val="12"/>
                <w:szCs w:val="12"/>
                <w:color w:val="494949"/>
              </w:rPr>
              <w:t>2,533,920</w:t>
            </w:r>
          </w:p>
        </w:tc>
      </w:tr>
      <w:tr>
        <w:trPr>
          <w:trHeight w:val="23"/>
        </w:trPr>
        <w:tc>
          <w:tcPr>
            <w:tcW w:w="2940" w:type="dxa"/>
            <w:vAlign w:val="bottom"/>
            <w:tcBorders>
              <w:left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r>
      <w:tr>
        <w:trPr>
          <w:trHeight w:val="150"/>
        </w:trPr>
        <w:tc>
          <w:tcPr>
            <w:tcW w:w="2940" w:type="dxa"/>
            <w:vAlign w:val="bottom"/>
            <w:tcBorders>
              <w:left w:val="single" w:sz="8" w:color="auto"/>
            </w:tcBorders>
            <w:shd w:val="clear" w:color="auto" w:fill="CCEEFF"/>
          </w:tcPr>
          <w:p>
            <w:pPr>
              <w:ind w:left="40"/>
              <w:spacing w:after="0"/>
              <w:rPr>
                <w:sz w:val="20"/>
                <w:szCs w:val="20"/>
                <w:color w:val="auto"/>
              </w:rPr>
            </w:pPr>
            <w:r>
              <w:rPr>
                <w:rFonts w:ascii="Calibri" w:cs="Calibri" w:eastAsia="Calibri" w:hAnsi="Calibri"/>
                <w:sz w:val="12"/>
                <w:szCs w:val="12"/>
                <w:b w:val="1"/>
                <w:bCs w:val="1"/>
                <w:color w:val="494949"/>
              </w:rPr>
              <w:t>Karen M. Dahut</w:t>
            </w:r>
          </w:p>
        </w:tc>
        <w:tc>
          <w:tcPr>
            <w:tcW w:w="8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tcBorders>
              <w:right w:val="single" w:sz="8" w:color="auto"/>
            </w:tcBorders>
            <w:shd w:val="clear" w:color="auto" w:fill="CCEEFF"/>
          </w:tcPr>
          <w:p>
            <w:pPr>
              <w:spacing w:after="0"/>
              <w:rPr>
                <w:sz w:val="13"/>
                <w:szCs w:val="13"/>
                <w:color w:val="auto"/>
              </w:rPr>
            </w:pPr>
          </w:p>
        </w:tc>
      </w:tr>
      <w:tr>
        <w:trPr>
          <w:trHeight w:val="173"/>
        </w:trPr>
        <w:tc>
          <w:tcPr>
            <w:tcW w:w="2940" w:type="dxa"/>
            <w:vAlign w:val="bottom"/>
            <w:tcBorders>
              <w:left w:val="single" w:sz="8" w:color="auto"/>
            </w:tcBorders>
            <w:shd w:val="clear" w:color="auto" w:fill="CCEEFF"/>
          </w:tcPr>
          <w:p>
            <w:pPr>
              <w:ind w:left="360"/>
              <w:spacing w:after="0"/>
              <w:rPr>
                <w:sz w:val="20"/>
                <w:szCs w:val="20"/>
                <w:color w:val="auto"/>
              </w:rPr>
            </w:pPr>
            <w:r>
              <w:rPr>
                <w:rFonts w:ascii="Calibri" w:cs="Calibri" w:eastAsia="Calibri" w:hAnsi="Calibri"/>
                <w:sz w:val="12"/>
                <w:szCs w:val="12"/>
                <w:color w:val="494949"/>
              </w:rPr>
              <w:t>Death</w:t>
            </w:r>
          </w:p>
        </w:tc>
        <w:tc>
          <w:tcPr>
            <w:tcW w:w="82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3,420,841</w:t>
            </w:r>
          </w:p>
        </w:tc>
        <w:tc>
          <w:tcPr>
            <w:tcW w:w="1160" w:type="dxa"/>
            <w:vAlign w:val="bottom"/>
            <w:shd w:val="clear" w:color="auto" w:fill="CCEEFF"/>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2,085,417</w:t>
            </w:r>
          </w:p>
        </w:tc>
        <w:tc>
          <w:tcPr>
            <w:tcW w:w="260" w:type="dxa"/>
            <w:vAlign w:val="bottom"/>
            <w:shd w:val="clear" w:color="auto" w:fill="CCEEFF"/>
          </w:tcPr>
          <w:p>
            <w:pPr>
              <w:jc w:val="right"/>
              <w:ind w:right="38"/>
              <w:spacing w:after="0"/>
              <w:rPr>
                <w:sz w:val="20"/>
                <w:szCs w:val="20"/>
                <w:color w:val="auto"/>
              </w:rPr>
            </w:pPr>
            <w:r>
              <w:rPr>
                <w:rFonts w:ascii="Calibri" w:cs="Calibri" w:eastAsia="Calibri" w:hAnsi="Calibri"/>
                <w:sz w:val="12"/>
                <w:szCs w:val="12"/>
                <w:color w:val="494949"/>
              </w:rPr>
              <w:t>4</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280" w:type="dxa"/>
            <w:vAlign w:val="bottom"/>
            <w:shd w:val="clear" w:color="auto" w:fill="CCEEFF"/>
          </w:tcPr>
          <w:p>
            <w:pPr>
              <w:spacing w:after="0"/>
              <w:rPr>
                <w:sz w:val="15"/>
                <w:szCs w:val="15"/>
                <w:color w:val="auto"/>
              </w:rPr>
            </w:pPr>
          </w:p>
        </w:tc>
        <w:tc>
          <w:tcPr>
            <w:tcW w:w="840" w:type="dxa"/>
            <w:vAlign w:val="bottom"/>
            <w:tcBorders>
              <w:right w:val="single" w:sz="8" w:color="auto"/>
            </w:tcBorders>
            <w:shd w:val="clear" w:color="auto" w:fill="CCEEFF"/>
          </w:tcPr>
          <w:p>
            <w:pPr>
              <w:jc w:val="right"/>
              <w:ind w:right="18"/>
              <w:spacing w:after="0"/>
              <w:rPr>
                <w:sz w:val="20"/>
                <w:szCs w:val="20"/>
                <w:color w:val="auto"/>
              </w:rPr>
            </w:pPr>
            <w:r>
              <w:rPr>
                <w:rFonts w:ascii="Calibri" w:cs="Calibri" w:eastAsia="Calibri" w:hAnsi="Calibri"/>
                <w:sz w:val="12"/>
                <w:szCs w:val="12"/>
                <w:color w:val="494949"/>
              </w:rPr>
              <w:t>5,506,258</w:t>
            </w:r>
          </w:p>
        </w:tc>
      </w:tr>
      <w:tr>
        <w:trPr>
          <w:trHeight w:val="173"/>
        </w:trPr>
        <w:tc>
          <w:tcPr>
            <w:tcW w:w="2940" w:type="dxa"/>
            <w:vAlign w:val="bottom"/>
            <w:tcBorders>
              <w:left w:val="single" w:sz="8" w:color="auto"/>
            </w:tcBorders>
            <w:shd w:val="clear" w:color="auto" w:fill="CCEEFF"/>
          </w:tcPr>
          <w:p>
            <w:pPr>
              <w:ind w:left="360"/>
              <w:spacing w:after="0"/>
              <w:rPr>
                <w:sz w:val="20"/>
                <w:szCs w:val="20"/>
                <w:color w:val="auto"/>
              </w:rPr>
            </w:pPr>
            <w:r>
              <w:rPr>
                <w:rFonts w:ascii="Calibri" w:cs="Calibri" w:eastAsia="Calibri" w:hAnsi="Calibri"/>
                <w:sz w:val="12"/>
                <w:szCs w:val="12"/>
                <w:color w:val="494949"/>
              </w:rPr>
              <w:t>Disability</w:t>
            </w:r>
          </w:p>
        </w:tc>
        <w:tc>
          <w:tcPr>
            <w:tcW w:w="82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w w:val="91"/>
              </w:rPr>
              <w:t>—</w:t>
            </w:r>
          </w:p>
        </w:tc>
        <w:tc>
          <w:tcPr>
            <w:tcW w:w="1160" w:type="dxa"/>
            <w:vAlign w:val="bottom"/>
            <w:shd w:val="clear" w:color="auto" w:fill="CCEEFF"/>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2,136,826</w:t>
            </w:r>
          </w:p>
        </w:tc>
        <w:tc>
          <w:tcPr>
            <w:tcW w:w="260" w:type="dxa"/>
            <w:vAlign w:val="bottom"/>
            <w:shd w:val="clear" w:color="auto" w:fill="CCEEFF"/>
          </w:tcPr>
          <w:p>
            <w:pPr>
              <w:jc w:val="right"/>
              <w:ind w:right="38"/>
              <w:spacing w:after="0"/>
              <w:rPr>
                <w:sz w:val="20"/>
                <w:szCs w:val="20"/>
                <w:color w:val="auto"/>
              </w:rPr>
            </w:pPr>
            <w:r>
              <w:rPr>
                <w:rFonts w:ascii="Calibri" w:cs="Calibri" w:eastAsia="Calibri" w:hAnsi="Calibri"/>
                <w:sz w:val="12"/>
                <w:szCs w:val="12"/>
                <w:color w:val="494949"/>
              </w:rPr>
              <w:t>5</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925,950</w:t>
            </w:r>
          </w:p>
        </w:tc>
        <w:tc>
          <w:tcPr>
            <w:tcW w:w="280" w:type="dxa"/>
            <w:vAlign w:val="bottom"/>
            <w:shd w:val="clear" w:color="auto" w:fill="CCEEFF"/>
          </w:tcPr>
          <w:p>
            <w:pPr>
              <w:jc w:val="right"/>
              <w:ind w:right="138"/>
              <w:spacing w:after="0"/>
              <w:rPr>
                <w:sz w:val="20"/>
                <w:szCs w:val="20"/>
                <w:color w:val="auto"/>
              </w:rPr>
            </w:pPr>
            <w:r>
              <w:rPr>
                <w:rFonts w:ascii="Calibri" w:cs="Calibri" w:eastAsia="Calibri" w:hAnsi="Calibri"/>
                <w:sz w:val="12"/>
                <w:szCs w:val="12"/>
                <w:color w:val="494949"/>
                <w:w w:val="97"/>
              </w:rPr>
              <w:t>6</w:t>
            </w:r>
          </w:p>
        </w:tc>
        <w:tc>
          <w:tcPr>
            <w:tcW w:w="840" w:type="dxa"/>
            <w:vAlign w:val="bottom"/>
            <w:tcBorders>
              <w:right w:val="single" w:sz="8" w:color="auto"/>
            </w:tcBorders>
            <w:shd w:val="clear" w:color="auto" w:fill="CCEEFF"/>
          </w:tcPr>
          <w:p>
            <w:pPr>
              <w:jc w:val="right"/>
              <w:ind w:right="18"/>
              <w:spacing w:after="0"/>
              <w:rPr>
                <w:sz w:val="20"/>
                <w:szCs w:val="20"/>
                <w:color w:val="auto"/>
              </w:rPr>
            </w:pPr>
            <w:r>
              <w:rPr>
                <w:rFonts w:ascii="Calibri" w:cs="Calibri" w:eastAsia="Calibri" w:hAnsi="Calibri"/>
                <w:sz w:val="12"/>
                <w:szCs w:val="12"/>
                <w:color w:val="494949"/>
              </w:rPr>
              <w:t>3,062,776</w:t>
            </w:r>
          </w:p>
        </w:tc>
      </w:tr>
      <w:tr>
        <w:trPr>
          <w:trHeight w:val="173"/>
        </w:trPr>
        <w:tc>
          <w:tcPr>
            <w:tcW w:w="2940" w:type="dxa"/>
            <w:vAlign w:val="bottom"/>
            <w:tcBorders>
              <w:left w:val="single" w:sz="8" w:color="auto"/>
            </w:tcBorders>
            <w:shd w:val="clear" w:color="auto" w:fill="CCEEFF"/>
          </w:tcPr>
          <w:p>
            <w:pPr>
              <w:ind w:left="360"/>
              <w:spacing w:after="0"/>
              <w:rPr>
                <w:sz w:val="20"/>
                <w:szCs w:val="20"/>
                <w:color w:val="auto"/>
              </w:rPr>
            </w:pPr>
            <w:r>
              <w:rPr>
                <w:rFonts w:ascii="Calibri" w:cs="Calibri" w:eastAsia="Calibri" w:hAnsi="Calibri"/>
                <w:sz w:val="12"/>
                <w:szCs w:val="12"/>
                <w:color w:val="494949"/>
              </w:rPr>
              <w:t>Involuntary Terminaton</w:t>
            </w:r>
          </w:p>
        </w:tc>
        <w:tc>
          <w:tcPr>
            <w:tcW w:w="82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1,025,000</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w w:val="91"/>
              </w:rPr>
              <w:t>—</w:t>
            </w:r>
          </w:p>
        </w:tc>
        <w:tc>
          <w:tcPr>
            <w:tcW w:w="1160" w:type="dxa"/>
            <w:vAlign w:val="bottom"/>
            <w:shd w:val="clear" w:color="auto" w:fill="CCEEFF"/>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30,000</w:t>
            </w:r>
          </w:p>
        </w:tc>
        <w:tc>
          <w:tcPr>
            <w:tcW w:w="280" w:type="dxa"/>
            <w:vAlign w:val="bottom"/>
            <w:shd w:val="clear" w:color="auto" w:fill="CCEEFF"/>
          </w:tcPr>
          <w:p>
            <w:pPr>
              <w:jc w:val="right"/>
              <w:ind w:right="138"/>
              <w:spacing w:after="0"/>
              <w:rPr>
                <w:sz w:val="20"/>
                <w:szCs w:val="20"/>
                <w:color w:val="auto"/>
              </w:rPr>
            </w:pPr>
            <w:r>
              <w:rPr>
                <w:rFonts w:ascii="Calibri" w:cs="Calibri" w:eastAsia="Calibri" w:hAnsi="Calibri"/>
                <w:sz w:val="12"/>
                <w:szCs w:val="12"/>
                <w:color w:val="494949"/>
                <w:w w:val="97"/>
              </w:rPr>
              <w:t>7</w:t>
            </w:r>
          </w:p>
        </w:tc>
        <w:tc>
          <w:tcPr>
            <w:tcW w:w="840" w:type="dxa"/>
            <w:vAlign w:val="bottom"/>
            <w:tcBorders>
              <w:right w:val="single" w:sz="8" w:color="auto"/>
            </w:tcBorders>
            <w:shd w:val="clear" w:color="auto" w:fill="CCEEFF"/>
          </w:tcPr>
          <w:p>
            <w:pPr>
              <w:jc w:val="right"/>
              <w:ind w:right="18"/>
              <w:spacing w:after="0"/>
              <w:rPr>
                <w:sz w:val="20"/>
                <w:szCs w:val="20"/>
                <w:color w:val="auto"/>
              </w:rPr>
            </w:pPr>
            <w:r>
              <w:rPr>
                <w:rFonts w:ascii="Calibri" w:cs="Calibri" w:eastAsia="Calibri" w:hAnsi="Calibri"/>
                <w:sz w:val="12"/>
                <w:szCs w:val="12"/>
                <w:color w:val="494949"/>
              </w:rPr>
              <w:t>1,055,000</w:t>
            </w:r>
          </w:p>
        </w:tc>
      </w:tr>
      <w:tr>
        <w:trPr>
          <w:trHeight w:val="196"/>
        </w:trPr>
        <w:tc>
          <w:tcPr>
            <w:tcW w:w="2940" w:type="dxa"/>
            <w:vAlign w:val="bottom"/>
            <w:tcBorders>
              <w:left w:val="single" w:sz="8" w:color="auto"/>
            </w:tcBorders>
            <w:shd w:val="clear" w:color="auto" w:fill="CCEEFF"/>
          </w:tcPr>
          <w:p>
            <w:pPr>
              <w:ind w:left="360"/>
              <w:spacing w:after="0"/>
              <w:rPr>
                <w:sz w:val="20"/>
                <w:szCs w:val="20"/>
                <w:color w:val="auto"/>
              </w:rPr>
            </w:pPr>
            <w:r>
              <w:rPr>
                <w:rFonts w:ascii="Calibri" w:cs="Calibri" w:eastAsia="Calibri" w:hAnsi="Calibri"/>
                <w:sz w:val="12"/>
                <w:szCs w:val="12"/>
                <w:color w:val="494949"/>
              </w:rPr>
              <w:t xml:space="preserve">Retrement </w:t>
            </w:r>
            <w:r>
              <w:rPr>
                <w:rFonts w:ascii="Calibri" w:cs="Calibri" w:eastAsia="Calibri" w:hAnsi="Calibri"/>
                <w:sz w:val="16"/>
                <w:szCs w:val="16"/>
                <w:color w:val="494949"/>
                <w:vertAlign w:val="superscript"/>
              </w:rPr>
              <w:t>10</w:t>
            </w:r>
          </w:p>
        </w:tc>
        <w:tc>
          <w:tcPr>
            <w:tcW w:w="82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w w:val="91"/>
              </w:rPr>
              <w:t>—</w:t>
            </w:r>
          </w:p>
        </w:tc>
        <w:tc>
          <w:tcPr>
            <w:tcW w:w="1160" w:type="dxa"/>
            <w:vAlign w:val="bottom"/>
            <w:shd w:val="clear" w:color="auto" w:fill="CCEEFF"/>
          </w:tcPr>
          <w:p>
            <w:pPr>
              <w:jc w:val="center"/>
              <w:ind w:left="158"/>
              <w:spacing w:after="0"/>
              <w:rPr>
                <w:sz w:val="20"/>
                <w:szCs w:val="20"/>
                <w:color w:val="auto"/>
              </w:rPr>
            </w:pPr>
            <w:r>
              <w:rPr>
                <w:rFonts w:ascii="Calibri" w:cs="Calibri" w:eastAsia="Calibri" w:hAnsi="Calibri"/>
                <w:sz w:val="12"/>
                <w:szCs w:val="12"/>
                <w:color w:val="494949"/>
              </w:rPr>
              <w:t>175,000</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1,008,869</w:t>
            </w:r>
          </w:p>
        </w:tc>
        <w:tc>
          <w:tcPr>
            <w:tcW w:w="280" w:type="dxa"/>
            <w:vAlign w:val="bottom"/>
            <w:shd w:val="clear" w:color="auto" w:fill="CCEEFF"/>
          </w:tcPr>
          <w:p>
            <w:pPr>
              <w:jc w:val="right"/>
              <w:ind w:right="138"/>
              <w:spacing w:after="0"/>
              <w:rPr>
                <w:sz w:val="20"/>
                <w:szCs w:val="20"/>
                <w:color w:val="auto"/>
              </w:rPr>
            </w:pPr>
            <w:r>
              <w:rPr>
                <w:rFonts w:ascii="Calibri" w:cs="Calibri" w:eastAsia="Calibri" w:hAnsi="Calibri"/>
                <w:sz w:val="12"/>
                <w:szCs w:val="12"/>
                <w:color w:val="494949"/>
                <w:w w:val="97"/>
              </w:rPr>
              <w:t>8</w:t>
            </w:r>
          </w:p>
        </w:tc>
        <w:tc>
          <w:tcPr>
            <w:tcW w:w="840" w:type="dxa"/>
            <w:vAlign w:val="bottom"/>
            <w:tcBorders>
              <w:right w:val="single" w:sz="8" w:color="auto"/>
            </w:tcBorders>
            <w:shd w:val="clear" w:color="auto" w:fill="CCEEFF"/>
          </w:tcPr>
          <w:p>
            <w:pPr>
              <w:jc w:val="right"/>
              <w:ind w:right="18"/>
              <w:spacing w:after="0"/>
              <w:rPr>
                <w:sz w:val="20"/>
                <w:szCs w:val="20"/>
                <w:color w:val="auto"/>
              </w:rPr>
            </w:pPr>
            <w:r>
              <w:rPr>
                <w:rFonts w:ascii="Calibri" w:cs="Calibri" w:eastAsia="Calibri" w:hAnsi="Calibri"/>
                <w:sz w:val="12"/>
                <w:szCs w:val="12"/>
                <w:color w:val="494949"/>
              </w:rPr>
              <w:t>1,183,869</w:t>
            </w:r>
          </w:p>
        </w:tc>
      </w:tr>
      <w:tr>
        <w:trPr>
          <w:trHeight w:val="150"/>
        </w:trPr>
        <w:tc>
          <w:tcPr>
            <w:tcW w:w="2940" w:type="dxa"/>
            <w:vAlign w:val="bottom"/>
            <w:tcBorders>
              <w:left w:val="single" w:sz="8" w:color="auto"/>
            </w:tcBorders>
            <w:shd w:val="clear" w:color="auto" w:fill="CCEEFF"/>
          </w:tcPr>
          <w:p>
            <w:pPr>
              <w:ind w:left="360"/>
              <w:spacing w:after="0"/>
              <w:rPr>
                <w:sz w:val="20"/>
                <w:szCs w:val="20"/>
                <w:color w:val="auto"/>
              </w:rPr>
            </w:pPr>
            <w:r>
              <w:rPr>
                <w:rFonts w:ascii="Calibri" w:cs="Calibri" w:eastAsia="Calibri" w:hAnsi="Calibri"/>
                <w:sz w:val="12"/>
                <w:szCs w:val="12"/>
                <w:color w:val="494949"/>
              </w:rPr>
              <w:t>Voluntary Resignaton</w:t>
            </w:r>
          </w:p>
        </w:tc>
        <w:tc>
          <w:tcPr>
            <w:tcW w:w="82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w w:val="91"/>
              </w:rPr>
              <w:t>—</w:t>
            </w:r>
          </w:p>
        </w:tc>
        <w:tc>
          <w:tcPr>
            <w:tcW w:w="1160" w:type="dxa"/>
            <w:vAlign w:val="bottom"/>
            <w:shd w:val="clear" w:color="auto" w:fill="CCEEFF"/>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280" w:type="dxa"/>
            <w:vAlign w:val="bottom"/>
            <w:shd w:val="clear" w:color="auto" w:fill="CCEEFF"/>
          </w:tcPr>
          <w:p>
            <w:pPr>
              <w:spacing w:after="0"/>
              <w:rPr>
                <w:sz w:val="13"/>
                <w:szCs w:val="13"/>
                <w:color w:val="auto"/>
              </w:rPr>
            </w:pPr>
          </w:p>
        </w:tc>
        <w:tc>
          <w:tcPr>
            <w:tcW w:w="840" w:type="dxa"/>
            <w:vAlign w:val="bottom"/>
            <w:tcBorders>
              <w:right w:val="single" w:sz="8" w:color="auto"/>
            </w:tcBorders>
            <w:shd w:val="clear" w:color="auto" w:fill="CCEEFF"/>
          </w:tcPr>
          <w:p>
            <w:pPr>
              <w:jc w:val="center"/>
              <w:ind w:right="18"/>
              <w:spacing w:after="0"/>
              <w:rPr>
                <w:sz w:val="20"/>
                <w:szCs w:val="20"/>
                <w:color w:val="auto"/>
              </w:rPr>
            </w:pPr>
            <w:r>
              <w:rPr>
                <w:rFonts w:ascii="Calibri" w:cs="Calibri" w:eastAsia="Calibri" w:hAnsi="Calibri"/>
                <w:sz w:val="12"/>
                <w:szCs w:val="12"/>
                <w:color w:val="494949"/>
              </w:rPr>
              <w:t>—</w:t>
            </w:r>
          </w:p>
        </w:tc>
      </w:tr>
      <w:tr>
        <w:trPr>
          <w:trHeight w:val="173"/>
        </w:trPr>
        <w:tc>
          <w:tcPr>
            <w:tcW w:w="2940" w:type="dxa"/>
            <w:vAlign w:val="bottom"/>
            <w:tcBorders>
              <w:left w:val="single" w:sz="8" w:color="auto"/>
            </w:tcBorders>
            <w:shd w:val="clear" w:color="auto" w:fill="CCEEFF"/>
          </w:tcPr>
          <w:p>
            <w:pPr>
              <w:ind w:left="360"/>
              <w:spacing w:after="0"/>
              <w:rPr>
                <w:sz w:val="20"/>
                <w:szCs w:val="20"/>
                <w:color w:val="auto"/>
              </w:rPr>
            </w:pPr>
            <w:r>
              <w:rPr>
                <w:rFonts w:ascii="Calibri" w:cs="Calibri" w:eastAsia="Calibri" w:hAnsi="Calibri"/>
                <w:sz w:val="12"/>
                <w:szCs w:val="12"/>
                <w:color w:val="494949"/>
              </w:rPr>
              <w:t>Terminaton for Cause</w:t>
            </w:r>
          </w:p>
        </w:tc>
        <w:tc>
          <w:tcPr>
            <w:tcW w:w="82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w w:val="91"/>
              </w:rPr>
              <w:t>—</w:t>
            </w:r>
          </w:p>
        </w:tc>
        <w:tc>
          <w:tcPr>
            <w:tcW w:w="1160" w:type="dxa"/>
            <w:vAlign w:val="bottom"/>
            <w:shd w:val="clear" w:color="auto" w:fill="CCEEFF"/>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280" w:type="dxa"/>
            <w:vAlign w:val="bottom"/>
            <w:shd w:val="clear" w:color="auto" w:fill="CCEEFF"/>
          </w:tcPr>
          <w:p>
            <w:pPr>
              <w:spacing w:after="0"/>
              <w:rPr>
                <w:sz w:val="15"/>
                <w:szCs w:val="15"/>
                <w:color w:val="auto"/>
              </w:rPr>
            </w:pPr>
          </w:p>
        </w:tc>
        <w:tc>
          <w:tcPr>
            <w:tcW w:w="840" w:type="dxa"/>
            <w:vAlign w:val="bottom"/>
            <w:tcBorders>
              <w:right w:val="single" w:sz="8" w:color="auto"/>
            </w:tcBorders>
            <w:shd w:val="clear" w:color="auto" w:fill="CCEEFF"/>
          </w:tcPr>
          <w:p>
            <w:pPr>
              <w:jc w:val="center"/>
              <w:ind w:right="18"/>
              <w:spacing w:after="0"/>
              <w:rPr>
                <w:sz w:val="20"/>
                <w:szCs w:val="20"/>
                <w:color w:val="auto"/>
              </w:rPr>
            </w:pPr>
            <w:r>
              <w:rPr>
                <w:rFonts w:ascii="Calibri" w:cs="Calibri" w:eastAsia="Calibri" w:hAnsi="Calibri"/>
                <w:sz w:val="12"/>
                <w:szCs w:val="12"/>
                <w:color w:val="494949"/>
              </w:rPr>
              <w:t>—</w:t>
            </w:r>
          </w:p>
        </w:tc>
      </w:tr>
      <w:tr>
        <w:trPr>
          <w:trHeight w:val="173"/>
        </w:trPr>
        <w:tc>
          <w:tcPr>
            <w:tcW w:w="2940" w:type="dxa"/>
            <w:vAlign w:val="bottom"/>
            <w:tcBorders>
              <w:left w:val="single" w:sz="8" w:color="auto"/>
            </w:tcBorders>
            <w:shd w:val="clear" w:color="auto" w:fill="CCEEFF"/>
          </w:tcPr>
          <w:p>
            <w:pPr>
              <w:ind w:left="360"/>
              <w:spacing w:after="0"/>
              <w:rPr>
                <w:sz w:val="20"/>
                <w:szCs w:val="20"/>
                <w:color w:val="auto"/>
              </w:rPr>
            </w:pPr>
            <w:r>
              <w:rPr>
                <w:rFonts w:ascii="Calibri" w:cs="Calibri" w:eastAsia="Calibri" w:hAnsi="Calibri"/>
                <w:sz w:val="12"/>
                <w:szCs w:val="12"/>
                <w:color w:val="494949"/>
              </w:rPr>
              <w:t>Change-In-Control</w:t>
            </w:r>
          </w:p>
        </w:tc>
        <w:tc>
          <w:tcPr>
            <w:tcW w:w="82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886,920</w:t>
            </w:r>
          </w:p>
        </w:tc>
        <w:tc>
          <w:tcPr>
            <w:tcW w:w="1160" w:type="dxa"/>
            <w:vAlign w:val="bottom"/>
            <w:shd w:val="clear" w:color="auto" w:fill="CCEEFF"/>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925,950</w:t>
            </w:r>
          </w:p>
        </w:tc>
        <w:tc>
          <w:tcPr>
            <w:tcW w:w="280" w:type="dxa"/>
            <w:vAlign w:val="bottom"/>
            <w:shd w:val="clear" w:color="auto" w:fill="CCEEFF"/>
          </w:tcPr>
          <w:p>
            <w:pPr>
              <w:jc w:val="right"/>
              <w:ind w:right="138"/>
              <w:spacing w:after="0"/>
              <w:rPr>
                <w:sz w:val="20"/>
                <w:szCs w:val="20"/>
                <w:color w:val="auto"/>
              </w:rPr>
            </w:pPr>
            <w:r>
              <w:rPr>
                <w:rFonts w:ascii="Calibri" w:cs="Calibri" w:eastAsia="Calibri" w:hAnsi="Calibri"/>
                <w:sz w:val="12"/>
                <w:szCs w:val="12"/>
                <w:color w:val="494949"/>
                <w:w w:val="97"/>
              </w:rPr>
              <w:t>9</w:t>
            </w:r>
          </w:p>
        </w:tc>
        <w:tc>
          <w:tcPr>
            <w:tcW w:w="840" w:type="dxa"/>
            <w:vAlign w:val="bottom"/>
            <w:tcBorders>
              <w:right w:val="single" w:sz="8" w:color="auto"/>
            </w:tcBorders>
            <w:shd w:val="clear" w:color="auto" w:fill="CCEEFF"/>
          </w:tcPr>
          <w:p>
            <w:pPr>
              <w:jc w:val="right"/>
              <w:ind w:right="18"/>
              <w:spacing w:after="0"/>
              <w:rPr>
                <w:sz w:val="20"/>
                <w:szCs w:val="20"/>
                <w:color w:val="auto"/>
              </w:rPr>
            </w:pPr>
            <w:r>
              <w:rPr>
                <w:rFonts w:ascii="Calibri" w:cs="Calibri" w:eastAsia="Calibri" w:hAnsi="Calibri"/>
                <w:sz w:val="12"/>
                <w:szCs w:val="12"/>
                <w:color w:val="494949"/>
              </w:rPr>
              <w:t>1,812,870</w:t>
            </w:r>
          </w:p>
        </w:tc>
      </w:tr>
      <w:tr>
        <w:trPr>
          <w:trHeight w:val="176"/>
        </w:trPr>
        <w:tc>
          <w:tcPr>
            <w:tcW w:w="2940" w:type="dxa"/>
            <w:vAlign w:val="bottom"/>
            <w:tcBorders>
              <w:left w:val="single" w:sz="8" w:color="auto"/>
              <w:bottom w:val="single" w:sz="8" w:color="CCEEFF"/>
            </w:tcBorders>
            <w:shd w:val="clear" w:color="auto" w:fill="CCEEFF"/>
          </w:tcPr>
          <w:p>
            <w:pPr>
              <w:ind w:left="360"/>
              <w:spacing w:after="0"/>
              <w:rPr>
                <w:sz w:val="20"/>
                <w:szCs w:val="20"/>
                <w:color w:val="auto"/>
              </w:rPr>
            </w:pPr>
            <w:r>
              <w:rPr>
                <w:rFonts w:ascii="Calibri" w:cs="Calibri" w:eastAsia="Calibri" w:hAnsi="Calibri"/>
                <w:sz w:val="12"/>
                <w:szCs w:val="12"/>
                <w:color w:val="494949"/>
              </w:rPr>
              <w:t>Involuntary Terminaton Afer Change-In-Control</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Calibri" w:cs="Calibri" w:eastAsia="Calibri" w:hAnsi="Calibri"/>
                <w:sz w:val="12"/>
                <w:szCs w:val="12"/>
                <w:color w:val="494949"/>
              </w:rPr>
              <w:t>2,533,920</w:t>
            </w:r>
          </w:p>
        </w:tc>
        <w:tc>
          <w:tcPr>
            <w:tcW w:w="1160" w:type="dxa"/>
            <w:vAlign w:val="bottom"/>
            <w:tcBorders>
              <w:bottom w:val="single" w:sz="8" w:color="CCEEFF"/>
            </w:tcBorders>
            <w:shd w:val="clear" w:color="auto" w:fill="CCEEFF"/>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2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right w:val="single" w:sz="8" w:color="auto"/>
            </w:tcBorders>
            <w:shd w:val="clear" w:color="auto" w:fill="CCEEFF"/>
          </w:tcPr>
          <w:p>
            <w:pPr>
              <w:jc w:val="right"/>
              <w:ind w:right="18"/>
              <w:spacing w:after="0"/>
              <w:rPr>
                <w:sz w:val="20"/>
                <w:szCs w:val="20"/>
                <w:color w:val="auto"/>
              </w:rPr>
            </w:pPr>
            <w:r>
              <w:rPr>
                <w:rFonts w:ascii="Calibri" w:cs="Calibri" w:eastAsia="Calibri" w:hAnsi="Calibri"/>
                <w:sz w:val="12"/>
                <w:szCs w:val="12"/>
                <w:color w:val="494949"/>
              </w:rPr>
              <w:t>2,533,920</w:t>
            </w:r>
          </w:p>
        </w:tc>
      </w:tr>
      <w:tr>
        <w:trPr>
          <w:trHeight w:val="150"/>
        </w:trPr>
        <w:tc>
          <w:tcPr>
            <w:tcW w:w="2940" w:type="dxa"/>
            <w:vAlign w:val="bottom"/>
            <w:tcBorders>
              <w:left w:val="single" w:sz="8" w:color="auto"/>
            </w:tcBorders>
          </w:tcPr>
          <w:p>
            <w:pPr>
              <w:ind w:left="40"/>
              <w:spacing w:after="0"/>
              <w:rPr>
                <w:sz w:val="20"/>
                <w:szCs w:val="20"/>
                <w:color w:val="auto"/>
              </w:rPr>
            </w:pPr>
            <w:r>
              <w:rPr>
                <w:rFonts w:ascii="Calibri" w:cs="Calibri" w:eastAsia="Calibri" w:hAnsi="Calibri"/>
                <w:sz w:val="12"/>
                <w:szCs w:val="12"/>
                <w:b w:val="1"/>
                <w:bCs w:val="1"/>
                <w:color w:val="494949"/>
              </w:rPr>
              <w:t>Nancy J. Laben</w:t>
            </w: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r>
      <w:tr>
        <w:trPr>
          <w:trHeight w:val="173"/>
        </w:trPr>
        <w:tc>
          <w:tcPr>
            <w:tcW w:w="2940" w:type="dxa"/>
            <w:vAlign w:val="bottom"/>
            <w:tcBorders>
              <w:left w:val="single" w:sz="8" w:color="auto"/>
            </w:tcBorders>
          </w:tcPr>
          <w:p>
            <w:pPr>
              <w:ind w:left="360"/>
              <w:spacing w:after="0"/>
              <w:rPr>
                <w:sz w:val="20"/>
                <w:szCs w:val="20"/>
                <w:color w:val="auto"/>
              </w:rPr>
            </w:pPr>
            <w:r>
              <w:rPr>
                <w:rFonts w:ascii="Calibri" w:cs="Calibri" w:eastAsia="Calibri" w:hAnsi="Calibri"/>
                <w:sz w:val="12"/>
                <w:szCs w:val="12"/>
                <w:color w:val="494949"/>
              </w:rPr>
              <w:t>Death</w:t>
            </w:r>
          </w:p>
        </w:tc>
        <w:tc>
          <w:tcPr>
            <w:tcW w:w="82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1,988,856</w:t>
            </w:r>
          </w:p>
        </w:tc>
        <w:tc>
          <w:tcPr>
            <w:tcW w:w="1160" w:type="dxa"/>
            <w:vAlign w:val="bottom"/>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2,054,167</w:t>
            </w:r>
          </w:p>
        </w:tc>
        <w:tc>
          <w:tcPr>
            <w:tcW w:w="260" w:type="dxa"/>
            <w:vAlign w:val="bottom"/>
          </w:tcPr>
          <w:p>
            <w:pPr>
              <w:jc w:val="right"/>
              <w:ind w:right="38"/>
              <w:spacing w:after="0"/>
              <w:rPr>
                <w:sz w:val="20"/>
                <w:szCs w:val="20"/>
                <w:color w:val="auto"/>
              </w:rPr>
            </w:pPr>
            <w:r>
              <w:rPr>
                <w:rFonts w:ascii="Calibri" w:cs="Calibri" w:eastAsia="Calibri" w:hAnsi="Calibri"/>
                <w:sz w:val="12"/>
                <w:szCs w:val="12"/>
                <w:color w:val="494949"/>
              </w:rPr>
              <w:t>4</w:t>
            </w: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280" w:type="dxa"/>
            <w:vAlign w:val="bottom"/>
          </w:tcPr>
          <w:p>
            <w:pPr>
              <w:spacing w:after="0"/>
              <w:rPr>
                <w:sz w:val="15"/>
                <w:szCs w:val="15"/>
                <w:color w:val="auto"/>
              </w:rPr>
            </w:pPr>
          </w:p>
        </w:tc>
        <w:tc>
          <w:tcPr>
            <w:tcW w:w="840" w:type="dxa"/>
            <w:vAlign w:val="bottom"/>
            <w:tcBorders>
              <w:right w:val="single" w:sz="8" w:color="auto"/>
            </w:tcBorders>
          </w:tcPr>
          <w:p>
            <w:pPr>
              <w:jc w:val="right"/>
              <w:ind w:right="18"/>
              <w:spacing w:after="0"/>
              <w:rPr>
                <w:sz w:val="20"/>
                <w:szCs w:val="20"/>
                <w:color w:val="auto"/>
              </w:rPr>
            </w:pPr>
            <w:r>
              <w:rPr>
                <w:rFonts w:ascii="Calibri" w:cs="Calibri" w:eastAsia="Calibri" w:hAnsi="Calibri"/>
                <w:sz w:val="12"/>
                <w:szCs w:val="12"/>
                <w:color w:val="494949"/>
              </w:rPr>
              <w:t>4,043,023</w:t>
            </w:r>
          </w:p>
        </w:tc>
      </w:tr>
      <w:tr>
        <w:trPr>
          <w:trHeight w:val="173"/>
        </w:trPr>
        <w:tc>
          <w:tcPr>
            <w:tcW w:w="2940" w:type="dxa"/>
            <w:vAlign w:val="bottom"/>
            <w:tcBorders>
              <w:left w:val="single" w:sz="8" w:color="auto"/>
            </w:tcBorders>
          </w:tcPr>
          <w:p>
            <w:pPr>
              <w:ind w:left="360"/>
              <w:spacing w:after="0"/>
              <w:rPr>
                <w:sz w:val="20"/>
                <w:szCs w:val="20"/>
                <w:color w:val="auto"/>
              </w:rPr>
            </w:pPr>
            <w:r>
              <w:rPr>
                <w:rFonts w:ascii="Calibri" w:cs="Calibri" w:eastAsia="Calibri" w:hAnsi="Calibri"/>
                <w:sz w:val="12"/>
                <w:szCs w:val="12"/>
                <w:color w:val="494949"/>
              </w:rPr>
              <w:t>Disability</w:t>
            </w:r>
          </w:p>
        </w:tc>
        <w:tc>
          <w:tcPr>
            <w:tcW w:w="82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tcPr>
          <w:p>
            <w:pPr>
              <w:jc w:val="center"/>
              <w:spacing w:after="0"/>
              <w:rPr>
                <w:sz w:val="20"/>
                <w:szCs w:val="20"/>
                <w:color w:val="auto"/>
              </w:rPr>
            </w:pPr>
            <w:r>
              <w:rPr>
                <w:rFonts w:ascii="Calibri" w:cs="Calibri" w:eastAsia="Calibri" w:hAnsi="Calibri"/>
                <w:sz w:val="12"/>
                <w:szCs w:val="12"/>
                <w:color w:val="494949"/>
                <w:w w:val="91"/>
              </w:rPr>
              <w:t>—</w:t>
            </w:r>
          </w:p>
        </w:tc>
        <w:tc>
          <w:tcPr>
            <w:tcW w:w="1160" w:type="dxa"/>
            <w:vAlign w:val="bottom"/>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1,742,360</w:t>
            </w:r>
          </w:p>
        </w:tc>
        <w:tc>
          <w:tcPr>
            <w:tcW w:w="260" w:type="dxa"/>
            <w:vAlign w:val="bottom"/>
          </w:tcPr>
          <w:p>
            <w:pPr>
              <w:jc w:val="right"/>
              <w:ind w:right="38"/>
              <w:spacing w:after="0"/>
              <w:rPr>
                <w:sz w:val="20"/>
                <w:szCs w:val="20"/>
                <w:color w:val="auto"/>
              </w:rPr>
            </w:pPr>
            <w:r>
              <w:rPr>
                <w:rFonts w:ascii="Calibri" w:cs="Calibri" w:eastAsia="Calibri" w:hAnsi="Calibri"/>
                <w:sz w:val="12"/>
                <w:szCs w:val="12"/>
                <w:color w:val="494949"/>
              </w:rPr>
              <w:t>5</w:t>
            </w: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839,251</w:t>
            </w:r>
          </w:p>
        </w:tc>
        <w:tc>
          <w:tcPr>
            <w:tcW w:w="280" w:type="dxa"/>
            <w:vAlign w:val="bottom"/>
          </w:tcPr>
          <w:p>
            <w:pPr>
              <w:jc w:val="right"/>
              <w:ind w:right="138"/>
              <w:spacing w:after="0"/>
              <w:rPr>
                <w:sz w:val="20"/>
                <w:szCs w:val="20"/>
                <w:color w:val="auto"/>
              </w:rPr>
            </w:pPr>
            <w:r>
              <w:rPr>
                <w:rFonts w:ascii="Calibri" w:cs="Calibri" w:eastAsia="Calibri" w:hAnsi="Calibri"/>
                <w:sz w:val="12"/>
                <w:szCs w:val="12"/>
                <w:color w:val="494949"/>
                <w:w w:val="97"/>
              </w:rPr>
              <w:t>6</w:t>
            </w:r>
          </w:p>
        </w:tc>
        <w:tc>
          <w:tcPr>
            <w:tcW w:w="840" w:type="dxa"/>
            <w:vAlign w:val="bottom"/>
            <w:tcBorders>
              <w:right w:val="single" w:sz="8" w:color="auto"/>
            </w:tcBorders>
          </w:tcPr>
          <w:p>
            <w:pPr>
              <w:jc w:val="right"/>
              <w:ind w:right="18"/>
              <w:spacing w:after="0"/>
              <w:rPr>
                <w:sz w:val="20"/>
                <w:szCs w:val="20"/>
                <w:color w:val="auto"/>
              </w:rPr>
            </w:pPr>
            <w:r>
              <w:rPr>
                <w:rFonts w:ascii="Calibri" w:cs="Calibri" w:eastAsia="Calibri" w:hAnsi="Calibri"/>
                <w:sz w:val="12"/>
                <w:szCs w:val="12"/>
                <w:color w:val="494949"/>
              </w:rPr>
              <w:t>2,581,611</w:t>
            </w:r>
          </w:p>
        </w:tc>
      </w:tr>
      <w:tr>
        <w:trPr>
          <w:trHeight w:val="173"/>
        </w:trPr>
        <w:tc>
          <w:tcPr>
            <w:tcW w:w="2940" w:type="dxa"/>
            <w:vAlign w:val="bottom"/>
            <w:tcBorders>
              <w:left w:val="single" w:sz="8" w:color="auto"/>
            </w:tcBorders>
          </w:tcPr>
          <w:p>
            <w:pPr>
              <w:ind w:left="360"/>
              <w:spacing w:after="0"/>
              <w:rPr>
                <w:sz w:val="20"/>
                <w:szCs w:val="20"/>
                <w:color w:val="auto"/>
              </w:rPr>
            </w:pPr>
            <w:r>
              <w:rPr>
                <w:rFonts w:ascii="Calibri" w:cs="Calibri" w:eastAsia="Calibri" w:hAnsi="Calibri"/>
                <w:sz w:val="12"/>
                <w:szCs w:val="12"/>
                <w:color w:val="494949"/>
              </w:rPr>
              <w:t>Involuntary Terminaton</w:t>
            </w:r>
          </w:p>
        </w:tc>
        <w:tc>
          <w:tcPr>
            <w:tcW w:w="820" w:type="dxa"/>
            <w:vAlign w:val="bottom"/>
          </w:tcPr>
          <w:p>
            <w:pPr>
              <w:jc w:val="center"/>
              <w:spacing w:after="0"/>
              <w:rPr>
                <w:sz w:val="20"/>
                <w:szCs w:val="20"/>
                <w:color w:val="auto"/>
              </w:rPr>
            </w:pPr>
            <w:r>
              <w:rPr>
                <w:rFonts w:ascii="Calibri" w:cs="Calibri" w:eastAsia="Calibri" w:hAnsi="Calibri"/>
                <w:sz w:val="12"/>
                <w:szCs w:val="12"/>
                <w:color w:val="494949"/>
              </w:rPr>
              <w:t>650,000</w:t>
            </w:r>
          </w:p>
        </w:tc>
        <w:tc>
          <w:tcPr>
            <w:tcW w:w="1000" w:type="dxa"/>
            <w:vAlign w:val="bottom"/>
          </w:tcPr>
          <w:p>
            <w:pPr>
              <w:jc w:val="center"/>
              <w:spacing w:after="0"/>
              <w:rPr>
                <w:sz w:val="20"/>
                <w:szCs w:val="20"/>
                <w:color w:val="auto"/>
              </w:rPr>
            </w:pPr>
            <w:r>
              <w:rPr>
                <w:rFonts w:ascii="Calibri" w:cs="Calibri" w:eastAsia="Calibri" w:hAnsi="Calibri"/>
                <w:sz w:val="12"/>
                <w:szCs w:val="12"/>
                <w:color w:val="494949"/>
                <w:w w:val="91"/>
              </w:rPr>
              <w:t>—</w:t>
            </w:r>
          </w:p>
        </w:tc>
        <w:tc>
          <w:tcPr>
            <w:tcW w:w="1160" w:type="dxa"/>
            <w:vAlign w:val="bottom"/>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2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30,000</w:t>
            </w:r>
          </w:p>
        </w:tc>
        <w:tc>
          <w:tcPr>
            <w:tcW w:w="280" w:type="dxa"/>
            <w:vAlign w:val="bottom"/>
          </w:tcPr>
          <w:p>
            <w:pPr>
              <w:jc w:val="right"/>
              <w:ind w:right="138"/>
              <w:spacing w:after="0"/>
              <w:rPr>
                <w:sz w:val="20"/>
                <w:szCs w:val="20"/>
                <w:color w:val="auto"/>
              </w:rPr>
            </w:pPr>
            <w:r>
              <w:rPr>
                <w:rFonts w:ascii="Calibri" w:cs="Calibri" w:eastAsia="Calibri" w:hAnsi="Calibri"/>
                <w:sz w:val="12"/>
                <w:szCs w:val="12"/>
                <w:color w:val="494949"/>
                <w:w w:val="97"/>
              </w:rPr>
              <w:t>7</w:t>
            </w:r>
          </w:p>
        </w:tc>
        <w:tc>
          <w:tcPr>
            <w:tcW w:w="840" w:type="dxa"/>
            <w:vAlign w:val="bottom"/>
            <w:tcBorders>
              <w:right w:val="single" w:sz="8" w:color="auto"/>
            </w:tcBorders>
          </w:tcPr>
          <w:p>
            <w:pPr>
              <w:jc w:val="right"/>
              <w:ind w:right="18"/>
              <w:spacing w:after="0"/>
              <w:rPr>
                <w:sz w:val="20"/>
                <w:szCs w:val="20"/>
                <w:color w:val="auto"/>
              </w:rPr>
            </w:pPr>
            <w:r>
              <w:rPr>
                <w:rFonts w:ascii="Calibri" w:cs="Calibri" w:eastAsia="Calibri" w:hAnsi="Calibri"/>
                <w:sz w:val="12"/>
                <w:szCs w:val="12"/>
                <w:color w:val="494949"/>
              </w:rPr>
              <w:t>680,000</w:t>
            </w:r>
          </w:p>
        </w:tc>
      </w:tr>
      <w:tr>
        <w:trPr>
          <w:trHeight w:val="198"/>
        </w:trPr>
        <w:tc>
          <w:tcPr>
            <w:tcW w:w="2940" w:type="dxa"/>
            <w:vAlign w:val="bottom"/>
            <w:tcBorders>
              <w:left w:val="single" w:sz="8" w:color="auto"/>
            </w:tcBorders>
          </w:tcPr>
          <w:p>
            <w:pPr>
              <w:ind w:left="360"/>
              <w:spacing w:after="0"/>
              <w:rPr>
                <w:sz w:val="20"/>
                <w:szCs w:val="20"/>
                <w:color w:val="auto"/>
              </w:rPr>
            </w:pPr>
            <w:r>
              <w:rPr>
                <w:rFonts w:ascii="Calibri" w:cs="Calibri" w:eastAsia="Calibri" w:hAnsi="Calibri"/>
                <w:sz w:val="12"/>
                <w:szCs w:val="12"/>
                <w:color w:val="494949"/>
              </w:rPr>
              <w:t xml:space="preserve">Retrement </w:t>
            </w:r>
            <w:r>
              <w:rPr>
                <w:rFonts w:ascii="Calibri" w:cs="Calibri" w:eastAsia="Calibri" w:hAnsi="Calibri"/>
                <w:sz w:val="16"/>
                <w:szCs w:val="16"/>
                <w:color w:val="494949"/>
                <w:vertAlign w:val="superscript"/>
              </w:rPr>
              <w:t>10</w:t>
            </w:r>
          </w:p>
        </w:tc>
        <w:tc>
          <w:tcPr>
            <w:tcW w:w="82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tcPr>
          <w:p>
            <w:pPr>
              <w:jc w:val="center"/>
              <w:spacing w:after="0"/>
              <w:rPr>
                <w:sz w:val="20"/>
                <w:szCs w:val="20"/>
                <w:color w:val="auto"/>
              </w:rPr>
            </w:pPr>
            <w:r>
              <w:rPr>
                <w:rFonts w:ascii="Calibri" w:cs="Calibri" w:eastAsia="Calibri" w:hAnsi="Calibri"/>
                <w:sz w:val="12"/>
                <w:szCs w:val="12"/>
                <w:color w:val="494949"/>
                <w:w w:val="91"/>
              </w:rPr>
              <w:t>—</w:t>
            </w:r>
          </w:p>
        </w:tc>
        <w:tc>
          <w:tcPr>
            <w:tcW w:w="1160" w:type="dxa"/>
            <w:vAlign w:val="bottom"/>
          </w:tcPr>
          <w:p>
            <w:pPr>
              <w:jc w:val="center"/>
              <w:ind w:left="158"/>
              <w:spacing w:after="0"/>
              <w:rPr>
                <w:sz w:val="20"/>
                <w:szCs w:val="20"/>
                <w:color w:val="auto"/>
              </w:rPr>
            </w:pPr>
            <w:r>
              <w:rPr>
                <w:rFonts w:ascii="Calibri" w:cs="Calibri" w:eastAsia="Calibri" w:hAnsi="Calibri"/>
                <w:sz w:val="12"/>
                <w:szCs w:val="12"/>
                <w:color w:val="494949"/>
              </w:rPr>
              <w:t>85,000</w:t>
            </w: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2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929,817</w:t>
            </w:r>
          </w:p>
        </w:tc>
        <w:tc>
          <w:tcPr>
            <w:tcW w:w="280" w:type="dxa"/>
            <w:vAlign w:val="bottom"/>
          </w:tcPr>
          <w:p>
            <w:pPr>
              <w:jc w:val="right"/>
              <w:ind w:right="138"/>
              <w:spacing w:after="0"/>
              <w:rPr>
                <w:sz w:val="20"/>
                <w:szCs w:val="20"/>
                <w:color w:val="auto"/>
              </w:rPr>
            </w:pPr>
            <w:r>
              <w:rPr>
                <w:rFonts w:ascii="Calibri" w:cs="Calibri" w:eastAsia="Calibri" w:hAnsi="Calibri"/>
                <w:sz w:val="12"/>
                <w:szCs w:val="12"/>
                <w:color w:val="494949"/>
                <w:w w:val="97"/>
              </w:rPr>
              <w:t>8</w:t>
            </w:r>
          </w:p>
        </w:tc>
        <w:tc>
          <w:tcPr>
            <w:tcW w:w="840" w:type="dxa"/>
            <w:vAlign w:val="bottom"/>
            <w:tcBorders>
              <w:right w:val="single" w:sz="8" w:color="auto"/>
            </w:tcBorders>
          </w:tcPr>
          <w:p>
            <w:pPr>
              <w:jc w:val="right"/>
              <w:ind w:right="18"/>
              <w:spacing w:after="0"/>
              <w:rPr>
                <w:sz w:val="20"/>
                <w:szCs w:val="20"/>
                <w:color w:val="auto"/>
              </w:rPr>
            </w:pPr>
            <w:r>
              <w:rPr>
                <w:rFonts w:ascii="Calibri" w:cs="Calibri" w:eastAsia="Calibri" w:hAnsi="Calibri"/>
                <w:sz w:val="12"/>
                <w:szCs w:val="12"/>
                <w:color w:val="494949"/>
              </w:rPr>
              <w:t>1,014,817</w:t>
            </w:r>
          </w:p>
        </w:tc>
      </w:tr>
      <w:tr>
        <w:trPr>
          <w:trHeight w:val="147"/>
        </w:trPr>
        <w:tc>
          <w:tcPr>
            <w:tcW w:w="2940" w:type="dxa"/>
            <w:vAlign w:val="bottom"/>
            <w:tcBorders>
              <w:left w:val="single" w:sz="8" w:color="auto"/>
            </w:tcBorders>
          </w:tcPr>
          <w:p>
            <w:pPr>
              <w:ind w:left="360"/>
              <w:spacing w:after="0"/>
              <w:rPr>
                <w:sz w:val="20"/>
                <w:szCs w:val="20"/>
                <w:color w:val="auto"/>
              </w:rPr>
            </w:pPr>
            <w:r>
              <w:rPr>
                <w:rFonts w:ascii="Calibri" w:cs="Calibri" w:eastAsia="Calibri" w:hAnsi="Calibri"/>
                <w:sz w:val="12"/>
                <w:szCs w:val="12"/>
                <w:color w:val="494949"/>
              </w:rPr>
              <w:t>Voluntary Resignaton</w:t>
            </w:r>
          </w:p>
        </w:tc>
        <w:tc>
          <w:tcPr>
            <w:tcW w:w="82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tcPr>
          <w:p>
            <w:pPr>
              <w:jc w:val="center"/>
              <w:spacing w:after="0"/>
              <w:rPr>
                <w:sz w:val="20"/>
                <w:szCs w:val="20"/>
                <w:color w:val="auto"/>
              </w:rPr>
            </w:pPr>
            <w:r>
              <w:rPr>
                <w:rFonts w:ascii="Calibri" w:cs="Calibri" w:eastAsia="Calibri" w:hAnsi="Calibri"/>
                <w:sz w:val="12"/>
                <w:szCs w:val="12"/>
                <w:color w:val="494949"/>
                <w:w w:val="91"/>
              </w:rPr>
              <w:t>—</w:t>
            </w:r>
          </w:p>
        </w:tc>
        <w:tc>
          <w:tcPr>
            <w:tcW w:w="1160" w:type="dxa"/>
            <w:vAlign w:val="bottom"/>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2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280" w:type="dxa"/>
            <w:vAlign w:val="bottom"/>
          </w:tcPr>
          <w:p>
            <w:pPr>
              <w:spacing w:after="0"/>
              <w:rPr>
                <w:sz w:val="12"/>
                <w:szCs w:val="12"/>
                <w:color w:val="auto"/>
              </w:rPr>
            </w:pPr>
          </w:p>
        </w:tc>
        <w:tc>
          <w:tcPr>
            <w:tcW w:w="840" w:type="dxa"/>
            <w:vAlign w:val="bottom"/>
            <w:tcBorders>
              <w:right w:val="single" w:sz="8" w:color="auto"/>
            </w:tcBorders>
          </w:tcPr>
          <w:p>
            <w:pPr>
              <w:jc w:val="center"/>
              <w:ind w:right="18"/>
              <w:spacing w:after="0"/>
              <w:rPr>
                <w:sz w:val="20"/>
                <w:szCs w:val="20"/>
                <w:color w:val="auto"/>
              </w:rPr>
            </w:pPr>
            <w:r>
              <w:rPr>
                <w:rFonts w:ascii="Calibri" w:cs="Calibri" w:eastAsia="Calibri" w:hAnsi="Calibri"/>
                <w:sz w:val="12"/>
                <w:szCs w:val="12"/>
                <w:color w:val="494949"/>
              </w:rPr>
              <w:t>—</w:t>
            </w:r>
          </w:p>
        </w:tc>
      </w:tr>
      <w:tr>
        <w:trPr>
          <w:trHeight w:val="173"/>
        </w:trPr>
        <w:tc>
          <w:tcPr>
            <w:tcW w:w="2940" w:type="dxa"/>
            <w:vAlign w:val="bottom"/>
            <w:tcBorders>
              <w:left w:val="single" w:sz="8" w:color="auto"/>
            </w:tcBorders>
          </w:tcPr>
          <w:p>
            <w:pPr>
              <w:ind w:left="360"/>
              <w:spacing w:after="0"/>
              <w:rPr>
                <w:sz w:val="20"/>
                <w:szCs w:val="20"/>
                <w:color w:val="auto"/>
              </w:rPr>
            </w:pPr>
            <w:r>
              <w:rPr>
                <w:rFonts w:ascii="Calibri" w:cs="Calibri" w:eastAsia="Calibri" w:hAnsi="Calibri"/>
                <w:sz w:val="12"/>
                <w:szCs w:val="12"/>
                <w:color w:val="494949"/>
              </w:rPr>
              <w:t>Terminaton for Cause</w:t>
            </w:r>
          </w:p>
        </w:tc>
        <w:tc>
          <w:tcPr>
            <w:tcW w:w="82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tcPr>
          <w:p>
            <w:pPr>
              <w:jc w:val="center"/>
              <w:spacing w:after="0"/>
              <w:rPr>
                <w:sz w:val="20"/>
                <w:szCs w:val="20"/>
                <w:color w:val="auto"/>
              </w:rPr>
            </w:pPr>
            <w:r>
              <w:rPr>
                <w:rFonts w:ascii="Calibri" w:cs="Calibri" w:eastAsia="Calibri" w:hAnsi="Calibri"/>
                <w:sz w:val="12"/>
                <w:szCs w:val="12"/>
                <w:color w:val="494949"/>
                <w:w w:val="91"/>
              </w:rPr>
              <w:t>—</w:t>
            </w:r>
          </w:p>
        </w:tc>
        <w:tc>
          <w:tcPr>
            <w:tcW w:w="1160" w:type="dxa"/>
            <w:vAlign w:val="bottom"/>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2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280" w:type="dxa"/>
            <w:vAlign w:val="bottom"/>
          </w:tcPr>
          <w:p>
            <w:pPr>
              <w:spacing w:after="0"/>
              <w:rPr>
                <w:sz w:val="15"/>
                <w:szCs w:val="15"/>
                <w:color w:val="auto"/>
              </w:rPr>
            </w:pPr>
          </w:p>
        </w:tc>
        <w:tc>
          <w:tcPr>
            <w:tcW w:w="840" w:type="dxa"/>
            <w:vAlign w:val="bottom"/>
            <w:tcBorders>
              <w:right w:val="single" w:sz="8" w:color="auto"/>
            </w:tcBorders>
          </w:tcPr>
          <w:p>
            <w:pPr>
              <w:jc w:val="center"/>
              <w:ind w:right="18"/>
              <w:spacing w:after="0"/>
              <w:rPr>
                <w:sz w:val="20"/>
                <w:szCs w:val="20"/>
                <w:color w:val="auto"/>
              </w:rPr>
            </w:pPr>
            <w:r>
              <w:rPr>
                <w:rFonts w:ascii="Calibri" w:cs="Calibri" w:eastAsia="Calibri" w:hAnsi="Calibri"/>
                <w:sz w:val="12"/>
                <w:szCs w:val="12"/>
                <w:color w:val="494949"/>
              </w:rPr>
              <w:t>—</w:t>
            </w:r>
          </w:p>
        </w:tc>
      </w:tr>
      <w:tr>
        <w:trPr>
          <w:trHeight w:val="173"/>
        </w:trPr>
        <w:tc>
          <w:tcPr>
            <w:tcW w:w="2940" w:type="dxa"/>
            <w:vAlign w:val="bottom"/>
            <w:tcBorders>
              <w:left w:val="single" w:sz="8" w:color="auto"/>
            </w:tcBorders>
          </w:tcPr>
          <w:p>
            <w:pPr>
              <w:ind w:left="360"/>
              <w:spacing w:after="0"/>
              <w:rPr>
                <w:sz w:val="20"/>
                <w:szCs w:val="20"/>
                <w:color w:val="auto"/>
              </w:rPr>
            </w:pPr>
            <w:r>
              <w:rPr>
                <w:rFonts w:ascii="Calibri" w:cs="Calibri" w:eastAsia="Calibri" w:hAnsi="Calibri"/>
                <w:sz w:val="12"/>
                <w:szCs w:val="12"/>
                <w:color w:val="494949"/>
              </w:rPr>
              <w:t>Change-In-Control</w:t>
            </w:r>
          </w:p>
        </w:tc>
        <w:tc>
          <w:tcPr>
            <w:tcW w:w="82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644,202</w:t>
            </w:r>
          </w:p>
        </w:tc>
        <w:tc>
          <w:tcPr>
            <w:tcW w:w="1160" w:type="dxa"/>
            <w:vAlign w:val="bottom"/>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2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839,251</w:t>
            </w:r>
          </w:p>
        </w:tc>
        <w:tc>
          <w:tcPr>
            <w:tcW w:w="280" w:type="dxa"/>
            <w:vAlign w:val="bottom"/>
          </w:tcPr>
          <w:p>
            <w:pPr>
              <w:jc w:val="right"/>
              <w:ind w:right="138"/>
              <w:spacing w:after="0"/>
              <w:rPr>
                <w:sz w:val="20"/>
                <w:szCs w:val="20"/>
                <w:color w:val="auto"/>
              </w:rPr>
            </w:pPr>
            <w:r>
              <w:rPr>
                <w:rFonts w:ascii="Calibri" w:cs="Calibri" w:eastAsia="Calibri" w:hAnsi="Calibri"/>
                <w:sz w:val="12"/>
                <w:szCs w:val="12"/>
                <w:color w:val="494949"/>
                <w:w w:val="97"/>
              </w:rPr>
              <w:t>9</w:t>
            </w:r>
          </w:p>
        </w:tc>
        <w:tc>
          <w:tcPr>
            <w:tcW w:w="840" w:type="dxa"/>
            <w:vAlign w:val="bottom"/>
            <w:tcBorders>
              <w:right w:val="single" w:sz="8" w:color="auto"/>
            </w:tcBorders>
          </w:tcPr>
          <w:p>
            <w:pPr>
              <w:jc w:val="right"/>
              <w:ind w:right="18"/>
              <w:spacing w:after="0"/>
              <w:rPr>
                <w:sz w:val="20"/>
                <w:szCs w:val="20"/>
                <w:color w:val="auto"/>
              </w:rPr>
            </w:pPr>
            <w:r>
              <w:rPr>
                <w:rFonts w:ascii="Calibri" w:cs="Calibri" w:eastAsia="Calibri" w:hAnsi="Calibri"/>
                <w:sz w:val="12"/>
                <w:szCs w:val="12"/>
                <w:color w:val="494949"/>
              </w:rPr>
              <w:t>1,483,453</w:t>
            </w:r>
          </w:p>
        </w:tc>
      </w:tr>
      <w:tr>
        <w:trPr>
          <w:trHeight w:val="173"/>
        </w:trPr>
        <w:tc>
          <w:tcPr>
            <w:tcW w:w="2940" w:type="dxa"/>
            <w:vAlign w:val="bottom"/>
            <w:tcBorders>
              <w:left w:val="single" w:sz="8" w:color="auto"/>
            </w:tcBorders>
          </w:tcPr>
          <w:p>
            <w:pPr>
              <w:ind w:left="360"/>
              <w:spacing w:after="0"/>
              <w:rPr>
                <w:sz w:val="20"/>
                <w:szCs w:val="20"/>
                <w:color w:val="auto"/>
              </w:rPr>
            </w:pPr>
            <w:r>
              <w:rPr>
                <w:rFonts w:ascii="Calibri" w:cs="Calibri" w:eastAsia="Calibri" w:hAnsi="Calibri"/>
                <w:sz w:val="12"/>
                <w:szCs w:val="12"/>
                <w:color w:val="494949"/>
              </w:rPr>
              <w:t>Involuntary Terminaton Afer Change-In-Control</w:t>
            </w:r>
          </w:p>
        </w:tc>
        <w:tc>
          <w:tcPr>
            <w:tcW w:w="82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1,344,655</w:t>
            </w:r>
          </w:p>
        </w:tc>
        <w:tc>
          <w:tcPr>
            <w:tcW w:w="1160" w:type="dxa"/>
            <w:vAlign w:val="bottom"/>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2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2"/>
                <w:szCs w:val="12"/>
                <w:color w:val="494949"/>
              </w:rPr>
              <w:t>—</w:t>
            </w:r>
          </w:p>
        </w:tc>
        <w:tc>
          <w:tcPr>
            <w:tcW w:w="280" w:type="dxa"/>
            <w:vAlign w:val="bottom"/>
          </w:tcPr>
          <w:p>
            <w:pPr>
              <w:spacing w:after="0"/>
              <w:rPr>
                <w:sz w:val="15"/>
                <w:szCs w:val="15"/>
                <w:color w:val="auto"/>
              </w:rPr>
            </w:pPr>
          </w:p>
        </w:tc>
        <w:tc>
          <w:tcPr>
            <w:tcW w:w="840" w:type="dxa"/>
            <w:vAlign w:val="bottom"/>
            <w:tcBorders>
              <w:right w:val="single" w:sz="8" w:color="auto"/>
            </w:tcBorders>
          </w:tcPr>
          <w:p>
            <w:pPr>
              <w:jc w:val="right"/>
              <w:ind w:right="18"/>
              <w:spacing w:after="0"/>
              <w:rPr>
                <w:sz w:val="20"/>
                <w:szCs w:val="20"/>
                <w:color w:val="auto"/>
              </w:rPr>
            </w:pPr>
            <w:r>
              <w:rPr>
                <w:rFonts w:ascii="Calibri" w:cs="Calibri" w:eastAsia="Calibri" w:hAnsi="Calibri"/>
                <w:sz w:val="12"/>
                <w:szCs w:val="12"/>
                <w:color w:val="494949"/>
              </w:rPr>
              <w:t>1,344,655</w:t>
            </w:r>
          </w:p>
        </w:tc>
      </w:tr>
      <w:tr>
        <w:trPr>
          <w:trHeight w:val="23"/>
        </w:trPr>
        <w:tc>
          <w:tcPr>
            <w:tcW w:w="2940" w:type="dxa"/>
            <w:vAlign w:val="bottom"/>
            <w:tcBorders>
              <w:left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r>
      <w:tr>
        <w:trPr>
          <w:trHeight w:val="150"/>
        </w:trPr>
        <w:tc>
          <w:tcPr>
            <w:tcW w:w="2940" w:type="dxa"/>
            <w:vAlign w:val="bottom"/>
            <w:tcBorders>
              <w:left w:val="single" w:sz="8" w:color="auto"/>
            </w:tcBorders>
            <w:shd w:val="clear" w:color="auto" w:fill="CCEEFF"/>
          </w:tcPr>
          <w:p>
            <w:pPr>
              <w:ind w:left="40"/>
              <w:spacing w:after="0"/>
              <w:rPr>
                <w:sz w:val="20"/>
                <w:szCs w:val="20"/>
                <w:color w:val="auto"/>
              </w:rPr>
            </w:pPr>
            <w:r>
              <w:rPr>
                <w:rFonts w:ascii="Calibri" w:cs="Calibri" w:eastAsia="Calibri" w:hAnsi="Calibri"/>
                <w:sz w:val="12"/>
                <w:szCs w:val="12"/>
                <w:b w:val="1"/>
                <w:bCs w:val="1"/>
                <w:color w:val="494949"/>
              </w:rPr>
              <w:t>Susan L. Penfeld</w:t>
            </w:r>
          </w:p>
        </w:tc>
        <w:tc>
          <w:tcPr>
            <w:tcW w:w="8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tcBorders>
              <w:right w:val="single" w:sz="8" w:color="auto"/>
            </w:tcBorders>
            <w:shd w:val="clear" w:color="auto" w:fill="CCEEFF"/>
          </w:tcPr>
          <w:p>
            <w:pPr>
              <w:spacing w:after="0"/>
              <w:rPr>
                <w:sz w:val="13"/>
                <w:szCs w:val="13"/>
                <w:color w:val="auto"/>
              </w:rPr>
            </w:pPr>
          </w:p>
        </w:tc>
      </w:tr>
      <w:tr>
        <w:trPr>
          <w:trHeight w:val="173"/>
        </w:trPr>
        <w:tc>
          <w:tcPr>
            <w:tcW w:w="2940" w:type="dxa"/>
            <w:vAlign w:val="bottom"/>
            <w:tcBorders>
              <w:left w:val="single" w:sz="8" w:color="auto"/>
            </w:tcBorders>
            <w:shd w:val="clear" w:color="auto" w:fill="CCEEFF"/>
          </w:tcPr>
          <w:p>
            <w:pPr>
              <w:ind w:left="360"/>
              <w:spacing w:after="0"/>
              <w:rPr>
                <w:sz w:val="20"/>
                <w:szCs w:val="20"/>
                <w:color w:val="auto"/>
              </w:rPr>
            </w:pPr>
            <w:r>
              <w:rPr>
                <w:rFonts w:ascii="Calibri" w:cs="Calibri" w:eastAsia="Calibri" w:hAnsi="Calibri"/>
                <w:sz w:val="12"/>
                <w:szCs w:val="12"/>
                <w:color w:val="494949"/>
              </w:rPr>
              <w:t>Death</w:t>
            </w:r>
          </w:p>
        </w:tc>
        <w:tc>
          <w:tcPr>
            <w:tcW w:w="82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1,645,946</w:t>
            </w:r>
          </w:p>
        </w:tc>
        <w:tc>
          <w:tcPr>
            <w:tcW w:w="1160" w:type="dxa"/>
            <w:vAlign w:val="bottom"/>
            <w:shd w:val="clear" w:color="auto" w:fill="CCEEFF"/>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2,066,667</w:t>
            </w:r>
          </w:p>
        </w:tc>
        <w:tc>
          <w:tcPr>
            <w:tcW w:w="260" w:type="dxa"/>
            <w:vAlign w:val="bottom"/>
            <w:shd w:val="clear" w:color="auto" w:fill="CCEEFF"/>
          </w:tcPr>
          <w:p>
            <w:pPr>
              <w:jc w:val="right"/>
              <w:ind w:right="38"/>
              <w:spacing w:after="0"/>
              <w:rPr>
                <w:sz w:val="20"/>
                <w:szCs w:val="20"/>
                <w:color w:val="auto"/>
              </w:rPr>
            </w:pPr>
            <w:r>
              <w:rPr>
                <w:rFonts w:ascii="Calibri" w:cs="Calibri" w:eastAsia="Calibri" w:hAnsi="Calibri"/>
                <w:sz w:val="12"/>
                <w:szCs w:val="12"/>
                <w:color w:val="494949"/>
              </w:rPr>
              <w:t>4</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280" w:type="dxa"/>
            <w:vAlign w:val="bottom"/>
            <w:shd w:val="clear" w:color="auto" w:fill="CCEEFF"/>
          </w:tcPr>
          <w:p>
            <w:pPr>
              <w:spacing w:after="0"/>
              <w:rPr>
                <w:sz w:val="15"/>
                <w:szCs w:val="15"/>
                <w:color w:val="auto"/>
              </w:rPr>
            </w:pPr>
          </w:p>
        </w:tc>
        <w:tc>
          <w:tcPr>
            <w:tcW w:w="840" w:type="dxa"/>
            <w:vAlign w:val="bottom"/>
            <w:tcBorders>
              <w:right w:val="single" w:sz="8" w:color="auto"/>
            </w:tcBorders>
            <w:shd w:val="clear" w:color="auto" w:fill="CCEEFF"/>
          </w:tcPr>
          <w:p>
            <w:pPr>
              <w:jc w:val="right"/>
              <w:ind w:right="18"/>
              <w:spacing w:after="0"/>
              <w:rPr>
                <w:sz w:val="20"/>
                <w:szCs w:val="20"/>
                <w:color w:val="auto"/>
              </w:rPr>
            </w:pPr>
            <w:r>
              <w:rPr>
                <w:rFonts w:ascii="Calibri" w:cs="Calibri" w:eastAsia="Calibri" w:hAnsi="Calibri"/>
                <w:sz w:val="12"/>
                <w:szCs w:val="12"/>
                <w:color w:val="494949"/>
              </w:rPr>
              <w:t>3,712,613</w:t>
            </w:r>
          </w:p>
        </w:tc>
      </w:tr>
      <w:tr>
        <w:trPr>
          <w:trHeight w:val="173"/>
        </w:trPr>
        <w:tc>
          <w:tcPr>
            <w:tcW w:w="2940" w:type="dxa"/>
            <w:vAlign w:val="bottom"/>
            <w:tcBorders>
              <w:left w:val="single" w:sz="8" w:color="auto"/>
            </w:tcBorders>
            <w:shd w:val="clear" w:color="auto" w:fill="CCEEFF"/>
          </w:tcPr>
          <w:p>
            <w:pPr>
              <w:ind w:left="360"/>
              <w:spacing w:after="0"/>
              <w:rPr>
                <w:sz w:val="20"/>
                <w:szCs w:val="20"/>
                <w:color w:val="auto"/>
              </w:rPr>
            </w:pPr>
            <w:r>
              <w:rPr>
                <w:rFonts w:ascii="Calibri" w:cs="Calibri" w:eastAsia="Calibri" w:hAnsi="Calibri"/>
                <w:sz w:val="12"/>
                <w:szCs w:val="12"/>
                <w:color w:val="494949"/>
              </w:rPr>
              <w:t>Disability</w:t>
            </w:r>
          </w:p>
        </w:tc>
        <w:tc>
          <w:tcPr>
            <w:tcW w:w="82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w w:val="91"/>
              </w:rPr>
              <w:t>—</w:t>
            </w:r>
          </w:p>
        </w:tc>
        <w:tc>
          <w:tcPr>
            <w:tcW w:w="1160" w:type="dxa"/>
            <w:vAlign w:val="bottom"/>
            <w:shd w:val="clear" w:color="auto" w:fill="CCEEFF"/>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1,740,869</w:t>
            </w:r>
          </w:p>
        </w:tc>
        <w:tc>
          <w:tcPr>
            <w:tcW w:w="260" w:type="dxa"/>
            <w:vAlign w:val="bottom"/>
            <w:shd w:val="clear" w:color="auto" w:fill="CCEEFF"/>
          </w:tcPr>
          <w:p>
            <w:pPr>
              <w:jc w:val="right"/>
              <w:ind w:right="38"/>
              <w:spacing w:after="0"/>
              <w:rPr>
                <w:sz w:val="20"/>
                <w:szCs w:val="20"/>
                <w:color w:val="auto"/>
              </w:rPr>
            </w:pPr>
            <w:r>
              <w:rPr>
                <w:rFonts w:ascii="Calibri" w:cs="Calibri" w:eastAsia="Calibri" w:hAnsi="Calibri"/>
                <w:sz w:val="12"/>
                <w:szCs w:val="12"/>
                <w:color w:val="494949"/>
              </w:rPr>
              <w:t>5</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795,065</w:t>
            </w:r>
          </w:p>
        </w:tc>
        <w:tc>
          <w:tcPr>
            <w:tcW w:w="280" w:type="dxa"/>
            <w:vAlign w:val="bottom"/>
            <w:shd w:val="clear" w:color="auto" w:fill="CCEEFF"/>
          </w:tcPr>
          <w:p>
            <w:pPr>
              <w:jc w:val="right"/>
              <w:ind w:right="138"/>
              <w:spacing w:after="0"/>
              <w:rPr>
                <w:sz w:val="20"/>
                <w:szCs w:val="20"/>
                <w:color w:val="auto"/>
              </w:rPr>
            </w:pPr>
            <w:r>
              <w:rPr>
                <w:rFonts w:ascii="Calibri" w:cs="Calibri" w:eastAsia="Calibri" w:hAnsi="Calibri"/>
                <w:sz w:val="12"/>
                <w:szCs w:val="12"/>
                <w:color w:val="494949"/>
                <w:w w:val="97"/>
              </w:rPr>
              <w:t>6</w:t>
            </w:r>
          </w:p>
        </w:tc>
        <w:tc>
          <w:tcPr>
            <w:tcW w:w="840" w:type="dxa"/>
            <w:vAlign w:val="bottom"/>
            <w:tcBorders>
              <w:right w:val="single" w:sz="8" w:color="auto"/>
            </w:tcBorders>
            <w:shd w:val="clear" w:color="auto" w:fill="CCEEFF"/>
          </w:tcPr>
          <w:p>
            <w:pPr>
              <w:jc w:val="right"/>
              <w:ind w:right="18"/>
              <w:spacing w:after="0"/>
              <w:rPr>
                <w:sz w:val="20"/>
                <w:szCs w:val="20"/>
                <w:color w:val="auto"/>
              </w:rPr>
            </w:pPr>
            <w:r>
              <w:rPr>
                <w:rFonts w:ascii="Calibri" w:cs="Calibri" w:eastAsia="Calibri" w:hAnsi="Calibri"/>
                <w:sz w:val="12"/>
                <w:szCs w:val="12"/>
                <w:color w:val="494949"/>
              </w:rPr>
              <w:t>2,535,934</w:t>
            </w:r>
          </w:p>
        </w:tc>
      </w:tr>
      <w:tr>
        <w:trPr>
          <w:trHeight w:val="173"/>
        </w:trPr>
        <w:tc>
          <w:tcPr>
            <w:tcW w:w="2940" w:type="dxa"/>
            <w:vAlign w:val="bottom"/>
            <w:tcBorders>
              <w:left w:val="single" w:sz="8" w:color="auto"/>
            </w:tcBorders>
            <w:shd w:val="clear" w:color="auto" w:fill="CCEEFF"/>
          </w:tcPr>
          <w:p>
            <w:pPr>
              <w:ind w:left="360"/>
              <w:spacing w:after="0"/>
              <w:rPr>
                <w:sz w:val="20"/>
                <w:szCs w:val="20"/>
                <w:color w:val="auto"/>
              </w:rPr>
            </w:pPr>
            <w:r>
              <w:rPr>
                <w:rFonts w:ascii="Calibri" w:cs="Calibri" w:eastAsia="Calibri" w:hAnsi="Calibri"/>
                <w:sz w:val="12"/>
                <w:szCs w:val="12"/>
                <w:color w:val="494949"/>
              </w:rPr>
              <w:t>Involuntary Terminaton</w:t>
            </w:r>
          </w:p>
        </w:tc>
        <w:tc>
          <w:tcPr>
            <w:tcW w:w="82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800,000</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w w:val="91"/>
              </w:rPr>
              <w:t>—</w:t>
            </w:r>
          </w:p>
        </w:tc>
        <w:tc>
          <w:tcPr>
            <w:tcW w:w="1160" w:type="dxa"/>
            <w:vAlign w:val="bottom"/>
            <w:shd w:val="clear" w:color="auto" w:fill="CCEEFF"/>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30,000</w:t>
            </w:r>
          </w:p>
        </w:tc>
        <w:tc>
          <w:tcPr>
            <w:tcW w:w="280" w:type="dxa"/>
            <w:vAlign w:val="bottom"/>
            <w:shd w:val="clear" w:color="auto" w:fill="CCEEFF"/>
          </w:tcPr>
          <w:p>
            <w:pPr>
              <w:jc w:val="right"/>
              <w:ind w:right="138"/>
              <w:spacing w:after="0"/>
              <w:rPr>
                <w:sz w:val="20"/>
                <w:szCs w:val="20"/>
                <w:color w:val="auto"/>
              </w:rPr>
            </w:pPr>
            <w:r>
              <w:rPr>
                <w:rFonts w:ascii="Calibri" w:cs="Calibri" w:eastAsia="Calibri" w:hAnsi="Calibri"/>
                <w:sz w:val="12"/>
                <w:szCs w:val="12"/>
                <w:color w:val="494949"/>
                <w:w w:val="97"/>
              </w:rPr>
              <w:t>7</w:t>
            </w:r>
          </w:p>
        </w:tc>
        <w:tc>
          <w:tcPr>
            <w:tcW w:w="840" w:type="dxa"/>
            <w:vAlign w:val="bottom"/>
            <w:tcBorders>
              <w:right w:val="single" w:sz="8" w:color="auto"/>
            </w:tcBorders>
            <w:shd w:val="clear" w:color="auto" w:fill="CCEEFF"/>
          </w:tcPr>
          <w:p>
            <w:pPr>
              <w:jc w:val="right"/>
              <w:ind w:right="18"/>
              <w:spacing w:after="0"/>
              <w:rPr>
                <w:sz w:val="20"/>
                <w:szCs w:val="20"/>
                <w:color w:val="auto"/>
              </w:rPr>
            </w:pPr>
            <w:r>
              <w:rPr>
                <w:rFonts w:ascii="Calibri" w:cs="Calibri" w:eastAsia="Calibri" w:hAnsi="Calibri"/>
                <w:sz w:val="12"/>
                <w:szCs w:val="12"/>
                <w:color w:val="494949"/>
              </w:rPr>
              <w:t>830,000</w:t>
            </w:r>
          </w:p>
        </w:tc>
      </w:tr>
      <w:tr>
        <w:trPr>
          <w:trHeight w:val="196"/>
        </w:trPr>
        <w:tc>
          <w:tcPr>
            <w:tcW w:w="2940" w:type="dxa"/>
            <w:vAlign w:val="bottom"/>
            <w:tcBorders>
              <w:left w:val="single" w:sz="8" w:color="auto"/>
            </w:tcBorders>
            <w:shd w:val="clear" w:color="auto" w:fill="CCEEFF"/>
          </w:tcPr>
          <w:p>
            <w:pPr>
              <w:ind w:left="360"/>
              <w:spacing w:after="0"/>
              <w:rPr>
                <w:sz w:val="20"/>
                <w:szCs w:val="20"/>
                <w:color w:val="auto"/>
              </w:rPr>
            </w:pPr>
            <w:r>
              <w:rPr>
                <w:rFonts w:ascii="Calibri" w:cs="Calibri" w:eastAsia="Calibri" w:hAnsi="Calibri"/>
                <w:sz w:val="12"/>
                <w:szCs w:val="12"/>
                <w:color w:val="494949"/>
              </w:rPr>
              <w:t xml:space="preserve">Retrement </w:t>
            </w:r>
            <w:r>
              <w:rPr>
                <w:rFonts w:ascii="Calibri" w:cs="Calibri" w:eastAsia="Calibri" w:hAnsi="Calibri"/>
                <w:sz w:val="16"/>
                <w:szCs w:val="16"/>
                <w:color w:val="494949"/>
                <w:vertAlign w:val="superscript"/>
              </w:rPr>
              <w:t>10</w:t>
            </w:r>
          </w:p>
        </w:tc>
        <w:tc>
          <w:tcPr>
            <w:tcW w:w="82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w w:val="91"/>
              </w:rPr>
              <w:t>—</w:t>
            </w:r>
          </w:p>
        </w:tc>
        <w:tc>
          <w:tcPr>
            <w:tcW w:w="1160" w:type="dxa"/>
            <w:vAlign w:val="bottom"/>
            <w:shd w:val="clear" w:color="auto" w:fill="CCEEFF"/>
          </w:tcPr>
          <w:p>
            <w:pPr>
              <w:jc w:val="center"/>
              <w:ind w:left="158"/>
              <w:spacing w:after="0"/>
              <w:rPr>
                <w:sz w:val="20"/>
                <w:szCs w:val="20"/>
                <w:color w:val="auto"/>
              </w:rPr>
            </w:pPr>
            <w:r>
              <w:rPr>
                <w:rFonts w:ascii="Calibri" w:cs="Calibri" w:eastAsia="Calibri" w:hAnsi="Calibri"/>
                <w:sz w:val="12"/>
                <w:szCs w:val="12"/>
                <w:color w:val="494949"/>
              </w:rPr>
              <w:t>195,000</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885,117</w:t>
            </w:r>
          </w:p>
        </w:tc>
        <w:tc>
          <w:tcPr>
            <w:tcW w:w="280" w:type="dxa"/>
            <w:vAlign w:val="bottom"/>
            <w:shd w:val="clear" w:color="auto" w:fill="CCEEFF"/>
          </w:tcPr>
          <w:p>
            <w:pPr>
              <w:jc w:val="right"/>
              <w:ind w:right="138"/>
              <w:spacing w:after="0"/>
              <w:rPr>
                <w:sz w:val="20"/>
                <w:szCs w:val="20"/>
                <w:color w:val="auto"/>
              </w:rPr>
            </w:pPr>
            <w:r>
              <w:rPr>
                <w:rFonts w:ascii="Calibri" w:cs="Calibri" w:eastAsia="Calibri" w:hAnsi="Calibri"/>
                <w:sz w:val="12"/>
                <w:szCs w:val="12"/>
                <w:color w:val="494949"/>
                <w:w w:val="97"/>
              </w:rPr>
              <w:t>8</w:t>
            </w:r>
          </w:p>
        </w:tc>
        <w:tc>
          <w:tcPr>
            <w:tcW w:w="840" w:type="dxa"/>
            <w:vAlign w:val="bottom"/>
            <w:tcBorders>
              <w:right w:val="single" w:sz="8" w:color="auto"/>
            </w:tcBorders>
            <w:shd w:val="clear" w:color="auto" w:fill="CCEEFF"/>
          </w:tcPr>
          <w:p>
            <w:pPr>
              <w:jc w:val="right"/>
              <w:ind w:right="18"/>
              <w:spacing w:after="0"/>
              <w:rPr>
                <w:sz w:val="20"/>
                <w:szCs w:val="20"/>
                <w:color w:val="auto"/>
              </w:rPr>
            </w:pPr>
            <w:r>
              <w:rPr>
                <w:rFonts w:ascii="Calibri" w:cs="Calibri" w:eastAsia="Calibri" w:hAnsi="Calibri"/>
                <w:sz w:val="12"/>
                <w:szCs w:val="12"/>
                <w:color w:val="494949"/>
              </w:rPr>
              <w:t>1,080,117</w:t>
            </w:r>
          </w:p>
        </w:tc>
      </w:tr>
      <w:tr>
        <w:trPr>
          <w:trHeight w:val="150"/>
        </w:trPr>
        <w:tc>
          <w:tcPr>
            <w:tcW w:w="2940" w:type="dxa"/>
            <w:vAlign w:val="bottom"/>
            <w:tcBorders>
              <w:left w:val="single" w:sz="8" w:color="auto"/>
            </w:tcBorders>
            <w:shd w:val="clear" w:color="auto" w:fill="CCEEFF"/>
          </w:tcPr>
          <w:p>
            <w:pPr>
              <w:ind w:left="360"/>
              <w:spacing w:after="0"/>
              <w:rPr>
                <w:sz w:val="20"/>
                <w:szCs w:val="20"/>
                <w:color w:val="auto"/>
              </w:rPr>
            </w:pPr>
            <w:r>
              <w:rPr>
                <w:rFonts w:ascii="Calibri" w:cs="Calibri" w:eastAsia="Calibri" w:hAnsi="Calibri"/>
                <w:sz w:val="12"/>
                <w:szCs w:val="12"/>
                <w:color w:val="494949"/>
              </w:rPr>
              <w:t>Voluntary Resignaton</w:t>
            </w:r>
          </w:p>
        </w:tc>
        <w:tc>
          <w:tcPr>
            <w:tcW w:w="82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w w:val="91"/>
              </w:rPr>
              <w:t>—</w:t>
            </w:r>
          </w:p>
        </w:tc>
        <w:tc>
          <w:tcPr>
            <w:tcW w:w="1160" w:type="dxa"/>
            <w:vAlign w:val="bottom"/>
            <w:shd w:val="clear" w:color="auto" w:fill="CCEEFF"/>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280" w:type="dxa"/>
            <w:vAlign w:val="bottom"/>
            <w:shd w:val="clear" w:color="auto" w:fill="CCEEFF"/>
          </w:tcPr>
          <w:p>
            <w:pPr>
              <w:spacing w:after="0"/>
              <w:rPr>
                <w:sz w:val="13"/>
                <w:szCs w:val="13"/>
                <w:color w:val="auto"/>
              </w:rPr>
            </w:pPr>
          </w:p>
        </w:tc>
        <w:tc>
          <w:tcPr>
            <w:tcW w:w="840" w:type="dxa"/>
            <w:vAlign w:val="bottom"/>
            <w:tcBorders>
              <w:right w:val="single" w:sz="8" w:color="auto"/>
            </w:tcBorders>
            <w:shd w:val="clear" w:color="auto" w:fill="CCEEFF"/>
          </w:tcPr>
          <w:p>
            <w:pPr>
              <w:jc w:val="center"/>
              <w:ind w:right="18"/>
              <w:spacing w:after="0"/>
              <w:rPr>
                <w:sz w:val="20"/>
                <w:szCs w:val="20"/>
                <w:color w:val="auto"/>
              </w:rPr>
            </w:pPr>
            <w:r>
              <w:rPr>
                <w:rFonts w:ascii="Calibri" w:cs="Calibri" w:eastAsia="Calibri" w:hAnsi="Calibri"/>
                <w:sz w:val="12"/>
                <w:szCs w:val="12"/>
                <w:color w:val="494949"/>
              </w:rPr>
              <w:t>—</w:t>
            </w:r>
          </w:p>
        </w:tc>
      </w:tr>
      <w:tr>
        <w:trPr>
          <w:trHeight w:val="173"/>
        </w:trPr>
        <w:tc>
          <w:tcPr>
            <w:tcW w:w="2940" w:type="dxa"/>
            <w:vAlign w:val="bottom"/>
            <w:tcBorders>
              <w:left w:val="single" w:sz="8" w:color="auto"/>
            </w:tcBorders>
            <w:shd w:val="clear" w:color="auto" w:fill="CCEEFF"/>
          </w:tcPr>
          <w:p>
            <w:pPr>
              <w:ind w:left="360"/>
              <w:spacing w:after="0"/>
              <w:rPr>
                <w:sz w:val="20"/>
                <w:szCs w:val="20"/>
                <w:color w:val="auto"/>
              </w:rPr>
            </w:pPr>
            <w:r>
              <w:rPr>
                <w:rFonts w:ascii="Calibri" w:cs="Calibri" w:eastAsia="Calibri" w:hAnsi="Calibri"/>
                <w:sz w:val="12"/>
                <w:szCs w:val="12"/>
                <w:color w:val="494949"/>
              </w:rPr>
              <w:t>Terminaton for Cause</w:t>
            </w:r>
          </w:p>
        </w:tc>
        <w:tc>
          <w:tcPr>
            <w:tcW w:w="82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w w:val="91"/>
              </w:rPr>
              <w:t>—</w:t>
            </w:r>
          </w:p>
        </w:tc>
        <w:tc>
          <w:tcPr>
            <w:tcW w:w="1160" w:type="dxa"/>
            <w:vAlign w:val="bottom"/>
            <w:shd w:val="clear" w:color="auto" w:fill="CCEEFF"/>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280" w:type="dxa"/>
            <w:vAlign w:val="bottom"/>
            <w:shd w:val="clear" w:color="auto" w:fill="CCEEFF"/>
          </w:tcPr>
          <w:p>
            <w:pPr>
              <w:spacing w:after="0"/>
              <w:rPr>
                <w:sz w:val="15"/>
                <w:szCs w:val="15"/>
                <w:color w:val="auto"/>
              </w:rPr>
            </w:pPr>
          </w:p>
        </w:tc>
        <w:tc>
          <w:tcPr>
            <w:tcW w:w="840" w:type="dxa"/>
            <w:vAlign w:val="bottom"/>
            <w:tcBorders>
              <w:right w:val="single" w:sz="8" w:color="auto"/>
            </w:tcBorders>
            <w:shd w:val="clear" w:color="auto" w:fill="CCEEFF"/>
          </w:tcPr>
          <w:p>
            <w:pPr>
              <w:jc w:val="center"/>
              <w:ind w:right="18"/>
              <w:spacing w:after="0"/>
              <w:rPr>
                <w:sz w:val="20"/>
                <w:szCs w:val="20"/>
                <w:color w:val="auto"/>
              </w:rPr>
            </w:pPr>
            <w:r>
              <w:rPr>
                <w:rFonts w:ascii="Calibri" w:cs="Calibri" w:eastAsia="Calibri" w:hAnsi="Calibri"/>
                <w:sz w:val="12"/>
                <w:szCs w:val="12"/>
                <w:color w:val="494949"/>
              </w:rPr>
              <w:t>—</w:t>
            </w:r>
          </w:p>
        </w:tc>
      </w:tr>
      <w:tr>
        <w:trPr>
          <w:trHeight w:val="173"/>
        </w:trPr>
        <w:tc>
          <w:tcPr>
            <w:tcW w:w="2940" w:type="dxa"/>
            <w:vAlign w:val="bottom"/>
            <w:tcBorders>
              <w:left w:val="single" w:sz="8" w:color="auto"/>
            </w:tcBorders>
            <w:shd w:val="clear" w:color="auto" w:fill="CCEEFF"/>
          </w:tcPr>
          <w:p>
            <w:pPr>
              <w:ind w:left="360"/>
              <w:spacing w:after="0"/>
              <w:rPr>
                <w:sz w:val="20"/>
                <w:szCs w:val="20"/>
                <w:color w:val="auto"/>
              </w:rPr>
            </w:pPr>
            <w:r>
              <w:rPr>
                <w:rFonts w:ascii="Calibri" w:cs="Calibri" w:eastAsia="Calibri" w:hAnsi="Calibri"/>
                <w:sz w:val="12"/>
                <w:szCs w:val="12"/>
                <w:color w:val="494949"/>
              </w:rPr>
              <w:t>Change-In-Control</w:t>
            </w:r>
          </w:p>
        </w:tc>
        <w:tc>
          <w:tcPr>
            <w:tcW w:w="82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430,152</w:t>
            </w:r>
          </w:p>
        </w:tc>
        <w:tc>
          <w:tcPr>
            <w:tcW w:w="1160" w:type="dxa"/>
            <w:vAlign w:val="bottom"/>
            <w:shd w:val="clear" w:color="auto" w:fill="CCEEFF"/>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Calibri" w:cs="Calibri" w:eastAsia="Calibri" w:hAnsi="Calibri"/>
                <w:sz w:val="12"/>
                <w:szCs w:val="12"/>
                <w:color w:val="494949"/>
              </w:rPr>
              <w:t>795,065</w:t>
            </w:r>
          </w:p>
        </w:tc>
        <w:tc>
          <w:tcPr>
            <w:tcW w:w="280" w:type="dxa"/>
            <w:vAlign w:val="bottom"/>
            <w:shd w:val="clear" w:color="auto" w:fill="CCEEFF"/>
          </w:tcPr>
          <w:p>
            <w:pPr>
              <w:jc w:val="right"/>
              <w:ind w:right="138"/>
              <w:spacing w:after="0"/>
              <w:rPr>
                <w:sz w:val="20"/>
                <w:szCs w:val="20"/>
                <w:color w:val="auto"/>
              </w:rPr>
            </w:pPr>
            <w:r>
              <w:rPr>
                <w:rFonts w:ascii="Calibri" w:cs="Calibri" w:eastAsia="Calibri" w:hAnsi="Calibri"/>
                <w:sz w:val="12"/>
                <w:szCs w:val="12"/>
                <w:color w:val="494949"/>
                <w:w w:val="97"/>
              </w:rPr>
              <w:t>9</w:t>
            </w:r>
          </w:p>
        </w:tc>
        <w:tc>
          <w:tcPr>
            <w:tcW w:w="840" w:type="dxa"/>
            <w:vAlign w:val="bottom"/>
            <w:tcBorders>
              <w:right w:val="single" w:sz="8" w:color="auto"/>
            </w:tcBorders>
            <w:shd w:val="clear" w:color="auto" w:fill="CCEEFF"/>
          </w:tcPr>
          <w:p>
            <w:pPr>
              <w:jc w:val="right"/>
              <w:ind w:right="18"/>
              <w:spacing w:after="0"/>
              <w:rPr>
                <w:sz w:val="20"/>
                <w:szCs w:val="20"/>
                <w:color w:val="auto"/>
              </w:rPr>
            </w:pPr>
            <w:r>
              <w:rPr>
                <w:rFonts w:ascii="Calibri" w:cs="Calibri" w:eastAsia="Calibri" w:hAnsi="Calibri"/>
                <w:sz w:val="12"/>
                <w:szCs w:val="12"/>
                <w:color w:val="494949"/>
              </w:rPr>
              <w:t>1,225,217</w:t>
            </w:r>
          </w:p>
        </w:tc>
      </w:tr>
      <w:tr>
        <w:trPr>
          <w:trHeight w:val="176"/>
        </w:trPr>
        <w:tc>
          <w:tcPr>
            <w:tcW w:w="2940" w:type="dxa"/>
            <w:vAlign w:val="bottom"/>
            <w:tcBorders>
              <w:left w:val="single" w:sz="8" w:color="auto"/>
              <w:bottom w:val="single" w:sz="8" w:color="CCEEFF"/>
            </w:tcBorders>
            <w:shd w:val="clear" w:color="auto" w:fill="CCEEFF"/>
          </w:tcPr>
          <w:p>
            <w:pPr>
              <w:ind w:left="360"/>
              <w:spacing w:after="0"/>
              <w:rPr>
                <w:sz w:val="20"/>
                <w:szCs w:val="20"/>
                <w:color w:val="auto"/>
              </w:rPr>
            </w:pPr>
            <w:r>
              <w:rPr>
                <w:rFonts w:ascii="Calibri" w:cs="Calibri" w:eastAsia="Calibri" w:hAnsi="Calibri"/>
                <w:sz w:val="12"/>
                <w:szCs w:val="12"/>
                <w:color w:val="494949"/>
              </w:rPr>
              <w:t>Involuntary Terminaton Afer Change-In-Control</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Calibri" w:cs="Calibri" w:eastAsia="Calibri" w:hAnsi="Calibri"/>
                <w:sz w:val="12"/>
                <w:szCs w:val="12"/>
                <w:color w:val="494949"/>
              </w:rPr>
              <w:t>1,215,793</w:t>
            </w:r>
          </w:p>
        </w:tc>
        <w:tc>
          <w:tcPr>
            <w:tcW w:w="1160" w:type="dxa"/>
            <w:vAlign w:val="bottom"/>
            <w:tcBorders>
              <w:bottom w:val="single" w:sz="8" w:color="CCEEFF"/>
            </w:tcBorders>
            <w:shd w:val="clear" w:color="auto" w:fill="CCEEFF"/>
          </w:tcPr>
          <w:p>
            <w:pPr>
              <w:jc w:val="center"/>
              <w:ind w:left="158"/>
              <w:spacing w:after="0"/>
              <w:rPr>
                <w:sz w:val="20"/>
                <w:szCs w:val="20"/>
                <w:color w:val="auto"/>
              </w:rPr>
            </w:pPr>
            <w:r>
              <w:rPr>
                <w:rFonts w:ascii="Calibri" w:cs="Calibri" w:eastAsia="Calibri" w:hAnsi="Calibri"/>
                <w:sz w:val="12"/>
                <w:szCs w:val="12"/>
                <w:color w:val="494949"/>
                <w:w w:val="91"/>
              </w:rPr>
              <w:t>—</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Calibri" w:cs="Calibri" w:eastAsia="Calibri" w:hAnsi="Calibri"/>
                <w:sz w:val="12"/>
                <w:szCs w:val="12"/>
                <w:color w:val="494949"/>
              </w:rPr>
              <w:t>—</w:t>
            </w:r>
          </w:p>
        </w:tc>
        <w:tc>
          <w:tcPr>
            <w:tcW w:w="2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right w:val="single" w:sz="8" w:color="auto"/>
            </w:tcBorders>
            <w:shd w:val="clear" w:color="auto" w:fill="CCEEFF"/>
          </w:tcPr>
          <w:p>
            <w:pPr>
              <w:jc w:val="right"/>
              <w:ind w:right="18"/>
              <w:spacing w:after="0"/>
              <w:rPr>
                <w:sz w:val="20"/>
                <w:szCs w:val="20"/>
                <w:color w:val="auto"/>
              </w:rPr>
            </w:pPr>
            <w:r>
              <w:rPr>
                <w:rFonts w:ascii="Calibri" w:cs="Calibri" w:eastAsia="Calibri" w:hAnsi="Calibri"/>
                <w:sz w:val="12"/>
                <w:szCs w:val="12"/>
                <w:color w:val="494949"/>
              </w:rPr>
              <w:t>1,215,793</w:t>
            </w:r>
          </w:p>
        </w:tc>
      </w:tr>
      <w:tr>
        <w:trPr>
          <w:trHeight w:val="27"/>
        </w:trPr>
        <w:tc>
          <w:tcPr>
            <w:tcW w:w="2940" w:type="dxa"/>
            <w:vAlign w:val="bottom"/>
            <w:tcBorders>
              <w:left w:val="single" w:sz="8" w:color="auto"/>
            </w:tcBorders>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r>
    </w:tbl>
    <w:p>
      <w:pPr>
        <w:spacing w:after="0" w:line="180" w:lineRule="exact"/>
        <w:rPr>
          <w:sz w:val="20"/>
          <w:szCs w:val="20"/>
          <w:color w:val="auto"/>
        </w:rPr>
      </w:pPr>
    </w:p>
    <w:p>
      <w:pPr>
        <w:ind w:left="560" w:hanging="394"/>
        <w:spacing w:after="0" w:line="239" w:lineRule="auto"/>
        <w:tabs>
          <w:tab w:leader="none" w:pos="548" w:val="left"/>
        </w:tabs>
        <w:numPr>
          <w:ilvl w:val="0"/>
          <w:numId w:val="56"/>
        </w:numPr>
        <w:rPr>
          <w:rFonts w:ascii="Calibri" w:cs="Calibri" w:eastAsia="Calibri" w:hAnsi="Calibri"/>
          <w:sz w:val="13"/>
          <w:szCs w:val="13"/>
          <w:color w:val="666666"/>
        </w:rPr>
      </w:pPr>
      <w:r>
        <w:rPr>
          <w:rFonts w:ascii="Calibri" w:cs="Calibri" w:eastAsia="Calibri" w:hAnsi="Calibri"/>
          <w:sz w:val="13"/>
          <w:szCs w:val="13"/>
          <w:color w:val="666666"/>
        </w:rPr>
        <w:t>Each named executve ofcer is eligible for transiton pay under our Transiton Policy upon an involuntary terminaton equal to four months of base pay, plus one additonal month for each year of service as an executve, up to a maximum of 12 months’ base pay.</w:t>
      </w:r>
    </w:p>
    <w:p>
      <w:pPr>
        <w:spacing w:after="0" w:line="108" w:lineRule="exact"/>
        <w:rPr>
          <w:rFonts w:ascii="Calibri" w:cs="Calibri" w:eastAsia="Calibri" w:hAnsi="Calibri"/>
          <w:sz w:val="13"/>
          <w:szCs w:val="13"/>
          <w:color w:val="666666"/>
        </w:rPr>
      </w:pPr>
    </w:p>
    <w:p>
      <w:pPr>
        <w:jc w:val="both"/>
        <w:ind w:left="560" w:hanging="394"/>
        <w:spacing w:after="0"/>
        <w:tabs>
          <w:tab w:leader="none" w:pos="548" w:val="left"/>
        </w:tabs>
        <w:numPr>
          <w:ilvl w:val="0"/>
          <w:numId w:val="56"/>
        </w:numPr>
        <w:rPr>
          <w:rFonts w:ascii="Calibri" w:cs="Calibri" w:eastAsia="Calibri" w:hAnsi="Calibri"/>
          <w:sz w:val="13"/>
          <w:szCs w:val="13"/>
          <w:color w:val="666666"/>
        </w:rPr>
      </w:pPr>
      <w:r>
        <w:rPr>
          <w:rFonts w:ascii="Calibri" w:cs="Calibri" w:eastAsia="Calibri" w:hAnsi="Calibri"/>
          <w:sz w:val="13"/>
          <w:szCs w:val="13"/>
          <w:color w:val="666666"/>
        </w:rPr>
        <w:t>This column includes the value of the equity with accelerated vestng calculated using $87.84, the closing fair market value of our common stock on March 31, 2022. With respect to the performance-based restricted stock units, this column assumes the named executve ofcer was involuntarily terminated on the date of the change in control. The accelerated vestng for a change in control is described in more detail under “Change in Control Protectons.” In the event of death, all outstanding service-vestng optons and tme-based restricted stock units immediately vest. Upon certain qualifying retrement events, the performance-based restricted stock units will be treated as described below in footnote 10 to this table.</w:t>
      </w:r>
    </w:p>
    <w:p>
      <w:pPr>
        <w:spacing w:after="0" w:line="108" w:lineRule="exact"/>
        <w:rPr>
          <w:rFonts w:ascii="Calibri" w:cs="Calibri" w:eastAsia="Calibri" w:hAnsi="Calibri"/>
          <w:sz w:val="13"/>
          <w:szCs w:val="13"/>
          <w:color w:val="666666"/>
        </w:rPr>
      </w:pPr>
    </w:p>
    <w:p>
      <w:pPr>
        <w:ind w:left="560" w:hanging="394"/>
        <w:spacing w:after="0" w:line="239" w:lineRule="auto"/>
        <w:tabs>
          <w:tab w:leader="none" w:pos="548" w:val="left"/>
        </w:tabs>
        <w:numPr>
          <w:ilvl w:val="0"/>
          <w:numId w:val="56"/>
        </w:numPr>
        <w:rPr>
          <w:rFonts w:ascii="Calibri" w:cs="Calibri" w:eastAsia="Calibri" w:hAnsi="Calibri"/>
          <w:sz w:val="13"/>
          <w:szCs w:val="13"/>
          <w:color w:val="666666"/>
        </w:rPr>
      </w:pPr>
      <w:r>
        <w:rPr>
          <w:rFonts w:ascii="Calibri" w:cs="Calibri" w:eastAsia="Calibri" w:hAnsi="Calibri"/>
          <w:sz w:val="13"/>
          <w:szCs w:val="13"/>
          <w:color w:val="666666"/>
        </w:rPr>
        <w:t>This column represents the benefts under the Ofcers’ Retrement Plan. The amounts have been calculated using the methodology and assumptons described in footnote 1 to the Pension Benefts Table above.</w:t>
      </w:r>
    </w:p>
    <w:p>
      <w:pPr>
        <w:spacing w:after="0" w:line="107" w:lineRule="exact"/>
        <w:rPr>
          <w:rFonts w:ascii="Calibri" w:cs="Calibri" w:eastAsia="Calibri" w:hAnsi="Calibri"/>
          <w:sz w:val="13"/>
          <w:szCs w:val="13"/>
          <w:color w:val="666666"/>
        </w:rPr>
      </w:pPr>
    </w:p>
    <w:p>
      <w:pPr>
        <w:ind w:left="560" w:hanging="394"/>
        <w:spacing w:after="0"/>
        <w:tabs>
          <w:tab w:leader="none" w:pos="560" w:val="left"/>
        </w:tabs>
        <w:numPr>
          <w:ilvl w:val="0"/>
          <w:numId w:val="56"/>
        </w:numPr>
        <w:rPr>
          <w:rFonts w:ascii="Calibri" w:cs="Calibri" w:eastAsia="Calibri" w:hAnsi="Calibri"/>
          <w:sz w:val="13"/>
          <w:szCs w:val="13"/>
          <w:color w:val="666666"/>
        </w:rPr>
      </w:pPr>
      <w:r>
        <w:rPr>
          <w:rFonts w:ascii="Calibri" w:cs="Calibri" w:eastAsia="Calibri" w:hAnsi="Calibri"/>
          <w:sz w:val="13"/>
          <w:szCs w:val="13"/>
          <w:color w:val="666666"/>
        </w:rPr>
        <w:t>Each named executve ofcer has a $2 million life insurance policy. If the death was accidental, an additonal $1.5 million would be paid. Decedents' survivors also receive one month’s base pay.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666666"/>
        </w:rPr>
        <w:t>49</w:t>
      </w:r>
    </w:p>
    <w:p>
      <w:pPr>
        <w:sectPr>
          <w:pgSz w:w="11900" w:h="16838" w:orient="portrait"/>
          <w:cols w:equalWidth="0" w:num="1">
            <w:col w:w="11240"/>
          </w:cols>
          <w:pgMar w:left="320" w:top="118"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399" w:lineRule="exact"/>
        <w:rPr>
          <w:sz w:val="20"/>
          <w:szCs w:val="20"/>
          <w:color w:val="auto"/>
        </w:rPr>
      </w:pPr>
    </w:p>
    <w:p>
      <w:pPr>
        <w:jc w:val="both"/>
        <w:ind w:left="560" w:hanging="394"/>
        <w:spacing w:after="0"/>
        <w:tabs>
          <w:tab w:leader="none" w:pos="548" w:val="left"/>
        </w:tabs>
        <w:numPr>
          <w:ilvl w:val="0"/>
          <w:numId w:val="57"/>
        </w:numPr>
        <w:rPr>
          <w:rFonts w:ascii="Calibri" w:cs="Calibri" w:eastAsia="Calibri" w:hAnsi="Calibri"/>
          <w:sz w:val="13"/>
          <w:szCs w:val="13"/>
          <w:color w:val="666666"/>
        </w:rPr>
      </w:pPr>
      <w:r>
        <w:rPr>
          <w:rFonts w:ascii="Calibri" w:cs="Calibri" w:eastAsia="Calibri" w:hAnsi="Calibri"/>
          <w:sz w:val="13"/>
          <w:szCs w:val="13"/>
          <w:color w:val="666666"/>
        </w:rPr>
        <w:t>These amounts include the present value of disability insurance payments that cover up to 60% of base salary and bonus with a maximum beneft of $25,000 per month ($300,000 per year). These amounts were calculated by valuing the beneft as a standard annuity beneft based on the incidence of disability, using assumptons consistent with FASB ASC 715-30 and 715-60 accountng for our other beneft programs and, for the assumpton of a rate of disability, the 1977 Social Security Disability Index table.</w:t>
      </w:r>
    </w:p>
    <w:p>
      <w:pPr>
        <w:spacing w:after="0" w:line="108" w:lineRule="exact"/>
        <w:rPr>
          <w:rFonts w:ascii="Calibri" w:cs="Calibri" w:eastAsia="Calibri" w:hAnsi="Calibri"/>
          <w:sz w:val="13"/>
          <w:szCs w:val="13"/>
          <w:color w:val="666666"/>
        </w:rPr>
      </w:pPr>
    </w:p>
    <w:p>
      <w:pPr>
        <w:ind w:left="560" w:hanging="394"/>
        <w:spacing w:after="0" w:line="239" w:lineRule="auto"/>
        <w:tabs>
          <w:tab w:leader="none" w:pos="548" w:val="left"/>
        </w:tabs>
        <w:numPr>
          <w:ilvl w:val="0"/>
          <w:numId w:val="57"/>
        </w:numPr>
        <w:rPr>
          <w:rFonts w:ascii="Calibri" w:cs="Calibri" w:eastAsia="Calibri" w:hAnsi="Calibri"/>
          <w:sz w:val="13"/>
          <w:szCs w:val="13"/>
          <w:color w:val="666666"/>
        </w:rPr>
      </w:pPr>
      <w:r>
        <w:rPr>
          <w:rFonts w:ascii="Calibri" w:cs="Calibri" w:eastAsia="Calibri" w:hAnsi="Calibri"/>
          <w:sz w:val="13"/>
          <w:szCs w:val="13"/>
          <w:color w:val="666666"/>
        </w:rPr>
        <w:t>These amounts include the actuarial present value of retree medical benefts. The present value of accumulated benefts has been calculated in a manner consistent with our reportng of the Retred Ofcers’ Welfare Plan under FASB ASC 715-60, using the Accumulated Post-Retrement Beneft Obligaton, with an adjustment made to retrement age assumptons as required by SEC regulatons.</w:t>
      </w:r>
    </w:p>
    <w:p>
      <w:pPr>
        <w:spacing w:after="0" w:line="107" w:lineRule="exact"/>
        <w:rPr>
          <w:rFonts w:ascii="Calibri" w:cs="Calibri" w:eastAsia="Calibri" w:hAnsi="Calibri"/>
          <w:sz w:val="13"/>
          <w:szCs w:val="13"/>
          <w:color w:val="666666"/>
        </w:rPr>
      </w:pPr>
    </w:p>
    <w:p>
      <w:pPr>
        <w:ind w:left="560" w:hanging="394"/>
        <w:spacing w:after="0"/>
        <w:tabs>
          <w:tab w:leader="none" w:pos="560" w:val="left"/>
        </w:tabs>
        <w:numPr>
          <w:ilvl w:val="0"/>
          <w:numId w:val="57"/>
        </w:numPr>
        <w:rPr>
          <w:rFonts w:ascii="Calibri" w:cs="Calibri" w:eastAsia="Calibri" w:hAnsi="Calibri"/>
          <w:sz w:val="13"/>
          <w:szCs w:val="13"/>
          <w:color w:val="666666"/>
        </w:rPr>
      </w:pPr>
      <w:r>
        <w:rPr>
          <w:rFonts w:ascii="Calibri" w:cs="Calibri" w:eastAsia="Calibri" w:hAnsi="Calibri"/>
          <w:sz w:val="13"/>
          <w:szCs w:val="13"/>
          <w:color w:val="666666"/>
        </w:rPr>
        <w:t>These amounts include $30,000 in outplacement assistance.</w:t>
      </w:r>
    </w:p>
    <w:p>
      <w:pPr>
        <w:spacing w:after="0" w:line="108" w:lineRule="exact"/>
        <w:rPr>
          <w:rFonts w:ascii="Calibri" w:cs="Calibri" w:eastAsia="Calibri" w:hAnsi="Calibri"/>
          <w:sz w:val="13"/>
          <w:szCs w:val="13"/>
          <w:color w:val="666666"/>
        </w:rPr>
      </w:pPr>
    </w:p>
    <w:p>
      <w:pPr>
        <w:jc w:val="both"/>
        <w:ind w:left="560" w:hanging="394"/>
        <w:spacing w:after="0"/>
        <w:tabs>
          <w:tab w:leader="none" w:pos="548" w:val="left"/>
        </w:tabs>
        <w:numPr>
          <w:ilvl w:val="0"/>
          <w:numId w:val="57"/>
        </w:numPr>
        <w:rPr>
          <w:rFonts w:ascii="Calibri" w:cs="Calibri" w:eastAsia="Calibri" w:hAnsi="Calibri"/>
          <w:sz w:val="13"/>
          <w:szCs w:val="13"/>
          <w:color w:val="666666"/>
        </w:rPr>
      </w:pPr>
      <w:r>
        <w:rPr>
          <w:rFonts w:ascii="Calibri" w:cs="Calibri" w:eastAsia="Calibri" w:hAnsi="Calibri"/>
          <w:sz w:val="13"/>
          <w:szCs w:val="13"/>
          <w:color w:val="666666"/>
        </w:rPr>
        <w:t>These amounts represent the actuarial present value of retree medical benefts which were calculated as described in footnote 6 above. These amounts also include the actuarial present value of up to $4,000 per year for fnancial counseling assistance and were calculated with the same assumptons we use to disclose our Retred Ofcers’ Bonus Plan, consistent with FASB ASC 715-30, with an adjustment to the rate of retrement; the valuaton is based on the discounted value of the full $4,000. These amounts also include a one-tme retrement gif of $10,000, one-tme reimbursement for $5,000 for retrement fnancial counseling for each named executve ofcer, as well as depreciated value of bestowed ofce furniture for Mses. Laben and Penfeld.</w:t>
      </w:r>
    </w:p>
    <w:p>
      <w:pPr>
        <w:spacing w:after="0" w:line="108" w:lineRule="exact"/>
        <w:rPr>
          <w:rFonts w:ascii="Calibri" w:cs="Calibri" w:eastAsia="Calibri" w:hAnsi="Calibri"/>
          <w:sz w:val="13"/>
          <w:szCs w:val="13"/>
          <w:color w:val="666666"/>
        </w:rPr>
      </w:pPr>
    </w:p>
    <w:p>
      <w:pPr>
        <w:ind w:left="560" w:hanging="394"/>
        <w:spacing w:after="0" w:line="239" w:lineRule="auto"/>
        <w:tabs>
          <w:tab w:leader="none" w:pos="548" w:val="left"/>
        </w:tabs>
        <w:numPr>
          <w:ilvl w:val="0"/>
          <w:numId w:val="57"/>
        </w:numPr>
        <w:rPr>
          <w:rFonts w:ascii="Calibri" w:cs="Calibri" w:eastAsia="Calibri" w:hAnsi="Calibri"/>
          <w:sz w:val="13"/>
          <w:szCs w:val="13"/>
          <w:color w:val="666666"/>
        </w:rPr>
      </w:pPr>
      <w:r>
        <w:rPr>
          <w:rFonts w:ascii="Calibri" w:cs="Calibri" w:eastAsia="Calibri" w:hAnsi="Calibri"/>
          <w:sz w:val="13"/>
          <w:szCs w:val="13"/>
          <w:color w:val="666666"/>
        </w:rPr>
        <w:t>These amounts refect the present value of the guaranteed benefts and cash payment of the actuarial cost of the executve’s benefts under the executves’ retree medical plan, assuming that the plan was terminated during the fve years following a change in control.</w:t>
      </w:r>
    </w:p>
    <w:p>
      <w:pPr>
        <w:spacing w:after="0" w:line="108" w:lineRule="exact"/>
        <w:rPr>
          <w:rFonts w:ascii="Calibri" w:cs="Calibri" w:eastAsia="Calibri" w:hAnsi="Calibri"/>
          <w:sz w:val="13"/>
          <w:szCs w:val="13"/>
          <w:color w:val="666666"/>
        </w:rPr>
      </w:pPr>
    </w:p>
    <w:p>
      <w:pPr>
        <w:jc w:val="both"/>
        <w:ind w:left="560" w:hanging="394"/>
        <w:spacing w:after="0"/>
        <w:tabs>
          <w:tab w:leader="none" w:pos="549" w:val="left"/>
        </w:tabs>
        <w:numPr>
          <w:ilvl w:val="0"/>
          <w:numId w:val="57"/>
        </w:numPr>
        <w:rPr>
          <w:rFonts w:ascii="Calibri" w:cs="Calibri" w:eastAsia="Calibri" w:hAnsi="Calibri"/>
          <w:sz w:val="13"/>
          <w:szCs w:val="13"/>
          <w:color w:val="666666"/>
        </w:rPr>
      </w:pPr>
      <w:r>
        <w:rPr>
          <w:rFonts w:ascii="Calibri" w:cs="Calibri" w:eastAsia="Calibri" w:hAnsi="Calibri"/>
          <w:sz w:val="13"/>
          <w:szCs w:val="13"/>
          <w:color w:val="666666"/>
        </w:rPr>
        <w:t>If the named executve ofcer’s employment terminated on or afer March 31, 2022 by reason of a “qualifying permanent retrement” (as defned in the applicable award agreement), outstanding unvested performance-based restricted stock units will be eligible to contnue to vest on the vestng date, subject to and based on actual achievement of the performance goals. The estmated value of the contnued vestng would be $10,197,960, $2,533,920, $2,533,920, $1,344,655, and $1,215,793 for Mr. Rozanski, Mr. Howell, Ms. Dahut, Ms. Laben, and Ms. Penfeld, respectvely, calculated based on the closing fair market value of our common stock on, March 31, 2022 and assuming achievement of target performance levels. Upon retrement that at any tme is not considered a qualifying permanent retrement, the outstanding unvested performance-based restricted stock units will be forfeited.</w:t>
      </w:r>
    </w:p>
    <w:p>
      <w:pPr>
        <w:spacing w:after="0" w:line="157"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547BCC"/>
        </w:rPr>
        <w:t>Pay Rato</w:t>
      </w:r>
    </w:p>
    <w:p>
      <w:pPr>
        <w:spacing w:after="0" w:line="170" w:lineRule="exact"/>
        <w:rPr>
          <w:sz w:val="20"/>
          <w:szCs w:val="20"/>
          <w:color w:val="auto"/>
        </w:rPr>
      </w:pPr>
    </w:p>
    <w:p>
      <w:pPr>
        <w:ind w:firstLine="319"/>
        <w:spacing w:after="0" w:line="231" w:lineRule="auto"/>
        <w:rPr>
          <w:sz w:val="20"/>
          <w:szCs w:val="20"/>
          <w:color w:val="auto"/>
        </w:rPr>
      </w:pPr>
      <w:r>
        <w:rPr>
          <w:rFonts w:ascii="Calibri" w:cs="Calibri" w:eastAsia="Calibri" w:hAnsi="Calibri"/>
          <w:sz w:val="18"/>
          <w:szCs w:val="18"/>
          <w:color w:val="666666"/>
        </w:rPr>
        <w:t>In accordance with Secton 953(b) of the Dodd-Frank Wall Street Reform and Consumer Protecton Act and Item 402(u) of Regulaton S-K ("Item 402(u)"), we are providing the following estmated informaton for fscal year 2022:</w:t>
      </w:r>
    </w:p>
    <w:p>
      <w:pPr>
        <w:spacing w:after="0" w:line="161" w:lineRule="exact"/>
        <w:rPr>
          <w:sz w:val="20"/>
          <w:szCs w:val="20"/>
          <w:color w:val="auto"/>
        </w:rPr>
      </w:pPr>
    </w:p>
    <w:p>
      <w:pPr>
        <w:jc w:val="both"/>
        <w:ind w:left="640" w:hanging="315"/>
        <w:spacing w:after="0" w:line="231" w:lineRule="auto"/>
        <w:tabs>
          <w:tab w:leader="none" w:pos="633" w:val="left"/>
        </w:tabs>
        <w:numPr>
          <w:ilvl w:val="0"/>
          <w:numId w:val="58"/>
        </w:numPr>
        <w:rPr>
          <w:rFonts w:ascii="Calibri" w:cs="Calibri" w:eastAsia="Calibri" w:hAnsi="Calibri"/>
          <w:sz w:val="18"/>
          <w:szCs w:val="18"/>
          <w:color w:val="666666"/>
        </w:rPr>
      </w:pPr>
      <w:r>
        <w:rPr>
          <w:rFonts w:ascii="Calibri" w:cs="Calibri" w:eastAsia="Calibri" w:hAnsi="Calibri"/>
          <w:sz w:val="18"/>
          <w:szCs w:val="18"/>
          <w:color w:val="666666"/>
        </w:rPr>
        <w:t>the total annual compensaton of the median employee was approximately $121,742, which we calculated using the same methodology we used to determine the annual total compensaton of our named executve ofcers for fscal year 2022 (as set forth in the Summary Compensaton Table), and included base salary, employee bonuses and awards, the Company 401(k) plan match, and the Company-paid porton of the medical and dental benefts;</w:t>
      </w:r>
    </w:p>
    <w:p>
      <w:pPr>
        <w:spacing w:after="0" w:line="154" w:lineRule="exact"/>
        <w:rPr>
          <w:rFonts w:ascii="Calibri" w:cs="Calibri" w:eastAsia="Calibri" w:hAnsi="Calibri"/>
          <w:sz w:val="18"/>
          <w:szCs w:val="18"/>
          <w:color w:val="666666"/>
        </w:rPr>
      </w:pPr>
    </w:p>
    <w:p>
      <w:pPr>
        <w:ind w:left="640" w:hanging="315"/>
        <w:spacing w:after="0"/>
        <w:tabs>
          <w:tab w:leader="none" w:pos="640" w:val="left"/>
        </w:tabs>
        <w:numPr>
          <w:ilvl w:val="0"/>
          <w:numId w:val="58"/>
        </w:numPr>
        <w:rPr>
          <w:rFonts w:ascii="Calibri" w:cs="Calibri" w:eastAsia="Calibri" w:hAnsi="Calibri"/>
          <w:sz w:val="18"/>
          <w:szCs w:val="18"/>
          <w:color w:val="666666"/>
        </w:rPr>
      </w:pPr>
      <w:r>
        <w:rPr>
          <w:rFonts w:ascii="Calibri" w:cs="Calibri" w:eastAsia="Calibri" w:hAnsi="Calibri"/>
          <w:sz w:val="18"/>
          <w:szCs w:val="18"/>
          <w:color w:val="666666"/>
        </w:rPr>
        <w:t>the annual total compensaton of our CEO, as reported in the Summary Compensaton Table, was $11,866,337; and</w:t>
      </w:r>
    </w:p>
    <w:p>
      <w:pPr>
        <w:spacing w:after="0" w:line="161" w:lineRule="exact"/>
        <w:rPr>
          <w:rFonts w:ascii="Calibri" w:cs="Calibri" w:eastAsia="Calibri" w:hAnsi="Calibri"/>
          <w:sz w:val="18"/>
          <w:szCs w:val="18"/>
          <w:color w:val="666666"/>
        </w:rPr>
      </w:pPr>
    </w:p>
    <w:p>
      <w:pPr>
        <w:ind w:left="640" w:hanging="315"/>
        <w:spacing w:after="0" w:line="231" w:lineRule="auto"/>
        <w:tabs>
          <w:tab w:leader="none" w:pos="633" w:val="left"/>
        </w:tabs>
        <w:numPr>
          <w:ilvl w:val="0"/>
          <w:numId w:val="58"/>
        </w:numPr>
        <w:rPr>
          <w:rFonts w:ascii="Calibri" w:cs="Calibri" w:eastAsia="Calibri" w:hAnsi="Calibri"/>
          <w:sz w:val="18"/>
          <w:szCs w:val="18"/>
          <w:color w:val="666666"/>
        </w:rPr>
      </w:pPr>
      <w:r>
        <w:rPr>
          <w:rFonts w:ascii="Calibri" w:cs="Calibri" w:eastAsia="Calibri" w:hAnsi="Calibri"/>
          <w:sz w:val="18"/>
          <w:szCs w:val="18"/>
          <w:color w:val="666666"/>
        </w:rPr>
        <w:t>the rato of the annual total compensaton of our CEO to the median of the annual total compensaton of all our employees (the "Pay Rato") was approximately 98 to 1.</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Pay Rato is a reasonable estmate calculated in a mater consistent with Item 402(u). Additonally, the rules for identfying the "median employee" and calculatng the Pay Rato allow companies to apply various methodologies and assumptons. As a result, the compensaton for our median employee and the Pay Rato reported by us should not be used as a comparison to the informaton reported by other companies.</w:t>
      </w:r>
    </w:p>
    <w:p>
      <w:pPr>
        <w:spacing w:after="0" w:line="153" w:lineRule="exact"/>
        <w:rPr>
          <w:sz w:val="20"/>
          <w:szCs w:val="20"/>
          <w:color w:val="auto"/>
        </w:rPr>
      </w:pPr>
    </w:p>
    <w:p>
      <w:pPr>
        <w:ind w:left="320"/>
        <w:spacing w:after="0"/>
        <w:rPr>
          <w:sz w:val="20"/>
          <w:szCs w:val="20"/>
          <w:color w:val="auto"/>
        </w:rPr>
      </w:pPr>
      <w:r>
        <w:rPr>
          <w:rFonts w:ascii="Calibri" w:cs="Calibri" w:eastAsia="Calibri" w:hAnsi="Calibri"/>
          <w:sz w:val="18"/>
          <w:szCs w:val="18"/>
          <w:b w:val="1"/>
          <w:bCs w:val="1"/>
          <w:color w:val="547BCC"/>
        </w:rPr>
        <w:t>Methodology for Identfying Our "Median Employee"</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 xml:space="preserve">We determined that as of March 31, 2022 our total employee populaton consisted of approximately 29,540 individuals, including our CEO, and both full-tme and part-tme employees, of which approximately 28,559 were aligned to ofces in the United States or U.S. jurisdictons, and 981 to ofces in non-U.S. jurisdictons. As the populaton of employees located in non-U.S. jurisdictons accounts for less than 5% of our total workforce, we were able to rely on the </w:t>
      </w:r>
      <w:r>
        <w:rPr>
          <w:rFonts w:ascii="Calibri" w:cs="Calibri" w:eastAsia="Calibri" w:hAnsi="Calibri"/>
          <w:sz w:val="18"/>
          <w:szCs w:val="18"/>
          <w:i w:val="1"/>
          <w:iCs w:val="1"/>
          <w:color w:val="666666"/>
        </w:rPr>
        <w:t>de</w:t>
      </w:r>
      <w:r>
        <w:rPr>
          <w:rFonts w:ascii="Calibri" w:cs="Calibri" w:eastAsia="Calibri" w:hAnsi="Calibri"/>
          <w:sz w:val="18"/>
          <w:szCs w:val="18"/>
          <w:color w:val="666666"/>
        </w:rPr>
        <w:t xml:space="preserve"> </w:t>
      </w:r>
      <w:r>
        <w:rPr>
          <w:rFonts w:ascii="Calibri" w:cs="Calibri" w:eastAsia="Calibri" w:hAnsi="Calibri"/>
          <w:sz w:val="18"/>
          <w:szCs w:val="18"/>
          <w:i w:val="1"/>
          <w:iCs w:val="1"/>
          <w:color w:val="666666"/>
        </w:rPr>
        <w:t xml:space="preserve">minimis </w:t>
      </w:r>
      <w:r>
        <w:rPr>
          <w:rFonts w:ascii="Calibri" w:cs="Calibri" w:eastAsia="Calibri" w:hAnsi="Calibri"/>
          <w:sz w:val="18"/>
          <w:szCs w:val="18"/>
          <w:color w:val="666666"/>
        </w:rPr>
        <w:t>excepton permited under Item 402(u) and exclude the non-U.S. populaton from our "median employee" calculaton, which included employees</w:t>
      </w:r>
      <w:r>
        <w:rPr>
          <w:rFonts w:ascii="Calibri" w:cs="Calibri" w:eastAsia="Calibri" w:hAnsi="Calibri"/>
          <w:sz w:val="18"/>
          <w:szCs w:val="18"/>
          <w:i w:val="1"/>
          <w:iCs w:val="1"/>
          <w:color w:val="666666"/>
        </w:rPr>
        <w:t xml:space="preserve"> </w:t>
      </w:r>
      <w:r>
        <w:rPr>
          <w:rFonts w:ascii="Calibri" w:cs="Calibri" w:eastAsia="Calibri" w:hAnsi="Calibri"/>
          <w:sz w:val="18"/>
          <w:szCs w:val="18"/>
          <w:color w:val="666666"/>
        </w:rPr>
        <w:t>located in Australia (2), Belgium (6), Costa Rica (1), Djibout (3), Germany (400), Italy (21), Japan (101), Republic of Korea (74), Kosovo (1), Lebanon (9), Netherlands (12), Pakistan (39), Panama (1), Qatar (1), Romania (1), Kingdom of Saudi Arabia (9), Singapore (6), United Arab Emirates (118), and the United Kingdom (176). Afer excluding the non-U.S. populaton, our CEO, and employees on unpaid leave of absence for the full fscal year 2022, the resultng adjusted employee populaton to be used for identfying our "median employee" was 28,497.</w:t>
      </w:r>
    </w:p>
    <w:p>
      <w:pPr>
        <w:spacing w:after="0" w:line="167" w:lineRule="exact"/>
        <w:rPr>
          <w:sz w:val="20"/>
          <w:szCs w:val="20"/>
          <w:color w:val="auto"/>
        </w:rPr>
      </w:pPr>
    </w:p>
    <w:p>
      <w:pPr>
        <w:jc w:val="both"/>
        <w:ind w:firstLine="319"/>
        <w:spacing w:after="0" w:line="247" w:lineRule="auto"/>
        <w:rPr>
          <w:sz w:val="20"/>
          <w:szCs w:val="20"/>
          <w:color w:val="auto"/>
        </w:rPr>
      </w:pPr>
      <w:r>
        <w:rPr>
          <w:rFonts w:ascii="Calibri" w:cs="Calibri" w:eastAsia="Calibri" w:hAnsi="Calibri"/>
          <w:sz w:val="17"/>
          <w:szCs w:val="17"/>
          <w:color w:val="666666"/>
        </w:rPr>
        <w:t>We compared the annual salary of our adjusted employee populaton as refected in our human resources system of record. This measure was consistently applied to all individuals in the adjusted employee populaton. This analysis yielded our median salary which was common across 109 individuals. For these individuals, we performed a detailed analysis of the annual total compensaton to identfy our median employee, as discussed below.</w:t>
      </w:r>
    </w:p>
    <w:p>
      <w:pPr>
        <w:spacing w:after="0" w:line="147" w:lineRule="exact"/>
        <w:rPr>
          <w:sz w:val="20"/>
          <w:szCs w:val="20"/>
          <w:color w:val="auto"/>
        </w:rPr>
      </w:pPr>
    </w:p>
    <w:p>
      <w:pPr>
        <w:ind w:left="320"/>
        <w:spacing w:after="0"/>
        <w:rPr>
          <w:sz w:val="20"/>
          <w:szCs w:val="20"/>
          <w:color w:val="auto"/>
        </w:rPr>
      </w:pPr>
      <w:r>
        <w:rPr>
          <w:rFonts w:ascii="Calibri" w:cs="Calibri" w:eastAsia="Calibri" w:hAnsi="Calibri"/>
          <w:sz w:val="18"/>
          <w:szCs w:val="18"/>
          <w:b w:val="1"/>
          <w:bCs w:val="1"/>
          <w:color w:val="547BCC"/>
        </w:rPr>
        <w:t>Annual Total Compensaton Determinaton</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Upon identfying the 109 employees, we removed those who had compensaton elements or employment events that were not representatve of our broad employee populaton, such as tuiton reimbursement, anniversary or recogniton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50</w:t>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31" w:lineRule="auto"/>
        <w:rPr>
          <w:sz w:val="20"/>
          <w:szCs w:val="20"/>
          <w:color w:val="auto"/>
        </w:rPr>
      </w:pPr>
      <w:r>
        <w:rPr>
          <w:rFonts w:ascii="Calibri" w:cs="Calibri" w:eastAsia="Calibri" w:hAnsi="Calibri"/>
          <w:sz w:val="18"/>
          <w:szCs w:val="18"/>
          <w:color w:val="666666"/>
        </w:rPr>
        <w:t>awards, and other unique forms of compensaton, resultng in 71 employees. For the remaining populaton, we calculated annual total compensaton using the same methodology we used for purposes of determining the annual total compensaton of our named executve ofcers for fscal year 2022 (as set forth in the Summary Compensaton Table of the Compensaton Discussion and Analysis). Specifcally, in additon to the actual salary paid for fscal year 2022, the calculaton of total compensaton for these employees also included Company-paid portons of health and wellness benefts and qualifed retrement plan contributons. Afer reviewing these items, we sorted total compensaton from low to high and selected the median employee.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51</w:t>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Calibri" w:cs="Calibri" w:eastAsia="Calibri" w:hAnsi="Calibri"/>
          <w:sz w:val="28"/>
          <w:szCs w:val="28"/>
          <w:b w:val="1"/>
          <w:bCs w:val="1"/>
          <w:color w:val="547BCC"/>
        </w:rPr>
        <w:t>COMPENSATION COMMITTEE REPORT</w:t>
      </w:r>
    </w:p>
    <w:p>
      <w:pPr>
        <w:spacing w:after="0" w:line="175"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Compensaton, Culture and People Commitee has reviewed and discussed the CD&amp;A included in this proxy statement with members of management, and based on such review and discussions, the Compensaton, Culture and People Commitee recommended to the Board that the CD&amp;A be included in this proxy statement.</w:t>
      </w:r>
    </w:p>
    <w:p>
      <w:pPr>
        <w:spacing w:after="0" w:line="153" w:lineRule="exact"/>
        <w:rPr>
          <w:sz w:val="20"/>
          <w:szCs w:val="20"/>
          <w:color w:val="auto"/>
        </w:rPr>
      </w:pPr>
    </w:p>
    <w:p>
      <w:pPr>
        <w:ind w:left="5180"/>
        <w:spacing w:after="0"/>
        <w:rPr>
          <w:sz w:val="20"/>
          <w:szCs w:val="20"/>
          <w:color w:val="auto"/>
        </w:rPr>
      </w:pPr>
      <w:r>
        <w:rPr>
          <w:rFonts w:ascii="Calibri" w:cs="Calibri" w:eastAsia="Calibri" w:hAnsi="Calibri"/>
          <w:sz w:val="18"/>
          <w:szCs w:val="18"/>
          <w:color w:val="666666"/>
        </w:rPr>
        <w:t>THE COMPENSATION, CULTURE AND PEOPLE</w:t>
      </w:r>
    </w:p>
    <w:p>
      <w:pPr>
        <w:ind w:left="5180"/>
        <w:spacing w:after="0" w:line="232" w:lineRule="auto"/>
        <w:rPr>
          <w:sz w:val="20"/>
          <w:szCs w:val="20"/>
          <w:color w:val="auto"/>
        </w:rPr>
      </w:pPr>
      <w:r>
        <w:rPr>
          <w:rFonts w:ascii="Calibri" w:cs="Calibri" w:eastAsia="Calibri" w:hAnsi="Calibri"/>
          <w:sz w:val="18"/>
          <w:szCs w:val="18"/>
          <w:color w:val="666666"/>
        </w:rPr>
        <w:t>COMMITTEE</w:t>
      </w:r>
    </w:p>
    <w:p>
      <w:pPr>
        <w:spacing w:after="0" w:line="152" w:lineRule="exact"/>
        <w:rPr>
          <w:sz w:val="20"/>
          <w:szCs w:val="20"/>
          <w:color w:val="auto"/>
        </w:rPr>
      </w:pPr>
    </w:p>
    <w:p>
      <w:pPr>
        <w:ind w:left="5180"/>
        <w:spacing w:after="0"/>
        <w:rPr>
          <w:sz w:val="20"/>
          <w:szCs w:val="20"/>
          <w:color w:val="auto"/>
        </w:rPr>
      </w:pPr>
      <w:r>
        <w:rPr>
          <w:rFonts w:ascii="Calibri" w:cs="Calibri" w:eastAsia="Calibri" w:hAnsi="Calibri"/>
          <w:sz w:val="18"/>
          <w:szCs w:val="18"/>
          <w:color w:val="666666"/>
        </w:rPr>
        <w:t>Gretchen W. McClain (Chair)</w:t>
      </w:r>
    </w:p>
    <w:p>
      <w:pPr>
        <w:ind w:left="5180"/>
        <w:spacing w:after="0" w:line="232" w:lineRule="auto"/>
        <w:rPr>
          <w:sz w:val="20"/>
          <w:szCs w:val="20"/>
          <w:color w:val="auto"/>
        </w:rPr>
      </w:pPr>
      <w:r>
        <w:rPr>
          <w:rFonts w:ascii="Calibri" w:cs="Calibri" w:eastAsia="Calibri" w:hAnsi="Calibri"/>
          <w:sz w:val="18"/>
          <w:szCs w:val="18"/>
          <w:color w:val="666666"/>
        </w:rPr>
        <w:t>Melody C. Barnes</w:t>
      </w:r>
    </w:p>
    <w:p>
      <w:pPr>
        <w:ind w:left="5180"/>
        <w:spacing w:after="0" w:line="232" w:lineRule="auto"/>
        <w:rPr>
          <w:sz w:val="20"/>
          <w:szCs w:val="20"/>
          <w:color w:val="auto"/>
        </w:rPr>
      </w:pPr>
      <w:r>
        <w:rPr>
          <w:rFonts w:ascii="Calibri" w:cs="Calibri" w:eastAsia="Calibri" w:hAnsi="Calibri"/>
          <w:sz w:val="18"/>
          <w:szCs w:val="18"/>
          <w:color w:val="666666"/>
        </w:rPr>
        <w:t>Michèle A. Flournoy</w:t>
      </w:r>
    </w:p>
    <w:p>
      <w:pPr>
        <w:ind w:left="5180"/>
        <w:spacing w:after="0" w:line="232" w:lineRule="auto"/>
        <w:rPr>
          <w:sz w:val="20"/>
          <w:szCs w:val="20"/>
          <w:color w:val="auto"/>
        </w:rPr>
      </w:pPr>
      <w:r>
        <w:rPr>
          <w:rFonts w:ascii="Calibri" w:cs="Calibri" w:eastAsia="Calibri" w:hAnsi="Calibri"/>
          <w:sz w:val="18"/>
          <w:szCs w:val="18"/>
          <w:color w:val="666666"/>
        </w:rPr>
        <w:t>Ian Fujiyama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666666"/>
        </w:rPr>
        <w:t>52</w:t>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Calibri" w:cs="Calibri" w:eastAsia="Calibri" w:hAnsi="Calibri"/>
          <w:sz w:val="28"/>
          <w:szCs w:val="28"/>
          <w:b w:val="1"/>
          <w:bCs w:val="1"/>
          <w:color w:val="547BCC"/>
        </w:rPr>
        <w:t>AUDIT COMMITTEE REPORT</w:t>
      </w:r>
    </w:p>
    <w:p>
      <w:pPr>
        <w:spacing w:after="0" w:line="175"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Audit Commitee is composed of fve directors identfed below, each of whom is an independent director as defned by the applicable SEC rules and the NYSE listng standards. Four commitee members, Mark E. Gaumond, Joan Amble, Ellen Jewet, and Charles O. Rossot, have been designated by the Board as “audit commitee fnancial experts” under applicable SEC rules. For further descripton of each commitee member’s background and expertse, please refer to the director qualifcaton secton of our proxy statement beginning on page 8.</w:t>
      </w:r>
    </w:p>
    <w:p>
      <w:pPr>
        <w:spacing w:after="0" w:line="163" w:lineRule="exact"/>
        <w:rPr>
          <w:sz w:val="20"/>
          <w:szCs w:val="20"/>
          <w:color w:val="auto"/>
        </w:rPr>
      </w:pPr>
    </w:p>
    <w:p>
      <w:pPr>
        <w:jc w:val="both"/>
        <w:ind w:firstLine="319"/>
        <w:spacing w:after="0" w:line="246" w:lineRule="auto"/>
        <w:rPr>
          <w:sz w:val="20"/>
          <w:szCs w:val="20"/>
          <w:color w:val="auto"/>
        </w:rPr>
      </w:pPr>
      <w:r>
        <w:rPr>
          <w:rFonts w:ascii="Calibri" w:cs="Calibri" w:eastAsia="Calibri" w:hAnsi="Calibri"/>
          <w:sz w:val="17"/>
          <w:szCs w:val="17"/>
          <w:color w:val="666666"/>
        </w:rPr>
        <w:t>The Audit Commitee is responsible for assistng the Board in fulflling its oversight responsibilites relatng to, among other things, the Company’s accountng, auditng, and fnancial reportng processes, internal controls, compliance with legal and regulatory requirements and its code of ethics, and risk management, as discussed more fully in the Audit Commitee charter, a copy of which is available on our website, www.boozallen.com. In accordance with its charter, the Audit Commitee appoints the Company’s independent registered public accountng frm, E&amp;Y, subject to stockholder ratfcaton, and conducts an annual review of its performance. In additon, the Audit Commitee pre-approves all audit and permissible non-audit services provided by E&amp;Y, and the fees for those services. The Audit Commitee also oversees the Company’s internal audit functon, including its annual audit plan, budget, and stafng. As part of its oversight role, the Audit Commitee meets throughout the year, separately and together, with each of management, the Company's internal auditors, and E&amp;Y.</w:t>
      </w:r>
    </w:p>
    <w:p>
      <w:pPr>
        <w:spacing w:after="0" w:line="158"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Management has the primary responsibility for the Company's fnancial statements and accountng and reportng processes, including the systems of internal accountng control. E&amp;Y is responsible for performing an independent audit of the consolidated fnancial statements in accordance with the standards of the Public Company Accountng Oversight Board (“PCAOB”), and rendering opinions on whether the fnancial statements are in conformity with accountng principles generally accepted in the United States and the efectveness of the Company’s internal control over fnancial reportng.</w:t>
      </w:r>
    </w:p>
    <w:p>
      <w:pPr>
        <w:spacing w:after="0" w:line="163"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Audit Commitee has reviewed and discussed with management of the Company and E&amp;Y, the audited consolidated fnancial statements of the Company for the fscal year ended March 31, 2022 (the “Audited Financial Statements”), and their assessment of the efectveness of internal control over fnancial reportng. The Audit Commitee also reviewed any signifcant audit fndings identfed by E&amp;Y, and those identfed by the Company's internal auditors as well as management's responses thereto. In additon, the Audit Commitee discussed with E&amp;Y the maters required to be discussed by the applicable requirements of the PCAOB and the SEC.</w:t>
      </w:r>
    </w:p>
    <w:p>
      <w:pPr>
        <w:spacing w:after="0" w:line="164"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Audit Commitee has also: (i) considered whether non-audit services provided by E&amp;Y are compatble with its independence; (ii) received the writen disclosures and the leter from E&amp;Y required by the applicable requirements of the PCAOB regarding E&amp;Y’s communicatons with the Audit Commitee concerning independence; and (iii) discussed with E&amp;Y its independence.</w:t>
      </w:r>
    </w:p>
    <w:p>
      <w:pPr>
        <w:spacing w:after="0" w:line="162"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Based on the reviews and discussions described above, the Audit Commitee recommended to the Board that the Audited Financial Statements be included in our Annual Report on Form 10-K for the fscal year ended March 31, 2022 for fling with the SEC.</w:t>
      </w:r>
    </w:p>
    <w:p>
      <w:pPr>
        <w:spacing w:after="0" w:line="152" w:lineRule="exact"/>
        <w:rPr>
          <w:sz w:val="20"/>
          <w:szCs w:val="20"/>
          <w:color w:val="auto"/>
        </w:rPr>
      </w:pPr>
    </w:p>
    <w:p>
      <w:pPr>
        <w:ind w:left="5620"/>
        <w:spacing w:after="0"/>
        <w:rPr>
          <w:sz w:val="20"/>
          <w:szCs w:val="20"/>
          <w:color w:val="auto"/>
        </w:rPr>
      </w:pPr>
      <w:r>
        <w:rPr>
          <w:rFonts w:ascii="Calibri" w:cs="Calibri" w:eastAsia="Calibri" w:hAnsi="Calibri"/>
          <w:sz w:val="18"/>
          <w:szCs w:val="18"/>
          <w:color w:val="666666"/>
        </w:rPr>
        <w:t>THE AUDIT COMMITTEE</w:t>
      </w:r>
    </w:p>
    <w:p>
      <w:pPr>
        <w:spacing w:after="0" w:line="152" w:lineRule="exact"/>
        <w:rPr>
          <w:sz w:val="20"/>
          <w:szCs w:val="20"/>
          <w:color w:val="auto"/>
        </w:rPr>
      </w:pPr>
    </w:p>
    <w:p>
      <w:pPr>
        <w:ind w:left="5620"/>
        <w:spacing w:after="0"/>
        <w:rPr>
          <w:sz w:val="20"/>
          <w:szCs w:val="20"/>
          <w:color w:val="auto"/>
        </w:rPr>
      </w:pPr>
      <w:r>
        <w:rPr>
          <w:rFonts w:ascii="Calibri" w:cs="Calibri" w:eastAsia="Calibri" w:hAnsi="Calibri"/>
          <w:sz w:val="18"/>
          <w:szCs w:val="18"/>
          <w:color w:val="666666"/>
        </w:rPr>
        <w:t>Mark E. Gaumond (Chair)</w:t>
      </w:r>
    </w:p>
    <w:p>
      <w:pPr>
        <w:ind w:left="5620"/>
        <w:spacing w:after="0" w:line="232" w:lineRule="auto"/>
        <w:rPr>
          <w:sz w:val="20"/>
          <w:szCs w:val="20"/>
          <w:color w:val="auto"/>
        </w:rPr>
      </w:pPr>
      <w:r>
        <w:rPr>
          <w:rFonts w:ascii="Calibri" w:cs="Calibri" w:eastAsia="Calibri" w:hAnsi="Calibri"/>
          <w:sz w:val="18"/>
          <w:szCs w:val="18"/>
          <w:color w:val="666666"/>
        </w:rPr>
        <w:t>Joan Lordi C. Amble</w:t>
      </w:r>
    </w:p>
    <w:p>
      <w:pPr>
        <w:ind w:left="5620"/>
        <w:spacing w:after="0" w:line="232" w:lineRule="auto"/>
        <w:rPr>
          <w:sz w:val="20"/>
          <w:szCs w:val="20"/>
          <w:color w:val="auto"/>
        </w:rPr>
      </w:pPr>
      <w:r>
        <w:rPr>
          <w:rFonts w:ascii="Calibri" w:cs="Calibri" w:eastAsia="Calibri" w:hAnsi="Calibri"/>
          <w:sz w:val="18"/>
          <w:szCs w:val="18"/>
          <w:color w:val="666666"/>
        </w:rPr>
        <w:t>Ellen Jewet</w:t>
      </w:r>
    </w:p>
    <w:p>
      <w:pPr>
        <w:ind w:left="5620"/>
        <w:spacing w:after="0" w:line="232" w:lineRule="auto"/>
        <w:rPr>
          <w:sz w:val="20"/>
          <w:szCs w:val="20"/>
          <w:color w:val="auto"/>
        </w:rPr>
      </w:pPr>
      <w:r>
        <w:rPr>
          <w:rFonts w:ascii="Calibri" w:cs="Calibri" w:eastAsia="Calibri" w:hAnsi="Calibri"/>
          <w:sz w:val="18"/>
          <w:szCs w:val="18"/>
          <w:color w:val="666666"/>
        </w:rPr>
        <w:t>Arthur E. Johnson</w:t>
      </w:r>
    </w:p>
    <w:p>
      <w:pPr>
        <w:ind w:left="5620"/>
        <w:spacing w:after="0" w:line="232" w:lineRule="auto"/>
        <w:rPr>
          <w:sz w:val="20"/>
          <w:szCs w:val="20"/>
          <w:color w:val="auto"/>
        </w:rPr>
      </w:pPr>
      <w:r>
        <w:rPr>
          <w:rFonts w:ascii="Calibri" w:cs="Calibri" w:eastAsia="Calibri" w:hAnsi="Calibri"/>
          <w:sz w:val="18"/>
          <w:szCs w:val="18"/>
          <w:color w:val="666666"/>
        </w:rPr>
        <w:t>Charles O. Rossot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53</w:t>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60"/>
        <w:spacing w:after="0"/>
        <w:rPr>
          <w:sz w:val="20"/>
          <w:szCs w:val="20"/>
          <w:color w:val="auto"/>
        </w:rPr>
      </w:pPr>
      <w:r>
        <w:rPr>
          <w:rFonts w:ascii="Calibri" w:cs="Calibri" w:eastAsia="Calibri" w:hAnsi="Calibri"/>
          <w:sz w:val="28"/>
          <w:szCs w:val="28"/>
          <w:b w:val="1"/>
          <w:bCs w:val="1"/>
          <w:color w:val="547BCC"/>
        </w:rPr>
        <w:t>PRE-APPROVAL OF SERVICES BY</w:t>
      </w:r>
    </w:p>
    <w:p>
      <w:pPr>
        <w:spacing w:after="0" w:line="4" w:lineRule="exact"/>
        <w:rPr>
          <w:sz w:val="20"/>
          <w:szCs w:val="20"/>
          <w:color w:val="auto"/>
        </w:rPr>
      </w:pPr>
    </w:p>
    <w:p>
      <w:pPr>
        <w:jc w:val="center"/>
        <w:spacing w:after="0"/>
        <w:rPr>
          <w:sz w:val="20"/>
          <w:szCs w:val="20"/>
          <w:color w:val="auto"/>
        </w:rPr>
      </w:pPr>
      <w:r>
        <w:rPr>
          <w:rFonts w:ascii="Calibri" w:cs="Calibri" w:eastAsia="Calibri" w:hAnsi="Calibri"/>
          <w:sz w:val="28"/>
          <w:szCs w:val="28"/>
          <w:b w:val="1"/>
          <w:bCs w:val="1"/>
          <w:color w:val="547BCC"/>
        </w:rPr>
        <w:t>INDEPENDENT REGISTERED PUBLIC ACCOUNTING FIRM</w:t>
      </w:r>
    </w:p>
    <w:p>
      <w:pPr>
        <w:spacing w:after="0" w:line="162"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Audit Commitee pre-approves all audit, audit-related, tax, and other services performed by our independent auditors. The Audit Commitee pre-approves specifc categories of services up to pre-established fee thresholds. Unless the type of service had previously been pre-approved, the Audit Commitee must approve that specifc service before the independent auditors may perform it. In additon, separate approval is required if the amount of fees for any pre-approved category of service exceeds the fee thresholds established by the Audit Commitee. The Audit Commitee has delegated to the chair of the commitee pre-approval authority with respect to permited services, provided that the chair must report any pre-approval decisions to the Audit Commitee at its next scheduled meetng. All fees described below were pre-approved by the Audit Commitee.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54</w:t>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Calibri" w:cs="Calibri" w:eastAsia="Calibri" w:hAnsi="Calibri"/>
          <w:sz w:val="28"/>
          <w:szCs w:val="28"/>
          <w:b w:val="1"/>
          <w:bCs w:val="1"/>
          <w:color w:val="547BCC"/>
        </w:rPr>
        <w:t>INDEPENDENT REGISTERED PUBLIC ACCOUNTING FIRM FEES</w:t>
      </w:r>
    </w:p>
    <w:p>
      <w:pPr>
        <w:spacing w:after="0" w:line="166" w:lineRule="exact"/>
        <w:rPr>
          <w:sz w:val="20"/>
          <w:szCs w:val="20"/>
          <w:color w:val="auto"/>
        </w:rPr>
      </w:pPr>
    </w:p>
    <w:p>
      <w:pPr>
        <w:ind w:left="320"/>
        <w:spacing w:after="0"/>
        <w:rPr>
          <w:sz w:val="20"/>
          <w:szCs w:val="20"/>
          <w:color w:val="auto"/>
        </w:rPr>
      </w:pPr>
      <w:r>
        <w:rPr>
          <w:rFonts w:ascii="Calibri" w:cs="Calibri" w:eastAsia="Calibri" w:hAnsi="Calibri"/>
          <w:sz w:val="18"/>
          <w:szCs w:val="18"/>
          <w:color w:val="5E5E61"/>
        </w:rPr>
        <w:t>The following table presents the Company’s fees for services performed by its principal accountng frm, E&amp;Y, during fscal years 2022 and 2021.</w:t>
      </w:r>
    </w:p>
    <w:p>
      <w:pPr>
        <w:spacing w:after="0" w:line="208" w:lineRule="exact"/>
        <w:rPr>
          <w:sz w:val="20"/>
          <w:szCs w:val="20"/>
          <w:color w:val="auto"/>
        </w:rPr>
      </w:pPr>
    </w:p>
    <w:tbl>
      <w:tblPr>
        <w:tblLayout w:type="fixed"/>
        <w:tblInd w:w="240" w:type="dxa"/>
        <w:tblCellMar>
          <w:top w:w="0" w:type="dxa"/>
          <w:left w:w="0" w:type="dxa"/>
          <w:bottom w:w="0" w:type="dxa"/>
          <w:right w:w="0" w:type="dxa"/>
        </w:tblCellMar>
      </w:tblPr>
      <w:tr>
        <w:trPr>
          <w:trHeight w:val="199"/>
        </w:trPr>
        <w:tc>
          <w:tcPr>
            <w:tcW w:w="6880" w:type="dxa"/>
            <w:vAlign w:val="bottom"/>
            <w:shd w:val="clear" w:color="auto" w:fill="CCEEFF"/>
          </w:tcPr>
          <w:p>
            <w:pPr>
              <w:ind w:left="20"/>
              <w:spacing w:after="0"/>
              <w:rPr>
                <w:sz w:val="20"/>
                <w:szCs w:val="20"/>
                <w:color w:val="auto"/>
              </w:rPr>
            </w:pPr>
            <w:r>
              <w:rPr>
                <w:rFonts w:ascii="Calibri" w:cs="Calibri" w:eastAsia="Calibri" w:hAnsi="Calibri"/>
                <w:sz w:val="14"/>
                <w:szCs w:val="14"/>
                <w:b w:val="1"/>
                <w:bCs w:val="1"/>
                <w:color w:val="494949"/>
              </w:rPr>
              <w:t>(Amounts in thousands)</w:t>
            </w:r>
          </w:p>
        </w:tc>
        <w:tc>
          <w:tcPr>
            <w:tcW w:w="480" w:type="dxa"/>
            <w:vAlign w:val="bottom"/>
            <w:tcBorders>
              <w:bottom w:val="single" w:sz="8" w:color="666666"/>
            </w:tcBorders>
            <w:shd w:val="clear" w:color="auto" w:fill="CCEEFF"/>
          </w:tcPr>
          <w:p>
            <w:pPr>
              <w:spacing w:after="0"/>
              <w:rPr>
                <w:sz w:val="17"/>
                <w:szCs w:val="17"/>
                <w:color w:val="auto"/>
              </w:rPr>
            </w:pPr>
          </w:p>
        </w:tc>
        <w:tc>
          <w:tcPr>
            <w:tcW w:w="1540" w:type="dxa"/>
            <w:vAlign w:val="bottom"/>
            <w:tcBorders>
              <w:bottom w:val="single" w:sz="8" w:color="666666"/>
            </w:tcBorders>
            <w:shd w:val="clear" w:color="auto" w:fill="CCEEFF"/>
          </w:tcPr>
          <w:p>
            <w:pPr>
              <w:jc w:val="right"/>
              <w:ind w:right="789"/>
              <w:spacing w:after="0"/>
              <w:rPr>
                <w:sz w:val="20"/>
                <w:szCs w:val="20"/>
                <w:color w:val="auto"/>
              </w:rPr>
            </w:pPr>
            <w:r>
              <w:rPr>
                <w:rFonts w:ascii="Calibri" w:cs="Calibri" w:eastAsia="Calibri" w:hAnsi="Calibri"/>
                <w:sz w:val="14"/>
                <w:szCs w:val="14"/>
                <w:b w:val="1"/>
                <w:bCs w:val="1"/>
                <w:color w:val="494949"/>
              </w:rPr>
              <w:t>2022</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666666"/>
            </w:tcBorders>
            <w:shd w:val="clear" w:color="auto" w:fill="CCEEFF"/>
          </w:tcPr>
          <w:p>
            <w:pPr>
              <w:spacing w:after="0"/>
              <w:rPr>
                <w:sz w:val="17"/>
                <w:szCs w:val="17"/>
                <w:color w:val="auto"/>
              </w:rPr>
            </w:pPr>
          </w:p>
        </w:tc>
        <w:tc>
          <w:tcPr>
            <w:tcW w:w="1440" w:type="dxa"/>
            <w:vAlign w:val="bottom"/>
            <w:tcBorders>
              <w:bottom w:val="single" w:sz="8" w:color="666666"/>
            </w:tcBorders>
            <w:shd w:val="clear" w:color="auto" w:fill="CCEEFF"/>
          </w:tcPr>
          <w:p>
            <w:pPr>
              <w:jc w:val="right"/>
              <w:ind w:right="729"/>
              <w:spacing w:after="0"/>
              <w:rPr>
                <w:sz w:val="20"/>
                <w:szCs w:val="20"/>
                <w:color w:val="auto"/>
              </w:rPr>
            </w:pPr>
            <w:r>
              <w:rPr>
                <w:rFonts w:ascii="Calibri" w:cs="Calibri" w:eastAsia="Calibri" w:hAnsi="Calibri"/>
                <w:sz w:val="14"/>
                <w:szCs w:val="14"/>
                <w:b w:val="1"/>
                <w:bCs w:val="1"/>
                <w:color w:val="494949"/>
              </w:rPr>
              <w:t>2021</w:t>
            </w:r>
          </w:p>
        </w:tc>
      </w:tr>
      <w:tr>
        <w:trPr>
          <w:trHeight w:val="192"/>
        </w:trPr>
        <w:tc>
          <w:tcPr>
            <w:tcW w:w="6880" w:type="dxa"/>
            <w:vAlign w:val="bottom"/>
          </w:tcPr>
          <w:p>
            <w:pPr>
              <w:ind w:left="20"/>
              <w:spacing w:after="0" w:line="193" w:lineRule="exact"/>
              <w:rPr>
                <w:sz w:val="20"/>
                <w:szCs w:val="20"/>
                <w:color w:val="auto"/>
              </w:rPr>
            </w:pPr>
            <w:r>
              <w:rPr>
                <w:rFonts w:ascii="Calibri" w:cs="Calibri" w:eastAsia="Calibri" w:hAnsi="Calibri"/>
                <w:sz w:val="14"/>
                <w:szCs w:val="14"/>
                <w:color w:val="494949"/>
              </w:rPr>
              <w:t>Audit fees</w:t>
            </w:r>
            <w:r>
              <w:rPr>
                <w:rFonts w:ascii="Calibri" w:cs="Calibri" w:eastAsia="Calibri" w:hAnsi="Calibri"/>
                <w:sz w:val="18"/>
                <w:szCs w:val="18"/>
                <w:color w:val="494949"/>
                <w:vertAlign w:val="superscript"/>
              </w:rPr>
              <w:t>(1)</w:t>
            </w:r>
          </w:p>
        </w:tc>
        <w:tc>
          <w:tcPr>
            <w:tcW w:w="480" w:type="dxa"/>
            <w:vAlign w:val="bottom"/>
          </w:tcPr>
          <w:p>
            <w:pPr>
              <w:jc w:val="right"/>
              <w:ind w:right="309"/>
              <w:spacing w:after="0" w:line="169" w:lineRule="exact"/>
              <w:rPr>
                <w:sz w:val="20"/>
                <w:szCs w:val="20"/>
                <w:color w:val="auto"/>
              </w:rPr>
            </w:pPr>
            <w:r>
              <w:rPr>
                <w:rFonts w:ascii="Calibri" w:cs="Calibri" w:eastAsia="Calibri" w:hAnsi="Calibri"/>
                <w:sz w:val="14"/>
                <w:szCs w:val="14"/>
                <w:color w:val="494949"/>
              </w:rPr>
              <w:t>$</w:t>
            </w:r>
          </w:p>
        </w:tc>
        <w:tc>
          <w:tcPr>
            <w:tcW w:w="1540" w:type="dxa"/>
            <w:vAlign w:val="bottom"/>
          </w:tcPr>
          <w:p>
            <w:pPr>
              <w:jc w:val="right"/>
              <w:spacing w:after="0" w:line="169" w:lineRule="exact"/>
              <w:rPr>
                <w:sz w:val="20"/>
                <w:szCs w:val="20"/>
                <w:color w:val="auto"/>
              </w:rPr>
            </w:pPr>
            <w:r>
              <w:rPr>
                <w:rFonts w:ascii="Calibri" w:cs="Calibri" w:eastAsia="Calibri" w:hAnsi="Calibri"/>
                <w:sz w:val="14"/>
                <w:szCs w:val="14"/>
                <w:color w:val="494949"/>
              </w:rPr>
              <w:t>4,408</w:t>
            </w:r>
          </w:p>
        </w:tc>
        <w:tc>
          <w:tcPr>
            <w:tcW w:w="100" w:type="dxa"/>
            <w:vAlign w:val="bottom"/>
          </w:tcPr>
          <w:p>
            <w:pPr>
              <w:spacing w:after="0"/>
              <w:rPr>
                <w:sz w:val="16"/>
                <w:szCs w:val="16"/>
                <w:color w:val="auto"/>
              </w:rPr>
            </w:pPr>
          </w:p>
        </w:tc>
        <w:tc>
          <w:tcPr>
            <w:tcW w:w="460" w:type="dxa"/>
            <w:vAlign w:val="bottom"/>
          </w:tcPr>
          <w:p>
            <w:pPr>
              <w:jc w:val="right"/>
              <w:ind w:right="289"/>
              <w:spacing w:after="0" w:line="169" w:lineRule="exact"/>
              <w:rPr>
                <w:sz w:val="20"/>
                <w:szCs w:val="20"/>
                <w:color w:val="auto"/>
              </w:rPr>
            </w:pPr>
            <w:r>
              <w:rPr>
                <w:rFonts w:ascii="Calibri" w:cs="Calibri" w:eastAsia="Calibri" w:hAnsi="Calibri"/>
                <w:sz w:val="14"/>
                <w:szCs w:val="14"/>
                <w:color w:val="494949"/>
              </w:rPr>
              <w:t>$</w:t>
            </w:r>
          </w:p>
        </w:tc>
        <w:tc>
          <w:tcPr>
            <w:tcW w:w="1440" w:type="dxa"/>
            <w:vAlign w:val="bottom"/>
          </w:tcPr>
          <w:p>
            <w:pPr>
              <w:jc w:val="right"/>
              <w:spacing w:after="0" w:line="169" w:lineRule="exact"/>
              <w:rPr>
                <w:sz w:val="20"/>
                <w:szCs w:val="20"/>
                <w:color w:val="auto"/>
              </w:rPr>
            </w:pPr>
            <w:r>
              <w:rPr>
                <w:rFonts w:ascii="Calibri" w:cs="Calibri" w:eastAsia="Calibri" w:hAnsi="Calibri"/>
                <w:sz w:val="14"/>
                <w:szCs w:val="14"/>
                <w:color w:val="494949"/>
              </w:rPr>
              <w:t>4,097</w:t>
            </w:r>
          </w:p>
        </w:tc>
      </w:tr>
      <w:tr>
        <w:trPr>
          <w:trHeight w:val="199"/>
        </w:trPr>
        <w:tc>
          <w:tcPr>
            <w:tcW w:w="6880" w:type="dxa"/>
            <w:vAlign w:val="bottom"/>
            <w:shd w:val="clear" w:color="auto" w:fill="CCEEFF"/>
          </w:tcPr>
          <w:p>
            <w:pPr>
              <w:ind w:left="20"/>
              <w:spacing w:after="0" w:line="199" w:lineRule="exact"/>
              <w:rPr>
                <w:sz w:val="20"/>
                <w:szCs w:val="20"/>
                <w:color w:val="auto"/>
              </w:rPr>
            </w:pPr>
            <w:r>
              <w:rPr>
                <w:rFonts w:ascii="Calibri" w:cs="Calibri" w:eastAsia="Calibri" w:hAnsi="Calibri"/>
                <w:sz w:val="14"/>
                <w:szCs w:val="14"/>
                <w:color w:val="494949"/>
              </w:rPr>
              <w:t>Audit-related fees</w:t>
            </w:r>
            <w:r>
              <w:rPr>
                <w:rFonts w:ascii="Calibri" w:cs="Calibri" w:eastAsia="Calibri" w:hAnsi="Calibri"/>
                <w:sz w:val="18"/>
                <w:szCs w:val="18"/>
                <w:color w:val="494949"/>
                <w:vertAlign w:val="superscript"/>
              </w:rPr>
              <w:t>(2)</w:t>
            </w:r>
          </w:p>
        </w:tc>
        <w:tc>
          <w:tcPr>
            <w:tcW w:w="480" w:type="dxa"/>
            <w:vAlign w:val="bottom"/>
            <w:tcBorders>
              <w:bottom w:val="single" w:sz="8" w:color="666666"/>
            </w:tcBorders>
            <w:shd w:val="clear" w:color="auto" w:fill="CCEEFF"/>
          </w:tcPr>
          <w:p>
            <w:pPr>
              <w:spacing w:after="0"/>
              <w:rPr>
                <w:sz w:val="17"/>
                <w:szCs w:val="17"/>
                <w:color w:val="auto"/>
              </w:rPr>
            </w:pPr>
          </w:p>
        </w:tc>
        <w:tc>
          <w:tcPr>
            <w:tcW w:w="1540" w:type="dxa"/>
            <w:vAlign w:val="bottom"/>
            <w:tcBorders>
              <w:bottom w:val="single" w:sz="8" w:color="666666"/>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494949"/>
              </w:rPr>
              <w:t>104</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666666"/>
            </w:tcBorders>
            <w:shd w:val="clear" w:color="auto" w:fill="CCEEFF"/>
          </w:tcPr>
          <w:p>
            <w:pPr>
              <w:spacing w:after="0"/>
              <w:rPr>
                <w:sz w:val="17"/>
                <w:szCs w:val="17"/>
                <w:color w:val="auto"/>
              </w:rPr>
            </w:pPr>
          </w:p>
        </w:tc>
        <w:tc>
          <w:tcPr>
            <w:tcW w:w="1440" w:type="dxa"/>
            <w:vAlign w:val="bottom"/>
            <w:tcBorders>
              <w:bottom w:val="single" w:sz="8" w:color="666666"/>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494949"/>
              </w:rPr>
              <w:t>223</w:t>
            </w:r>
          </w:p>
        </w:tc>
      </w:tr>
      <w:tr>
        <w:trPr>
          <w:trHeight w:val="192"/>
        </w:trPr>
        <w:tc>
          <w:tcPr>
            <w:tcW w:w="6880" w:type="dxa"/>
            <w:vAlign w:val="bottom"/>
          </w:tcPr>
          <w:p>
            <w:pPr>
              <w:ind w:left="20"/>
              <w:spacing w:after="0" w:line="193" w:lineRule="exact"/>
              <w:rPr>
                <w:sz w:val="20"/>
                <w:szCs w:val="20"/>
                <w:color w:val="auto"/>
              </w:rPr>
            </w:pPr>
            <w:r>
              <w:rPr>
                <w:rFonts w:ascii="Calibri" w:cs="Calibri" w:eastAsia="Calibri" w:hAnsi="Calibri"/>
                <w:sz w:val="14"/>
                <w:szCs w:val="14"/>
                <w:color w:val="494949"/>
              </w:rPr>
              <w:t>Tax fees</w:t>
            </w:r>
            <w:r>
              <w:rPr>
                <w:rFonts w:ascii="Calibri" w:cs="Calibri" w:eastAsia="Calibri" w:hAnsi="Calibri"/>
                <w:sz w:val="18"/>
                <w:szCs w:val="18"/>
                <w:color w:val="494949"/>
                <w:vertAlign w:val="superscript"/>
              </w:rPr>
              <w:t>(3)</w:t>
            </w:r>
          </w:p>
        </w:tc>
        <w:tc>
          <w:tcPr>
            <w:tcW w:w="480" w:type="dxa"/>
            <w:vAlign w:val="bottom"/>
          </w:tcPr>
          <w:p>
            <w:pPr>
              <w:jc w:val="right"/>
              <w:ind w:right="309"/>
              <w:spacing w:after="0" w:line="169" w:lineRule="exact"/>
              <w:rPr>
                <w:sz w:val="20"/>
                <w:szCs w:val="20"/>
                <w:color w:val="auto"/>
              </w:rPr>
            </w:pPr>
            <w:r>
              <w:rPr>
                <w:rFonts w:ascii="Calibri" w:cs="Calibri" w:eastAsia="Calibri" w:hAnsi="Calibri"/>
                <w:sz w:val="14"/>
                <w:szCs w:val="14"/>
                <w:color w:val="494949"/>
              </w:rPr>
              <w:t>$</w:t>
            </w:r>
          </w:p>
        </w:tc>
        <w:tc>
          <w:tcPr>
            <w:tcW w:w="1540" w:type="dxa"/>
            <w:vAlign w:val="bottom"/>
          </w:tcPr>
          <w:p>
            <w:pPr>
              <w:jc w:val="right"/>
              <w:spacing w:after="0" w:line="169" w:lineRule="exact"/>
              <w:rPr>
                <w:sz w:val="20"/>
                <w:szCs w:val="20"/>
                <w:color w:val="auto"/>
              </w:rPr>
            </w:pPr>
            <w:r>
              <w:rPr>
                <w:rFonts w:ascii="Calibri" w:cs="Calibri" w:eastAsia="Calibri" w:hAnsi="Calibri"/>
                <w:sz w:val="14"/>
                <w:szCs w:val="14"/>
                <w:color w:val="494949"/>
              </w:rPr>
              <w:t>703</w:t>
            </w:r>
          </w:p>
        </w:tc>
        <w:tc>
          <w:tcPr>
            <w:tcW w:w="100" w:type="dxa"/>
            <w:vAlign w:val="bottom"/>
          </w:tcPr>
          <w:p>
            <w:pPr>
              <w:spacing w:after="0"/>
              <w:rPr>
                <w:sz w:val="16"/>
                <w:szCs w:val="16"/>
                <w:color w:val="auto"/>
              </w:rPr>
            </w:pPr>
          </w:p>
        </w:tc>
        <w:tc>
          <w:tcPr>
            <w:tcW w:w="460" w:type="dxa"/>
            <w:vAlign w:val="bottom"/>
          </w:tcPr>
          <w:p>
            <w:pPr>
              <w:jc w:val="right"/>
              <w:ind w:right="289"/>
              <w:spacing w:after="0" w:line="169" w:lineRule="exact"/>
              <w:rPr>
                <w:sz w:val="20"/>
                <w:szCs w:val="20"/>
                <w:color w:val="auto"/>
              </w:rPr>
            </w:pPr>
            <w:r>
              <w:rPr>
                <w:rFonts w:ascii="Calibri" w:cs="Calibri" w:eastAsia="Calibri" w:hAnsi="Calibri"/>
                <w:sz w:val="14"/>
                <w:szCs w:val="14"/>
                <w:color w:val="494949"/>
              </w:rPr>
              <w:t>$</w:t>
            </w:r>
          </w:p>
        </w:tc>
        <w:tc>
          <w:tcPr>
            <w:tcW w:w="1440" w:type="dxa"/>
            <w:vAlign w:val="bottom"/>
          </w:tcPr>
          <w:p>
            <w:pPr>
              <w:jc w:val="right"/>
              <w:spacing w:after="0" w:line="169" w:lineRule="exact"/>
              <w:rPr>
                <w:sz w:val="20"/>
                <w:szCs w:val="20"/>
                <w:color w:val="auto"/>
              </w:rPr>
            </w:pPr>
            <w:r>
              <w:rPr>
                <w:rFonts w:ascii="Calibri" w:cs="Calibri" w:eastAsia="Calibri" w:hAnsi="Calibri"/>
                <w:sz w:val="14"/>
                <w:szCs w:val="14"/>
                <w:color w:val="494949"/>
              </w:rPr>
              <w:t>376</w:t>
            </w:r>
          </w:p>
        </w:tc>
      </w:tr>
      <w:tr>
        <w:trPr>
          <w:trHeight w:val="199"/>
        </w:trPr>
        <w:tc>
          <w:tcPr>
            <w:tcW w:w="6880" w:type="dxa"/>
            <w:vAlign w:val="bottom"/>
            <w:shd w:val="clear" w:color="auto" w:fill="CCEEFF"/>
          </w:tcPr>
          <w:p>
            <w:pPr>
              <w:ind w:left="20"/>
              <w:spacing w:after="0" w:line="199" w:lineRule="exact"/>
              <w:rPr>
                <w:sz w:val="20"/>
                <w:szCs w:val="20"/>
                <w:color w:val="auto"/>
              </w:rPr>
            </w:pPr>
            <w:r>
              <w:rPr>
                <w:rFonts w:ascii="Calibri" w:cs="Calibri" w:eastAsia="Calibri" w:hAnsi="Calibri"/>
                <w:sz w:val="14"/>
                <w:szCs w:val="14"/>
                <w:color w:val="494949"/>
              </w:rPr>
              <w:t>All other fees</w:t>
            </w:r>
            <w:r>
              <w:rPr>
                <w:rFonts w:ascii="Calibri" w:cs="Calibri" w:eastAsia="Calibri" w:hAnsi="Calibri"/>
                <w:sz w:val="18"/>
                <w:szCs w:val="18"/>
                <w:color w:val="494949"/>
                <w:vertAlign w:val="superscript"/>
              </w:rPr>
              <w:t>(4)</w:t>
            </w:r>
          </w:p>
        </w:tc>
        <w:tc>
          <w:tcPr>
            <w:tcW w:w="480" w:type="dxa"/>
            <w:vAlign w:val="bottom"/>
            <w:tcBorders>
              <w:bottom w:val="single" w:sz="8" w:color="666666"/>
            </w:tcBorders>
            <w:shd w:val="clear" w:color="auto" w:fill="CCEEFF"/>
          </w:tcPr>
          <w:p>
            <w:pPr>
              <w:spacing w:after="0"/>
              <w:rPr>
                <w:sz w:val="17"/>
                <w:szCs w:val="17"/>
                <w:color w:val="auto"/>
              </w:rPr>
            </w:pPr>
          </w:p>
        </w:tc>
        <w:tc>
          <w:tcPr>
            <w:tcW w:w="1540" w:type="dxa"/>
            <w:vAlign w:val="bottom"/>
            <w:tcBorders>
              <w:bottom w:val="single" w:sz="8" w:color="666666"/>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494949"/>
              </w:rPr>
              <w:t>127</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666666"/>
            </w:tcBorders>
            <w:shd w:val="clear" w:color="auto" w:fill="CCEEFF"/>
          </w:tcPr>
          <w:p>
            <w:pPr>
              <w:spacing w:after="0"/>
              <w:rPr>
                <w:sz w:val="17"/>
                <w:szCs w:val="17"/>
                <w:color w:val="auto"/>
              </w:rPr>
            </w:pPr>
          </w:p>
        </w:tc>
        <w:tc>
          <w:tcPr>
            <w:tcW w:w="1440" w:type="dxa"/>
            <w:vAlign w:val="bottom"/>
            <w:tcBorders>
              <w:bottom w:val="single" w:sz="8" w:color="666666"/>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494949"/>
              </w:rPr>
              <w:t>—</w:t>
            </w:r>
          </w:p>
        </w:tc>
      </w:tr>
      <w:tr>
        <w:trPr>
          <w:trHeight w:val="161"/>
        </w:trPr>
        <w:tc>
          <w:tcPr>
            <w:tcW w:w="6880" w:type="dxa"/>
            <w:vAlign w:val="bottom"/>
          </w:tcPr>
          <w:p>
            <w:pPr>
              <w:ind w:left="20"/>
              <w:spacing w:after="0" w:line="149" w:lineRule="exact"/>
              <w:rPr>
                <w:sz w:val="20"/>
                <w:szCs w:val="20"/>
                <w:color w:val="auto"/>
              </w:rPr>
            </w:pPr>
            <w:r>
              <w:rPr>
                <w:rFonts w:ascii="Calibri" w:cs="Calibri" w:eastAsia="Calibri" w:hAnsi="Calibri"/>
                <w:sz w:val="14"/>
                <w:szCs w:val="14"/>
                <w:color w:val="494949"/>
              </w:rPr>
              <w:t>Total</w:t>
            </w:r>
          </w:p>
        </w:tc>
        <w:tc>
          <w:tcPr>
            <w:tcW w:w="480" w:type="dxa"/>
            <w:vAlign w:val="bottom"/>
          </w:tcPr>
          <w:p>
            <w:pPr>
              <w:jc w:val="right"/>
              <w:ind w:right="309"/>
              <w:spacing w:after="0" w:line="161" w:lineRule="exact"/>
              <w:rPr>
                <w:sz w:val="20"/>
                <w:szCs w:val="20"/>
                <w:color w:val="auto"/>
              </w:rPr>
            </w:pPr>
            <w:r>
              <w:rPr>
                <w:rFonts w:ascii="Calibri" w:cs="Calibri" w:eastAsia="Calibri" w:hAnsi="Calibri"/>
                <w:sz w:val="14"/>
                <w:szCs w:val="14"/>
                <w:color w:val="494949"/>
              </w:rPr>
              <w:t>$</w:t>
            </w:r>
          </w:p>
        </w:tc>
        <w:tc>
          <w:tcPr>
            <w:tcW w:w="1540" w:type="dxa"/>
            <w:vAlign w:val="bottom"/>
          </w:tcPr>
          <w:p>
            <w:pPr>
              <w:jc w:val="right"/>
              <w:spacing w:after="0" w:line="161" w:lineRule="exact"/>
              <w:rPr>
                <w:sz w:val="20"/>
                <w:szCs w:val="20"/>
                <w:color w:val="auto"/>
              </w:rPr>
            </w:pPr>
            <w:r>
              <w:rPr>
                <w:rFonts w:ascii="Calibri" w:cs="Calibri" w:eastAsia="Calibri" w:hAnsi="Calibri"/>
                <w:sz w:val="14"/>
                <w:szCs w:val="14"/>
                <w:color w:val="494949"/>
              </w:rPr>
              <w:t>5,342</w:t>
            </w:r>
          </w:p>
        </w:tc>
        <w:tc>
          <w:tcPr>
            <w:tcW w:w="100" w:type="dxa"/>
            <w:vAlign w:val="bottom"/>
          </w:tcPr>
          <w:p>
            <w:pPr>
              <w:spacing w:after="0"/>
              <w:rPr>
                <w:sz w:val="14"/>
                <w:szCs w:val="14"/>
                <w:color w:val="auto"/>
              </w:rPr>
            </w:pPr>
          </w:p>
        </w:tc>
        <w:tc>
          <w:tcPr>
            <w:tcW w:w="460" w:type="dxa"/>
            <w:vAlign w:val="bottom"/>
          </w:tcPr>
          <w:p>
            <w:pPr>
              <w:jc w:val="right"/>
              <w:ind w:right="289"/>
              <w:spacing w:after="0" w:line="161" w:lineRule="exact"/>
              <w:rPr>
                <w:sz w:val="20"/>
                <w:szCs w:val="20"/>
                <w:color w:val="auto"/>
              </w:rPr>
            </w:pPr>
            <w:r>
              <w:rPr>
                <w:rFonts w:ascii="Calibri" w:cs="Calibri" w:eastAsia="Calibri" w:hAnsi="Calibri"/>
                <w:sz w:val="14"/>
                <w:szCs w:val="14"/>
                <w:color w:val="494949"/>
              </w:rPr>
              <w:t>$</w:t>
            </w:r>
          </w:p>
        </w:tc>
        <w:tc>
          <w:tcPr>
            <w:tcW w:w="1440" w:type="dxa"/>
            <w:vAlign w:val="bottom"/>
          </w:tcPr>
          <w:p>
            <w:pPr>
              <w:jc w:val="right"/>
              <w:spacing w:after="0" w:line="161" w:lineRule="exact"/>
              <w:rPr>
                <w:sz w:val="20"/>
                <w:szCs w:val="20"/>
                <w:color w:val="auto"/>
              </w:rPr>
            </w:pPr>
            <w:r>
              <w:rPr>
                <w:rFonts w:ascii="Calibri" w:cs="Calibri" w:eastAsia="Calibri" w:hAnsi="Calibri"/>
                <w:sz w:val="14"/>
                <w:szCs w:val="14"/>
                <w:color w:val="494949"/>
              </w:rPr>
              <w:t>4,696</w:t>
            </w:r>
          </w:p>
        </w:tc>
      </w:tr>
      <w:tr>
        <w:trPr>
          <w:trHeight w:val="31"/>
        </w:trPr>
        <w:tc>
          <w:tcPr>
            <w:tcW w:w="6880" w:type="dxa"/>
            <w:vAlign w:val="bottom"/>
          </w:tcPr>
          <w:p>
            <w:pPr>
              <w:spacing w:after="0"/>
              <w:rPr>
                <w:sz w:val="2"/>
                <w:szCs w:val="2"/>
                <w:color w:val="auto"/>
              </w:rPr>
            </w:pPr>
          </w:p>
        </w:tc>
        <w:tc>
          <w:tcPr>
            <w:tcW w:w="480" w:type="dxa"/>
            <w:vAlign w:val="bottom"/>
            <w:tcBorders>
              <w:bottom w:val="single" w:sz="8" w:color="666666"/>
            </w:tcBorders>
          </w:tcPr>
          <w:p>
            <w:pPr>
              <w:spacing w:after="0"/>
              <w:rPr>
                <w:sz w:val="2"/>
                <w:szCs w:val="2"/>
                <w:color w:val="auto"/>
              </w:rPr>
            </w:pPr>
          </w:p>
        </w:tc>
        <w:tc>
          <w:tcPr>
            <w:tcW w:w="1540" w:type="dxa"/>
            <w:vAlign w:val="bottom"/>
            <w:tcBorders>
              <w:bottom w:val="single" w:sz="8" w:color="666666"/>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r>
      <w:tr>
        <w:trPr>
          <w:trHeight w:val="20"/>
        </w:trPr>
        <w:tc>
          <w:tcPr>
            <w:tcW w:w="6880" w:type="dxa"/>
            <w:vAlign w:val="bottom"/>
          </w:tcPr>
          <w:p>
            <w:pPr>
              <w:spacing w:after="0" w:line="20" w:lineRule="exact"/>
              <w:rPr>
                <w:sz w:val="1"/>
                <w:szCs w:val="1"/>
                <w:color w:val="auto"/>
              </w:rPr>
            </w:pPr>
          </w:p>
        </w:tc>
        <w:tc>
          <w:tcPr>
            <w:tcW w:w="480" w:type="dxa"/>
            <w:vAlign w:val="bottom"/>
            <w:tcBorders>
              <w:bottom w:val="single" w:sz="8" w:color="666666"/>
            </w:tcBorders>
          </w:tcPr>
          <w:p>
            <w:pPr>
              <w:spacing w:after="0" w:line="20" w:lineRule="exact"/>
              <w:rPr>
                <w:sz w:val="1"/>
                <w:szCs w:val="1"/>
                <w:color w:val="auto"/>
              </w:rPr>
            </w:pPr>
          </w:p>
        </w:tc>
        <w:tc>
          <w:tcPr>
            <w:tcW w:w="1540" w:type="dxa"/>
            <w:vAlign w:val="bottom"/>
            <w:tcBorders>
              <w:bottom w:val="single" w:sz="8" w:color="66666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666666"/>
            </w:tcBorders>
          </w:tcPr>
          <w:p>
            <w:pPr>
              <w:spacing w:after="0" w:line="20" w:lineRule="exact"/>
              <w:rPr>
                <w:sz w:val="1"/>
                <w:szCs w:val="1"/>
                <w:color w:val="auto"/>
              </w:rPr>
            </w:pPr>
          </w:p>
        </w:tc>
        <w:tc>
          <w:tcPr>
            <w:tcW w:w="1440" w:type="dxa"/>
            <w:vAlign w:val="bottom"/>
            <w:tcBorders>
              <w:bottom w:val="single" w:sz="8" w:color="666666"/>
            </w:tcBorders>
          </w:tcPr>
          <w:p>
            <w:pPr>
              <w:spacing w:after="0" w:line="20" w:lineRule="exact"/>
              <w:rPr>
                <w:sz w:val="1"/>
                <w:szCs w:val="1"/>
                <w:color w:val="auto"/>
              </w:rPr>
            </w:pPr>
          </w:p>
        </w:tc>
      </w:tr>
    </w:tbl>
    <w:p>
      <w:pPr>
        <w:spacing w:after="0" w:line="155" w:lineRule="exact"/>
        <w:rPr>
          <w:sz w:val="20"/>
          <w:szCs w:val="20"/>
          <w:color w:val="auto"/>
        </w:rPr>
      </w:pPr>
    </w:p>
    <w:p>
      <w:pPr>
        <w:ind w:left="560" w:hanging="315"/>
        <w:spacing w:after="0"/>
        <w:tabs>
          <w:tab w:leader="none" w:pos="560" w:val="left"/>
        </w:tabs>
        <w:numPr>
          <w:ilvl w:val="0"/>
          <w:numId w:val="59"/>
        </w:numPr>
        <w:rPr>
          <w:rFonts w:ascii="Calibri" w:cs="Calibri" w:eastAsia="Calibri" w:hAnsi="Calibri"/>
          <w:sz w:val="14"/>
          <w:szCs w:val="14"/>
          <w:color w:val="666666"/>
        </w:rPr>
      </w:pPr>
      <w:r>
        <w:rPr>
          <w:rFonts w:ascii="Calibri" w:cs="Calibri" w:eastAsia="Calibri" w:hAnsi="Calibri"/>
          <w:sz w:val="14"/>
          <w:szCs w:val="14"/>
          <w:color w:val="666666"/>
        </w:rPr>
        <w:t>Audit fees principally include those for services related to the audit and quarterly reviews of the Company’s consolidated fnancial statements and consultaton on accountng maters.</w:t>
      </w:r>
    </w:p>
    <w:p>
      <w:pPr>
        <w:spacing w:after="0" w:line="110" w:lineRule="exact"/>
        <w:rPr>
          <w:rFonts w:ascii="Calibri" w:cs="Calibri" w:eastAsia="Calibri" w:hAnsi="Calibri"/>
          <w:sz w:val="14"/>
          <w:szCs w:val="14"/>
          <w:color w:val="666666"/>
        </w:rPr>
      </w:pPr>
    </w:p>
    <w:p>
      <w:pPr>
        <w:ind w:left="560" w:hanging="315"/>
        <w:spacing w:after="0" w:line="239" w:lineRule="auto"/>
        <w:tabs>
          <w:tab w:leader="none" w:pos="558" w:val="left"/>
        </w:tabs>
        <w:numPr>
          <w:ilvl w:val="0"/>
          <w:numId w:val="59"/>
        </w:numPr>
        <w:rPr>
          <w:rFonts w:ascii="Calibri" w:cs="Calibri" w:eastAsia="Calibri" w:hAnsi="Calibri"/>
          <w:sz w:val="14"/>
          <w:szCs w:val="14"/>
          <w:color w:val="666666"/>
        </w:rPr>
      </w:pPr>
      <w:r>
        <w:rPr>
          <w:rFonts w:ascii="Calibri" w:cs="Calibri" w:eastAsia="Calibri" w:hAnsi="Calibri"/>
          <w:sz w:val="14"/>
          <w:szCs w:val="14"/>
          <w:color w:val="666666"/>
        </w:rPr>
        <w:t>Audit-related fees principally include those for services related to accountng consultatons in connecton with the Company’s implementaton and operaton of its new fnancial management systems.</w:t>
      </w:r>
    </w:p>
    <w:p>
      <w:pPr>
        <w:spacing w:after="0" w:line="108" w:lineRule="exact"/>
        <w:rPr>
          <w:rFonts w:ascii="Calibri" w:cs="Calibri" w:eastAsia="Calibri" w:hAnsi="Calibri"/>
          <w:sz w:val="14"/>
          <w:szCs w:val="14"/>
          <w:color w:val="666666"/>
        </w:rPr>
      </w:pPr>
    </w:p>
    <w:p>
      <w:pPr>
        <w:ind w:left="560" w:hanging="315"/>
        <w:spacing w:after="0"/>
        <w:tabs>
          <w:tab w:leader="none" w:pos="560" w:val="left"/>
        </w:tabs>
        <w:numPr>
          <w:ilvl w:val="0"/>
          <w:numId w:val="59"/>
        </w:numPr>
        <w:rPr>
          <w:rFonts w:ascii="Calibri" w:cs="Calibri" w:eastAsia="Calibri" w:hAnsi="Calibri"/>
          <w:sz w:val="14"/>
          <w:szCs w:val="14"/>
          <w:color w:val="666666"/>
        </w:rPr>
      </w:pPr>
      <w:r>
        <w:rPr>
          <w:rFonts w:ascii="Calibri" w:cs="Calibri" w:eastAsia="Calibri" w:hAnsi="Calibri"/>
          <w:sz w:val="14"/>
          <w:szCs w:val="14"/>
          <w:color w:val="666666"/>
        </w:rPr>
        <w:t>Tax fees principally include domestc and foreign tax compliance and advisory services.</w:t>
      </w:r>
    </w:p>
    <w:p>
      <w:pPr>
        <w:spacing w:after="0" w:line="94" w:lineRule="exact"/>
        <w:rPr>
          <w:rFonts w:ascii="Calibri" w:cs="Calibri" w:eastAsia="Calibri" w:hAnsi="Calibri"/>
          <w:sz w:val="14"/>
          <w:szCs w:val="14"/>
          <w:color w:val="666666"/>
        </w:rPr>
      </w:pPr>
    </w:p>
    <w:p>
      <w:pPr>
        <w:ind w:left="560" w:hanging="315"/>
        <w:spacing w:after="0"/>
        <w:tabs>
          <w:tab w:leader="none" w:pos="560" w:val="left"/>
        </w:tabs>
        <w:numPr>
          <w:ilvl w:val="0"/>
          <w:numId w:val="59"/>
        </w:numPr>
        <w:rPr>
          <w:rFonts w:ascii="Calibri" w:cs="Calibri" w:eastAsia="Calibri" w:hAnsi="Calibri"/>
          <w:sz w:val="14"/>
          <w:szCs w:val="14"/>
          <w:color w:val="666666"/>
        </w:rPr>
      </w:pPr>
      <w:r>
        <w:rPr>
          <w:rFonts w:ascii="Calibri" w:cs="Calibri" w:eastAsia="Calibri" w:hAnsi="Calibri"/>
          <w:sz w:val="14"/>
          <w:szCs w:val="14"/>
          <w:color w:val="666666"/>
        </w:rPr>
        <w:t>All other fees principally include non-audit services related to our implementaton and operaton of new fnancial management systems.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666666"/>
        </w:rPr>
        <w:t>55</w:t>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Calibri" w:cs="Calibri" w:eastAsia="Calibri" w:hAnsi="Calibri"/>
          <w:sz w:val="28"/>
          <w:szCs w:val="28"/>
          <w:b w:val="1"/>
          <w:bCs w:val="1"/>
          <w:color w:val="547BCC"/>
        </w:rPr>
        <w:t>PROPOSAL 2: RATIFICATION OF APPOINTMENT OF ACCOUNTANTS</w:t>
      </w:r>
    </w:p>
    <w:p>
      <w:pPr>
        <w:spacing w:after="0" w:line="175"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Audit Commitee has appointed E&amp;Y as the independent auditors to perform an integrated audit of the Company for the fscal year ending March 31, 2023. E&amp;Y served as our independent auditors for the fscal year ended March 31, 2022. Stockholder approval of the appointment is not required.</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Board believes that obtaining stockholder ratfcaton of the appointment is a sound corporate governance practce. If the stockholders do not vote on an advisory basis in favor of E&amp;Y, the Audit Commitee will reconsider whether to hire the frm and may retain E&amp;Y or hire another frm without resubmitng the mater for stockholders to approve. The Audit Commitee retains the discreton at any tme to appoint a diferent independent auditor.</w:t>
      </w:r>
    </w:p>
    <w:p>
      <w:pPr>
        <w:spacing w:after="0" w:line="162"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Representatves of E&amp;Y are expected to be present at the Annual Meetng, available to respond to appropriate questons, and will have the opportunity to make a statement if they desire.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436245</wp:posOffset>
            </wp:positionV>
            <wp:extent cx="5878195" cy="7086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78195" cy="70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340" w:right="2040"/>
        <w:spacing w:after="0" w:line="211" w:lineRule="auto"/>
        <w:rPr>
          <w:sz w:val="20"/>
          <w:szCs w:val="20"/>
          <w:color w:val="auto"/>
        </w:rPr>
      </w:pPr>
      <w:r>
        <w:rPr>
          <w:rFonts w:ascii="Calibri" w:cs="Calibri" w:eastAsia="Calibri" w:hAnsi="Calibri"/>
          <w:sz w:val="21"/>
          <w:szCs w:val="21"/>
          <w:b w:val="1"/>
          <w:bCs w:val="1"/>
          <w:i w:val="1"/>
          <w:iCs w:val="1"/>
          <w:color w:val="547BCC"/>
        </w:rPr>
        <w:t>The Board of Directors recommends a vote FOR ratfcaton of the appointment of Ernst &amp; Young LLP as the independent registered public accountng frm for the Company for fscal year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56</w:t>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Calibri" w:cs="Calibri" w:eastAsia="Calibri" w:hAnsi="Calibri"/>
          <w:sz w:val="28"/>
          <w:szCs w:val="28"/>
          <w:b w:val="1"/>
          <w:bCs w:val="1"/>
          <w:color w:val="547BCC"/>
        </w:rPr>
        <w:t>PROPOSAL 3: ADVISORY VOTE ON COMPANY'S EXECUTIVE COMPENSATION</w:t>
      </w:r>
    </w:p>
    <w:p>
      <w:pPr>
        <w:spacing w:after="0" w:line="175"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As required by Secton 14A of the Exchange Act, the Company is providing stockholders with a non-binding advisory vote on the compensaton of our named executve ofcers, as disclosed in the CD&amp;A, the accompanying compensaton tables, and the related narratve disclosure in this proxy statement. Although this vote is advisory, the Board and the Compensaton, Culture and People Commitee value the opinions of our stockholders and will review and consider the votng results when making future compensaton decisions for our named executve ofcers.</w:t>
      </w:r>
    </w:p>
    <w:p>
      <w:pPr>
        <w:spacing w:after="0" w:line="163"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As described in detail in the CD&amp;A, our compensaton programs are designed to atract, motvate, and retain executves of outstanding ability to meet and exceed the demands of our clients, focus management on optmizing stockholder value and fostering an ownership culture, create appropriate rewards for outstanding performance and penaltes for underperformance, and provide compettve rewards that foster collaboraton by rewarding executves for their contributon to our overall performance and fnancial success while determining and allocatng incentves based on our performance as a whole in recogniton of the spirit and culture of collaboraton that has defned us throughout our history. Accordingly, the Board submits the following resoluton for a stockholder vote at the 2022 Annual Meetng of Stockholders:</w:t>
      </w:r>
    </w:p>
    <w:p>
      <w:pPr>
        <w:spacing w:after="0" w:line="165" w:lineRule="exact"/>
        <w:rPr>
          <w:sz w:val="20"/>
          <w:szCs w:val="20"/>
          <w:color w:val="auto"/>
        </w:rPr>
      </w:pPr>
    </w:p>
    <w:p>
      <w:pPr>
        <w:jc w:val="both"/>
        <w:ind w:firstLine="319"/>
        <w:spacing w:after="0" w:line="249" w:lineRule="auto"/>
        <w:rPr>
          <w:sz w:val="20"/>
          <w:szCs w:val="20"/>
          <w:color w:val="auto"/>
        </w:rPr>
      </w:pPr>
      <w:r>
        <w:rPr>
          <w:rFonts w:ascii="Calibri" w:cs="Calibri" w:eastAsia="Calibri" w:hAnsi="Calibri"/>
          <w:sz w:val="17"/>
          <w:szCs w:val="17"/>
          <w:color w:val="666666"/>
        </w:rPr>
        <w:t>RESOLVED, that the stockholders approve, on an advisory basis, the compensaton of the Company’s named executve ofcers as disclosed in the CD&amp;A, the accompanying compensaton tables, and the related narratve disclosure in the Company’s proxy statement for the 2022 Annual Meetng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431165</wp:posOffset>
            </wp:positionV>
            <wp:extent cx="5835650" cy="7086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35650" cy="70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340" w:right="1980"/>
        <w:spacing w:after="0" w:line="211" w:lineRule="auto"/>
        <w:rPr>
          <w:sz w:val="20"/>
          <w:szCs w:val="20"/>
          <w:color w:val="auto"/>
        </w:rPr>
      </w:pPr>
      <w:r>
        <w:rPr>
          <w:rFonts w:ascii="Calibri" w:cs="Calibri" w:eastAsia="Calibri" w:hAnsi="Calibri"/>
          <w:sz w:val="21"/>
          <w:szCs w:val="21"/>
          <w:b w:val="1"/>
          <w:bCs w:val="1"/>
          <w:i w:val="1"/>
          <w:iCs w:val="1"/>
          <w:color w:val="547BCC"/>
        </w:rPr>
        <w:t>The Board of Directors recommends a vote FOR the approval, on an advisory basis, of the compensaton of our named executve ofcers as disclosed in the Compensaton Discussion &amp; Analysis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57</w:t>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Calibri" w:cs="Calibri" w:eastAsia="Calibri" w:hAnsi="Calibri"/>
          <w:sz w:val="28"/>
          <w:szCs w:val="28"/>
          <w:b w:val="1"/>
          <w:bCs w:val="1"/>
          <w:color w:val="547BCC"/>
        </w:rPr>
        <w:t>PROPOSAL 4: ADOPTION OF THE SIXTH AMENDED AND RESTATED CERTIFICATE OF INCORPORATION</w:t>
      </w:r>
    </w:p>
    <w:p>
      <w:pPr>
        <w:spacing w:after="0" w:line="151"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The Proposed Amendments</w:t>
      </w:r>
    </w:p>
    <w:p>
      <w:pPr>
        <w:spacing w:after="0" w:line="166" w:lineRule="exact"/>
        <w:rPr>
          <w:sz w:val="20"/>
          <w:szCs w:val="20"/>
          <w:color w:val="auto"/>
        </w:rPr>
      </w:pPr>
    </w:p>
    <w:p>
      <w:pPr>
        <w:jc w:val="both"/>
        <w:ind w:firstLine="319"/>
        <w:spacing w:after="0" w:line="226" w:lineRule="auto"/>
        <w:rPr>
          <w:sz w:val="20"/>
          <w:szCs w:val="20"/>
          <w:color w:val="auto"/>
        </w:rPr>
      </w:pPr>
      <w:r>
        <w:rPr>
          <w:rFonts w:ascii="Calibri" w:cs="Calibri" w:eastAsia="Calibri" w:hAnsi="Calibri"/>
          <w:sz w:val="18"/>
          <w:szCs w:val="18"/>
          <w:color w:val="666666"/>
        </w:rPr>
        <w:t>Our Board has authorized, and recommends for approval, the adopton of the Sixth Amended and Restated Certfcate of Incorporaton to permit stockholders who hold not less than 25% of the outstanding shares of common stock of the Company to request that the Company call a special meetng of stockholders, subject to the requirements and procedures set forth in our bylaws (collectvely, the “Amendments”).</w:t>
      </w:r>
    </w:p>
    <w:p>
      <w:pPr>
        <w:spacing w:after="0" w:line="150"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In order for the proposal to be approved, it must receive the afrmatve vote of the holders of a majority of the outstanding shares of Class A common stock enttled to vote. If the Sixth Amended and Restated Certfcate of Incorporaton is approved, the change will become efectve upon the fling of an amendment and restatement to the Company’s certfcate of incorporaton with the Secretary of State of the State of Delaware, in substantally the form of Appendix B atached hereto.</w:t>
      </w:r>
    </w:p>
    <w:p>
      <w:pPr>
        <w:spacing w:after="0" w:line="163"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If the Amendments are adopted, our Fifh Amended and Restated Bylaws will also be amended to provide for additonal requirements and limitatons on the right of stockholders to request that a special meetng of stockholders be called, as described below. Stockholder approval is not required for the proposed amendments to our bylaws.</w:t>
      </w:r>
    </w:p>
    <w:p>
      <w:pPr>
        <w:spacing w:after="0" w:line="151"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Reasons for the Proposed Amendments</w:t>
      </w:r>
    </w:p>
    <w:p>
      <w:pPr>
        <w:spacing w:after="0" w:line="153" w:lineRule="exact"/>
        <w:rPr>
          <w:sz w:val="20"/>
          <w:szCs w:val="20"/>
          <w:color w:val="auto"/>
        </w:rPr>
      </w:pPr>
    </w:p>
    <w:p>
      <w:pPr>
        <w:jc w:val="both"/>
        <w:ind w:firstLine="319"/>
        <w:spacing w:after="0" w:line="223" w:lineRule="auto"/>
        <w:rPr>
          <w:sz w:val="20"/>
          <w:szCs w:val="20"/>
          <w:color w:val="auto"/>
        </w:rPr>
      </w:pPr>
      <w:r>
        <w:rPr>
          <w:rFonts w:ascii="Calibri" w:cs="Calibri" w:eastAsia="Calibri" w:hAnsi="Calibri"/>
          <w:sz w:val="18"/>
          <w:szCs w:val="18"/>
          <w:color w:val="666666"/>
        </w:rPr>
        <w:t>Currently, under the Company’s Fifh Amended and Restated Certfcate of Incorporaton, only the Board of Directors may call a special meetng of stockholders and stockholders are not permited to request that a special meetng be called.</w:t>
      </w:r>
    </w:p>
    <w:p>
      <w:pPr>
        <w:spacing w:after="0" w:line="149" w:lineRule="exact"/>
        <w:rPr>
          <w:sz w:val="20"/>
          <w:szCs w:val="20"/>
          <w:color w:val="auto"/>
        </w:rPr>
      </w:pPr>
    </w:p>
    <w:p>
      <w:pPr>
        <w:jc w:val="both"/>
        <w:ind w:firstLine="319"/>
        <w:spacing w:after="0" w:line="216" w:lineRule="auto"/>
        <w:rPr>
          <w:sz w:val="20"/>
          <w:szCs w:val="20"/>
          <w:color w:val="auto"/>
        </w:rPr>
      </w:pPr>
      <w:r>
        <w:rPr>
          <w:rFonts w:ascii="Calibri" w:cs="Calibri" w:eastAsia="Calibri" w:hAnsi="Calibri"/>
          <w:sz w:val="18"/>
          <w:szCs w:val="18"/>
          <w:color w:val="666666"/>
        </w:rPr>
        <w:t>The Amendments, if approved by our stockholders, would provide that the Board of Directors is required to call a special meetng of the Company’s stockholders upon the writen request of one or more stockholders who (i) own shares representng not less than 25% or more of the outstanding shares of common stock of the Company and (ii) satsfy the procedures for stockholder-requested special meetngs, as set forth in our bylaws.</w:t>
      </w:r>
    </w:p>
    <w:p>
      <w:pPr>
        <w:spacing w:after="0" w:line="150"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7"/>
          <w:szCs w:val="17"/>
          <w:color w:val="666666"/>
        </w:rPr>
        <w:t>The ability of stockholders to call special meetngs is increasingly considered an important aspect of good corporate governance. While the Board of Directors recognizes that providing a stockholder right to call special meetngs is consistent with corporate governance best practces, the Board also believes that special meetngs of stockholders should be extraordinary events that are held only when strategic concerns or other similar consideratons require that the maters to be addressed not be delayed untl the Company’s next annual meetng. Moreover, because special meetngs are expensive and tme-consuming for the Company and potentally disruptve to its normal business operatons, the Board believes that a small percentage of stockholders should not be enttled to utlize the right to call a special meetng for their own interests, which may not be shared by a signifcant porton of the Company’s stockholders. Finally, the Company has an established process by which stockholders may communicate directly with the Board, including the non-management directors, throughout the year on any topics of interest to stockholders. The Board and the Company will contnue to maintain existng governance mechanisms that aford management and the Board the ability to respond to the concerns of all stockholders, regardless of the level of stock ownership.</w:t>
      </w:r>
    </w:p>
    <w:p>
      <w:pPr>
        <w:spacing w:after="0" w:line="155" w:lineRule="exact"/>
        <w:rPr>
          <w:sz w:val="20"/>
          <w:szCs w:val="20"/>
          <w:color w:val="auto"/>
        </w:rPr>
      </w:pPr>
    </w:p>
    <w:p>
      <w:pPr>
        <w:jc w:val="both"/>
        <w:ind w:firstLine="319"/>
        <w:spacing w:after="0" w:line="234" w:lineRule="auto"/>
        <w:rPr>
          <w:sz w:val="20"/>
          <w:szCs w:val="20"/>
          <w:color w:val="auto"/>
        </w:rPr>
      </w:pPr>
      <w:r>
        <w:rPr>
          <w:rFonts w:ascii="Calibri" w:cs="Calibri" w:eastAsia="Calibri" w:hAnsi="Calibri"/>
          <w:sz w:val="17"/>
          <w:szCs w:val="17"/>
          <w:color w:val="666666"/>
        </w:rPr>
        <w:t>The Company also reminds stockholders that the power to call a special meetng of stockholders has historically been a tool for acquirers in the context of hostle mergers and acquisitons. Potental acquirers seeking to take over the Company for an inadequate price could use a special meetng of stockholders to increase their negotatng leverage or to avoid negotatng at all with the Board of Directors, which has the legal duty to protect the interests of all stockholders.</w:t>
      </w:r>
    </w:p>
    <w:p>
      <w:pPr>
        <w:spacing w:after="0" w:line="137" w:lineRule="exact"/>
        <w:rPr>
          <w:sz w:val="20"/>
          <w:szCs w:val="20"/>
          <w:color w:val="auto"/>
        </w:rPr>
      </w:pPr>
    </w:p>
    <w:p>
      <w:pPr>
        <w:jc w:val="both"/>
        <w:ind w:firstLine="319"/>
        <w:spacing w:after="0" w:line="232" w:lineRule="auto"/>
        <w:rPr>
          <w:sz w:val="20"/>
          <w:szCs w:val="20"/>
          <w:color w:val="auto"/>
        </w:rPr>
      </w:pPr>
      <w:r>
        <w:rPr>
          <w:rFonts w:ascii="Calibri" w:cs="Calibri" w:eastAsia="Calibri" w:hAnsi="Calibri"/>
          <w:sz w:val="17"/>
          <w:szCs w:val="17"/>
          <w:color w:val="666666"/>
        </w:rPr>
        <w:t>In light of these consideratons, the Board of Directors believes that establishing an ownership threshold of not less than 25%, along with specifed procedural requirements and limitatons, for stockholders to call a special meetng achieves a reasonable balance between enhancing stockholder rights and adequately protectng the long-term interests of the Company and its stockholders. The Board believes that an ownership threshold of not less than 25% is appropriate based on the Company’s current size and stockholder compositon, as it would provide the Company’s stockholders with a meaningful right to request a special meetng, while mitgatng the risk that corporate resources are wasted to serve the narrow self-interests of a few minority stockholders. A special meetng threshold of not less than 25% is in line with market practce and, unlike a number of other companies, including some in our industry, stockholders would not be subject to a one-year holding period requirement with respect to ownership of their common stock in order to exercise this right.</w:t>
      </w:r>
    </w:p>
    <w:p>
      <w:pPr>
        <w:spacing w:after="0" w:line="152"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Overview of Related Changes to the Bylaws</w:t>
      </w:r>
    </w:p>
    <w:p>
      <w:pPr>
        <w:spacing w:after="0" w:line="140" w:lineRule="exact"/>
        <w:rPr>
          <w:sz w:val="20"/>
          <w:szCs w:val="20"/>
          <w:color w:val="auto"/>
        </w:rPr>
      </w:pPr>
    </w:p>
    <w:p>
      <w:pPr>
        <w:jc w:val="both"/>
        <w:ind w:firstLine="319"/>
        <w:spacing w:after="0" w:line="221" w:lineRule="auto"/>
        <w:rPr>
          <w:sz w:val="20"/>
          <w:szCs w:val="20"/>
          <w:color w:val="auto"/>
        </w:rPr>
      </w:pPr>
      <w:r>
        <w:rPr>
          <w:rFonts w:ascii="Calibri" w:cs="Calibri" w:eastAsia="Calibri" w:hAnsi="Calibri"/>
          <w:sz w:val="18"/>
          <w:szCs w:val="18"/>
          <w:color w:val="666666"/>
        </w:rPr>
        <w:t>If the Amendments are approved, the Board of Directors expects to amend our bylaws to specify the procedures for and limitatons on stockholder-requested special meetngs. Set forth below is a summary of the amendments to our bylaws that the Board expects to adopt (the “Special Meetng Bylaw Provisions”).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58</w:t>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0"/>
        <w:spacing w:after="0"/>
        <w:rPr>
          <w:sz w:val="20"/>
          <w:szCs w:val="20"/>
          <w:color w:val="auto"/>
        </w:rPr>
      </w:pPr>
      <w:r>
        <w:rPr>
          <w:rFonts w:ascii="Calibri" w:cs="Calibri" w:eastAsia="Calibri" w:hAnsi="Calibri"/>
          <w:sz w:val="19"/>
          <w:szCs w:val="19"/>
          <w:i w:val="1"/>
          <w:iCs w:val="1"/>
          <w:color w:val="547BCC"/>
        </w:rPr>
        <w:t>Informaton Provisions</w:t>
      </w:r>
    </w:p>
    <w:p>
      <w:pPr>
        <w:spacing w:after="0" w:line="157" w:lineRule="exact"/>
        <w:rPr>
          <w:sz w:val="20"/>
          <w:szCs w:val="20"/>
          <w:color w:val="auto"/>
        </w:rPr>
      </w:pPr>
    </w:p>
    <w:p>
      <w:pPr>
        <w:jc w:val="both"/>
        <w:ind w:firstLine="319"/>
        <w:spacing w:after="0" w:line="220" w:lineRule="auto"/>
        <w:rPr>
          <w:sz w:val="20"/>
          <w:szCs w:val="20"/>
          <w:color w:val="auto"/>
        </w:rPr>
      </w:pPr>
      <w:r>
        <w:rPr>
          <w:rFonts w:ascii="Calibri" w:cs="Calibri" w:eastAsia="Calibri" w:hAnsi="Calibri"/>
          <w:sz w:val="18"/>
          <w:szCs w:val="18"/>
          <w:color w:val="666666"/>
        </w:rPr>
        <w:t>The Special Meetng Bylaw Provisions would require that any stockholder request to call a special meetng of stockholders must include certain specifed informaton including, but not limited to, (i) a descripton of the business proposed to be conducted at the special meetng and the text of any such business or proposal, (ii) documentary evidence that such requestng stockholders own not less than 25% of the common stock of the Company as of the date of the request, and (iii) certain specifed informaton, representatons, and agreements required with respect to any director nominatons or other business proposed to be presented at the special meetng.</w:t>
      </w:r>
    </w:p>
    <w:p>
      <w:pPr>
        <w:spacing w:after="0" w:line="131" w:lineRule="exact"/>
        <w:rPr>
          <w:sz w:val="20"/>
          <w:szCs w:val="20"/>
          <w:color w:val="auto"/>
        </w:rPr>
      </w:pPr>
    </w:p>
    <w:p>
      <w:pPr>
        <w:ind w:left="320"/>
        <w:spacing w:after="0"/>
        <w:rPr>
          <w:sz w:val="20"/>
          <w:szCs w:val="20"/>
          <w:color w:val="auto"/>
        </w:rPr>
      </w:pPr>
      <w:r>
        <w:rPr>
          <w:rFonts w:ascii="Calibri" w:cs="Calibri" w:eastAsia="Calibri" w:hAnsi="Calibri"/>
          <w:sz w:val="19"/>
          <w:szCs w:val="19"/>
          <w:i w:val="1"/>
          <w:iCs w:val="1"/>
          <w:color w:val="547BCC"/>
        </w:rPr>
        <w:t>Ownership Provisions</w:t>
      </w:r>
    </w:p>
    <w:p>
      <w:pPr>
        <w:spacing w:after="0" w:line="157" w:lineRule="exact"/>
        <w:rPr>
          <w:sz w:val="20"/>
          <w:szCs w:val="20"/>
          <w:color w:val="auto"/>
        </w:rPr>
      </w:pPr>
    </w:p>
    <w:p>
      <w:pPr>
        <w:jc w:val="both"/>
        <w:ind w:firstLine="319"/>
        <w:spacing w:after="0" w:line="232" w:lineRule="auto"/>
        <w:rPr>
          <w:sz w:val="20"/>
          <w:szCs w:val="20"/>
          <w:color w:val="auto"/>
        </w:rPr>
      </w:pPr>
      <w:r>
        <w:rPr>
          <w:rFonts w:ascii="Calibri" w:cs="Calibri" w:eastAsia="Calibri" w:hAnsi="Calibri"/>
          <w:sz w:val="17"/>
          <w:szCs w:val="17"/>
          <w:color w:val="666666"/>
        </w:rPr>
        <w:t>The Special Meetng Bylaw Provisions would provide that, when determining the 25% ownership threshold, a stockholder will be deemed to own only those shares of common stock where such person possesses both (i) the full votng and investment rights pertaining to such shares and (ii) the full economic interest in such shares, less any shares (1) sold in a transacton that has not been setled or closed, (2) borrowed for any purposes or purchased pursuant to an agreement to resell, or (3) subject to a derivatve or similar agreement that would have the purpose or efect of reducing the full votng rights of such shares or hedging, ofsetng or altering the full economic ownership of such shares. The Board of Directors believes that this defniton of ownership is appropriate so that only stockholders with full and contnuing interests and rights in our common stock would be enttled to request that a special meetng be called.</w:t>
      </w:r>
    </w:p>
    <w:p>
      <w:pPr>
        <w:spacing w:after="0" w:line="147" w:lineRule="exact"/>
        <w:rPr>
          <w:sz w:val="20"/>
          <w:szCs w:val="20"/>
          <w:color w:val="auto"/>
        </w:rPr>
      </w:pPr>
    </w:p>
    <w:p>
      <w:pPr>
        <w:ind w:left="320"/>
        <w:spacing w:after="0"/>
        <w:rPr>
          <w:sz w:val="20"/>
          <w:szCs w:val="20"/>
          <w:color w:val="auto"/>
        </w:rPr>
      </w:pPr>
      <w:r>
        <w:rPr>
          <w:rFonts w:ascii="Calibri" w:cs="Calibri" w:eastAsia="Calibri" w:hAnsi="Calibri"/>
          <w:sz w:val="19"/>
          <w:szCs w:val="19"/>
          <w:i w:val="1"/>
          <w:iCs w:val="1"/>
          <w:color w:val="547BCC"/>
        </w:rPr>
        <w:t>Additonal Provisions</w:t>
      </w:r>
    </w:p>
    <w:p>
      <w:pPr>
        <w:spacing w:after="0" w:line="157" w:lineRule="exact"/>
        <w:rPr>
          <w:sz w:val="20"/>
          <w:szCs w:val="20"/>
          <w:color w:val="auto"/>
        </w:rPr>
      </w:pPr>
    </w:p>
    <w:p>
      <w:pPr>
        <w:jc w:val="both"/>
        <w:ind w:firstLine="319"/>
        <w:spacing w:after="0" w:line="217" w:lineRule="auto"/>
        <w:rPr>
          <w:sz w:val="20"/>
          <w:szCs w:val="20"/>
          <w:color w:val="auto"/>
        </w:rPr>
      </w:pPr>
      <w:r>
        <w:rPr>
          <w:rFonts w:ascii="Calibri" w:cs="Calibri" w:eastAsia="Calibri" w:hAnsi="Calibri"/>
          <w:sz w:val="18"/>
          <w:szCs w:val="18"/>
          <w:color w:val="666666"/>
        </w:rPr>
        <w:t>The Special Meetng Bylaw Provisions would include certain procedural requirements that the Board of Directors believes are appropriate to avoid duplicatve or unnecessary special meetngs. Under these provisions, a special meetng request would not be valid if it (i) relates to any item of business that (1) is the same as, or substantally similar to, any item of business that stockholders of the Company voted on at a meetng of stockholders that occurred within 120 days preceding the date of the special meetng request, or (2) is not a proper subject for stockholder acton under applicable law, (ii) is received by the Company less than 90 days before the earlier of (1) the date of the Company’s next annual meetng of stockholders, to the extent such date has been publicly announced by the Company prior to the date of the special meetng request, and (2) the frst anniversary of the preceding year’s annual meetng of stockholders, or (iii) does not comply with the requirements pertaining to special meetng requests set forth in our bylaws.</w:t>
      </w:r>
    </w:p>
    <w:p>
      <w:pPr>
        <w:spacing w:after="0" w:line="150" w:lineRule="exact"/>
        <w:rPr>
          <w:sz w:val="20"/>
          <w:szCs w:val="20"/>
          <w:color w:val="auto"/>
        </w:rPr>
      </w:pPr>
    </w:p>
    <w:p>
      <w:pPr>
        <w:jc w:val="both"/>
        <w:ind w:firstLine="319"/>
        <w:spacing w:after="0" w:line="220" w:lineRule="auto"/>
        <w:rPr>
          <w:sz w:val="20"/>
          <w:szCs w:val="20"/>
          <w:color w:val="auto"/>
        </w:rPr>
      </w:pPr>
      <w:r>
        <w:rPr>
          <w:rFonts w:ascii="Calibri" w:cs="Calibri" w:eastAsia="Calibri" w:hAnsi="Calibri"/>
          <w:sz w:val="18"/>
          <w:szCs w:val="18"/>
          <w:color w:val="666666"/>
        </w:rPr>
        <w:t>The Special Meetng Bylaw Provisions would provide that, if stockholders who requested a special meetng revoke the request or cease to own 25% of the outstanding shares of common stock, then such stockholders will be deemed to have withdrawn such special meetng request and the Board of Directors will have the discreton to determine whether or not to proceed with the special meetng, and there will be no requirement for the Board to call, or for the Company to hold, such special meetng.</w:t>
      </w:r>
    </w:p>
    <w:p>
      <w:pPr>
        <w:spacing w:after="0" w:line="151" w:lineRule="exact"/>
        <w:rPr>
          <w:sz w:val="20"/>
          <w:szCs w:val="20"/>
          <w:color w:val="auto"/>
        </w:rPr>
      </w:pPr>
    </w:p>
    <w:p>
      <w:pPr>
        <w:jc w:val="both"/>
        <w:ind w:firstLine="319"/>
        <w:spacing w:after="0" w:line="221" w:lineRule="auto"/>
        <w:rPr>
          <w:sz w:val="20"/>
          <w:szCs w:val="20"/>
          <w:color w:val="auto"/>
        </w:rPr>
      </w:pPr>
      <w:r>
        <w:rPr>
          <w:rFonts w:ascii="Calibri" w:cs="Calibri" w:eastAsia="Calibri" w:hAnsi="Calibri"/>
          <w:sz w:val="18"/>
          <w:szCs w:val="18"/>
          <w:color w:val="666666"/>
        </w:rPr>
        <w:t>The Special Meetng Bylaw Provisions would require that the business to be transacted at a stockholder-requested special meetng be limited to the purpose(s) stated in the stockholder meetng request received by the Company and any additonal maters that the Board of Directors determines to include in the Company’s notce for such special meetng.</w:t>
      </w:r>
    </w:p>
    <w:p>
      <w:pPr>
        <w:spacing w:after="0" w:line="152"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The Stockholder Proposal</w:t>
      </w:r>
    </w:p>
    <w:p>
      <w:pPr>
        <w:spacing w:after="0" w:line="140" w:lineRule="exact"/>
        <w:rPr>
          <w:sz w:val="20"/>
          <w:szCs w:val="20"/>
          <w:color w:val="auto"/>
        </w:rPr>
      </w:pPr>
    </w:p>
    <w:p>
      <w:pPr>
        <w:jc w:val="both"/>
        <w:ind w:firstLine="319"/>
        <w:spacing w:after="0" w:line="219" w:lineRule="auto"/>
        <w:rPr>
          <w:sz w:val="20"/>
          <w:szCs w:val="20"/>
          <w:color w:val="auto"/>
        </w:rPr>
      </w:pPr>
      <w:r>
        <w:rPr>
          <w:rFonts w:ascii="Calibri" w:cs="Calibri" w:eastAsia="Calibri" w:hAnsi="Calibri"/>
          <w:sz w:val="18"/>
          <w:szCs w:val="18"/>
          <w:color w:val="666666"/>
        </w:rPr>
        <w:t>As described below in Proposal 5, we have been notfed that a stockholder intends to present a proposal for consideraton at the Annual Meetng that also addresses stockholders’ ability to call special meetngs of stockholders. Although the Amendments and the stockholder proposal concern similar subject mater, the terms and efects of each proposal difer. Stockholders may vote on both Proposal 4 and Proposal 5, and approval of one proposal is not conditoned on approval or disapproval of the other proposal. If both Proposal 4 and Proposal 5 are approved, the Board of Directors will implement the Amendments and adopt the Special Meetng Bylaw Provisions and will not act on the Stockholder Proposal. The Board will consider approval of the Amendments as supportng the implementaton of the stockholder proposal, even if Proposal 5 is approved.</w:t>
      </w:r>
    </w:p>
    <w:p>
      <w:pPr>
        <w:spacing w:after="0" w:line="143" w:lineRule="exact"/>
        <w:rPr>
          <w:sz w:val="20"/>
          <w:szCs w:val="20"/>
          <w:color w:val="auto"/>
        </w:rPr>
      </w:pPr>
    </w:p>
    <w:p>
      <w:pPr>
        <w:ind w:left="320"/>
        <w:spacing w:after="0"/>
        <w:rPr>
          <w:sz w:val="20"/>
          <w:szCs w:val="20"/>
          <w:color w:val="auto"/>
        </w:rPr>
      </w:pPr>
      <w:r>
        <w:rPr>
          <w:rFonts w:ascii="Calibri" w:cs="Calibri" w:eastAsia="Calibri" w:hAnsi="Calibri"/>
          <w:sz w:val="18"/>
          <w:szCs w:val="18"/>
          <w:color w:val="666666"/>
        </w:rPr>
        <w:t>Neither the Amendments nor the stockholder proposal afect the Board of Director’s existng authority to call special meetngs of stockholders.</w:t>
      </w:r>
    </w:p>
    <w:p>
      <w:pPr>
        <w:spacing w:after="0" w:line="135" w:lineRule="exact"/>
        <w:rPr>
          <w:sz w:val="20"/>
          <w:szCs w:val="20"/>
          <w:color w:val="auto"/>
        </w:rPr>
      </w:pPr>
    </w:p>
    <w:p>
      <w:pPr>
        <w:jc w:val="both"/>
        <w:ind w:firstLine="319"/>
        <w:spacing w:after="0" w:line="223" w:lineRule="auto"/>
        <w:rPr>
          <w:sz w:val="20"/>
          <w:szCs w:val="20"/>
          <w:color w:val="auto"/>
        </w:rPr>
      </w:pPr>
      <w:r>
        <w:rPr>
          <w:rFonts w:ascii="Calibri" w:cs="Calibri" w:eastAsia="Calibri" w:hAnsi="Calibri"/>
          <w:sz w:val="18"/>
          <w:szCs w:val="18"/>
          <w:color w:val="666666"/>
        </w:rPr>
        <w:t>You should carefully read the descriptons of each proposal and the Company’s statement in oppositon to the stockholder proposal, in considering both proposals.</w:t>
      </w:r>
    </w:p>
    <w:p>
      <w:pPr>
        <w:spacing w:after="0" w:line="152"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Required Vote and Recommendaton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59</w:t>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firstLine="319"/>
        <w:spacing w:after="0" w:line="223" w:lineRule="auto"/>
        <w:rPr>
          <w:sz w:val="20"/>
          <w:szCs w:val="20"/>
          <w:color w:val="auto"/>
        </w:rPr>
      </w:pPr>
      <w:r>
        <w:rPr>
          <w:rFonts w:ascii="Calibri" w:cs="Calibri" w:eastAsia="Calibri" w:hAnsi="Calibri"/>
          <w:sz w:val="18"/>
          <w:szCs w:val="18"/>
          <w:color w:val="666666"/>
        </w:rPr>
        <w:t>Approval of this proposal requires the afrmatve vote of the holders of a majority of the outstanding shares of Class A common stock enttled to vote. As a result, abstentons and broker non-votes will have the same efect as negatve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184150</wp:posOffset>
            </wp:positionV>
            <wp:extent cx="5835650" cy="7759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35650" cy="77597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780"/>
        <w:spacing w:after="0" w:line="228" w:lineRule="auto"/>
        <w:rPr>
          <w:sz w:val="20"/>
          <w:szCs w:val="20"/>
          <w:color w:val="auto"/>
        </w:rPr>
      </w:pPr>
      <w:r>
        <w:rPr>
          <w:rFonts w:ascii="Calibri" w:cs="Calibri" w:eastAsia="Calibri" w:hAnsi="Calibri"/>
          <w:sz w:val="21"/>
          <w:szCs w:val="21"/>
          <w:b w:val="1"/>
          <w:bCs w:val="1"/>
          <w:i w:val="1"/>
          <w:iCs w:val="1"/>
          <w:color w:val="547BCC"/>
        </w:rPr>
        <w:t>The Board of Directors recommends a vote FOR the adopton of the Sixth Amended and Restated Certfcate of Incorporaton to permit stockholders who hold not less than 25% of the outstanding shares of common stock of the Company to call special meetngs.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666666"/>
        </w:rPr>
        <w:t>60</w:t>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Calibri" w:cs="Calibri" w:eastAsia="Calibri" w:hAnsi="Calibri"/>
          <w:sz w:val="28"/>
          <w:szCs w:val="28"/>
          <w:b w:val="1"/>
          <w:bCs w:val="1"/>
          <w:color w:val="547BCC"/>
        </w:rPr>
        <w:t>PROPOSAL 5: STOCKHOLDER PROPOSAL</w:t>
      </w:r>
    </w:p>
    <w:p>
      <w:pPr>
        <w:spacing w:after="0" w:line="162" w:lineRule="exact"/>
        <w:rPr>
          <w:sz w:val="20"/>
          <w:szCs w:val="20"/>
          <w:color w:val="auto"/>
        </w:rPr>
      </w:pPr>
    </w:p>
    <w:p>
      <w:pPr>
        <w:jc w:val="both"/>
        <w:ind w:firstLine="319"/>
        <w:spacing w:after="0" w:line="217" w:lineRule="auto"/>
        <w:rPr>
          <w:sz w:val="20"/>
          <w:szCs w:val="20"/>
          <w:color w:val="auto"/>
        </w:rPr>
      </w:pPr>
      <w:r>
        <w:rPr>
          <w:rFonts w:ascii="Calibri" w:cs="Calibri" w:eastAsia="Calibri" w:hAnsi="Calibri"/>
          <w:sz w:val="18"/>
          <w:szCs w:val="18"/>
          <w:color w:val="666666"/>
        </w:rPr>
        <w:t>The Company has been informed that John Chevedden, 2215 Nelson Avenue, No. 205, Redondo Beach, CA, 90278, a benefcial owner of shares of our Class A common stock having a minimum value as set forth in Rule 14a-8 of the Exchange Act allowing submission of proposals by stockholders meetng certain requirements, intends to present the proposal set forth below at our Annual Meetng (the “Stockholder Proposal”). The Stockholder Proposal will be voted on at the Annual Meetng only if properly presented by or on behalf of Mr. Chevedden. In accordance with federal securites laws, the proposed stockholder proposal is presented verbatm from his submission and in italics. The Company disclaims all responsibility for the content of the resoluton and the supportng statement, including other sources referenced in the supportng statement.</w:t>
      </w:r>
    </w:p>
    <w:p>
      <w:pPr>
        <w:spacing w:after="0" w:line="149" w:lineRule="exact"/>
        <w:rPr>
          <w:sz w:val="20"/>
          <w:szCs w:val="20"/>
          <w:color w:val="auto"/>
        </w:rPr>
      </w:pPr>
    </w:p>
    <w:p>
      <w:pPr>
        <w:jc w:val="both"/>
        <w:ind w:firstLine="319"/>
        <w:spacing w:after="0" w:line="223" w:lineRule="auto"/>
        <w:rPr>
          <w:sz w:val="20"/>
          <w:szCs w:val="20"/>
          <w:color w:val="auto"/>
        </w:rPr>
      </w:pPr>
      <w:r>
        <w:rPr>
          <w:rFonts w:ascii="Calibri" w:cs="Calibri" w:eastAsia="Calibri" w:hAnsi="Calibri"/>
          <w:sz w:val="18"/>
          <w:szCs w:val="18"/>
          <w:color w:val="666666"/>
        </w:rPr>
        <w:t xml:space="preserve">For the reasons stated in the Board of Directors’ Statement in Oppositon, which follows the Stockholder Proposal, the Board recommends that you vote </w:t>
      </w:r>
      <w:r>
        <w:rPr>
          <w:rFonts w:ascii="Calibri" w:cs="Calibri" w:eastAsia="Calibri" w:hAnsi="Calibri"/>
          <w:sz w:val="18"/>
          <w:szCs w:val="18"/>
          <w:b w:val="1"/>
          <w:bCs w:val="1"/>
          <w:color w:val="666666"/>
        </w:rPr>
        <w:t xml:space="preserve">“AGAINST” </w:t>
      </w:r>
      <w:r>
        <w:rPr>
          <w:rFonts w:ascii="Calibri" w:cs="Calibri" w:eastAsia="Calibri" w:hAnsi="Calibri"/>
          <w:sz w:val="18"/>
          <w:szCs w:val="18"/>
          <w:color w:val="666666"/>
        </w:rPr>
        <w:t>the Stockholder Proposal and instead approve the Company’s special meetng right proposal outlined in Proposal 4.</w:t>
      </w:r>
    </w:p>
    <w:p>
      <w:pPr>
        <w:spacing w:after="0" w:line="391"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Stockholder Proposal</w:t>
      </w:r>
    </w:p>
    <w:p>
      <w:pPr>
        <w:spacing w:after="0" w:line="370"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i w:val="1"/>
          <w:iCs w:val="1"/>
          <w:color w:val="666666"/>
        </w:rPr>
        <w:t>Proposal 5 – Shareholder Right to Call for a Special Shareholder Meetng</w:t>
      </w:r>
    </w:p>
    <w:p>
      <w:pPr>
        <w:spacing w:after="0" w:line="148" w:lineRule="exact"/>
        <w:rPr>
          <w:sz w:val="20"/>
          <w:szCs w:val="20"/>
          <w:color w:val="auto"/>
        </w:rPr>
      </w:pPr>
    </w:p>
    <w:p>
      <w:pPr>
        <w:jc w:val="both"/>
        <w:ind w:firstLine="319"/>
        <w:spacing w:after="0" w:line="223" w:lineRule="auto"/>
        <w:rPr>
          <w:sz w:val="20"/>
          <w:szCs w:val="20"/>
          <w:color w:val="auto"/>
        </w:rPr>
      </w:pPr>
      <w:r>
        <w:rPr>
          <w:rFonts w:ascii="Calibri" w:cs="Calibri" w:eastAsia="Calibri" w:hAnsi="Calibri"/>
          <w:sz w:val="18"/>
          <w:szCs w:val="18"/>
          <w:i w:val="1"/>
          <w:iCs w:val="1"/>
          <w:color w:val="666666"/>
        </w:rPr>
        <w:t>Shareholders ask our board to take the steps necessary to amend the appropriate company governing documents to give the owners of a combined 10% of our outstanding common stock the power to call a special shareholder meetng.</w:t>
      </w:r>
    </w:p>
    <w:p>
      <w:pPr>
        <w:spacing w:after="0" w:line="149" w:lineRule="exact"/>
        <w:rPr>
          <w:sz w:val="20"/>
          <w:szCs w:val="20"/>
          <w:color w:val="auto"/>
        </w:rPr>
      </w:pPr>
    </w:p>
    <w:p>
      <w:pPr>
        <w:jc w:val="both"/>
        <w:ind w:firstLine="319"/>
        <w:spacing w:after="0" w:line="223" w:lineRule="auto"/>
        <w:rPr>
          <w:sz w:val="20"/>
          <w:szCs w:val="20"/>
          <w:color w:val="auto"/>
        </w:rPr>
      </w:pPr>
      <w:r>
        <w:rPr>
          <w:rFonts w:ascii="Calibri" w:cs="Calibri" w:eastAsia="Calibri" w:hAnsi="Calibri"/>
          <w:sz w:val="18"/>
          <w:szCs w:val="18"/>
          <w:i w:val="1"/>
          <w:iCs w:val="1"/>
          <w:color w:val="666666"/>
        </w:rPr>
        <w:t>One of the main purposes of this proposal is to give shareholders the right to formally partcipate in calling for a special shareholder meetng regardless of their length of stock ownership to the fullest extent possible.</w:t>
      </w:r>
    </w:p>
    <w:p>
      <w:pPr>
        <w:spacing w:after="0" w:line="149" w:lineRule="exact"/>
        <w:rPr>
          <w:sz w:val="20"/>
          <w:szCs w:val="20"/>
          <w:color w:val="auto"/>
        </w:rPr>
      </w:pPr>
    </w:p>
    <w:p>
      <w:pPr>
        <w:jc w:val="both"/>
        <w:ind w:firstLine="319"/>
        <w:spacing w:after="0" w:line="237" w:lineRule="auto"/>
        <w:rPr>
          <w:sz w:val="20"/>
          <w:szCs w:val="20"/>
          <w:color w:val="auto"/>
        </w:rPr>
      </w:pPr>
      <w:r>
        <w:rPr>
          <w:rFonts w:ascii="Calibri" w:cs="Calibri" w:eastAsia="Calibri" w:hAnsi="Calibri"/>
          <w:sz w:val="17"/>
          <w:szCs w:val="17"/>
          <w:i w:val="1"/>
          <w:iCs w:val="1"/>
          <w:color w:val="666666"/>
        </w:rPr>
        <w:t>Special meetngs allow shareholders to vote on important maters, such as electng new directors with special expertse or independence that may be lacking in our current or future directors as was the case with the 3 new Exxon directors supported by the Engine No. 1 hedge fund at the 2021 Exxon annual meetng.</w:t>
      </w:r>
    </w:p>
    <w:p>
      <w:pPr>
        <w:spacing w:after="0" w:line="148" w:lineRule="exact"/>
        <w:rPr>
          <w:sz w:val="20"/>
          <w:szCs w:val="20"/>
          <w:color w:val="auto"/>
        </w:rPr>
      </w:pPr>
    </w:p>
    <w:p>
      <w:pPr>
        <w:jc w:val="both"/>
        <w:ind w:firstLine="319"/>
        <w:spacing w:after="0" w:line="223" w:lineRule="auto"/>
        <w:rPr>
          <w:sz w:val="20"/>
          <w:szCs w:val="20"/>
          <w:color w:val="auto"/>
        </w:rPr>
      </w:pPr>
      <w:r>
        <w:rPr>
          <w:rFonts w:ascii="Calibri" w:cs="Calibri" w:eastAsia="Calibri" w:hAnsi="Calibri"/>
          <w:sz w:val="18"/>
          <w:szCs w:val="18"/>
          <w:i w:val="1"/>
          <w:iCs w:val="1"/>
          <w:color w:val="666666"/>
        </w:rPr>
        <w:t>A right to call a special shareholder meetng can trigger beter performance by our directors even if this right is not used because directors will know that this right can be used if their performance falters.</w:t>
      </w:r>
    </w:p>
    <w:p>
      <w:pPr>
        <w:spacing w:after="0" w:line="149" w:lineRule="exact"/>
        <w:rPr>
          <w:sz w:val="20"/>
          <w:szCs w:val="20"/>
          <w:color w:val="auto"/>
        </w:rPr>
      </w:pPr>
    </w:p>
    <w:p>
      <w:pPr>
        <w:jc w:val="both"/>
        <w:ind w:firstLine="319"/>
        <w:spacing w:after="0" w:line="223" w:lineRule="auto"/>
        <w:rPr>
          <w:sz w:val="20"/>
          <w:szCs w:val="20"/>
          <w:color w:val="auto"/>
        </w:rPr>
      </w:pPr>
      <w:r>
        <w:rPr>
          <w:rFonts w:ascii="Calibri" w:cs="Calibri" w:eastAsia="Calibri" w:hAnsi="Calibri"/>
          <w:sz w:val="18"/>
          <w:szCs w:val="18"/>
          <w:i w:val="1"/>
          <w:iCs w:val="1"/>
          <w:color w:val="666666"/>
        </w:rPr>
        <w:t>Our management is best served by providing the means for 10% of shareholders, who may have special expertse, to bring emerging opportunites or solutons to problems to the atenton of management and all shareholders.</w:t>
      </w:r>
    </w:p>
    <w:p>
      <w:pPr>
        <w:spacing w:after="0" w:line="220" w:lineRule="exact"/>
        <w:rPr>
          <w:sz w:val="20"/>
          <w:szCs w:val="20"/>
          <w:color w:val="auto"/>
        </w:rPr>
      </w:pPr>
    </w:p>
    <w:p>
      <w:pPr>
        <w:jc w:val="center"/>
        <w:spacing w:after="0"/>
        <w:rPr>
          <w:sz w:val="20"/>
          <w:szCs w:val="20"/>
          <w:color w:val="auto"/>
        </w:rPr>
      </w:pPr>
      <w:r>
        <w:rPr>
          <w:rFonts w:ascii="Calibri" w:cs="Calibri" w:eastAsia="Calibri" w:hAnsi="Calibri"/>
          <w:sz w:val="18"/>
          <w:szCs w:val="18"/>
          <w:i w:val="1"/>
          <w:iCs w:val="1"/>
          <w:color w:val="666666"/>
        </w:rPr>
        <w:t>Please vote yes:</w:t>
      </w:r>
    </w:p>
    <w:p>
      <w:pPr>
        <w:jc w:val="center"/>
        <w:spacing w:after="0" w:line="203" w:lineRule="auto"/>
        <w:rPr>
          <w:sz w:val="20"/>
          <w:szCs w:val="20"/>
          <w:color w:val="auto"/>
        </w:rPr>
      </w:pPr>
      <w:r>
        <w:rPr>
          <w:rFonts w:ascii="Calibri" w:cs="Calibri" w:eastAsia="Calibri" w:hAnsi="Calibri"/>
          <w:sz w:val="18"/>
          <w:szCs w:val="18"/>
          <w:b w:val="1"/>
          <w:bCs w:val="1"/>
          <w:i w:val="1"/>
          <w:iCs w:val="1"/>
          <w:color w:val="666666"/>
        </w:rPr>
        <w:t>Shareholder Right to Call for a Special Shareholder Meetng – Proposal 5</w:t>
      </w:r>
    </w:p>
    <w:p>
      <w:pPr>
        <w:spacing w:after="0" w:line="389"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Board of Directors’ Statement in Oppositon</w:t>
      </w:r>
    </w:p>
    <w:p>
      <w:pPr>
        <w:spacing w:after="0" w:line="153" w:lineRule="exact"/>
        <w:rPr>
          <w:sz w:val="20"/>
          <w:szCs w:val="20"/>
          <w:color w:val="auto"/>
        </w:rPr>
      </w:pPr>
    </w:p>
    <w:p>
      <w:pPr>
        <w:jc w:val="both"/>
        <w:ind w:firstLine="319"/>
        <w:spacing w:after="0" w:line="221" w:lineRule="auto"/>
        <w:rPr>
          <w:sz w:val="20"/>
          <w:szCs w:val="20"/>
          <w:color w:val="auto"/>
        </w:rPr>
      </w:pPr>
      <w:r>
        <w:rPr>
          <w:rFonts w:ascii="Calibri" w:cs="Calibri" w:eastAsia="Calibri" w:hAnsi="Calibri"/>
          <w:sz w:val="18"/>
          <w:szCs w:val="18"/>
          <w:color w:val="666666"/>
        </w:rPr>
        <w:t xml:space="preserve">The Board of Directors has carefully considered the Stockholder Proposal and believes that it is not in the best interests of the Company’s stockholders for the reasons outlined below. Accordingly, the Board recommends a vote </w:t>
      </w:r>
      <w:r>
        <w:rPr>
          <w:rFonts w:ascii="Calibri" w:cs="Calibri" w:eastAsia="Calibri" w:hAnsi="Calibri"/>
          <w:sz w:val="18"/>
          <w:szCs w:val="18"/>
          <w:b w:val="1"/>
          <w:bCs w:val="1"/>
          <w:color w:val="666666"/>
        </w:rPr>
        <w:t>“AGAINST”</w:t>
      </w:r>
      <w:r>
        <w:rPr>
          <w:rFonts w:ascii="Calibri" w:cs="Calibri" w:eastAsia="Calibri" w:hAnsi="Calibri"/>
          <w:sz w:val="18"/>
          <w:szCs w:val="18"/>
          <w:color w:val="666666"/>
        </w:rPr>
        <w:t xml:space="preserve"> the Stockholder Proposal and a vote “</w:t>
      </w:r>
      <w:r>
        <w:rPr>
          <w:rFonts w:ascii="Calibri" w:cs="Calibri" w:eastAsia="Calibri" w:hAnsi="Calibri"/>
          <w:sz w:val="18"/>
          <w:szCs w:val="18"/>
          <w:b w:val="1"/>
          <w:bCs w:val="1"/>
          <w:color w:val="666666"/>
        </w:rPr>
        <w:t>FOR</w:t>
      </w:r>
      <w:r>
        <w:rPr>
          <w:rFonts w:ascii="Calibri" w:cs="Calibri" w:eastAsia="Calibri" w:hAnsi="Calibri"/>
          <w:sz w:val="18"/>
          <w:szCs w:val="18"/>
          <w:color w:val="666666"/>
        </w:rPr>
        <w:t>” the Company’s special meetng right proposal outlined in Proposal 4.</w:t>
      </w:r>
    </w:p>
    <w:p>
      <w:pPr>
        <w:spacing w:after="0" w:line="146" w:lineRule="exact"/>
        <w:rPr>
          <w:sz w:val="20"/>
          <w:szCs w:val="20"/>
          <w:color w:val="auto"/>
        </w:rPr>
      </w:pPr>
    </w:p>
    <w:p>
      <w:pPr>
        <w:jc w:val="both"/>
        <w:ind w:firstLine="319"/>
        <w:spacing w:after="0" w:line="229" w:lineRule="auto"/>
        <w:rPr>
          <w:sz w:val="20"/>
          <w:szCs w:val="20"/>
          <w:color w:val="auto"/>
        </w:rPr>
      </w:pPr>
      <w:r>
        <w:rPr>
          <w:rFonts w:ascii="Calibri" w:cs="Calibri" w:eastAsia="Calibri" w:hAnsi="Calibri"/>
          <w:sz w:val="19"/>
          <w:szCs w:val="19"/>
          <w:i w:val="1"/>
          <w:iCs w:val="1"/>
          <w:color w:val="547BCC"/>
        </w:rPr>
        <w:t>The proposed Amendments in Proposal 4, as compared to the Stockholder Proposal in this Proposal 5, are more consistent with market practce.</w:t>
      </w:r>
    </w:p>
    <w:p>
      <w:pPr>
        <w:spacing w:after="0" w:line="159" w:lineRule="exact"/>
        <w:rPr>
          <w:sz w:val="20"/>
          <w:szCs w:val="20"/>
          <w:color w:val="auto"/>
        </w:rPr>
      </w:pPr>
    </w:p>
    <w:p>
      <w:pPr>
        <w:jc w:val="both"/>
        <w:ind w:firstLine="319"/>
        <w:spacing w:after="0" w:line="232" w:lineRule="auto"/>
        <w:rPr>
          <w:sz w:val="20"/>
          <w:szCs w:val="20"/>
          <w:color w:val="auto"/>
        </w:rPr>
      </w:pPr>
      <w:r>
        <w:rPr>
          <w:rFonts w:ascii="Calibri" w:cs="Calibri" w:eastAsia="Calibri" w:hAnsi="Calibri"/>
          <w:sz w:val="17"/>
          <w:szCs w:val="17"/>
          <w:color w:val="666666"/>
        </w:rPr>
        <w:t>The Board of Directors recommends that the Company’s stockholders approve the Amendments described in Proposal 4, which would permit stockholders who hold not less than 25% of the outstanding shares of common stock of the Company to call a special meetng of stockholders. A 25% ownership threshold is consistent with market practce. As of May 6, 2022, approximately 50% of the companies included in the S&amp;P 500 and approximately 54% of the companies included in the Russell 1000 that aford stockholders the right to request a special meetng have set the ownership threshold for such a right at 25% or greater. The Stockholder Proposal, however, asks the Board to take steps to allow stockholders who hold at least 10% of our outstanding common stock to call a special meetng, which only approximately 24% of S&amp;P 500 and approximately 26% of Russell 1000 companies that aford stockholders the right to request a special meetng have adopted. In additon, unlike a number of other companies, including some in our industry, under the proposed Amendments in Proposal 4, stockholders would not be subject to a one-year holding period requirement with respect to ownership of their common stock in order to exercise this right.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61</w:t>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right="20" w:firstLine="319"/>
        <w:spacing w:after="0" w:line="235" w:lineRule="auto"/>
        <w:rPr>
          <w:sz w:val="20"/>
          <w:szCs w:val="20"/>
          <w:color w:val="auto"/>
        </w:rPr>
      </w:pPr>
      <w:r>
        <w:rPr>
          <w:rFonts w:ascii="Calibri" w:cs="Calibri" w:eastAsia="Calibri" w:hAnsi="Calibri"/>
          <w:sz w:val="19"/>
          <w:szCs w:val="19"/>
          <w:i w:val="1"/>
          <w:iCs w:val="1"/>
          <w:color w:val="547BCC"/>
        </w:rPr>
        <w:t>The Company’s special meetng right proposal outlined in Proposal 4, as compared to the Stockholder Proposal in this Proposal 5, beter protects the long-term interests of the Company and its stockholders and provides a procedural safeguard against abuse, corporate waste, and investors with short-term goals.</w:t>
      </w:r>
    </w:p>
    <w:p>
      <w:pPr>
        <w:spacing w:after="0" w:line="159" w:lineRule="exact"/>
        <w:rPr>
          <w:sz w:val="20"/>
          <w:szCs w:val="20"/>
          <w:color w:val="auto"/>
        </w:rPr>
      </w:pPr>
    </w:p>
    <w:p>
      <w:pPr>
        <w:jc w:val="both"/>
        <w:ind w:firstLine="319"/>
        <w:spacing w:after="0" w:line="230" w:lineRule="auto"/>
        <w:rPr>
          <w:sz w:val="20"/>
          <w:szCs w:val="20"/>
          <w:color w:val="auto"/>
        </w:rPr>
      </w:pPr>
      <w:r>
        <w:rPr>
          <w:rFonts w:ascii="Calibri" w:cs="Calibri" w:eastAsia="Calibri" w:hAnsi="Calibri"/>
          <w:sz w:val="17"/>
          <w:szCs w:val="17"/>
          <w:color w:val="666666"/>
        </w:rPr>
        <w:t>The Board of Directors recognizes that providing stockholders the ability to request special meetngs is viewed by some stockholders as an important corporate governance practce. However, special meetngs of stockholders can be potentally disruptve to business operatons and to long-term stockholder interests and can cause the Company to incur substantal expenses. Our Board members, management and employees must devote a signifcant amount of tme and atenton to preparing for a special meetng, which detracts from their primary focus of operatng our business in the best interests of stockholders. In additon, with each special meetng, we must incur signifcant expenses in order to prepare the required disclosures, print and distribute materials, solicit proxies and tabulate votes. Accordingly, the Board believes that special meetngs of the stockholders should be extraordinary events.</w:t>
      </w:r>
    </w:p>
    <w:p>
      <w:pPr>
        <w:spacing w:after="0" w:line="148" w:lineRule="exact"/>
        <w:rPr>
          <w:sz w:val="20"/>
          <w:szCs w:val="20"/>
          <w:color w:val="auto"/>
        </w:rPr>
      </w:pPr>
    </w:p>
    <w:p>
      <w:pPr>
        <w:jc w:val="both"/>
        <w:ind w:firstLine="319"/>
        <w:spacing w:after="0" w:line="219" w:lineRule="auto"/>
        <w:rPr>
          <w:sz w:val="20"/>
          <w:szCs w:val="20"/>
          <w:color w:val="auto"/>
        </w:rPr>
      </w:pPr>
      <w:r>
        <w:rPr>
          <w:rFonts w:ascii="Calibri" w:cs="Calibri" w:eastAsia="Calibri" w:hAnsi="Calibri"/>
          <w:sz w:val="18"/>
          <w:szCs w:val="18"/>
          <w:color w:val="666666"/>
        </w:rPr>
        <w:t>The Board of Directors believes that allowing stockholders who hold not less than 25% of the outstanding shares of common stock of the Company to call a special meetng of stockholders achieves a reasonable balance between enhancing stockholder rights and adequately protectng the long-term interests of the Company and its stockholders. A lower 10% ownership threshold will risk giving a stockholder or small group of stockholders a disproportonate amount of infuence over the Company’s afairs. The proposed Amendments as set forth in Proposal 4 strike the appropriate balance between ensuring that stockholders have the ability to call a special meetng to act on extraordinary and urgent maters and adequately protectng against a misuse of this right by one stockholder or a small number of stockholders whose interests may not be aligned with the remaining 90% of our stockholders. Failure to aggregate sufcient stock ownership to reach the 25% ownership threshold is a strong indicator that sufcient interest among the majority of stockholders does not exist to call a special meetng.</w:t>
      </w:r>
    </w:p>
    <w:p>
      <w:pPr>
        <w:spacing w:after="0" w:line="136" w:lineRule="exact"/>
        <w:rPr>
          <w:sz w:val="20"/>
          <w:szCs w:val="20"/>
          <w:color w:val="auto"/>
        </w:rPr>
      </w:pPr>
    </w:p>
    <w:p>
      <w:pPr>
        <w:jc w:val="both"/>
        <w:ind w:firstLine="319"/>
        <w:spacing w:after="0" w:line="220" w:lineRule="auto"/>
        <w:rPr>
          <w:sz w:val="20"/>
          <w:szCs w:val="20"/>
          <w:color w:val="auto"/>
        </w:rPr>
      </w:pPr>
      <w:r>
        <w:rPr>
          <w:rFonts w:ascii="Calibri" w:cs="Calibri" w:eastAsia="Calibri" w:hAnsi="Calibri"/>
          <w:sz w:val="18"/>
          <w:szCs w:val="18"/>
          <w:color w:val="666666"/>
        </w:rPr>
        <w:t>The proposed Amendments also serve as a protectve mechanism against investors with short-term goals. Event-driven hedge funds or other actvists may pursue a special meetng with the goal of proposing maters that facilitate their own short-term exit strategies over the long-term interests of the rest of our stockholders. A 25% special meetng threshold ensures that a special meetng may only be called by a stockholder or group of stockholders with a substantal stake in our Company. The proposed Amendments appropriately safeguard stockholder interests and prevent corporate waste, while at the same tme ensuring that stockholders have the ability to call special meetngs when appropriate.</w:t>
      </w:r>
    </w:p>
    <w:p>
      <w:pPr>
        <w:spacing w:after="0" w:line="144" w:lineRule="exact"/>
        <w:rPr>
          <w:sz w:val="20"/>
          <w:szCs w:val="20"/>
          <w:color w:val="auto"/>
        </w:rPr>
      </w:pPr>
    </w:p>
    <w:p>
      <w:pPr>
        <w:jc w:val="both"/>
        <w:ind w:right="20" w:firstLine="319"/>
        <w:spacing w:after="0" w:line="236" w:lineRule="auto"/>
        <w:rPr>
          <w:sz w:val="20"/>
          <w:szCs w:val="20"/>
          <w:color w:val="auto"/>
        </w:rPr>
      </w:pPr>
      <w:r>
        <w:rPr>
          <w:rFonts w:ascii="Calibri" w:cs="Calibri" w:eastAsia="Calibri" w:hAnsi="Calibri"/>
          <w:sz w:val="19"/>
          <w:szCs w:val="19"/>
          <w:i w:val="1"/>
          <w:iCs w:val="1"/>
          <w:color w:val="547BCC"/>
        </w:rPr>
        <w:t>We are commited to strong and efectve corporate governance policies and practces and provide sufcient avenues for stockholders to meaningfully engage in Company afairs.</w:t>
      </w:r>
    </w:p>
    <w:p>
      <w:pPr>
        <w:spacing w:after="0" w:line="159" w:lineRule="exact"/>
        <w:rPr>
          <w:sz w:val="20"/>
          <w:szCs w:val="20"/>
          <w:color w:val="auto"/>
        </w:rPr>
      </w:pPr>
    </w:p>
    <w:p>
      <w:pPr>
        <w:jc w:val="both"/>
        <w:ind w:firstLine="319"/>
        <w:spacing w:after="0" w:line="237" w:lineRule="auto"/>
        <w:rPr>
          <w:sz w:val="20"/>
          <w:szCs w:val="20"/>
          <w:color w:val="auto"/>
        </w:rPr>
      </w:pPr>
      <w:r>
        <w:rPr>
          <w:rFonts w:ascii="Calibri" w:cs="Calibri" w:eastAsia="Calibri" w:hAnsi="Calibri"/>
          <w:sz w:val="17"/>
          <w:szCs w:val="17"/>
          <w:color w:val="666666"/>
        </w:rPr>
        <w:t>Our existng governance policies and practces provide stockholders with numerous avenues to address and discuss our business and governance policies with the Board of Directors and ensure that our Board acts independently and maintains accountability to our stockholders. This includes the following:</w:t>
      </w:r>
    </w:p>
    <w:p>
      <w:pPr>
        <w:spacing w:after="0" w:line="188" w:lineRule="exact"/>
        <w:rPr>
          <w:sz w:val="20"/>
          <w:szCs w:val="20"/>
          <w:color w:val="auto"/>
        </w:rPr>
      </w:pPr>
    </w:p>
    <w:p>
      <w:pPr>
        <w:ind w:left="640" w:hanging="315"/>
        <w:spacing w:after="0" w:line="213" w:lineRule="auto"/>
        <w:tabs>
          <w:tab w:leader="none" w:pos="640" w:val="left"/>
        </w:tabs>
        <w:numPr>
          <w:ilvl w:val="0"/>
          <w:numId w:val="60"/>
        </w:numPr>
        <w:rPr>
          <w:rFonts w:ascii="Calibri" w:cs="Calibri" w:eastAsia="Calibri" w:hAnsi="Calibri"/>
          <w:sz w:val="21"/>
          <w:szCs w:val="21"/>
          <w:color w:val="666666"/>
        </w:rPr>
      </w:pPr>
      <w:r>
        <w:rPr>
          <w:rFonts w:ascii="Calibri" w:cs="Calibri" w:eastAsia="Calibri" w:hAnsi="Calibri"/>
          <w:sz w:val="18"/>
          <w:szCs w:val="18"/>
          <w:color w:val="666666"/>
        </w:rPr>
        <w:t>ten of our 11 directors are independent, and the Audit, Compensaton, Culture and People, and Nominatng and Corporate Governance Commitees are 100% independent;</w:t>
      </w:r>
    </w:p>
    <w:p>
      <w:pPr>
        <w:spacing w:after="0" w:line="148" w:lineRule="exact"/>
        <w:rPr>
          <w:rFonts w:ascii="Calibri" w:cs="Calibri" w:eastAsia="Calibri" w:hAnsi="Calibri"/>
          <w:sz w:val="21"/>
          <w:szCs w:val="21"/>
          <w:color w:val="666666"/>
        </w:rPr>
      </w:pPr>
    </w:p>
    <w:p>
      <w:pPr>
        <w:jc w:val="both"/>
        <w:ind w:left="640" w:hanging="315"/>
        <w:spacing w:after="0" w:line="231" w:lineRule="auto"/>
        <w:tabs>
          <w:tab w:leader="none" w:pos="633" w:val="left"/>
        </w:tabs>
        <w:numPr>
          <w:ilvl w:val="0"/>
          <w:numId w:val="60"/>
        </w:numPr>
        <w:rPr>
          <w:rFonts w:ascii="Calibri" w:cs="Calibri" w:eastAsia="Calibri" w:hAnsi="Calibri"/>
          <w:sz w:val="18"/>
          <w:szCs w:val="18"/>
          <w:color w:val="666666"/>
        </w:rPr>
      </w:pPr>
      <w:r>
        <w:rPr>
          <w:rFonts w:ascii="Calibri" w:cs="Calibri" w:eastAsia="Calibri" w:hAnsi="Calibri"/>
          <w:sz w:val="18"/>
          <w:szCs w:val="18"/>
          <w:color w:val="666666"/>
        </w:rPr>
        <w:t>we provide for a majority votng standard in our bylaws for the electon of directors in uncontested electons, with the requirement that any incumbent director nominee who does not receive a majority of the votes validly cast in an uncontested electon tender his or her resignaton, subject to acceptance by the Board;</w:t>
      </w:r>
    </w:p>
    <w:p>
      <w:pPr>
        <w:spacing w:after="0" w:line="153" w:lineRule="exact"/>
        <w:rPr>
          <w:rFonts w:ascii="Calibri" w:cs="Calibri" w:eastAsia="Calibri" w:hAnsi="Calibri"/>
          <w:sz w:val="18"/>
          <w:szCs w:val="18"/>
          <w:color w:val="666666"/>
        </w:rPr>
      </w:pPr>
    </w:p>
    <w:p>
      <w:pPr>
        <w:ind w:left="640" w:hanging="315"/>
        <w:spacing w:after="0"/>
        <w:tabs>
          <w:tab w:leader="none" w:pos="640" w:val="left"/>
        </w:tabs>
        <w:numPr>
          <w:ilvl w:val="0"/>
          <w:numId w:val="60"/>
        </w:numPr>
        <w:rPr>
          <w:rFonts w:ascii="Calibri" w:cs="Calibri" w:eastAsia="Calibri" w:hAnsi="Calibri"/>
          <w:sz w:val="18"/>
          <w:szCs w:val="18"/>
          <w:color w:val="666666"/>
        </w:rPr>
      </w:pPr>
      <w:r>
        <w:rPr>
          <w:rFonts w:ascii="Calibri" w:cs="Calibri" w:eastAsia="Calibri" w:hAnsi="Calibri"/>
          <w:sz w:val="18"/>
          <w:szCs w:val="18"/>
          <w:color w:val="666666"/>
        </w:rPr>
        <w:t>our certfcate of incorporaton and bylaws do not contain provisions requiring more than a majority stockholder vote on any issue;</w:t>
      </w:r>
    </w:p>
    <w:p>
      <w:pPr>
        <w:spacing w:after="0" w:line="161" w:lineRule="exact"/>
        <w:rPr>
          <w:rFonts w:ascii="Calibri" w:cs="Calibri" w:eastAsia="Calibri" w:hAnsi="Calibri"/>
          <w:sz w:val="18"/>
          <w:szCs w:val="18"/>
          <w:color w:val="666666"/>
        </w:rPr>
      </w:pPr>
    </w:p>
    <w:p>
      <w:pPr>
        <w:ind w:left="640" w:hanging="315"/>
        <w:spacing w:after="0"/>
        <w:tabs>
          <w:tab w:leader="none" w:pos="640" w:val="left"/>
        </w:tabs>
        <w:numPr>
          <w:ilvl w:val="0"/>
          <w:numId w:val="60"/>
        </w:numPr>
        <w:rPr>
          <w:rFonts w:ascii="Calibri" w:cs="Calibri" w:eastAsia="Calibri" w:hAnsi="Calibri"/>
          <w:sz w:val="17"/>
          <w:szCs w:val="17"/>
          <w:color w:val="666666"/>
        </w:rPr>
      </w:pPr>
      <w:r>
        <w:rPr>
          <w:rFonts w:ascii="Calibri" w:cs="Calibri" w:eastAsia="Calibri" w:hAnsi="Calibri"/>
          <w:sz w:val="17"/>
          <w:szCs w:val="17"/>
          <w:color w:val="666666"/>
        </w:rPr>
        <w:t>we have a diverse Board in terms of gender, ethnicity, experience, tenure, and skills, and 73% of our Board of Directors is gender and/or racially diverse;</w:t>
      </w:r>
    </w:p>
    <w:p>
      <w:pPr>
        <w:spacing w:after="0" w:line="155" w:lineRule="exact"/>
        <w:rPr>
          <w:rFonts w:ascii="Calibri" w:cs="Calibri" w:eastAsia="Calibri" w:hAnsi="Calibri"/>
          <w:sz w:val="17"/>
          <w:szCs w:val="17"/>
          <w:color w:val="666666"/>
        </w:rPr>
      </w:pPr>
    </w:p>
    <w:p>
      <w:pPr>
        <w:ind w:left="640" w:hanging="315"/>
        <w:spacing w:after="0"/>
        <w:tabs>
          <w:tab w:leader="none" w:pos="640" w:val="left"/>
        </w:tabs>
        <w:numPr>
          <w:ilvl w:val="0"/>
          <w:numId w:val="60"/>
        </w:numPr>
        <w:rPr>
          <w:rFonts w:ascii="Calibri" w:cs="Calibri" w:eastAsia="Calibri" w:hAnsi="Calibri"/>
          <w:sz w:val="18"/>
          <w:szCs w:val="18"/>
          <w:color w:val="666666"/>
        </w:rPr>
      </w:pPr>
      <w:r>
        <w:rPr>
          <w:rFonts w:ascii="Calibri" w:cs="Calibri" w:eastAsia="Calibri" w:hAnsi="Calibri"/>
          <w:sz w:val="18"/>
          <w:szCs w:val="18"/>
          <w:color w:val="666666"/>
        </w:rPr>
        <w:t>efectve as of the 2023 annual meetng of stockholders, our Board will be fully declassifed and each of our directors will be elected annually;</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60"/>
        </w:numPr>
        <w:rPr>
          <w:rFonts w:ascii="Calibri" w:cs="Calibri" w:eastAsia="Calibri" w:hAnsi="Calibri"/>
          <w:sz w:val="18"/>
          <w:szCs w:val="18"/>
          <w:color w:val="666666"/>
        </w:rPr>
      </w:pPr>
      <w:r>
        <w:rPr>
          <w:rFonts w:ascii="Calibri" w:cs="Calibri" w:eastAsia="Calibri" w:hAnsi="Calibri"/>
          <w:sz w:val="18"/>
          <w:szCs w:val="18"/>
          <w:color w:val="666666"/>
        </w:rPr>
        <w:t>our Board and senior leadership exercise oversight in respect of ESG maters;</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60"/>
        </w:numPr>
        <w:rPr>
          <w:rFonts w:ascii="Calibri" w:cs="Calibri" w:eastAsia="Calibri" w:hAnsi="Calibri"/>
          <w:sz w:val="18"/>
          <w:szCs w:val="18"/>
          <w:color w:val="666666"/>
        </w:rPr>
      </w:pPr>
      <w:r>
        <w:rPr>
          <w:rFonts w:ascii="Calibri" w:cs="Calibri" w:eastAsia="Calibri" w:hAnsi="Calibri"/>
          <w:sz w:val="18"/>
          <w:szCs w:val="18"/>
          <w:color w:val="666666"/>
        </w:rPr>
        <w:t>the Board holds regular executve sessions of non-management directors;</w:t>
      </w:r>
    </w:p>
    <w:p>
      <w:pPr>
        <w:spacing w:after="0" w:line="161" w:lineRule="exact"/>
        <w:rPr>
          <w:rFonts w:ascii="Calibri" w:cs="Calibri" w:eastAsia="Calibri" w:hAnsi="Calibri"/>
          <w:sz w:val="18"/>
          <w:szCs w:val="18"/>
          <w:color w:val="666666"/>
        </w:rPr>
      </w:pPr>
    </w:p>
    <w:p>
      <w:pPr>
        <w:ind w:left="640" w:hanging="315"/>
        <w:spacing w:after="0" w:line="231" w:lineRule="auto"/>
        <w:tabs>
          <w:tab w:leader="none" w:pos="633" w:val="left"/>
        </w:tabs>
        <w:numPr>
          <w:ilvl w:val="0"/>
          <w:numId w:val="60"/>
        </w:numPr>
        <w:rPr>
          <w:rFonts w:ascii="Calibri" w:cs="Calibri" w:eastAsia="Calibri" w:hAnsi="Calibri"/>
          <w:sz w:val="18"/>
          <w:szCs w:val="18"/>
          <w:color w:val="666666"/>
        </w:rPr>
      </w:pPr>
      <w:r>
        <w:rPr>
          <w:rFonts w:ascii="Calibri" w:cs="Calibri" w:eastAsia="Calibri" w:hAnsi="Calibri"/>
          <w:sz w:val="18"/>
          <w:szCs w:val="18"/>
          <w:color w:val="666666"/>
        </w:rPr>
        <w:t>the Board conducts an annual discussion on management succession planning, with support provided by the Compensaton, Culture and People Commitee;</w:t>
      </w:r>
    </w:p>
    <w:p>
      <w:pPr>
        <w:spacing w:after="0" w:line="161" w:lineRule="exact"/>
        <w:rPr>
          <w:rFonts w:ascii="Calibri" w:cs="Calibri" w:eastAsia="Calibri" w:hAnsi="Calibri"/>
          <w:sz w:val="18"/>
          <w:szCs w:val="18"/>
          <w:color w:val="666666"/>
        </w:rPr>
      </w:pPr>
    </w:p>
    <w:p>
      <w:pPr>
        <w:ind w:left="640" w:hanging="315"/>
        <w:spacing w:after="0"/>
        <w:tabs>
          <w:tab w:leader="none" w:pos="640" w:val="left"/>
        </w:tabs>
        <w:numPr>
          <w:ilvl w:val="0"/>
          <w:numId w:val="60"/>
        </w:numPr>
        <w:rPr>
          <w:rFonts w:ascii="Calibri" w:cs="Calibri" w:eastAsia="Calibri" w:hAnsi="Calibri"/>
          <w:sz w:val="17"/>
          <w:szCs w:val="17"/>
          <w:color w:val="666666"/>
        </w:rPr>
      </w:pPr>
      <w:r>
        <w:rPr>
          <w:rFonts w:ascii="Calibri" w:cs="Calibri" w:eastAsia="Calibri" w:hAnsi="Calibri"/>
          <w:sz w:val="17"/>
          <w:szCs w:val="17"/>
          <w:color w:val="666666"/>
        </w:rPr>
        <w:t>our equity awards include a provision for the recoupment of equity-based compensaton in the event of misconduct leading to a fnancial restatement;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62</w:t>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40" w:hanging="315"/>
        <w:spacing w:after="0"/>
        <w:tabs>
          <w:tab w:leader="none" w:pos="640" w:val="left"/>
        </w:tabs>
        <w:numPr>
          <w:ilvl w:val="0"/>
          <w:numId w:val="61"/>
        </w:numPr>
        <w:rPr>
          <w:rFonts w:ascii="Calibri" w:cs="Calibri" w:eastAsia="Calibri" w:hAnsi="Calibri"/>
          <w:sz w:val="18"/>
          <w:szCs w:val="18"/>
          <w:color w:val="666666"/>
        </w:rPr>
      </w:pPr>
      <w:r>
        <w:rPr>
          <w:rFonts w:ascii="Calibri" w:cs="Calibri" w:eastAsia="Calibri" w:hAnsi="Calibri"/>
          <w:sz w:val="18"/>
          <w:szCs w:val="18"/>
          <w:color w:val="666666"/>
        </w:rPr>
        <w:t>our Investor Relatons team and management regularly engage with current and potental stockholders;</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61"/>
        </w:numPr>
        <w:rPr>
          <w:rFonts w:ascii="Calibri" w:cs="Calibri" w:eastAsia="Calibri" w:hAnsi="Calibri"/>
          <w:sz w:val="18"/>
          <w:szCs w:val="18"/>
          <w:color w:val="666666"/>
        </w:rPr>
      </w:pPr>
      <w:r>
        <w:rPr>
          <w:rFonts w:ascii="Calibri" w:cs="Calibri" w:eastAsia="Calibri" w:hAnsi="Calibri"/>
          <w:sz w:val="18"/>
          <w:szCs w:val="18"/>
          <w:color w:val="666666"/>
        </w:rPr>
        <w:t>we do not have a poison pill in place;</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61"/>
        </w:numPr>
        <w:rPr>
          <w:rFonts w:ascii="Calibri" w:cs="Calibri" w:eastAsia="Calibri" w:hAnsi="Calibri"/>
          <w:sz w:val="18"/>
          <w:szCs w:val="18"/>
          <w:color w:val="666666"/>
        </w:rPr>
      </w:pPr>
      <w:r>
        <w:rPr>
          <w:rFonts w:ascii="Calibri" w:cs="Calibri" w:eastAsia="Calibri" w:hAnsi="Calibri"/>
          <w:sz w:val="18"/>
          <w:szCs w:val="18"/>
          <w:color w:val="666666"/>
        </w:rPr>
        <w:t>we adhere to robust executve ofcer and director stock ownership guidelines;</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61"/>
        </w:numPr>
        <w:rPr>
          <w:rFonts w:ascii="Calibri" w:cs="Calibri" w:eastAsia="Calibri" w:hAnsi="Calibri"/>
          <w:sz w:val="18"/>
          <w:szCs w:val="18"/>
          <w:color w:val="666666"/>
        </w:rPr>
      </w:pPr>
      <w:r>
        <w:rPr>
          <w:rFonts w:ascii="Calibri" w:cs="Calibri" w:eastAsia="Calibri" w:hAnsi="Calibri"/>
          <w:sz w:val="18"/>
          <w:szCs w:val="18"/>
          <w:color w:val="666666"/>
        </w:rPr>
        <w:t>we conduct annual Board and commitee evaluatons and self-assessments; and</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61"/>
        </w:numPr>
        <w:rPr>
          <w:rFonts w:ascii="Calibri" w:cs="Calibri" w:eastAsia="Calibri" w:hAnsi="Calibri"/>
          <w:sz w:val="18"/>
          <w:szCs w:val="18"/>
          <w:color w:val="666666"/>
        </w:rPr>
      </w:pPr>
      <w:r>
        <w:rPr>
          <w:rFonts w:ascii="Calibri" w:cs="Calibri" w:eastAsia="Calibri" w:hAnsi="Calibri"/>
          <w:sz w:val="18"/>
          <w:szCs w:val="18"/>
          <w:color w:val="666666"/>
        </w:rPr>
        <w:t>we adhere to a sound policy on public company board service to ensure a director's ability to devote necessary tme to serve on our Board.</w:t>
      </w:r>
    </w:p>
    <w:p>
      <w:pPr>
        <w:spacing w:after="0" w:line="148" w:lineRule="exact"/>
        <w:rPr>
          <w:sz w:val="20"/>
          <w:szCs w:val="20"/>
          <w:color w:val="auto"/>
        </w:rPr>
      </w:pPr>
    </w:p>
    <w:p>
      <w:pPr>
        <w:jc w:val="both"/>
        <w:ind w:firstLine="319"/>
        <w:spacing w:after="0" w:line="221" w:lineRule="auto"/>
        <w:rPr>
          <w:sz w:val="20"/>
          <w:szCs w:val="20"/>
          <w:color w:val="auto"/>
        </w:rPr>
      </w:pPr>
      <w:r>
        <w:rPr>
          <w:rFonts w:ascii="Calibri" w:cs="Calibri" w:eastAsia="Calibri" w:hAnsi="Calibri"/>
          <w:sz w:val="18"/>
          <w:szCs w:val="18"/>
          <w:color w:val="666666"/>
        </w:rPr>
        <w:t>In additon, we strive to maintain an open dialogue with our stockholders and believe investor input enables the Board of Directors to more efectvely evaluate our governance practces. Our Board and management have found this engagement constructve and informatve, and we plan to contnue these engagement eforts.</w:t>
      </w:r>
    </w:p>
    <w:p>
      <w:pPr>
        <w:spacing w:after="0" w:line="146" w:lineRule="exact"/>
        <w:rPr>
          <w:sz w:val="20"/>
          <w:szCs w:val="20"/>
          <w:color w:val="auto"/>
        </w:rPr>
      </w:pPr>
    </w:p>
    <w:p>
      <w:pPr>
        <w:ind w:left="320"/>
        <w:spacing w:after="0"/>
        <w:rPr>
          <w:sz w:val="20"/>
          <w:szCs w:val="20"/>
          <w:color w:val="auto"/>
        </w:rPr>
      </w:pPr>
      <w:r>
        <w:rPr>
          <w:rFonts w:ascii="Calibri" w:cs="Calibri" w:eastAsia="Calibri" w:hAnsi="Calibri"/>
          <w:sz w:val="19"/>
          <w:szCs w:val="19"/>
          <w:i w:val="1"/>
          <w:iCs w:val="1"/>
          <w:color w:val="547BCC"/>
        </w:rPr>
        <w:t>Conclusion</w:t>
      </w:r>
    </w:p>
    <w:p>
      <w:pPr>
        <w:spacing w:after="0" w:line="157" w:lineRule="exact"/>
        <w:rPr>
          <w:sz w:val="20"/>
          <w:szCs w:val="20"/>
          <w:color w:val="auto"/>
        </w:rPr>
      </w:pPr>
    </w:p>
    <w:p>
      <w:pPr>
        <w:jc w:val="both"/>
        <w:ind w:firstLine="319"/>
        <w:spacing w:after="0" w:line="217" w:lineRule="auto"/>
        <w:rPr>
          <w:sz w:val="20"/>
          <w:szCs w:val="20"/>
          <w:color w:val="auto"/>
        </w:rPr>
      </w:pPr>
      <w:r>
        <w:rPr>
          <w:rFonts w:ascii="Calibri" w:cs="Calibri" w:eastAsia="Calibri" w:hAnsi="Calibri"/>
          <w:sz w:val="18"/>
          <w:szCs w:val="18"/>
          <w:color w:val="666666"/>
        </w:rPr>
        <w:t>In light of our existng policies and practces and the Company’s special meetng right proposal outlined in Proposal 4, the Board of Directors believes that the approval of the Stockholder Proposal is not consistent with market practce and will not make a meaningful diference in our stockholders’ ability to engage with the Board or infuence our business or governance policies, but will risk giving a small group of stockholders a disproportonate amount of infuence over the Company’s afairs. Accordingly, the Board does not believe that it is in the best interests of the Company or its stockholders to approve the Stockholder Proposal.</w:t>
      </w:r>
    </w:p>
    <w:p>
      <w:pPr>
        <w:spacing w:after="0" w:line="151"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547BCC"/>
        </w:rPr>
        <w:t>Required Vote and Recommendaton</w:t>
      </w:r>
    </w:p>
    <w:p>
      <w:pPr>
        <w:spacing w:after="0" w:line="153" w:lineRule="exact"/>
        <w:rPr>
          <w:sz w:val="20"/>
          <w:szCs w:val="20"/>
          <w:color w:val="auto"/>
        </w:rPr>
      </w:pPr>
    </w:p>
    <w:p>
      <w:pPr>
        <w:jc w:val="both"/>
        <w:ind w:firstLine="319"/>
        <w:spacing w:after="0" w:line="223" w:lineRule="auto"/>
        <w:rPr>
          <w:sz w:val="20"/>
          <w:szCs w:val="20"/>
          <w:color w:val="auto"/>
        </w:rPr>
      </w:pPr>
      <w:r>
        <w:rPr>
          <w:rFonts w:ascii="Calibri" w:cs="Calibri" w:eastAsia="Calibri" w:hAnsi="Calibri"/>
          <w:sz w:val="18"/>
          <w:szCs w:val="18"/>
          <w:color w:val="666666"/>
        </w:rPr>
        <w:t>Approval of this proposal requires the afrmatve vote of a majority of the shares enttled to vote at the Annual Meetng represented either in person or by proxy at the Annual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327025</wp:posOffset>
            </wp:positionV>
            <wp:extent cx="5372100" cy="3708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72100" cy="37084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ind w:right="1480"/>
        <w:spacing w:after="0"/>
        <w:rPr>
          <w:sz w:val="20"/>
          <w:szCs w:val="20"/>
          <w:color w:val="auto"/>
        </w:rPr>
      </w:pPr>
      <w:r>
        <w:rPr>
          <w:rFonts w:ascii="Calibri" w:cs="Calibri" w:eastAsia="Calibri" w:hAnsi="Calibri"/>
          <w:sz w:val="21"/>
          <w:szCs w:val="21"/>
          <w:b w:val="1"/>
          <w:bCs w:val="1"/>
          <w:i w:val="1"/>
          <w:iCs w:val="1"/>
          <w:color w:val="547BCC"/>
        </w:rPr>
        <w:t>For these reasons, the Board of Directors recommends a vote AGAINST the Stockholder</w:t>
      </w:r>
    </w:p>
    <w:p>
      <w:pPr>
        <w:spacing w:after="0" w:line="9" w:lineRule="exact"/>
        <w:rPr>
          <w:sz w:val="20"/>
          <w:szCs w:val="20"/>
          <w:color w:val="auto"/>
        </w:rPr>
      </w:pPr>
    </w:p>
    <w:p>
      <w:pPr>
        <w:jc w:val="center"/>
        <w:ind w:right="1480"/>
        <w:spacing w:after="0"/>
        <w:rPr>
          <w:sz w:val="20"/>
          <w:szCs w:val="20"/>
          <w:color w:val="auto"/>
        </w:rPr>
      </w:pPr>
      <w:r>
        <w:rPr>
          <w:rFonts w:ascii="Calibri" w:cs="Calibri" w:eastAsia="Calibri" w:hAnsi="Calibri"/>
          <w:sz w:val="21"/>
          <w:szCs w:val="21"/>
          <w:b w:val="1"/>
          <w:bCs w:val="1"/>
          <w:i w:val="1"/>
          <w:iCs w:val="1"/>
          <w:color w:val="547BCC"/>
        </w:rPr>
        <w:t>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63</w:t>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Calibri" w:cs="Calibri" w:eastAsia="Calibri" w:hAnsi="Calibri"/>
          <w:sz w:val="28"/>
          <w:szCs w:val="28"/>
          <w:b w:val="1"/>
          <w:bCs w:val="1"/>
          <w:color w:val="547BCC"/>
        </w:rPr>
        <w:t>OTHER BUSINESS</w:t>
      </w:r>
    </w:p>
    <w:p>
      <w:pPr>
        <w:spacing w:after="0" w:line="175" w:lineRule="exact"/>
        <w:rPr>
          <w:sz w:val="20"/>
          <w:szCs w:val="20"/>
          <w:color w:val="auto"/>
        </w:rPr>
      </w:pPr>
    </w:p>
    <w:p>
      <w:pPr>
        <w:jc w:val="both"/>
        <w:ind w:firstLine="319"/>
        <w:spacing w:after="0" w:line="247" w:lineRule="auto"/>
        <w:rPr>
          <w:sz w:val="20"/>
          <w:szCs w:val="20"/>
          <w:color w:val="auto"/>
        </w:rPr>
      </w:pPr>
      <w:r>
        <w:rPr>
          <w:rFonts w:ascii="Calibri" w:cs="Calibri" w:eastAsia="Calibri" w:hAnsi="Calibri"/>
          <w:sz w:val="17"/>
          <w:szCs w:val="17"/>
          <w:color w:val="666666"/>
        </w:rPr>
        <w:t>The Board is not aware of any other maters to be presented at the Annual Meetng. If any other mater proper for acton at the meetng should be presented, the holders of the accompanying proxy will vote the shares represented by the proxy on such mater in accordance with their best judgment. If any mater not proper for acton at the meetng should be presented, the holders of the proxy will vote against consideraton of the mater or the proposed acton.</w:t>
      </w:r>
    </w:p>
    <w:p>
      <w:pPr>
        <w:spacing w:after="0" w:line="200" w:lineRule="exact"/>
        <w:rPr>
          <w:sz w:val="20"/>
          <w:szCs w:val="20"/>
          <w:color w:val="auto"/>
        </w:rPr>
      </w:pPr>
    </w:p>
    <w:p>
      <w:pPr>
        <w:spacing w:after="0" w:line="346" w:lineRule="exact"/>
        <w:rPr>
          <w:sz w:val="20"/>
          <w:szCs w:val="20"/>
          <w:color w:val="auto"/>
        </w:rPr>
      </w:pPr>
    </w:p>
    <w:p>
      <w:pPr>
        <w:ind w:left="5620"/>
        <w:spacing w:after="0"/>
        <w:rPr>
          <w:sz w:val="20"/>
          <w:szCs w:val="20"/>
          <w:color w:val="auto"/>
        </w:rPr>
      </w:pPr>
      <w:r>
        <w:rPr>
          <w:rFonts w:ascii="Calibri" w:cs="Calibri" w:eastAsia="Calibri" w:hAnsi="Calibri"/>
          <w:sz w:val="18"/>
          <w:szCs w:val="18"/>
          <w:color w:val="666666"/>
        </w:rPr>
        <w:t>By order of the Board of Directors,</w:t>
      </w:r>
    </w:p>
    <w:p>
      <w:pPr>
        <w:spacing w:after="0" w:line="152" w:lineRule="exact"/>
        <w:rPr>
          <w:sz w:val="20"/>
          <w:szCs w:val="20"/>
          <w:color w:val="auto"/>
        </w:rPr>
      </w:pPr>
    </w:p>
    <w:p>
      <w:pPr>
        <w:ind w:left="5620"/>
        <w:spacing w:after="0"/>
        <w:rPr>
          <w:sz w:val="20"/>
          <w:szCs w:val="20"/>
          <w:color w:val="auto"/>
        </w:rPr>
      </w:pPr>
      <w:r>
        <w:rPr>
          <w:rFonts w:ascii="Calibri" w:cs="Calibri" w:eastAsia="Calibri" w:hAnsi="Calibri"/>
          <w:sz w:val="18"/>
          <w:szCs w:val="18"/>
          <w:color w:val="666666"/>
        </w:rPr>
        <w:t>Jacob D. Bernstein</w:t>
      </w:r>
    </w:p>
    <w:p>
      <w:pPr>
        <w:ind w:left="5620"/>
        <w:spacing w:after="0" w:line="232" w:lineRule="auto"/>
        <w:rPr>
          <w:sz w:val="20"/>
          <w:szCs w:val="20"/>
          <w:color w:val="auto"/>
        </w:rPr>
      </w:pPr>
      <w:r>
        <w:rPr>
          <w:rFonts w:ascii="Calibri" w:cs="Calibri" w:eastAsia="Calibri" w:hAnsi="Calibri"/>
          <w:sz w:val="18"/>
          <w:szCs w:val="18"/>
          <w:color w:val="666666"/>
        </w:rPr>
        <w:t>Secretary</w:t>
      </w:r>
    </w:p>
    <w:p>
      <w:pPr>
        <w:spacing w:after="0" w:line="152" w:lineRule="exact"/>
        <w:rPr>
          <w:sz w:val="20"/>
          <w:szCs w:val="20"/>
          <w:color w:val="auto"/>
        </w:rPr>
      </w:pPr>
    </w:p>
    <w:p>
      <w:pPr>
        <w:spacing w:after="0"/>
        <w:rPr>
          <w:sz w:val="20"/>
          <w:szCs w:val="20"/>
          <w:color w:val="auto"/>
        </w:rPr>
      </w:pPr>
      <w:r>
        <w:rPr>
          <w:rFonts w:ascii="Calibri" w:cs="Calibri" w:eastAsia="Calibri" w:hAnsi="Calibri"/>
          <w:sz w:val="18"/>
          <w:szCs w:val="18"/>
          <w:color w:val="666666"/>
        </w:rPr>
        <w:t>McLean, Virginia</w:t>
      </w:r>
    </w:p>
    <w:p>
      <w:pPr>
        <w:spacing w:after="0" w:line="232" w:lineRule="auto"/>
        <w:rPr>
          <w:sz w:val="20"/>
          <w:szCs w:val="20"/>
          <w:color w:val="auto"/>
        </w:rPr>
      </w:pPr>
      <w:r>
        <w:rPr>
          <w:rFonts w:ascii="Calibri" w:cs="Calibri" w:eastAsia="Calibri" w:hAnsi="Calibri"/>
          <w:sz w:val="18"/>
          <w:szCs w:val="18"/>
          <w:color w:val="666666"/>
        </w:rPr>
        <w:t>June __,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64</w:t>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Calibri" w:cs="Calibri" w:eastAsia="Calibri" w:hAnsi="Calibri"/>
          <w:sz w:val="28"/>
          <w:szCs w:val="28"/>
          <w:b w:val="1"/>
          <w:bCs w:val="1"/>
          <w:color w:val="547BCC"/>
        </w:rPr>
        <w:t>IMPORTANT INFORMATION ABOUT ANNUAL MEETING AND PROXY PROCEDURES</w:t>
      </w:r>
    </w:p>
    <w:p>
      <w:pPr>
        <w:spacing w:after="0" w:line="175"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Board is solicitng proxies to be used at the Annual Meetng of Stockholders to be held virtually on July 27, 2022, beginning at 8:00 a.m. (EDT) at www.virtualshareholdermeetng.com/BAH2022.</w:t>
      </w:r>
    </w:p>
    <w:p>
      <w:pPr>
        <w:spacing w:after="0" w:line="15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47BCC"/>
        </w:rPr>
        <w:t>Why am I receiving these proxy materials?</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You have received these proxy materials because our Board is solicitng your proxy to vote your shares at the Annual Meetng. As a stockholder, you are invited to atend the Annual Meetng and are requested to vote on the items of business described in this proxy statement. This proxy statement includes informaton that we are required to provide to you under SEC rules, and describes issues on which we would like you to vote at our Annual Meetng. It also gives you informaton on these issues so that you can make an informed decision. The proxy materials include our proxy statement for the Annual Meetng, our annual report to stockholders, which includes our Annual Report on Form 10-K for the year ended March 31, 2022 and the proxy card, or a votng instructon card, for the Annual Meetng.</w:t>
      </w:r>
    </w:p>
    <w:p>
      <w:pPr>
        <w:spacing w:after="0" w:line="165"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Our Board has made this proxy statement and proxy card available to you on the Internet because you own shares of Class A common stock of the Company.</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If you submit a proxy by using the Internet, by calling, or by signing and returning the proxy card, you will appoint Horacio D. Rozanski, President and Chief Executve Ofcer, and Nancy J. Laben, Executve Vice President and Chief Legal Ofcer, (with full power of substtuton) as your representatves at the Annual Meetng. He or she will vote your shares at the Annual Meetng as you have instructed them or, if an issue that is not on the proxy card comes up for vote, in accordance with his or her best judgment. By submitng a proxy, you can ensure your shares will be voted whether or not you atend the Annual Meetng. Even if you plan to atend the Annual Meetng, we encourage you to submit a proxy in advance by using the Internet, by calling, or by signing and returning your proxy card. If you vote by Internet or by calling, you do not need to return your proxy card.</w:t>
      </w:r>
    </w:p>
    <w:p>
      <w:pPr>
        <w:spacing w:after="0" w:line="15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47BCC"/>
        </w:rPr>
        <w:t>Why did I receive a one-page notce in the mail regarding the Internet availability of proxy materials instead of a full set of proxy materials?</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Pursuant to the "Notce and Access" rules adopted by the SEC, we have elected to provide access to our proxy materials over the Internet at www.proxyvote.com. Accordingly, we are sending a Notce of Internet Availability of Proxy Materials to our stockholders. All stockholders will have the ability to access the proxy materials on the website referred to in the Notce of Internet Availability of Proxy Materials, or request to receive an electronic copy or printed set of the proxy materials. Instructons on how to access the proxy materials over the Internet or to request an electronic copy or printed copy may be found in the Notce of Internet Availability of Proxy Materials. In additon, stockholders may request to receive proxy materials in printed form by mail or electronically by email on an ongoing basis by submitng a request in writng to our Secretary at Booz Allen Hamilton, 8283 Greensboro Drive, McLean, Virginia 22102. We encourage stockholders to take advantage of the availability of proxy materials on the Internet to help reduce the environmental impact and cost of the Annual Meetng.</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47BCC"/>
        </w:rPr>
        <w:t>How can I sign up for the electronic proxy delivery service?</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You can elect to receive an email that provides a link to our future proxy materials on the Internet. The proxy card or the instructons that accompanied your proxy materials will contain instructons on how to request electronic delivery of future proxy materials. Choosing to receive your future proxy materials by email will eliminate the cost of printng and mailing documents and will reduce the associated environmental impact. If you choose to receive future proxy materials by email, you will receive an email next year with instructons containing a link to those materials and a link to the proxy votng site. Your electon to receive proxy materials by email will remain in efect untl you terminate it.</w:t>
      </w:r>
    </w:p>
    <w:p>
      <w:pPr>
        <w:spacing w:after="0" w:line="15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47BCC"/>
        </w:rPr>
        <w:t>How do I atend and partcipate in the virtual Annual Meetng?</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You will be able to virtually atend the Annual Meetng by visitng www.virtualshareholdermeetng.com/BAH2022. Although it will be a virtual-only meetng, the Company wants to assure its stockholders of its commitment to ensuring that the Annual Meetng provides its stockholders with the same rights and opportunites to partcipate as in an in-person meetng, including the ability to ask questons of the Board and management.</w:t>
      </w:r>
    </w:p>
    <w:p>
      <w:pPr>
        <w:spacing w:after="0" w:line="162"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To partcipate in the Annual Meetng, you will need the control number located on your proxy card or the instructons that accompanied your proxy materials. The Annual Meetng will begin promptly at 8:00 a.m. Eastern Time on July 27,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65</w:t>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31" w:lineRule="auto"/>
        <w:rPr>
          <w:sz w:val="20"/>
          <w:szCs w:val="20"/>
          <w:color w:val="auto"/>
        </w:rPr>
      </w:pPr>
      <w:r>
        <w:rPr>
          <w:rFonts w:ascii="Calibri" w:cs="Calibri" w:eastAsia="Calibri" w:hAnsi="Calibri"/>
          <w:sz w:val="18"/>
          <w:szCs w:val="18"/>
          <w:color w:val="666666"/>
        </w:rPr>
        <w:t>We encourage you to access the virtual meetng website prior to the start tme. Online check-in will begin at 7:45 a.m. Eastern Time, and you should allow ample tme to ensure your ability to access the meetng.</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You may submit a queston during the meetng by visitng www.virtualshareholdermeetng.com/BAH2022 and following the instructons on the website. The Company will post responses to questons relevant to meetng maters that are not answered during the Annual Meetng due to tme constraints on the Company's Investor Relatons porton of its website, www.boozallen.com, as soon as practcable afer the Annual Meetng. The Chair of the meetng has broad authority to conduct the Annual Meetng in an orderly manner, including establishing rules of conduct. A copy of the rules of conduct will be available online at the Annual Meetng.</w:t>
      </w:r>
    </w:p>
    <w:p>
      <w:pPr>
        <w:spacing w:after="0" w:line="164"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In additon, the Company will have technicians ready beginning ffeen minutes prior to the meetng to assist partcipatng stockholders with any technical difcultes they may have accessing the virtual meetng. If partcipatng stockholders encounter any difcultes accessing the virtual meetng during check-in or the meetng, they may call the technical support number that will be posted on the virtual meetng platorm log-in page.</w:t>
      </w:r>
    </w:p>
    <w:p>
      <w:pPr>
        <w:spacing w:after="0" w:line="15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47BCC"/>
        </w:rPr>
        <w:t>Who is enttled to vote at the Annual Meetng?</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Holders of the Company’s Class A common stock are enttled to vote at the Annual Meetng. The Board has established the record date for the Annual Meetng as June 6, 2022. Only holders of record of the Company’s Class A common stock on the record date are enttled to receive notce of the meetng and to vote at the meetng.</w:t>
      </w:r>
    </w:p>
    <w:p>
      <w:pPr>
        <w:spacing w:after="0" w:line="15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47BCC"/>
        </w:rPr>
        <w:t>How many shares must be present to hold the Annual Meetng?</w:t>
      </w:r>
    </w:p>
    <w:p>
      <w:pPr>
        <w:spacing w:after="0" w:line="161" w:lineRule="exact"/>
        <w:rPr>
          <w:sz w:val="20"/>
          <w:szCs w:val="20"/>
          <w:color w:val="auto"/>
        </w:rPr>
      </w:pPr>
    </w:p>
    <w:p>
      <w:pPr>
        <w:ind w:right="80" w:firstLine="319"/>
        <w:spacing w:after="0" w:line="231" w:lineRule="auto"/>
        <w:rPr>
          <w:sz w:val="20"/>
          <w:szCs w:val="20"/>
          <w:color w:val="auto"/>
        </w:rPr>
      </w:pPr>
      <w:r>
        <w:rPr>
          <w:rFonts w:ascii="Calibri" w:cs="Calibri" w:eastAsia="Calibri" w:hAnsi="Calibri"/>
          <w:sz w:val="18"/>
          <w:szCs w:val="18"/>
          <w:color w:val="666666"/>
        </w:rPr>
        <w:t>In order for us to lawfully conduct business at the Annual Meetng, the holders of stock representng a majority of the votng power of all shares issued and outstanding and enttled to vote at the meetng must be present in person at the Annual Meetng or represented by proxy. This is referred to as a quorum. Stockholders who atend the Annual Meetng online at www.virtualshareholdermeetng.com/BAH2022 will be deemed to be in person atendees for purposes of determining if a quorum has been met. If a quorum is present, we can hold the Annual Meetng and conduct business.</w:t>
      </w:r>
    </w:p>
    <w:p>
      <w:pPr>
        <w:spacing w:after="0" w:line="15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47BCC"/>
        </w:rPr>
        <w:t>How many shares may I vote?</w:t>
      </w:r>
    </w:p>
    <w:p>
      <w:pPr>
        <w:spacing w:after="0" w:line="161" w:lineRule="exact"/>
        <w:rPr>
          <w:sz w:val="20"/>
          <w:szCs w:val="20"/>
          <w:color w:val="auto"/>
        </w:rPr>
      </w:pPr>
    </w:p>
    <w:p>
      <w:pPr>
        <w:ind w:left="320"/>
        <w:spacing w:after="0"/>
        <w:rPr>
          <w:sz w:val="20"/>
          <w:szCs w:val="20"/>
          <w:color w:val="auto"/>
        </w:rPr>
      </w:pPr>
      <w:r>
        <w:rPr>
          <w:rFonts w:ascii="Calibri" w:cs="Calibri" w:eastAsia="Calibri" w:hAnsi="Calibri"/>
          <w:sz w:val="17"/>
          <w:szCs w:val="17"/>
          <w:color w:val="666666"/>
        </w:rPr>
        <w:t>On June 6, 2022, _____ shares of our Class A common stock were outstanding. Each share of Class A common stock is enttled to one vote, and stockholders</w:t>
      </w:r>
    </w:p>
    <w:p>
      <w:pPr>
        <w:spacing w:after="0" w:line="235" w:lineRule="auto"/>
        <w:rPr>
          <w:sz w:val="20"/>
          <w:szCs w:val="20"/>
          <w:color w:val="auto"/>
        </w:rPr>
      </w:pPr>
      <w:r>
        <w:rPr>
          <w:rFonts w:ascii="Calibri" w:cs="Calibri" w:eastAsia="Calibri" w:hAnsi="Calibri"/>
          <w:sz w:val="18"/>
          <w:szCs w:val="18"/>
          <w:color w:val="666666"/>
        </w:rPr>
        <w:t>do not have the right to cumulate their votes for the electon of directors.</w:t>
      </w:r>
    </w:p>
    <w:p>
      <w:pPr>
        <w:spacing w:after="0" w:line="15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47BCC"/>
        </w:rPr>
        <w:t>What am I votng on and what are the Board’s recommendatons?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 w:type="dxa"/>
            <w:vAlign w:val="bottom"/>
            <w:vMerge w:val="restart"/>
            <w:shd w:val="clear" w:color="auto" w:fill="CCEEFF"/>
          </w:tcPr>
          <w:p>
            <w:pPr>
              <w:jc w:val="center"/>
              <w:ind w:left="69"/>
              <w:spacing w:after="0"/>
              <w:rPr>
                <w:sz w:val="20"/>
                <w:szCs w:val="20"/>
                <w:color w:val="auto"/>
              </w:rPr>
            </w:pPr>
            <w:r>
              <w:rPr>
                <w:rFonts w:ascii="Calibri" w:cs="Calibri" w:eastAsia="Calibri" w:hAnsi="Calibri"/>
                <w:sz w:val="14"/>
                <w:szCs w:val="14"/>
                <w:b w:val="1"/>
                <w:bCs w:val="1"/>
                <w:color w:val="494949"/>
                <w:w w:val="98"/>
              </w:rPr>
              <w:t>Proposal</w:t>
            </w:r>
          </w:p>
        </w:tc>
        <w:tc>
          <w:tcPr>
            <w:tcW w:w="6600" w:type="dxa"/>
            <w:vAlign w:val="bottom"/>
            <w:vMerge w:val="restart"/>
            <w:shd w:val="clear" w:color="auto" w:fill="CCEEFF"/>
          </w:tcPr>
          <w:p>
            <w:pPr>
              <w:ind w:left="2940"/>
              <w:spacing w:after="0"/>
              <w:rPr>
                <w:sz w:val="20"/>
                <w:szCs w:val="20"/>
                <w:color w:val="auto"/>
              </w:rPr>
            </w:pPr>
            <w:r>
              <w:rPr>
                <w:rFonts w:ascii="Calibri" w:cs="Calibri" w:eastAsia="Calibri" w:hAnsi="Calibri"/>
                <w:sz w:val="14"/>
                <w:szCs w:val="14"/>
                <w:b w:val="1"/>
                <w:bCs w:val="1"/>
                <w:color w:val="494949"/>
              </w:rPr>
              <w:t>Descripton</w:t>
            </w:r>
          </w:p>
        </w:tc>
        <w:tc>
          <w:tcPr>
            <w:tcW w:w="1800" w:type="dxa"/>
            <w:vAlign w:val="bottom"/>
            <w:shd w:val="clear" w:color="auto" w:fill="CCEEFF"/>
          </w:tcPr>
          <w:p>
            <w:pPr>
              <w:jc w:val="center"/>
              <w:ind w:right="149"/>
              <w:spacing w:after="0"/>
              <w:rPr>
                <w:sz w:val="20"/>
                <w:szCs w:val="20"/>
                <w:color w:val="auto"/>
              </w:rPr>
            </w:pPr>
            <w:r>
              <w:rPr>
                <w:rFonts w:ascii="Calibri" w:cs="Calibri" w:eastAsia="Calibri" w:hAnsi="Calibri"/>
                <w:sz w:val="14"/>
                <w:szCs w:val="14"/>
                <w:b w:val="1"/>
                <w:bCs w:val="1"/>
                <w:color w:val="494949"/>
              </w:rPr>
              <w:t>Board's Votng</w:t>
            </w:r>
          </w:p>
        </w:tc>
        <w:tc>
          <w:tcPr>
            <w:tcW w:w="1880" w:type="dxa"/>
            <w:vAlign w:val="bottom"/>
            <w:vMerge w:val="restart"/>
            <w:shd w:val="clear" w:color="auto" w:fill="CCEEFF"/>
          </w:tcPr>
          <w:p>
            <w:pPr>
              <w:ind w:left="460"/>
              <w:spacing w:after="0"/>
              <w:rPr>
                <w:sz w:val="20"/>
                <w:szCs w:val="20"/>
                <w:color w:val="auto"/>
              </w:rPr>
            </w:pPr>
            <w:r>
              <w:rPr>
                <w:rFonts w:ascii="Calibri" w:cs="Calibri" w:eastAsia="Calibri" w:hAnsi="Calibri"/>
                <w:sz w:val="14"/>
                <w:szCs w:val="14"/>
                <w:b w:val="1"/>
                <w:bCs w:val="1"/>
                <w:color w:val="494949"/>
              </w:rPr>
              <w:t>Page Reference</w:t>
            </w:r>
          </w:p>
        </w:tc>
        <w:tc>
          <w:tcPr>
            <w:tcW w:w="0" w:type="dxa"/>
            <w:vAlign w:val="bottom"/>
          </w:tcPr>
          <w:p>
            <w:pPr>
              <w:spacing w:after="0"/>
              <w:rPr>
                <w:sz w:val="1"/>
                <w:szCs w:val="1"/>
                <w:color w:val="auto"/>
              </w:rPr>
            </w:pPr>
          </w:p>
        </w:tc>
      </w:tr>
      <w:tr>
        <w:trPr>
          <w:trHeight w:val="201"/>
        </w:trPr>
        <w:tc>
          <w:tcPr>
            <w:tcW w:w="960" w:type="dxa"/>
            <w:vAlign w:val="bottom"/>
            <w:tcBorders>
              <w:bottom w:val="single" w:sz="8" w:color="CCEEFF"/>
            </w:tcBorders>
            <w:vMerge w:val="continue"/>
            <w:shd w:val="clear" w:color="auto" w:fill="CCEEFF"/>
          </w:tcPr>
          <w:p>
            <w:pPr>
              <w:spacing w:after="0"/>
              <w:rPr>
                <w:sz w:val="17"/>
                <w:szCs w:val="17"/>
                <w:color w:val="auto"/>
              </w:rPr>
            </w:pPr>
          </w:p>
        </w:tc>
        <w:tc>
          <w:tcPr>
            <w:tcW w:w="6600" w:type="dxa"/>
            <w:vAlign w:val="bottom"/>
            <w:tcBorders>
              <w:bottom w:val="single" w:sz="8" w:color="CCEEFF"/>
            </w:tcBorders>
            <w:vMerge w:val="continue"/>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center"/>
              <w:ind w:right="129"/>
              <w:spacing w:after="0" w:line="169" w:lineRule="exact"/>
              <w:rPr>
                <w:sz w:val="20"/>
                <w:szCs w:val="20"/>
                <w:color w:val="auto"/>
              </w:rPr>
            </w:pPr>
            <w:r>
              <w:rPr>
                <w:rFonts w:ascii="Calibri" w:cs="Calibri" w:eastAsia="Calibri" w:hAnsi="Calibri"/>
                <w:sz w:val="14"/>
                <w:szCs w:val="14"/>
                <w:b w:val="1"/>
                <w:bCs w:val="1"/>
                <w:color w:val="494949"/>
              </w:rPr>
              <w:t>Recommendaton</w:t>
            </w:r>
          </w:p>
        </w:tc>
        <w:tc>
          <w:tcPr>
            <w:tcW w:w="188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960" w:type="dxa"/>
            <w:vAlign w:val="bottom"/>
            <w:tcBorders>
              <w:top w:val="single" w:sz="8" w:color="auto"/>
            </w:tcBorders>
          </w:tcPr>
          <w:p>
            <w:pPr>
              <w:jc w:val="center"/>
              <w:ind w:left="69"/>
              <w:spacing w:after="0" w:line="161" w:lineRule="exact"/>
              <w:rPr>
                <w:sz w:val="20"/>
                <w:szCs w:val="20"/>
                <w:color w:val="auto"/>
              </w:rPr>
            </w:pPr>
            <w:r>
              <w:rPr>
                <w:rFonts w:ascii="Calibri" w:cs="Calibri" w:eastAsia="Calibri" w:hAnsi="Calibri"/>
                <w:sz w:val="14"/>
                <w:szCs w:val="14"/>
                <w:color w:val="494949"/>
                <w:w w:val="99"/>
              </w:rPr>
              <w:t>No. 1</w:t>
            </w:r>
          </w:p>
        </w:tc>
        <w:tc>
          <w:tcPr>
            <w:tcW w:w="6600" w:type="dxa"/>
            <w:vAlign w:val="bottom"/>
            <w:tcBorders>
              <w:top w:val="single" w:sz="8" w:color="auto"/>
            </w:tcBorders>
          </w:tcPr>
          <w:p>
            <w:pPr>
              <w:ind w:left="160"/>
              <w:spacing w:after="0" w:line="161" w:lineRule="exact"/>
              <w:rPr>
                <w:sz w:val="20"/>
                <w:szCs w:val="20"/>
                <w:color w:val="auto"/>
              </w:rPr>
            </w:pPr>
            <w:r>
              <w:rPr>
                <w:rFonts w:ascii="Calibri" w:cs="Calibri" w:eastAsia="Calibri" w:hAnsi="Calibri"/>
                <w:sz w:val="14"/>
                <w:szCs w:val="14"/>
                <w:color w:val="494949"/>
              </w:rPr>
              <w:t>Electon of seven director nominees</w:t>
            </w:r>
          </w:p>
        </w:tc>
        <w:tc>
          <w:tcPr>
            <w:tcW w:w="1800" w:type="dxa"/>
            <w:vAlign w:val="bottom"/>
            <w:tcBorders>
              <w:top w:val="single" w:sz="8" w:color="auto"/>
            </w:tcBorders>
          </w:tcPr>
          <w:p>
            <w:pPr>
              <w:jc w:val="center"/>
              <w:ind w:right="149"/>
              <w:spacing w:after="0" w:line="161" w:lineRule="exact"/>
              <w:rPr>
                <w:sz w:val="20"/>
                <w:szCs w:val="20"/>
                <w:color w:val="auto"/>
              </w:rPr>
            </w:pPr>
            <w:r>
              <w:rPr>
                <w:rFonts w:ascii="Calibri" w:cs="Calibri" w:eastAsia="Calibri" w:hAnsi="Calibri"/>
                <w:sz w:val="14"/>
                <w:szCs w:val="14"/>
                <w:b w:val="1"/>
                <w:bCs w:val="1"/>
                <w:color w:val="494949"/>
              </w:rPr>
              <w:t>FOR each nominee</w:t>
            </w:r>
          </w:p>
        </w:tc>
        <w:tc>
          <w:tcPr>
            <w:tcW w:w="1880" w:type="dxa"/>
            <w:vAlign w:val="bottom"/>
            <w:tcBorders>
              <w:top w:val="single" w:sz="8" w:color="auto"/>
            </w:tcBorders>
          </w:tcPr>
          <w:p>
            <w:pPr>
              <w:jc w:val="center"/>
              <w:spacing w:after="0" w:line="161" w:lineRule="exact"/>
              <w:rPr>
                <w:sz w:val="20"/>
                <w:szCs w:val="20"/>
                <w:color w:val="auto"/>
              </w:rPr>
            </w:pPr>
            <w:r>
              <w:rPr>
                <w:rFonts w:ascii="Calibri" w:cs="Calibri" w:eastAsia="Calibri" w:hAnsi="Calibri"/>
                <w:sz w:val="14"/>
                <w:szCs w:val="14"/>
                <w:color w:val="494949"/>
              </w:rPr>
              <w:t>8</w:t>
            </w:r>
          </w:p>
        </w:tc>
        <w:tc>
          <w:tcPr>
            <w:tcW w:w="0" w:type="dxa"/>
            <w:vAlign w:val="bottom"/>
          </w:tcPr>
          <w:p>
            <w:pPr>
              <w:spacing w:after="0"/>
              <w:rPr>
                <w:sz w:val="1"/>
                <w:szCs w:val="1"/>
                <w:color w:val="auto"/>
              </w:rPr>
            </w:pPr>
          </w:p>
        </w:tc>
      </w:tr>
      <w:tr>
        <w:trPr>
          <w:trHeight w:val="31"/>
        </w:trPr>
        <w:tc>
          <w:tcPr>
            <w:tcW w:w="960" w:type="dxa"/>
            <w:vAlign w:val="bottom"/>
            <w:tcBorders>
              <w:bottom w:val="single" w:sz="8" w:color="auto"/>
            </w:tcBorders>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960" w:type="dxa"/>
            <w:vAlign w:val="bottom"/>
            <w:vMerge w:val="restart"/>
          </w:tcPr>
          <w:p>
            <w:pPr>
              <w:jc w:val="center"/>
              <w:ind w:left="69"/>
              <w:spacing w:after="0"/>
              <w:rPr>
                <w:sz w:val="20"/>
                <w:szCs w:val="20"/>
                <w:color w:val="auto"/>
              </w:rPr>
            </w:pPr>
            <w:r>
              <w:rPr>
                <w:rFonts w:ascii="Calibri" w:cs="Calibri" w:eastAsia="Calibri" w:hAnsi="Calibri"/>
                <w:sz w:val="14"/>
                <w:szCs w:val="14"/>
                <w:color w:val="494949"/>
                <w:w w:val="99"/>
              </w:rPr>
              <w:t>No. 2</w:t>
            </w:r>
          </w:p>
        </w:tc>
        <w:tc>
          <w:tcPr>
            <w:tcW w:w="6600" w:type="dxa"/>
            <w:vAlign w:val="bottom"/>
          </w:tcPr>
          <w:p>
            <w:pPr>
              <w:ind w:left="160"/>
              <w:spacing w:after="0" w:line="125" w:lineRule="exact"/>
              <w:rPr>
                <w:sz w:val="20"/>
                <w:szCs w:val="20"/>
                <w:color w:val="auto"/>
              </w:rPr>
            </w:pPr>
            <w:r>
              <w:rPr>
                <w:rFonts w:ascii="Calibri" w:cs="Calibri" w:eastAsia="Calibri" w:hAnsi="Calibri"/>
                <w:sz w:val="13"/>
                <w:szCs w:val="13"/>
                <w:color w:val="494949"/>
              </w:rPr>
              <w:t>Ratfcaton of appointment of E&amp;Y as the Company's independent registered accountng frm for fscal year</w:t>
            </w:r>
          </w:p>
        </w:tc>
        <w:tc>
          <w:tcPr>
            <w:tcW w:w="1800" w:type="dxa"/>
            <w:vAlign w:val="bottom"/>
            <w:vMerge w:val="restart"/>
          </w:tcPr>
          <w:p>
            <w:pPr>
              <w:jc w:val="center"/>
              <w:ind w:right="129"/>
              <w:spacing w:after="0"/>
              <w:rPr>
                <w:sz w:val="20"/>
                <w:szCs w:val="20"/>
                <w:color w:val="auto"/>
              </w:rPr>
            </w:pPr>
            <w:r>
              <w:rPr>
                <w:rFonts w:ascii="Calibri" w:cs="Calibri" w:eastAsia="Calibri" w:hAnsi="Calibri"/>
                <w:sz w:val="14"/>
                <w:szCs w:val="14"/>
                <w:b w:val="1"/>
                <w:bCs w:val="1"/>
                <w:color w:val="494949"/>
              </w:rPr>
              <w:t>FOR</w:t>
            </w:r>
          </w:p>
        </w:tc>
        <w:tc>
          <w:tcPr>
            <w:tcW w:w="1880" w:type="dxa"/>
            <w:vAlign w:val="bottom"/>
            <w:vMerge w:val="restart"/>
          </w:tcPr>
          <w:p>
            <w:pPr>
              <w:jc w:val="center"/>
              <w:spacing w:after="0"/>
              <w:rPr>
                <w:sz w:val="20"/>
                <w:szCs w:val="20"/>
                <w:color w:val="auto"/>
              </w:rPr>
            </w:pPr>
            <w:r>
              <w:rPr>
                <w:rFonts w:ascii="Calibri" w:cs="Calibri" w:eastAsia="Calibri" w:hAnsi="Calibri"/>
                <w:sz w:val="14"/>
                <w:szCs w:val="14"/>
                <w:color w:val="494949"/>
              </w:rPr>
              <w:t>56</w:t>
            </w:r>
          </w:p>
        </w:tc>
        <w:tc>
          <w:tcPr>
            <w:tcW w:w="0" w:type="dxa"/>
            <w:vAlign w:val="bottom"/>
          </w:tcPr>
          <w:p>
            <w:pPr>
              <w:spacing w:after="0"/>
              <w:rPr>
                <w:sz w:val="1"/>
                <w:szCs w:val="1"/>
                <w:color w:val="auto"/>
              </w:rPr>
            </w:pPr>
          </w:p>
        </w:tc>
      </w:tr>
      <w:tr>
        <w:trPr>
          <w:trHeight w:val="88"/>
        </w:trPr>
        <w:tc>
          <w:tcPr>
            <w:tcW w:w="960" w:type="dxa"/>
            <w:vAlign w:val="bottom"/>
            <w:vMerge w:val="continue"/>
          </w:tcPr>
          <w:p>
            <w:pPr>
              <w:spacing w:after="0"/>
              <w:rPr>
                <w:sz w:val="7"/>
                <w:szCs w:val="7"/>
                <w:color w:val="auto"/>
              </w:rPr>
            </w:pPr>
          </w:p>
        </w:tc>
        <w:tc>
          <w:tcPr>
            <w:tcW w:w="6600" w:type="dxa"/>
            <w:vAlign w:val="bottom"/>
            <w:vMerge w:val="restart"/>
          </w:tcPr>
          <w:p>
            <w:pPr>
              <w:ind w:left="160"/>
              <w:spacing w:after="0" w:line="169" w:lineRule="exact"/>
              <w:rPr>
                <w:sz w:val="20"/>
                <w:szCs w:val="20"/>
                <w:color w:val="auto"/>
              </w:rPr>
            </w:pPr>
            <w:r>
              <w:rPr>
                <w:rFonts w:ascii="Calibri" w:cs="Calibri" w:eastAsia="Calibri" w:hAnsi="Calibri"/>
                <w:sz w:val="14"/>
                <w:szCs w:val="14"/>
                <w:color w:val="494949"/>
              </w:rPr>
              <w:t>2023</w:t>
            </w:r>
          </w:p>
        </w:tc>
        <w:tc>
          <w:tcPr>
            <w:tcW w:w="1800" w:type="dxa"/>
            <w:vAlign w:val="bottom"/>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960" w:type="dxa"/>
            <w:vAlign w:val="bottom"/>
          </w:tcPr>
          <w:p>
            <w:pPr>
              <w:spacing w:after="0"/>
              <w:rPr>
                <w:sz w:val="6"/>
                <w:szCs w:val="6"/>
                <w:color w:val="auto"/>
              </w:rPr>
            </w:pPr>
          </w:p>
        </w:tc>
        <w:tc>
          <w:tcPr>
            <w:tcW w:w="6600" w:type="dxa"/>
            <w:vAlign w:val="bottom"/>
            <w:vMerge w:val="continue"/>
          </w:tcPr>
          <w:p>
            <w:pPr>
              <w:spacing w:after="0"/>
              <w:rPr>
                <w:sz w:val="6"/>
                <w:szCs w:val="6"/>
                <w:color w:val="auto"/>
              </w:rPr>
            </w:pPr>
          </w:p>
        </w:tc>
        <w:tc>
          <w:tcPr>
            <w:tcW w:w="18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960" w:type="dxa"/>
            <w:vAlign w:val="bottom"/>
            <w:tcBorders>
              <w:bottom w:val="single" w:sz="8" w:color="auto"/>
            </w:tcBorders>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960" w:type="dxa"/>
            <w:vAlign w:val="bottom"/>
            <w:vMerge w:val="restart"/>
          </w:tcPr>
          <w:p>
            <w:pPr>
              <w:jc w:val="center"/>
              <w:ind w:left="69"/>
              <w:spacing w:after="0"/>
              <w:rPr>
                <w:sz w:val="20"/>
                <w:szCs w:val="20"/>
                <w:color w:val="auto"/>
              </w:rPr>
            </w:pPr>
            <w:r>
              <w:rPr>
                <w:rFonts w:ascii="Calibri" w:cs="Calibri" w:eastAsia="Calibri" w:hAnsi="Calibri"/>
                <w:sz w:val="14"/>
                <w:szCs w:val="14"/>
                <w:color w:val="494949"/>
                <w:w w:val="99"/>
              </w:rPr>
              <w:t>No. 3</w:t>
            </w:r>
          </w:p>
        </w:tc>
        <w:tc>
          <w:tcPr>
            <w:tcW w:w="6600" w:type="dxa"/>
            <w:vAlign w:val="bottom"/>
          </w:tcPr>
          <w:p>
            <w:pPr>
              <w:ind w:left="160"/>
              <w:spacing w:after="0" w:line="125" w:lineRule="exact"/>
              <w:rPr>
                <w:sz w:val="20"/>
                <w:szCs w:val="20"/>
                <w:color w:val="auto"/>
              </w:rPr>
            </w:pPr>
            <w:r>
              <w:rPr>
                <w:rFonts w:ascii="Calibri" w:cs="Calibri" w:eastAsia="Calibri" w:hAnsi="Calibri"/>
                <w:sz w:val="13"/>
                <w:szCs w:val="13"/>
                <w:color w:val="494949"/>
              </w:rPr>
              <w:t>A non-binding advisory vote on the compensaton program for the Company’s named executve ofcers, as</w:t>
            </w:r>
          </w:p>
        </w:tc>
        <w:tc>
          <w:tcPr>
            <w:tcW w:w="1800" w:type="dxa"/>
            <w:vAlign w:val="bottom"/>
            <w:vMerge w:val="restart"/>
          </w:tcPr>
          <w:p>
            <w:pPr>
              <w:jc w:val="center"/>
              <w:ind w:right="129"/>
              <w:spacing w:after="0"/>
              <w:rPr>
                <w:sz w:val="20"/>
                <w:szCs w:val="20"/>
                <w:color w:val="auto"/>
              </w:rPr>
            </w:pPr>
            <w:r>
              <w:rPr>
                <w:rFonts w:ascii="Calibri" w:cs="Calibri" w:eastAsia="Calibri" w:hAnsi="Calibri"/>
                <w:sz w:val="14"/>
                <w:szCs w:val="14"/>
                <w:b w:val="1"/>
                <w:bCs w:val="1"/>
                <w:color w:val="494949"/>
              </w:rPr>
              <w:t>FOR</w:t>
            </w:r>
          </w:p>
        </w:tc>
        <w:tc>
          <w:tcPr>
            <w:tcW w:w="1880" w:type="dxa"/>
            <w:vAlign w:val="bottom"/>
            <w:vMerge w:val="restart"/>
          </w:tcPr>
          <w:p>
            <w:pPr>
              <w:jc w:val="center"/>
              <w:spacing w:after="0"/>
              <w:rPr>
                <w:sz w:val="20"/>
                <w:szCs w:val="20"/>
                <w:color w:val="auto"/>
              </w:rPr>
            </w:pPr>
            <w:r>
              <w:rPr>
                <w:rFonts w:ascii="Calibri" w:cs="Calibri" w:eastAsia="Calibri" w:hAnsi="Calibri"/>
                <w:sz w:val="14"/>
                <w:szCs w:val="14"/>
                <w:color w:val="494949"/>
              </w:rPr>
              <w:t>57</w:t>
            </w:r>
          </w:p>
        </w:tc>
        <w:tc>
          <w:tcPr>
            <w:tcW w:w="0" w:type="dxa"/>
            <w:vAlign w:val="bottom"/>
          </w:tcPr>
          <w:p>
            <w:pPr>
              <w:spacing w:after="0"/>
              <w:rPr>
                <w:sz w:val="1"/>
                <w:szCs w:val="1"/>
                <w:color w:val="auto"/>
              </w:rPr>
            </w:pPr>
          </w:p>
        </w:tc>
      </w:tr>
      <w:tr>
        <w:trPr>
          <w:trHeight w:val="88"/>
        </w:trPr>
        <w:tc>
          <w:tcPr>
            <w:tcW w:w="960" w:type="dxa"/>
            <w:vAlign w:val="bottom"/>
            <w:vMerge w:val="continue"/>
          </w:tcPr>
          <w:p>
            <w:pPr>
              <w:spacing w:after="0"/>
              <w:rPr>
                <w:sz w:val="7"/>
                <w:szCs w:val="7"/>
                <w:color w:val="auto"/>
              </w:rPr>
            </w:pPr>
          </w:p>
        </w:tc>
        <w:tc>
          <w:tcPr>
            <w:tcW w:w="6600" w:type="dxa"/>
            <w:vAlign w:val="bottom"/>
            <w:vMerge w:val="restart"/>
          </w:tcPr>
          <w:p>
            <w:pPr>
              <w:ind w:left="160"/>
              <w:spacing w:after="0" w:line="169" w:lineRule="exact"/>
              <w:rPr>
                <w:sz w:val="20"/>
                <w:szCs w:val="20"/>
                <w:color w:val="auto"/>
              </w:rPr>
            </w:pPr>
            <w:r>
              <w:rPr>
                <w:rFonts w:ascii="Calibri" w:cs="Calibri" w:eastAsia="Calibri" w:hAnsi="Calibri"/>
                <w:sz w:val="14"/>
                <w:szCs w:val="14"/>
                <w:color w:val="494949"/>
              </w:rPr>
              <w:t>disclosed in the CD&amp;A of the proxy statement</w:t>
            </w:r>
          </w:p>
        </w:tc>
        <w:tc>
          <w:tcPr>
            <w:tcW w:w="1800" w:type="dxa"/>
            <w:vAlign w:val="bottom"/>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960" w:type="dxa"/>
            <w:vAlign w:val="bottom"/>
          </w:tcPr>
          <w:p>
            <w:pPr>
              <w:spacing w:after="0"/>
              <w:rPr>
                <w:sz w:val="6"/>
                <w:szCs w:val="6"/>
                <w:color w:val="auto"/>
              </w:rPr>
            </w:pPr>
          </w:p>
        </w:tc>
        <w:tc>
          <w:tcPr>
            <w:tcW w:w="6600" w:type="dxa"/>
            <w:vAlign w:val="bottom"/>
            <w:vMerge w:val="continue"/>
          </w:tcPr>
          <w:p>
            <w:pPr>
              <w:spacing w:after="0"/>
              <w:rPr>
                <w:sz w:val="6"/>
                <w:szCs w:val="6"/>
                <w:color w:val="auto"/>
              </w:rPr>
            </w:pPr>
          </w:p>
        </w:tc>
        <w:tc>
          <w:tcPr>
            <w:tcW w:w="18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960" w:type="dxa"/>
            <w:vAlign w:val="bottom"/>
            <w:tcBorders>
              <w:bottom w:val="single" w:sz="8" w:color="auto"/>
            </w:tcBorders>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960" w:type="dxa"/>
            <w:vAlign w:val="bottom"/>
            <w:vMerge w:val="restart"/>
          </w:tcPr>
          <w:p>
            <w:pPr>
              <w:jc w:val="center"/>
              <w:ind w:left="69"/>
              <w:spacing w:after="0"/>
              <w:rPr>
                <w:sz w:val="20"/>
                <w:szCs w:val="20"/>
                <w:color w:val="auto"/>
              </w:rPr>
            </w:pPr>
            <w:r>
              <w:rPr>
                <w:rFonts w:ascii="Calibri" w:cs="Calibri" w:eastAsia="Calibri" w:hAnsi="Calibri"/>
                <w:sz w:val="14"/>
                <w:szCs w:val="14"/>
                <w:color w:val="494949"/>
                <w:w w:val="99"/>
              </w:rPr>
              <w:t>No. 4</w:t>
            </w:r>
          </w:p>
        </w:tc>
        <w:tc>
          <w:tcPr>
            <w:tcW w:w="6600" w:type="dxa"/>
            <w:vAlign w:val="bottom"/>
          </w:tcPr>
          <w:p>
            <w:pPr>
              <w:ind w:left="160"/>
              <w:spacing w:after="0" w:line="151" w:lineRule="exact"/>
              <w:rPr>
                <w:sz w:val="20"/>
                <w:szCs w:val="20"/>
                <w:color w:val="auto"/>
              </w:rPr>
            </w:pPr>
            <w:r>
              <w:rPr>
                <w:rFonts w:ascii="Calibri" w:cs="Calibri" w:eastAsia="Calibri" w:hAnsi="Calibri"/>
                <w:sz w:val="14"/>
                <w:szCs w:val="14"/>
                <w:color w:val="494949"/>
              </w:rPr>
              <w:t>Approval of the adopton of the Sixth Amended and Restated Certfcate of Incorporaton to permit</w:t>
            </w:r>
          </w:p>
        </w:tc>
        <w:tc>
          <w:tcPr>
            <w:tcW w:w="1800" w:type="dxa"/>
            <w:vAlign w:val="bottom"/>
            <w:vMerge w:val="restart"/>
          </w:tcPr>
          <w:p>
            <w:pPr>
              <w:jc w:val="center"/>
              <w:ind w:right="129"/>
              <w:spacing w:after="0"/>
              <w:rPr>
                <w:sz w:val="20"/>
                <w:szCs w:val="20"/>
                <w:color w:val="auto"/>
              </w:rPr>
            </w:pPr>
            <w:r>
              <w:rPr>
                <w:rFonts w:ascii="Calibri" w:cs="Calibri" w:eastAsia="Calibri" w:hAnsi="Calibri"/>
                <w:sz w:val="14"/>
                <w:szCs w:val="14"/>
                <w:b w:val="1"/>
                <w:bCs w:val="1"/>
                <w:color w:val="494949"/>
              </w:rPr>
              <w:t>FOR</w:t>
            </w:r>
          </w:p>
        </w:tc>
        <w:tc>
          <w:tcPr>
            <w:tcW w:w="1880" w:type="dxa"/>
            <w:vAlign w:val="bottom"/>
            <w:vMerge w:val="restart"/>
          </w:tcPr>
          <w:p>
            <w:pPr>
              <w:jc w:val="center"/>
              <w:spacing w:after="0"/>
              <w:rPr>
                <w:sz w:val="20"/>
                <w:szCs w:val="20"/>
                <w:color w:val="auto"/>
              </w:rPr>
            </w:pPr>
            <w:r>
              <w:rPr>
                <w:rFonts w:ascii="Calibri" w:cs="Calibri" w:eastAsia="Calibri" w:hAnsi="Calibri"/>
                <w:sz w:val="14"/>
                <w:szCs w:val="14"/>
                <w:color w:val="494949"/>
              </w:rPr>
              <w:t>58</w:t>
            </w:r>
          </w:p>
        </w:tc>
        <w:tc>
          <w:tcPr>
            <w:tcW w:w="0" w:type="dxa"/>
            <w:vAlign w:val="bottom"/>
          </w:tcPr>
          <w:p>
            <w:pPr>
              <w:spacing w:after="0"/>
              <w:rPr>
                <w:sz w:val="1"/>
                <w:szCs w:val="1"/>
                <w:color w:val="auto"/>
              </w:rPr>
            </w:pPr>
          </w:p>
        </w:tc>
      </w:tr>
      <w:tr>
        <w:trPr>
          <w:trHeight w:val="88"/>
        </w:trPr>
        <w:tc>
          <w:tcPr>
            <w:tcW w:w="960" w:type="dxa"/>
            <w:vAlign w:val="bottom"/>
            <w:vMerge w:val="continue"/>
          </w:tcPr>
          <w:p>
            <w:pPr>
              <w:spacing w:after="0"/>
              <w:rPr>
                <w:sz w:val="7"/>
                <w:szCs w:val="7"/>
                <w:color w:val="auto"/>
              </w:rPr>
            </w:pPr>
          </w:p>
        </w:tc>
        <w:tc>
          <w:tcPr>
            <w:tcW w:w="6600" w:type="dxa"/>
            <w:vAlign w:val="bottom"/>
            <w:vMerge w:val="restart"/>
          </w:tcPr>
          <w:p>
            <w:pPr>
              <w:ind w:left="160"/>
              <w:spacing w:after="0" w:line="169" w:lineRule="exact"/>
              <w:rPr>
                <w:sz w:val="20"/>
                <w:szCs w:val="20"/>
                <w:color w:val="auto"/>
              </w:rPr>
            </w:pPr>
            <w:r>
              <w:rPr>
                <w:rFonts w:ascii="Calibri" w:cs="Calibri" w:eastAsia="Calibri" w:hAnsi="Calibri"/>
                <w:sz w:val="14"/>
                <w:szCs w:val="14"/>
                <w:color w:val="494949"/>
              </w:rPr>
              <w:t>stockholders who hold not less than 25% of the outstanding shares of common stock to call special meetngs</w:t>
            </w:r>
          </w:p>
        </w:tc>
        <w:tc>
          <w:tcPr>
            <w:tcW w:w="1800" w:type="dxa"/>
            <w:vAlign w:val="bottom"/>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960" w:type="dxa"/>
            <w:vAlign w:val="bottom"/>
          </w:tcPr>
          <w:p>
            <w:pPr>
              <w:spacing w:after="0"/>
              <w:rPr>
                <w:sz w:val="6"/>
                <w:szCs w:val="6"/>
                <w:color w:val="auto"/>
              </w:rPr>
            </w:pPr>
          </w:p>
        </w:tc>
        <w:tc>
          <w:tcPr>
            <w:tcW w:w="6600" w:type="dxa"/>
            <w:vAlign w:val="bottom"/>
            <w:vMerge w:val="continue"/>
          </w:tcPr>
          <w:p>
            <w:pPr>
              <w:spacing w:after="0"/>
              <w:rPr>
                <w:sz w:val="6"/>
                <w:szCs w:val="6"/>
                <w:color w:val="auto"/>
              </w:rPr>
            </w:pPr>
          </w:p>
        </w:tc>
        <w:tc>
          <w:tcPr>
            <w:tcW w:w="18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960" w:type="dxa"/>
            <w:vAlign w:val="bottom"/>
            <w:tcBorders>
              <w:bottom w:val="single" w:sz="8" w:color="auto"/>
            </w:tcBorders>
          </w:tcPr>
          <w:p>
            <w:pPr>
              <w:spacing w:after="0"/>
              <w:rPr>
                <w:sz w:val="5"/>
                <w:szCs w:val="5"/>
                <w:color w:val="auto"/>
              </w:rPr>
            </w:pPr>
          </w:p>
        </w:tc>
        <w:tc>
          <w:tcPr>
            <w:tcW w:w="660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960" w:type="dxa"/>
            <w:vAlign w:val="bottom"/>
            <w:vMerge w:val="restart"/>
          </w:tcPr>
          <w:p>
            <w:pPr>
              <w:jc w:val="center"/>
              <w:ind w:left="69"/>
              <w:spacing w:after="0"/>
              <w:rPr>
                <w:sz w:val="20"/>
                <w:szCs w:val="20"/>
                <w:color w:val="auto"/>
              </w:rPr>
            </w:pPr>
            <w:r>
              <w:rPr>
                <w:rFonts w:ascii="Calibri" w:cs="Calibri" w:eastAsia="Calibri" w:hAnsi="Calibri"/>
                <w:sz w:val="14"/>
                <w:szCs w:val="14"/>
                <w:color w:val="494949"/>
                <w:w w:val="99"/>
              </w:rPr>
              <w:t>No. 5</w:t>
            </w:r>
          </w:p>
        </w:tc>
        <w:tc>
          <w:tcPr>
            <w:tcW w:w="6600" w:type="dxa"/>
            <w:vAlign w:val="bottom"/>
          </w:tcPr>
          <w:p>
            <w:pPr>
              <w:ind w:left="160"/>
              <w:spacing w:after="0" w:line="151" w:lineRule="exact"/>
              <w:rPr>
                <w:sz w:val="20"/>
                <w:szCs w:val="20"/>
                <w:color w:val="auto"/>
              </w:rPr>
            </w:pPr>
            <w:r>
              <w:rPr>
                <w:rFonts w:ascii="Calibri" w:cs="Calibri" w:eastAsia="Calibri" w:hAnsi="Calibri"/>
                <w:sz w:val="14"/>
                <w:szCs w:val="14"/>
                <w:color w:val="494949"/>
              </w:rPr>
              <w:t>If properly presented at the Annual Meetng, a non-binding advisory vote on a</w:t>
            </w:r>
          </w:p>
        </w:tc>
        <w:tc>
          <w:tcPr>
            <w:tcW w:w="1800" w:type="dxa"/>
            <w:vAlign w:val="bottom"/>
            <w:vMerge w:val="restart"/>
          </w:tcPr>
          <w:p>
            <w:pPr>
              <w:jc w:val="center"/>
              <w:ind w:right="149"/>
              <w:spacing w:after="0"/>
              <w:rPr>
                <w:sz w:val="20"/>
                <w:szCs w:val="20"/>
                <w:color w:val="auto"/>
              </w:rPr>
            </w:pPr>
            <w:r>
              <w:rPr>
                <w:rFonts w:ascii="Calibri" w:cs="Calibri" w:eastAsia="Calibri" w:hAnsi="Calibri"/>
                <w:sz w:val="14"/>
                <w:szCs w:val="14"/>
                <w:b w:val="1"/>
                <w:bCs w:val="1"/>
                <w:color w:val="494949"/>
              </w:rPr>
              <w:t>AGAINST</w:t>
            </w:r>
          </w:p>
        </w:tc>
        <w:tc>
          <w:tcPr>
            <w:tcW w:w="1880" w:type="dxa"/>
            <w:vAlign w:val="bottom"/>
            <w:vMerge w:val="restart"/>
          </w:tcPr>
          <w:p>
            <w:pPr>
              <w:jc w:val="center"/>
              <w:spacing w:after="0"/>
              <w:rPr>
                <w:sz w:val="20"/>
                <w:szCs w:val="20"/>
                <w:color w:val="auto"/>
              </w:rPr>
            </w:pPr>
            <w:r>
              <w:rPr>
                <w:rFonts w:ascii="Calibri" w:cs="Calibri" w:eastAsia="Calibri" w:hAnsi="Calibri"/>
                <w:sz w:val="14"/>
                <w:szCs w:val="14"/>
                <w:color w:val="494949"/>
              </w:rPr>
              <w:t>61</w:t>
            </w:r>
          </w:p>
        </w:tc>
        <w:tc>
          <w:tcPr>
            <w:tcW w:w="0" w:type="dxa"/>
            <w:vAlign w:val="bottom"/>
          </w:tcPr>
          <w:p>
            <w:pPr>
              <w:spacing w:after="0"/>
              <w:rPr>
                <w:sz w:val="1"/>
                <w:szCs w:val="1"/>
                <w:color w:val="auto"/>
              </w:rPr>
            </w:pPr>
          </w:p>
        </w:tc>
      </w:tr>
      <w:tr>
        <w:trPr>
          <w:trHeight w:val="75"/>
        </w:trPr>
        <w:tc>
          <w:tcPr>
            <w:tcW w:w="960" w:type="dxa"/>
            <w:vAlign w:val="bottom"/>
            <w:vMerge w:val="continue"/>
          </w:tcPr>
          <w:p>
            <w:pPr>
              <w:spacing w:after="0"/>
              <w:rPr>
                <w:sz w:val="6"/>
                <w:szCs w:val="6"/>
                <w:color w:val="auto"/>
              </w:rPr>
            </w:pPr>
          </w:p>
        </w:tc>
        <w:tc>
          <w:tcPr>
            <w:tcW w:w="6600" w:type="dxa"/>
            <w:vAlign w:val="bottom"/>
            <w:vMerge w:val="restart"/>
          </w:tcPr>
          <w:p>
            <w:pPr>
              <w:ind w:left="160"/>
              <w:spacing w:after="0" w:line="169" w:lineRule="exact"/>
              <w:rPr>
                <w:sz w:val="20"/>
                <w:szCs w:val="20"/>
                <w:color w:val="auto"/>
              </w:rPr>
            </w:pPr>
            <w:r>
              <w:rPr>
                <w:rFonts w:ascii="Calibri" w:cs="Calibri" w:eastAsia="Calibri" w:hAnsi="Calibri"/>
                <w:sz w:val="14"/>
                <w:szCs w:val="14"/>
                <w:color w:val="494949"/>
              </w:rPr>
              <w:t>stockholder proposal</w:t>
            </w:r>
          </w:p>
        </w:tc>
        <w:tc>
          <w:tcPr>
            <w:tcW w:w="1800" w:type="dxa"/>
            <w:vAlign w:val="bottom"/>
            <w:vMerge w:val="continue"/>
          </w:tcPr>
          <w:p>
            <w:pPr>
              <w:spacing w:after="0"/>
              <w:rPr>
                <w:sz w:val="6"/>
                <w:szCs w:val="6"/>
                <w:color w:val="auto"/>
              </w:rPr>
            </w:pPr>
          </w:p>
        </w:tc>
        <w:tc>
          <w:tcPr>
            <w:tcW w:w="1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960" w:type="dxa"/>
            <w:vAlign w:val="bottom"/>
          </w:tcPr>
          <w:p>
            <w:pPr>
              <w:spacing w:after="0"/>
              <w:rPr>
                <w:sz w:val="8"/>
                <w:szCs w:val="8"/>
                <w:color w:val="auto"/>
              </w:rPr>
            </w:pPr>
          </w:p>
        </w:tc>
        <w:tc>
          <w:tcPr>
            <w:tcW w:w="6600" w:type="dxa"/>
            <w:vAlign w:val="bottom"/>
            <w:vMerge w:val="continue"/>
          </w:tcPr>
          <w:p>
            <w:pPr>
              <w:spacing w:after="0"/>
              <w:rPr>
                <w:sz w:val="8"/>
                <w:szCs w:val="8"/>
                <w:color w:val="auto"/>
              </w:rPr>
            </w:pPr>
          </w:p>
        </w:tc>
        <w:tc>
          <w:tcPr>
            <w:tcW w:w="18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960" w:type="dxa"/>
            <w:vAlign w:val="bottom"/>
            <w:tcBorders>
              <w:bottom w:val="single" w:sz="8" w:color="auto"/>
            </w:tcBorders>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47BCC"/>
        </w:rPr>
        <w:t>What is the diference between holding shares as a stockholder of record and as a benefcial owner?</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If your shares are registered directly in your name with the Company’s registrar and transfer agent, Computershare, you are considered a “stockholder of record” with respect to those shares. In this case, we are sending the Notce of Internet Availability of Proxy Materials to you directly.</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If your shares are held in a brokerage account or bank, you are considered the “benefcial owner” of those shares, which are held in “street name.” In this case, the Notce of Internet Availability of Proxy Materials will be forwarded to you by your broker or bank. As the benefcial owner, you have the right to direct your broker or bank how to vote your shares by following the votng instructons noted below.</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66</w:t>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47BCC"/>
        </w:rPr>
        <w:t>What is the procedure for votng?</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If you are a stockholder of record of Class A common stock, you can vote your shares at the Annual Meetng by atending the virtual meetng using the control number located on your proxy card, or the instructons that accompanied your proxy materials and submitng an electronic ballot, or you can give a proxy to be voted at the Annual Meetng in one of three ways: (1) over the telephone by calling a toll-free number provided on the enclosed proxy card,</w:t>
      </w:r>
    </w:p>
    <w:p>
      <w:pPr>
        <w:spacing w:after="0" w:line="3" w:lineRule="exact"/>
        <w:rPr>
          <w:sz w:val="20"/>
          <w:szCs w:val="20"/>
          <w:color w:val="auto"/>
        </w:rPr>
      </w:pPr>
    </w:p>
    <w:p>
      <w:pPr>
        <w:ind w:firstLine="6"/>
        <w:spacing w:after="0" w:line="231" w:lineRule="auto"/>
        <w:tabs>
          <w:tab w:leader="none" w:pos="237" w:val="left"/>
        </w:tabs>
        <w:numPr>
          <w:ilvl w:val="0"/>
          <w:numId w:val="62"/>
        </w:numPr>
        <w:rPr>
          <w:rFonts w:ascii="Calibri" w:cs="Calibri" w:eastAsia="Calibri" w:hAnsi="Calibri"/>
          <w:sz w:val="18"/>
          <w:szCs w:val="18"/>
          <w:color w:val="666666"/>
        </w:rPr>
      </w:pPr>
      <w:r>
        <w:rPr>
          <w:rFonts w:ascii="Calibri" w:cs="Calibri" w:eastAsia="Calibri" w:hAnsi="Calibri"/>
          <w:sz w:val="18"/>
          <w:szCs w:val="18"/>
          <w:color w:val="666666"/>
        </w:rPr>
        <w:t>electronically via the Internet as described in the enclosed proxy card, or (3) date, sign, and complete the proxy card and return it in the enclosed envelope, which requires no postage stamp if mailed in the United States.</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If you are a benefcial owner of Class A common stock, you must obtain a proxy, executed in your favor, from the stockholder of record to be able to vote virtually at the Annual Meetng. You can vote your shares at the Annual Meetng by atending the virtual meetng using the control number located on your proxy card, or the instructons that accompanied your proxy materials and submitng an electronic ballot, or you can give a proxy to be voted at the Annual Meetng in one of three ways: (1) over the telephone by calling a toll-free number provided on the enclosed proxy card, (2) electronically via the Internet as described in the enclosed proxy card, or (3) date, sign, and complete the proxy card and return it in the enclosed envelope, which requires no postage stamp if mailed in the United States.</w:t>
      </w:r>
    </w:p>
    <w:p>
      <w:pPr>
        <w:spacing w:after="0" w:line="15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47BCC"/>
        </w:rPr>
        <w:t>Can I change my proxy?</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You may revoke your proxy before it is voted at the Annual Meetng by delivering a signed revocaton leter to the Secretary of the Company at 8283 Greensboro Drive, McLean, Virginia 22102, or by submitng a new proxy, dated later than your frst proxy, in one of the ways described in the answer to the previous queston. If you are virtually atending the Annual Meetng, you may revoke your proxy by virtually atending the Annual Meetng and votng during the Annual Meetng. Virtual atendance at the Annual Meetng will not by itself revoke a proxy.</w:t>
      </w:r>
    </w:p>
    <w:p>
      <w:pPr>
        <w:spacing w:after="0" w:line="15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47BCC"/>
        </w:rPr>
        <w:t>Can other maters be decided at the Annual Meetng?</w:t>
      </w:r>
    </w:p>
    <w:p>
      <w:pPr>
        <w:spacing w:after="0" w:line="161" w:lineRule="exact"/>
        <w:rPr>
          <w:sz w:val="20"/>
          <w:szCs w:val="20"/>
          <w:color w:val="auto"/>
        </w:rPr>
      </w:pPr>
    </w:p>
    <w:p>
      <w:pPr>
        <w:jc w:val="both"/>
        <w:ind w:firstLine="319"/>
        <w:spacing w:after="0" w:line="247" w:lineRule="auto"/>
        <w:rPr>
          <w:sz w:val="20"/>
          <w:szCs w:val="20"/>
          <w:color w:val="auto"/>
        </w:rPr>
      </w:pPr>
      <w:r>
        <w:rPr>
          <w:rFonts w:ascii="Calibri" w:cs="Calibri" w:eastAsia="Calibri" w:hAnsi="Calibri"/>
          <w:sz w:val="17"/>
          <w:szCs w:val="17"/>
          <w:color w:val="666666"/>
        </w:rPr>
        <w:t>The Board is not aware of any other maters to be presented at the Annual Meetng. If any other mater proper for acton at the meetng should be presented, the holders of the accompanying proxy will vote the shares represented by the proxy on such mater in accordance with their best judgment. If any mater not proper for acton at the meetng should be presented, the holders of the proxy will vote against consideraton of the mater or the proposed acton.</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47BCC"/>
        </w:rPr>
        <w:t>What is the vote required for each proposal?</w:t>
      </w:r>
    </w:p>
    <w:p>
      <w:pPr>
        <w:spacing w:after="0" w:line="161" w:lineRule="exact"/>
        <w:rPr>
          <w:sz w:val="20"/>
          <w:szCs w:val="20"/>
          <w:color w:val="auto"/>
        </w:rPr>
      </w:pPr>
    </w:p>
    <w:p>
      <w:pPr>
        <w:jc w:val="both"/>
        <w:ind w:firstLine="319"/>
        <w:spacing w:after="0" w:line="247" w:lineRule="auto"/>
        <w:rPr>
          <w:sz w:val="20"/>
          <w:szCs w:val="20"/>
          <w:color w:val="auto"/>
        </w:rPr>
      </w:pPr>
      <w:r>
        <w:rPr>
          <w:rFonts w:ascii="Calibri" w:cs="Calibri" w:eastAsia="Calibri" w:hAnsi="Calibri"/>
          <w:sz w:val="17"/>
          <w:szCs w:val="17"/>
          <w:color w:val="666666"/>
        </w:rPr>
        <w:t>For proposal 1, each of the directors shall be elected by a majority of the votes validly cast at the Annual Meetng. For proposals 2, 3, and 5, approval of the proposal requires the afrmatve vote of a majority of the shares enttled to vote at the Annual Meetng represented either in person or by proxy at the Annual Meetng. For proposal 4, approval requires the afrmatve vote of the holders of a majority of the outstanding shares of Class A common stock enttled to vote.</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47BCC"/>
        </w:rPr>
        <w:t>What if I am a stockholder of record and do not provide votng instructons when returning a proxy?</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Stockholders should specify their choice for each mater on the proxy card. Proxies that are signed and returned but do not contain votng instructons will be voted:</w:t>
      </w:r>
    </w:p>
    <w:p>
      <w:pPr>
        <w:spacing w:after="0" w:line="152" w:lineRule="exact"/>
        <w:rPr>
          <w:sz w:val="20"/>
          <w:szCs w:val="20"/>
          <w:color w:val="auto"/>
        </w:rPr>
      </w:pPr>
    </w:p>
    <w:p>
      <w:pPr>
        <w:ind w:left="640" w:hanging="315"/>
        <w:spacing w:after="0"/>
        <w:tabs>
          <w:tab w:leader="none" w:pos="640" w:val="left"/>
        </w:tabs>
        <w:numPr>
          <w:ilvl w:val="0"/>
          <w:numId w:val="63"/>
        </w:numPr>
        <w:rPr>
          <w:rFonts w:ascii="Calibri" w:cs="Calibri" w:eastAsia="Calibri" w:hAnsi="Calibri"/>
          <w:sz w:val="18"/>
          <w:szCs w:val="18"/>
          <w:color w:val="666666"/>
        </w:rPr>
      </w:pPr>
      <w:r>
        <w:rPr>
          <w:rFonts w:ascii="Calibri" w:cs="Calibri" w:eastAsia="Calibri" w:hAnsi="Calibri"/>
          <w:sz w:val="18"/>
          <w:szCs w:val="18"/>
          <w:color w:val="666666"/>
        </w:rPr>
        <w:t>FOR the electon of all director nominees as set forth in this proxy statement;</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63"/>
        </w:numPr>
        <w:rPr>
          <w:rFonts w:ascii="Calibri" w:cs="Calibri" w:eastAsia="Calibri" w:hAnsi="Calibri"/>
          <w:sz w:val="18"/>
          <w:szCs w:val="18"/>
          <w:color w:val="666666"/>
        </w:rPr>
      </w:pPr>
      <w:r>
        <w:rPr>
          <w:rFonts w:ascii="Calibri" w:cs="Calibri" w:eastAsia="Calibri" w:hAnsi="Calibri"/>
          <w:sz w:val="18"/>
          <w:szCs w:val="18"/>
          <w:color w:val="666666"/>
        </w:rPr>
        <w:t>FOR the ratfcaton of the appointment of E&amp;Y as the Company's independent registered accountng frm for fscal year 2023;</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63"/>
        </w:numPr>
        <w:rPr>
          <w:rFonts w:ascii="Calibri" w:cs="Calibri" w:eastAsia="Calibri" w:hAnsi="Calibri"/>
          <w:sz w:val="18"/>
          <w:szCs w:val="18"/>
          <w:color w:val="666666"/>
        </w:rPr>
      </w:pPr>
      <w:r>
        <w:rPr>
          <w:rFonts w:ascii="Calibri" w:cs="Calibri" w:eastAsia="Calibri" w:hAnsi="Calibri"/>
          <w:sz w:val="18"/>
          <w:szCs w:val="18"/>
          <w:color w:val="666666"/>
        </w:rPr>
        <w:t>FOR the approval, on a non-binding, advisory basis, of the compensaton of our named executve ofcers;</w:t>
      </w:r>
    </w:p>
    <w:p>
      <w:pPr>
        <w:spacing w:after="0" w:line="161" w:lineRule="exact"/>
        <w:rPr>
          <w:rFonts w:ascii="Calibri" w:cs="Calibri" w:eastAsia="Calibri" w:hAnsi="Calibri"/>
          <w:sz w:val="18"/>
          <w:szCs w:val="18"/>
          <w:color w:val="666666"/>
        </w:rPr>
      </w:pPr>
    </w:p>
    <w:p>
      <w:pPr>
        <w:ind w:left="640" w:hanging="315"/>
        <w:spacing w:after="0" w:line="231" w:lineRule="auto"/>
        <w:tabs>
          <w:tab w:leader="none" w:pos="633" w:val="left"/>
        </w:tabs>
        <w:numPr>
          <w:ilvl w:val="0"/>
          <w:numId w:val="63"/>
        </w:numPr>
        <w:rPr>
          <w:rFonts w:ascii="Calibri" w:cs="Calibri" w:eastAsia="Calibri" w:hAnsi="Calibri"/>
          <w:sz w:val="18"/>
          <w:szCs w:val="18"/>
          <w:color w:val="666666"/>
        </w:rPr>
      </w:pPr>
      <w:r>
        <w:rPr>
          <w:rFonts w:ascii="Calibri" w:cs="Calibri" w:eastAsia="Calibri" w:hAnsi="Calibri"/>
          <w:sz w:val="18"/>
          <w:szCs w:val="18"/>
          <w:color w:val="666666"/>
        </w:rPr>
        <w:t>FOR the approval of the adopton of the Sixth Amended and Restated Certfcate of Incorporaton to permit stockholders who hold not less than 25% of the outstanding shares of common stock to call special meetngs; and</w:t>
      </w:r>
    </w:p>
    <w:p>
      <w:pPr>
        <w:spacing w:after="0" w:line="152" w:lineRule="exact"/>
        <w:rPr>
          <w:rFonts w:ascii="Calibri" w:cs="Calibri" w:eastAsia="Calibri" w:hAnsi="Calibri"/>
          <w:sz w:val="18"/>
          <w:szCs w:val="18"/>
          <w:color w:val="666666"/>
        </w:rPr>
      </w:pPr>
    </w:p>
    <w:p>
      <w:pPr>
        <w:ind w:left="640" w:hanging="315"/>
        <w:spacing w:after="0"/>
        <w:tabs>
          <w:tab w:leader="none" w:pos="640" w:val="left"/>
        </w:tabs>
        <w:numPr>
          <w:ilvl w:val="0"/>
          <w:numId w:val="63"/>
        </w:numPr>
        <w:rPr>
          <w:rFonts w:ascii="Calibri" w:cs="Calibri" w:eastAsia="Calibri" w:hAnsi="Calibri"/>
          <w:sz w:val="18"/>
          <w:szCs w:val="18"/>
          <w:color w:val="666666"/>
        </w:rPr>
      </w:pPr>
      <w:r>
        <w:rPr>
          <w:rFonts w:ascii="Calibri" w:cs="Calibri" w:eastAsia="Calibri" w:hAnsi="Calibri"/>
          <w:sz w:val="18"/>
          <w:szCs w:val="18"/>
          <w:color w:val="666666"/>
        </w:rPr>
        <w:t>AGAINST the approval, on a non-binding, advisory basis, of the stockholder proposal.</w:t>
      </w:r>
    </w:p>
    <w:p>
      <w:pPr>
        <w:spacing w:after="0" w:line="15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47BCC"/>
        </w:rPr>
        <w:t>What if I am a benefcial owner and do not give votng instructons to my broker?</w:t>
      </w:r>
    </w:p>
    <w:p>
      <w:pPr>
        <w:spacing w:after="0" w:line="161" w:lineRule="exact"/>
        <w:rPr>
          <w:sz w:val="20"/>
          <w:szCs w:val="20"/>
          <w:color w:val="auto"/>
        </w:rPr>
      </w:pPr>
    </w:p>
    <w:p>
      <w:pPr>
        <w:jc w:val="both"/>
        <w:ind w:firstLine="319"/>
        <w:spacing w:after="0" w:line="247" w:lineRule="auto"/>
        <w:rPr>
          <w:sz w:val="20"/>
          <w:szCs w:val="20"/>
          <w:color w:val="auto"/>
        </w:rPr>
      </w:pPr>
      <w:r>
        <w:rPr>
          <w:rFonts w:ascii="Calibri" w:cs="Calibri" w:eastAsia="Calibri" w:hAnsi="Calibri"/>
          <w:sz w:val="17"/>
          <w:szCs w:val="17"/>
          <w:color w:val="666666"/>
        </w:rPr>
        <w:t>If your shares are held by a broker in “street name,” your brokerage frm may vote your shares on certain “routne” maters if you do not provide votng instructons. The ratfcaton of an independent registered public accountng frm is an example of a routne mater. If you do not provide votng instructons, your brokerage frm may either vote your shares on routne maters or leave your shares unvoted. When a brokerage frm votes its customers' shares on a routne mater without receiving votng instructons, these shares are counted both for establishing a quorum to conduct business at the meetng and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67</w:t>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31" w:lineRule="auto"/>
        <w:rPr>
          <w:sz w:val="20"/>
          <w:szCs w:val="20"/>
          <w:color w:val="auto"/>
        </w:rPr>
      </w:pPr>
      <w:r>
        <w:rPr>
          <w:rFonts w:ascii="Calibri" w:cs="Calibri" w:eastAsia="Calibri" w:hAnsi="Calibri"/>
          <w:sz w:val="18"/>
          <w:szCs w:val="18"/>
          <w:color w:val="666666"/>
        </w:rPr>
        <w:t>in determining the number of shares voted for or against the routne mater. A brokerage frm cannot vote your shares on non-routne maters, such as the electon of directors, advisory vote on executve compensaton, approval of the Sixth Amended and Restated Certfcate of Incorporaton, and advisory vote on the stockholder proposal. If your brokerage frm has not received votng instructons on a non-routne mater, these shares will be considered “broker non-votes” to the extent that the brokerage frm submits a proxy.</w:t>
      </w:r>
    </w:p>
    <w:p>
      <w:pPr>
        <w:spacing w:after="0" w:line="15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47BCC"/>
        </w:rPr>
        <w:t>How are abstentons and broker non-votes counted?</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Abstentons will be treated as present for purposes of determining a quorum but will not be included in vote totals. Abstentons will have the efect of a vote “against” each of the proposals, other than for the electon of directors whereby abstentons will not afect the outcome.</w:t>
      </w:r>
    </w:p>
    <w:p>
      <w:pPr>
        <w:spacing w:after="0" w:line="161" w:lineRule="exact"/>
        <w:rPr>
          <w:sz w:val="20"/>
          <w:szCs w:val="20"/>
          <w:color w:val="auto"/>
        </w:rPr>
      </w:pPr>
    </w:p>
    <w:p>
      <w:pPr>
        <w:jc w:val="both"/>
        <w:ind w:firstLine="319"/>
        <w:spacing w:after="0" w:line="247" w:lineRule="auto"/>
        <w:rPr>
          <w:sz w:val="20"/>
          <w:szCs w:val="20"/>
          <w:color w:val="auto"/>
        </w:rPr>
      </w:pPr>
      <w:r>
        <w:rPr>
          <w:rFonts w:ascii="Calibri" w:cs="Calibri" w:eastAsia="Calibri" w:hAnsi="Calibri"/>
          <w:sz w:val="17"/>
          <w:szCs w:val="17"/>
          <w:color w:val="666666"/>
        </w:rPr>
        <w:t>Broker non-votes are counted for purposes of establishing a quorum. Broker non-votes will have no efect on the outcome of the non-routne proposals, except for the approval of the Sixth Amended and Restated Certfcate of Incorporaton whereby a broker non-vote would have the efect of a vote "against" the proposal. For the routne proposal, the ratfcaton of an independent registered public accountng frm, discretonary votng by a broker is permited.</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47BCC"/>
        </w:rPr>
        <w:t>Who will count the votes?</w:t>
      </w:r>
    </w:p>
    <w:p>
      <w:pPr>
        <w:spacing w:after="0" w:line="152" w:lineRule="exact"/>
        <w:rPr>
          <w:sz w:val="20"/>
          <w:szCs w:val="20"/>
          <w:color w:val="auto"/>
        </w:rPr>
      </w:pPr>
    </w:p>
    <w:p>
      <w:pPr>
        <w:ind w:left="320"/>
        <w:spacing w:after="0"/>
        <w:rPr>
          <w:sz w:val="20"/>
          <w:szCs w:val="20"/>
          <w:color w:val="auto"/>
        </w:rPr>
      </w:pPr>
      <w:r>
        <w:rPr>
          <w:rFonts w:ascii="Calibri" w:cs="Calibri" w:eastAsia="Calibri" w:hAnsi="Calibri"/>
          <w:sz w:val="18"/>
          <w:szCs w:val="18"/>
          <w:color w:val="666666"/>
        </w:rPr>
        <w:t>A representatve from Broadridge Financial Services will tabulate the votes and the results will be certfed by the inspector of electon.</w:t>
      </w:r>
    </w:p>
    <w:p>
      <w:pPr>
        <w:spacing w:after="0" w:line="15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47BCC"/>
        </w:rPr>
        <w:t>Who will bear the costs of solicitng votes for the Annual Meetng?</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Company will bear all costs of solicitng proxies. Pursuant to rules adopted by the SEC, we have elected to deliver a Notce of Internet Availability of Proxy Materials to you and make the proxy materials available via the Internet at www.proxyvote.com, which may be accessed using the control number located on each proxy card. We have retained the services of Morrow Sodali LLC to assist in the solicitaton of proxies for the Annual Meetng. The estmated cost of such services is $12,500, plus reasonable out-of-pocket expenses incurred in the process of solicitng proxies.</w:t>
      </w:r>
    </w:p>
    <w:p>
      <w:pPr>
        <w:spacing w:after="0" w:line="15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47BCC"/>
        </w:rPr>
        <w:t>When will the Company announce the votng results?</w:t>
      </w:r>
    </w:p>
    <w:p>
      <w:pPr>
        <w:spacing w:after="0" w:line="161" w:lineRule="exact"/>
        <w:rPr>
          <w:sz w:val="20"/>
          <w:szCs w:val="20"/>
          <w:color w:val="auto"/>
        </w:rPr>
      </w:pPr>
    </w:p>
    <w:p>
      <w:pPr>
        <w:ind w:right="20" w:firstLine="319"/>
        <w:spacing w:after="0" w:line="231" w:lineRule="auto"/>
        <w:rPr>
          <w:sz w:val="20"/>
          <w:szCs w:val="20"/>
          <w:color w:val="auto"/>
        </w:rPr>
      </w:pPr>
      <w:r>
        <w:rPr>
          <w:rFonts w:ascii="Calibri" w:cs="Calibri" w:eastAsia="Calibri" w:hAnsi="Calibri"/>
          <w:sz w:val="18"/>
          <w:szCs w:val="18"/>
          <w:color w:val="666666"/>
        </w:rPr>
        <w:t>The preliminary votng results will be announced at the Annual Meetng. The Company will report the fnal results on our website, www.boozallen.com, and in a Current Report on Form 8-K fled with the SEC.</w:t>
      </w:r>
    </w:p>
    <w:p>
      <w:pPr>
        <w:spacing w:after="0" w:line="15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47BCC"/>
        </w:rPr>
        <w:t>Can I receive a copy of the Annual Report?</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The annual report of the Company on Form 10-K for the fscal year ended March 31, 2022 is being furnished concurrently with this proxy statement to persons who were stockholders of record as of June 6, 2022, the record date for the Annual Meetng.</w:t>
      </w:r>
    </w:p>
    <w:p>
      <w:pPr>
        <w:spacing w:after="0" w:line="15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47BCC"/>
        </w:rPr>
        <w:t>What is “householding” and how does it afect me?</w:t>
      </w:r>
    </w:p>
    <w:p>
      <w:pPr>
        <w:spacing w:after="0" w:line="161"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In some cases, stockholders holding their shares in a brokerage or bank account who share the same surname and address and have not given contrary instructons are receiving only one copy of our annual report on Form 10-K and this proxy statement. This reduces the volume of duplicate informaton received at your household and helps to reduce the environmental impact and cost of our Annual Meetng. If you would like to have additonal copies of these documents mailed to you, please write or call our Secretary at 8283 Greensboro Drive, McLean, Virginia 22102, telephone: (703) 902-5000. If you want to receive separate copies of the proxy statement, annual report on Form 10-K, or Notce of Internet Availability of Proxy Materials, as applicable, in the future, or if you are receiving multple copies and would like to receive only one copy per household, you should contact your bank, broker, or other nominee record holder.</w:t>
      </w:r>
    </w:p>
    <w:p>
      <w:pPr>
        <w:spacing w:after="0" w:line="15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47BCC"/>
        </w:rPr>
        <w:t>How do I submit a proposal for acton at the annual of meetng of stockholders in 2023?</w:t>
      </w:r>
    </w:p>
    <w:p>
      <w:pPr>
        <w:spacing w:after="0" w:line="161" w:lineRule="exact"/>
        <w:rPr>
          <w:sz w:val="20"/>
          <w:szCs w:val="20"/>
          <w:color w:val="auto"/>
        </w:rPr>
      </w:pPr>
    </w:p>
    <w:p>
      <w:pPr>
        <w:jc w:val="both"/>
        <w:ind w:firstLine="319"/>
        <w:spacing w:after="0" w:line="249" w:lineRule="auto"/>
        <w:rPr>
          <w:sz w:val="20"/>
          <w:szCs w:val="20"/>
          <w:color w:val="auto"/>
        </w:rPr>
      </w:pPr>
      <w:r>
        <w:rPr>
          <w:rFonts w:ascii="Calibri" w:cs="Calibri" w:eastAsia="Calibri" w:hAnsi="Calibri"/>
          <w:sz w:val="17"/>
          <w:szCs w:val="17"/>
          <w:color w:val="666666"/>
        </w:rPr>
        <w:t>Under applicable SEC rules and regulatons (including SEC Rule 14a-8), the Company will review for inclusion in next year’s proxy statement stockholder proposals received by February 16, 2023. Proposals should be sent to the Secretary of the Company at 8283 Greensboro Drive, McLean, Virginia 22102.</w:t>
      </w:r>
    </w:p>
    <w:p>
      <w:pPr>
        <w:spacing w:after="0" w:line="154" w:lineRule="exact"/>
        <w:rPr>
          <w:sz w:val="20"/>
          <w:szCs w:val="20"/>
          <w:color w:val="auto"/>
        </w:rPr>
      </w:pPr>
    </w:p>
    <w:p>
      <w:pPr>
        <w:jc w:val="both"/>
        <w:ind w:firstLine="319"/>
        <w:spacing w:after="0" w:line="247" w:lineRule="auto"/>
        <w:rPr>
          <w:sz w:val="20"/>
          <w:szCs w:val="20"/>
          <w:color w:val="auto"/>
        </w:rPr>
      </w:pPr>
      <w:r>
        <w:rPr>
          <w:rFonts w:ascii="Calibri" w:cs="Calibri" w:eastAsia="Calibri" w:hAnsi="Calibri"/>
          <w:sz w:val="17"/>
          <w:szCs w:val="17"/>
          <w:color w:val="666666"/>
        </w:rPr>
        <w:t>Pursuant to our Fifh Amended and Restated Bylaws, stockholder proposals not included in next year’s proxy statement may be brought before the 2023 Annual Meetng of Stockholders by a stockholder of the Company who is enttled to vote at the meetng, who has given a writen notce to the Secretary of the Company at 8283 Greensboro Drive, McLean, Virginia 22102 containing certain informaton specifed in the bylaws and who was a stockholder of record at the tme such notce was given and at the date of the 2023 Annual Meetng of Stockholders. Such notce must be delivered to or mailed and received at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68</w:t>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31" w:lineRule="auto"/>
        <w:rPr>
          <w:sz w:val="20"/>
          <w:szCs w:val="20"/>
          <w:color w:val="auto"/>
        </w:rPr>
      </w:pPr>
      <w:r>
        <w:rPr>
          <w:rFonts w:ascii="Calibri" w:cs="Calibri" w:eastAsia="Calibri" w:hAnsi="Calibri"/>
          <w:sz w:val="18"/>
          <w:szCs w:val="18"/>
          <w:color w:val="666666"/>
        </w:rPr>
        <w:t>the address in the preceding paragraph no earlier than March 30, 2023 and no later than April 29, 2023, except that if the date of the 2023 Annual Meetng of Stockholders is changed, and the meetng is held before June 27, 2023 or afer October 5, 2023, such notce must be delivered at the address in the preceding paragraph no earlier than 120 days prior to the new date of such annual meetng and not later than the close of business on the later of (i) the nineteth day prior to the new date of such annual meetng and (ii) the tenth day following the day on which a public announcement of the new date of such annual meetng is frst made.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69</w:t>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Calibri" w:cs="Calibri" w:eastAsia="Calibri" w:hAnsi="Calibri"/>
          <w:sz w:val="28"/>
          <w:szCs w:val="28"/>
          <w:b w:val="1"/>
          <w:bCs w:val="1"/>
          <w:u w:val="single" w:color="auto"/>
          <w:color w:val="547BCC"/>
        </w:rPr>
        <w:t>Appendix A</w:t>
      </w:r>
    </w:p>
    <w:p>
      <w:pPr>
        <w:spacing w:after="0" w:line="164"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547BCC"/>
        </w:rPr>
        <w:t>Non-GAAP Measures</w:t>
      </w:r>
    </w:p>
    <w:p>
      <w:pPr>
        <w:spacing w:after="0" w:line="166" w:lineRule="exact"/>
        <w:rPr>
          <w:sz w:val="20"/>
          <w:szCs w:val="20"/>
          <w:color w:val="auto"/>
        </w:rPr>
      </w:pPr>
    </w:p>
    <w:p>
      <w:pPr>
        <w:jc w:val="both"/>
        <w:ind w:firstLine="319"/>
        <w:spacing w:after="0" w:line="245" w:lineRule="auto"/>
        <w:rPr>
          <w:sz w:val="20"/>
          <w:szCs w:val="20"/>
          <w:color w:val="auto"/>
        </w:rPr>
      </w:pPr>
      <w:r>
        <w:rPr>
          <w:rFonts w:ascii="Calibri" w:cs="Calibri" w:eastAsia="Calibri" w:hAnsi="Calibri"/>
          <w:sz w:val="17"/>
          <w:szCs w:val="17"/>
          <w:color w:val="666666"/>
        </w:rPr>
        <w:t>We publicly disclose certain non-GAAP fnancial measurements, including Revenue, Excluding Billable Expenses, Adjusted EBITDA, Adjusted EBITDA Margin on Revenue, Adjusted EBITDA Margin on Revenue, Excluding Billable Expenses, Adjusted Net Income, and Adjusted Diluted Earnings Per Share, or Adjusted Diluted EPS, because management uses these measures for business planning purposes, including to manage our business against internal projected results of operatons and measure our performance. We view Adjusted EBITDA, Adjusted EBITDA Margin on Revenue, Adjusted EBITDA Margin on Revenue, Excluding Billable Expenses, Adjusted Net Income, and Adjusted Diluted EPS as measures of our core operatng business, which exclude the impact of the items detailed below, as these items are generally not operatonal in nature. These non-GAAP measures also provide another basis for comparing period to period results by excluding potental diferences caused by non-operatonal and unusual or non-recurring items. In additon, we use Revenue, Excluding Billable Expenses because it provides management useful informaton about the Company's operatng performance by excluding the impact of costs that are not indicatve of the level of productvity of our consultng staf headcount and our overall direct labor, which management believes provides useful informaton to our investors about our core operatons. We also utlize and discuss Free Cash Flow because management uses this measure for business planning purposes, measuring the cash generatng ability of the operatng business, and measuring liquidity generally. We present these supplemental measures because we believe that these measures provide investors and securites analysts with important supplemental informaton with which to evaluate our performance, long term earnings potental, or liquidity, as applicable, and to enable them to assess our performance on the same basis as management. These supplemental performance measurements may vary from and may not be comparable to similarly ttled measures by other companies in our industry. Revenue, Excluding Billable Expenses, Adjusted EBITDA, Adjusted EBITDA Margin on Revenue, Adjusted EBITDA Margin on Revenue, Excluding Billable Expenses, Adjusted Net Income, Adjusted Diluted EPS, and Free Cash Flow are not recognized measurements under accountng principles generally accepted in the United States, or GAAP, and when analyzing our performance or liquidity, as applicable, investors should (i) evaluate each adjustment in our reconciliaton of revenue to Revenue, Excluding Billable Expenses, net income to Adjusted EBITDA, Adjusted EBITDA Margin on Revenue, Adjusted EBITDA Margin on Revenue, Excluding Billable Expenses, Adjusted Net Income, and Adjusted Diluted EPS, and net cash provided by operatng actvites to Free Cash Flow, and the explanatory footnotes regarding those adjustments, each as defned under GAAP, (ii) use Revenue, Excluding Billable Expenses, Adjusted EBITDA, Adjusted EBITDA Margin on Revenue, Adjusted EBITDA Margin on Revenue, Excluding Billable Expenses, Adjusted Net Income, and Adjusted Diluted EPS in additon to, and not as an alternatve to, revenue, net income, or diluted EPS, as measures of operatng results, and (iii) use Free Cash Flow in additon to, and not as an alternatve to, net cash provided by operatng actvites as a measure of liquidity, each as defned under GAAP. We have defned the aforementoned non-GAAP measures as follows:</w:t>
      </w:r>
    </w:p>
    <w:p>
      <w:pPr>
        <w:spacing w:after="0" w:line="174" w:lineRule="exact"/>
        <w:rPr>
          <w:sz w:val="20"/>
          <w:szCs w:val="20"/>
          <w:color w:val="auto"/>
        </w:rPr>
      </w:pPr>
    </w:p>
    <w:p>
      <w:pPr>
        <w:jc w:val="both"/>
        <w:ind w:left="640" w:hanging="315"/>
        <w:spacing w:after="0" w:line="231" w:lineRule="auto"/>
        <w:tabs>
          <w:tab w:leader="none" w:pos="633" w:val="left"/>
        </w:tabs>
        <w:numPr>
          <w:ilvl w:val="0"/>
          <w:numId w:val="64"/>
        </w:numPr>
        <w:rPr>
          <w:rFonts w:ascii="Calibri" w:cs="Calibri" w:eastAsia="Calibri" w:hAnsi="Calibri"/>
          <w:sz w:val="18"/>
          <w:szCs w:val="18"/>
          <w:color w:val="666666"/>
        </w:rPr>
      </w:pPr>
      <w:r>
        <w:rPr>
          <w:rFonts w:ascii="Calibri" w:cs="Calibri" w:eastAsia="Calibri" w:hAnsi="Calibri"/>
          <w:sz w:val="18"/>
          <w:szCs w:val="18"/>
          <w:color w:val="666666"/>
        </w:rPr>
        <w:t>"Revenue, Excluding Billable Expenses" represents revenue less billable expenses. We use Revenue, Excluding Billable Expenses because it provides management useful informaton about the Company's operatng performance by excluding the impact of costs that are not indicatve of the level of productvity of our consultng staf headcount and our overall direct labor, which management believes provides useful informaton to our investors about our core operatons.</w:t>
      </w:r>
    </w:p>
    <w:p>
      <w:pPr>
        <w:spacing w:after="0" w:line="163" w:lineRule="exact"/>
        <w:rPr>
          <w:rFonts w:ascii="Calibri" w:cs="Calibri" w:eastAsia="Calibri" w:hAnsi="Calibri"/>
          <w:sz w:val="18"/>
          <w:szCs w:val="18"/>
          <w:color w:val="666666"/>
        </w:rPr>
      </w:pPr>
    </w:p>
    <w:p>
      <w:pPr>
        <w:jc w:val="both"/>
        <w:ind w:left="640" w:hanging="315"/>
        <w:spacing w:after="0" w:line="231" w:lineRule="auto"/>
        <w:tabs>
          <w:tab w:leader="none" w:pos="633" w:val="left"/>
        </w:tabs>
        <w:numPr>
          <w:ilvl w:val="0"/>
          <w:numId w:val="64"/>
        </w:numPr>
        <w:rPr>
          <w:rFonts w:ascii="Calibri" w:cs="Calibri" w:eastAsia="Calibri" w:hAnsi="Calibri"/>
          <w:sz w:val="18"/>
          <w:szCs w:val="18"/>
          <w:color w:val="666666"/>
        </w:rPr>
      </w:pPr>
      <w:r>
        <w:rPr>
          <w:rFonts w:ascii="Calibri" w:cs="Calibri" w:eastAsia="Calibri" w:hAnsi="Calibri"/>
          <w:sz w:val="18"/>
          <w:szCs w:val="18"/>
          <w:color w:val="666666"/>
        </w:rPr>
        <w:t>"Adjusted EBITDA" represents net income before income taxes, net interest and other expense and depreciaton and amortzaton and before certain other items, including acquisiton and divestture costs, fnancing transacton costs, supplemental employee benefts due to COVID-19, and restructuring costs. “Adjusted EBITDA Margin on Revenue” is calculated as Adjusted EBITDA divided by revenue. "Adjusted EBITDA Margin on Revenue, Excluding Billable Expenses" is calculated as Adjusted EBITDA divided by Revenue, Excluding Billable Expenses. The Company prepares Adjusted EBITDA, Adjusted EBITDA Margin on Revenue, and Adjusted EBITDA Margin on Revenue, Excluding Billable Expenses to eliminate the impact of items it does not consider indicatve of ongoing operatng performance due to their inherent unusual, extraordinary or non-recurring nature or because they result from an event of a similar nature.</w:t>
      </w:r>
    </w:p>
    <w:p>
      <w:pPr>
        <w:spacing w:after="0" w:line="166" w:lineRule="exact"/>
        <w:rPr>
          <w:rFonts w:ascii="Calibri" w:cs="Calibri" w:eastAsia="Calibri" w:hAnsi="Calibri"/>
          <w:sz w:val="18"/>
          <w:szCs w:val="18"/>
          <w:color w:val="666666"/>
        </w:rPr>
      </w:pPr>
    </w:p>
    <w:p>
      <w:pPr>
        <w:jc w:val="both"/>
        <w:ind w:left="640" w:hanging="315"/>
        <w:spacing w:after="0" w:line="231" w:lineRule="auto"/>
        <w:tabs>
          <w:tab w:leader="none" w:pos="633" w:val="left"/>
        </w:tabs>
        <w:numPr>
          <w:ilvl w:val="0"/>
          <w:numId w:val="64"/>
        </w:numPr>
        <w:rPr>
          <w:rFonts w:ascii="Calibri" w:cs="Calibri" w:eastAsia="Calibri" w:hAnsi="Calibri"/>
          <w:sz w:val="18"/>
          <w:szCs w:val="18"/>
          <w:color w:val="666666"/>
        </w:rPr>
      </w:pPr>
      <w:r>
        <w:rPr>
          <w:rFonts w:ascii="Calibri" w:cs="Calibri" w:eastAsia="Calibri" w:hAnsi="Calibri"/>
          <w:sz w:val="18"/>
          <w:szCs w:val="18"/>
          <w:color w:val="666666"/>
        </w:rPr>
        <w:t>"Adjusted Net Income" as presented herein, represents net income before: (i) acquisiton and divestture costs, (ii) fnancing transacton costs, (iii) supplemental employee benefts due to COVID-19, (iv) signifcant acquisiton amortzaton, (v) restructuring costs, (vi) gain associated with equity method investment actvity, (vii) research and development tax credits, (viii) release of income tax reserves, (ix) loss on debt extnguishment, (x) remeasurement of deferred tax assets/liabilites, and (xi) amortzaton or write-of of debt issuance costs and debt discount, in each case net of the tax efect where appropriate calculated using an assumed efectve tax rate. We prepare Adjusted Net Income to eliminate the impact of items, net of tax, we do not consider indicatve of ongoing operatng performance due to their inherent unusual, extraordinary, or non-recurring nature or because they result from an event of a</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A - 1</w:t>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640"/>
        <w:spacing w:after="0" w:line="231" w:lineRule="auto"/>
        <w:rPr>
          <w:sz w:val="20"/>
          <w:szCs w:val="20"/>
          <w:color w:val="auto"/>
        </w:rPr>
      </w:pPr>
      <w:r>
        <w:rPr>
          <w:rFonts w:ascii="Calibri" w:cs="Calibri" w:eastAsia="Calibri" w:hAnsi="Calibri"/>
          <w:sz w:val="18"/>
          <w:szCs w:val="18"/>
          <w:color w:val="666666"/>
        </w:rPr>
        <w:t>similar nature. We view net income excluding the impact of the re-measurement of the Company's deferred tax assets and liabilites as an important indicator of performance consistent with the manner in which management measures and forecasts the Company's performance and the way in which management is incentvized to perform.</w:t>
      </w:r>
    </w:p>
    <w:p>
      <w:pPr>
        <w:spacing w:after="0" w:line="162" w:lineRule="exact"/>
        <w:rPr>
          <w:sz w:val="20"/>
          <w:szCs w:val="20"/>
          <w:color w:val="auto"/>
        </w:rPr>
      </w:pPr>
    </w:p>
    <w:p>
      <w:pPr>
        <w:jc w:val="both"/>
        <w:ind w:left="640" w:hanging="315"/>
        <w:spacing w:after="0" w:line="231" w:lineRule="auto"/>
        <w:tabs>
          <w:tab w:leader="none" w:pos="633" w:val="left"/>
        </w:tabs>
        <w:numPr>
          <w:ilvl w:val="0"/>
          <w:numId w:val="65"/>
        </w:numPr>
        <w:rPr>
          <w:rFonts w:ascii="Calibri" w:cs="Calibri" w:eastAsia="Calibri" w:hAnsi="Calibri"/>
          <w:sz w:val="18"/>
          <w:szCs w:val="18"/>
          <w:color w:val="666666"/>
        </w:rPr>
      </w:pPr>
      <w:r>
        <w:rPr>
          <w:rFonts w:ascii="Calibri" w:cs="Calibri" w:eastAsia="Calibri" w:hAnsi="Calibri"/>
          <w:sz w:val="18"/>
          <w:szCs w:val="18"/>
          <w:color w:val="666666"/>
        </w:rPr>
        <w:t>“Adjusted Diluted EPS” as presented herein, represents diluted EPS calculated using Adjusted Net Income, as presented herein, as opposed to net income. Additonally, Adjusted Diluted EPS does not contemplate any adjustments to net income as required under the two-class method as disclosed in the footnotes to the consolidated fnancial statements.</w:t>
      </w:r>
    </w:p>
    <w:p>
      <w:pPr>
        <w:spacing w:after="0" w:line="153" w:lineRule="exact"/>
        <w:rPr>
          <w:rFonts w:ascii="Calibri" w:cs="Calibri" w:eastAsia="Calibri" w:hAnsi="Calibri"/>
          <w:sz w:val="18"/>
          <w:szCs w:val="18"/>
          <w:color w:val="666666"/>
        </w:rPr>
      </w:pPr>
    </w:p>
    <w:p>
      <w:pPr>
        <w:ind w:left="640" w:hanging="315"/>
        <w:spacing w:after="0"/>
        <w:tabs>
          <w:tab w:leader="none" w:pos="640" w:val="left"/>
        </w:tabs>
        <w:numPr>
          <w:ilvl w:val="0"/>
          <w:numId w:val="65"/>
        </w:numPr>
        <w:rPr>
          <w:rFonts w:ascii="Calibri" w:cs="Calibri" w:eastAsia="Calibri" w:hAnsi="Calibri"/>
          <w:sz w:val="18"/>
          <w:szCs w:val="18"/>
          <w:color w:val="666666"/>
        </w:rPr>
      </w:pPr>
      <w:r>
        <w:rPr>
          <w:rFonts w:ascii="Calibri" w:cs="Calibri" w:eastAsia="Calibri" w:hAnsi="Calibri"/>
          <w:sz w:val="18"/>
          <w:szCs w:val="18"/>
          <w:color w:val="666666"/>
        </w:rPr>
        <w:t>“Free Cash Flow” represents the net cash generated from operatng actvites less the impact of purchases of property, equipment, and sofware.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A - 2</w:t>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397" w:lineRule="exact"/>
        <w:rPr>
          <w:sz w:val="20"/>
          <w:szCs w:val="20"/>
          <w:color w:val="auto"/>
        </w:rPr>
      </w:pPr>
    </w:p>
    <w:p>
      <w:pPr>
        <w:jc w:val="both"/>
        <w:ind w:firstLine="319"/>
        <w:spacing w:after="0" w:line="231" w:lineRule="auto"/>
        <w:rPr>
          <w:sz w:val="20"/>
          <w:szCs w:val="20"/>
          <w:color w:val="auto"/>
        </w:rPr>
      </w:pPr>
      <w:r>
        <w:rPr>
          <w:rFonts w:ascii="Calibri" w:cs="Calibri" w:eastAsia="Calibri" w:hAnsi="Calibri"/>
          <w:sz w:val="18"/>
          <w:szCs w:val="18"/>
          <w:color w:val="666666"/>
        </w:rPr>
        <w:t>Below is a reconciliaton of Revenue, Excluding Billable Expenses, Adjusted EBITDA, Adjusted EBITDA Margin on Revenue, Adjusted EBITDA Margin on Revenue, Excluding Billable Expenses, Adjusted Net Income, Adjusted Diluted EPS, and Free Cash Flow to the most directly comparable fnancial measure calculated and presented in accordance with GAAP.</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120" w:type="dxa"/>
            <w:vAlign w:val="bottom"/>
            <w:gridSpan w:val="4"/>
          </w:tcPr>
          <w:p>
            <w:pPr>
              <w:ind w:left="760"/>
              <w:spacing w:after="0"/>
              <w:rPr>
                <w:sz w:val="20"/>
                <w:szCs w:val="20"/>
                <w:color w:val="auto"/>
              </w:rPr>
            </w:pPr>
            <w:r>
              <w:rPr>
                <w:rFonts w:ascii="Calibri" w:cs="Calibri" w:eastAsia="Calibri" w:hAnsi="Calibri"/>
                <w:sz w:val="14"/>
                <w:szCs w:val="14"/>
                <w:b w:val="1"/>
                <w:bCs w:val="1"/>
                <w:color w:val="494949"/>
              </w:rPr>
              <w:t>Fiscal Year Ended March 31,</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4480" w:type="dxa"/>
            <w:vAlign w:val="bottom"/>
            <w:vMerge w:val="restart"/>
          </w:tcPr>
          <w:p>
            <w:pPr>
              <w:ind w:left="20"/>
              <w:spacing w:after="0"/>
              <w:rPr>
                <w:sz w:val="20"/>
                <w:szCs w:val="20"/>
                <w:color w:val="auto"/>
              </w:rPr>
            </w:pPr>
            <w:r>
              <w:rPr>
                <w:rFonts w:ascii="Calibri" w:cs="Calibri" w:eastAsia="Calibri" w:hAnsi="Calibri"/>
                <w:sz w:val="14"/>
                <w:szCs w:val="14"/>
                <w:b w:val="1"/>
                <w:bCs w:val="1"/>
                <w:color w:val="494949"/>
              </w:rPr>
              <w:t>(Amounts in thousands, except share and per share data)</w:t>
            </w: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44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629"/>
              <w:spacing w:after="0" w:line="161" w:lineRule="exact"/>
              <w:rPr>
                <w:sz w:val="20"/>
                <w:szCs w:val="20"/>
                <w:color w:val="auto"/>
              </w:rPr>
            </w:pPr>
            <w:r>
              <w:rPr>
                <w:rFonts w:ascii="Calibri" w:cs="Calibri" w:eastAsia="Calibri" w:hAnsi="Calibri"/>
                <w:sz w:val="14"/>
                <w:szCs w:val="14"/>
                <w:b w:val="1"/>
                <w:bCs w:val="1"/>
                <w:color w:val="494949"/>
              </w:rPr>
              <w:t>2022</w:t>
            </w: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jc w:val="right"/>
              <w:ind w:right="629"/>
              <w:spacing w:after="0" w:line="161" w:lineRule="exact"/>
              <w:rPr>
                <w:sz w:val="20"/>
                <w:szCs w:val="20"/>
                <w:color w:val="auto"/>
              </w:rPr>
            </w:pPr>
            <w:r>
              <w:rPr>
                <w:rFonts w:ascii="Calibri" w:cs="Calibri" w:eastAsia="Calibri" w:hAnsi="Calibri"/>
                <w:sz w:val="14"/>
                <w:szCs w:val="14"/>
                <w:b w:val="1"/>
                <w:bCs w:val="1"/>
                <w:color w:val="494949"/>
              </w:rPr>
              <w:t>2021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649"/>
              <w:spacing w:after="0" w:line="161" w:lineRule="exact"/>
              <w:rPr>
                <w:sz w:val="20"/>
                <w:szCs w:val="20"/>
                <w:color w:val="auto"/>
              </w:rPr>
            </w:pPr>
            <w:r>
              <w:rPr>
                <w:rFonts w:ascii="Calibri" w:cs="Calibri" w:eastAsia="Calibri" w:hAnsi="Calibri"/>
                <w:sz w:val="14"/>
                <w:szCs w:val="14"/>
                <w:b w:val="1"/>
                <w:bCs w:val="1"/>
                <w:color w:val="494949"/>
              </w:rPr>
              <w:t>2020</w:t>
            </w:r>
          </w:p>
        </w:tc>
        <w:tc>
          <w:tcPr>
            <w:tcW w:w="0" w:type="dxa"/>
            <w:vAlign w:val="bottom"/>
          </w:tcPr>
          <w:p>
            <w:pPr>
              <w:spacing w:after="0"/>
              <w:rPr>
                <w:sz w:val="1"/>
                <w:szCs w:val="1"/>
                <w:color w:val="auto"/>
              </w:rPr>
            </w:pPr>
          </w:p>
        </w:tc>
      </w:tr>
      <w:tr>
        <w:trPr>
          <w:trHeight w:val="31"/>
        </w:trPr>
        <w:tc>
          <w:tcPr>
            <w:tcW w:w="44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4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80" w:type="dxa"/>
            <w:vAlign w:val="bottom"/>
            <w:gridSpan w:val="2"/>
          </w:tcPr>
          <w:p>
            <w:pPr>
              <w:jc w:val="right"/>
              <w:spacing w:after="0" w:line="161" w:lineRule="exact"/>
              <w:rPr>
                <w:sz w:val="20"/>
                <w:szCs w:val="20"/>
                <w:color w:val="auto"/>
              </w:rPr>
            </w:pPr>
            <w:r>
              <w:rPr>
                <w:rFonts w:ascii="Calibri" w:cs="Calibri" w:eastAsia="Calibri" w:hAnsi="Calibri"/>
                <w:sz w:val="14"/>
                <w:szCs w:val="14"/>
                <w:b w:val="1"/>
                <w:bCs w:val="1"/>
                <w:color w:val="494949"/>
              </w:rPr>
              <w:t>(Unaudited)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4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4480" w:type="dxa"/>
            <w:vAlign w:val="bottom"/>
            <w:tcBorders>
              <w:bottom w:val="single" w:sz="8" w:color="CCEEFF"/>
            </w:tcBorders>
            <w:shd w:val="clear" w:color="auto" w:fill="CCEEFF"/>
          </w:tcPr>
          <w:p>
            <w:pPr>
              <w:ind w:left="20"/>
              <w:spacing w:after="0" w:line="169" w:lineRule="exact"/>
              <w:rPr>
                <w:sz w:val="20"/>
                <w:szCs w:val="20"/>
                <w:color w:val="auto"/>
              </w:rPr>
            </w:pPr>
            <w:r>
              <w:rPr>
                <w:rFonts w:ascii="Calibri" w:cs="Calibri" w:eastAsia="Calibri" w:hAnsi="Calibri"/>
                <w:sz w:val="14"/>
                <w:szCs w:val="14"/>
                <w:b w:val="1"/>
                <w:bCs w:val="1"/>
                <w:i w:val="1"/>
                <w:iCs w:val="1"/>
                <w:color w:val="494949"/>
              </w:rPr>
              <w:t>Revenue, Excluding Billable Expenses</w:t>
            </w: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480" w:type="dxa"/>
            <w:vAlign w:val="bottom"/>
          </w:tcPr>
          <w:p>
            <w:pPr>
              <w:ind w:left="340"/>
              <w:spacing w:after="0" w:line="169" w:lineRule="exact"/>
              <w:rPr>
                <w:sz w:val="20"/>
                <w:szCs w:val="20"/>
                <w:color w:val="auto"/>
              </w:rPr>
            </w:pPr>
            <w:r>
              <w:rPr>
                <w:rFonts w:ascii="Calibri" w:cs="Calibri" w:eastAsia="Calibri" w:hAnsi="Calibri"/>
                <w:sz w:val="14"/>
                <w:szCs w:val="14"/>
                <w:color w:val="494949"/>
              </w:rPr>
              <w:t>Revenue</w:t>
            </w:r>
          </w:p>
        </w:tc>
        <w:tc>
          <w:tcPr>
            <w:tcW w:w="400" w:type="dxa"/>
            <w:vAlign w:val="bottom"/>
          </w:tcPr>
          <w:p>
            <w:pPr>
              <w:jc w:val="right"/>
              <w:ind w:right="229"/>
              <w:spacing w:after="0" w:line="169" w:lineRule="exact"/>
              <w:rPr>
                <w:sz w:val="20"/>
                <w:szCs w:val="20"/>
                <w:color w:val="auto"/>
              </w:rPr>
            </w:pPr>
            <w:r>
              <w:rPr>
                <w:rFonts w:ascii="Calibri" w:cs="Calibri" w:eastAsia="Calibri" w:hAnsi="Calibri"/>
                <w:sz w:val="14"/>
                <w:szCs w:val="14"/>
                <w:color w:val="494949"/>
              </w:rPr>
              <w:t>$</w:t>
            </w:r>
          </w:p>
        </w:tc>
        <w:tc>
          <w:tcPr>
            <w:tcW w:w="1300" w:type="dxa"/>
            <w:vAlign w:val="bottom"/>
          </w:tcPr>
          <w:p>
            <w:pPr>
              <w:jc w:val="right"/>
              <w:ind w:right="69"/>
              <w:spacing w:after="0" w:line="169" w:lineRule="exact"/>
              <w:rPr>
                <w:sz w:val="20"/>
                <w:szCs w:val="20"/>
                <w:color w:val="auto"/>
              </w:rPr>
            </w:pPr>
            <w:r>
              <w:rPr>
                <w:rFonts w:ascii="Calibri" w:cs="Calibri" w:eastAsia="Calibri" w:hAnsi="Calibri"/>
                <w:sz w:val="14"/>
                <w:szCs w:val="14"/>
                <w:color w:val="494949"/>
              </w:rPr>
              <w:t>8,363,700</w:t>
            </w:r>
          </w:p>
        </w:tc>
        <w:tc>
          <w:tcPr>
            <w:tcW w:w="1980" w:type="dxa"/>
            <w:vAlign w:val="bottom"/>
            <w:gridSpan w:val="2"/>
          </w:tcPr>
          <w:p>
            <w:pPr>
              <w:jc w:val="right"/>
              <w:ind w:right="509"/>
              <w:spacing w:after="0" w:line="169" w:lineRule="exact"/>
              <w:rPr>
                <w:sz w:val="20"/>
                <w:szCs w:val="20"/>
                <w:color w:val="auto"/>
              </w:rPr>
            </w:pPr>
            <w:r>
              <w:rPr>
                <w:rFonts w:ascii="Calibri" w:cs="Calibri" w:eastAsia="Calibri" w:hAnsi="Calibri"/>
                <w:sz w:val="14"/>
                <w:szCs w:val="14"/>
                <w:color w:val="494949"/>
              </w:rPr>
              <w:t>$</w:t>
            </w:r>
          </w:p>
        </w:tc>
        <w:tc>
          <w:tcPr>
            <w:tcW w:w="1040" w:type="dxa"/>
            <w:vAlign w:val="bottom"/>
          </w:tcPr>
          <w:p>
            <w:pPr>
              <w:jc w:val="right"/>
              <w:ind w:right="89"/>
              <w:spacing w:after="0" w:line="169" w:lineRule="exact"/>
              <w:rPr>
                <w:sz w:val="20"/>
                <w:szCs w:val="20"/>
                <w:color w:val="auto"/>
              </w:rPr>
            </w:pPr>
            <w:r>
              <w:rPr>
                <w:rFonts w:ascii="Calibri" w:cs="Calibri" w:eastAsia="Calibri" w:hAnsi="Calibri"/>
                <w:sz w:val="14"/>
                <w:szCs w:val="14"/>
                <w:color w:val="494949"/>
              </w:rPr>
              <w:t>7,858,938</w:t>
            </w:r>
          </w:p>
        </w:tc>
        <w:tc>
          <w:tcPr>
            <w:tcW w:w="100" w:type="dxa"/>
            <w:vAlign w:val="bottom"/>
          </w:tcPr>
          <w:p>
            <w:pPr>
              <w:spacing w:after="0"/>
              <w:rPr>
                <w:sz w:val="14"/>
                <w:szCs w:val="14"/>
                <w:color w:val="auto"/>
              </w:rPr>
            </w:pPr>
          </w:p>
        </w:tc>
        <w:tc>
          <w:tcPr>
            <w:tcW w:w="400" w:type="dxa"/>
            <w:vAlign w:val="bottom"/>
          </w:tcPr>
          <w:p>
            <w:pPr>
              <w:jc w:val="right"/>
              <w:ind w:right="229"/>
              <w:spacing w:after="0" w:line="169" w:lineRule="exact"/>
              <w:rPr>
                <w:sz w:val="20"/>
                <w:szCs w:val="20"/>
                <w:color w:val="auto"/>
              </w:rPr>
            </w:pPr>
            <w:r>
              <w:rPr>
                <w:rFonts w:ascii="Calibri" w:cs="Calibri" w:eastAsia="Calibri" w:hAnsi="Calibri"/>
                <w:sz w:val="14"/>
                <w:szCs w:val="14"/>
                <w:color w:val="494949"/>
              </w:rPr>
              <w:t>$</w:t>
            </w:r>
          </w:p>
        </w:tc>
        <w:tc>
          <w:tcPr>
            <w:tcW w:w="1320" w:type="dxa"/>
            <w:vAlign w:val="bottom"/>
          </w:tcPr>
          <w:p>
            <w:pPr>
              <w:jc w:val="right"/>
              <w:ind w:right="89"/>
              <w:spacing w:after="0" w:line="169" w:lineRule="exact"/>
              <w:rPr>
                <w:sz w:val="20"/>
                <w:szCs w:val="20"/>
                <w:color w:val="auto"/>
              </w:rPr>
            </w:pPr>
            <w:r>
              <w:rPr>
                <w:rFonts w:ascii="Calibri" w:cs="Calibri" w:eastAsia="Calibri" w:hAnsi="Calibri"/>
                <w:sz w:val="14"/>
                <w:szCs w:val="14"/>
                <w:color w:val="494949"/>
              </w:rPr>
              <w:t>7,463,841</w:t>
            </w:r>
          </w:p>
        </w:tc>
        <w:tc>
          <w:tcPr>
            <w:tcW w:w="0" w:type="dxa"/>
            <w:vAlign w:val="bottom"/>
          </w:tcPr>
          <w:p>
            <w:pPr>
              <w:spacing w:after="0"/>
              <w:rPr>
                <w:sz w:val="1"/>
                <w:szCs w:val="1"/>
                <w:color w:val="auto"/>
              </w:rPr>
            </w:pPr>
          </w:p>
        </w:tc>
      </w:tr>
      <w:tr>
        <w:trPr>
          <w:trHeight w:val="31"/>
        </w:trPr>
        <w:tc>
          <w:tcPr>
            <w:tcW w:w="4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480" w:type="dxa"/>
            <w:vAlign w:val="bottom"/>
            <w:tcBorders>
              <w:bottom w:val="single" w:sz="8" w:color="CCEEFF"/>
            </w:tcBorders>
            <w:shd w:val="clear" w:color="auto" w:fill="CCEEFF"/>
          </w:tcPr>
          <w:p>
            <w:pPr>
              <w:ind w:left="340"/>
              <w:spacing w:after="0" w:line="169" w:lineRule="exact"/>
              <w:rPr>
                <w:sz w:val="20"/>
                <w:szCs w:val="20"/>
                <w:color w:val="auto"/>
              </w:rPr>
            </w:pPr>
            <w:r>
              <w:rPr>
                <w:rFonts w:ascii="Calibri" w:cs="Calibri" w:eastAsia="Calibri" w:hAnsi="Calibri"/>
                <w:sz w:val="14"/>
                <w:szCs w:val="14"/>
                <w:color w:val="494949"/>
              </w:rPr>
              <w:t>Billable Expenses</w:t>
            </w: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69"/>
              <w:spacing w:after="0" w:line="169" w:lineRule="exact"/>
              <w:rPr>
                <w:sz w:val="20"/>
                <w:szCs w:val="20"/>
                <w:color w:val="auto"/>
              </w:rPr>
            </w:pPr>
            <w:r>
              <w:rPr>
                <w:rFonts w:ascii="Calibri" w:cs="Calibri" w:eastAsia="Calibri" w:hAnsi="Calibri"/>
                <w:sz w:val="14"/>
                <w:szCs w:val="14"/>
                <w:color w:val="494949"/>
              </w:rPr>
              <w:t>2,474,163</w:t>
            </w:r>
          </w:p>
        </w:tc>
        <w:tc>
          <w:tcPr>
            <w:tcW w:w="13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9"/>
              <w:spacing w:after="0" w:line="169" w:lineRule="exact"/>
              <w:rPr>
                <w:sz w:val="20"/>
                <w:szCs w:val="20"/>
                <w:color w:val="auto"/>
              </w:rPr>
            </w:pPr>
            <w:r>
              <w:rPr>
                <w:rFonts w:ascii="Calibri" w:cs="Calibri" w:eastAsia="Calibri" w:hAnsi="Calibri"/>
                <w:sz w:val="14"/>
                <w:szCs w:val="14"/>
                <w:color w:val="494949"/>
              </w:rPr>
              <w:t>2,325,888</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89"/>
              <w:spacing w:after="0" w:line="169" w:lineRule="exact"/>
              <w:rPr>
                <w:sz w:val="20"/>
                <w:szCs w:val="20"/>
                <w:color w:val="auto"/>
              </w:rPr>
            </w:pPr>
            <w:r>
              <w:rPr>
                <w:rFonts w:ascii="Calibri" w:cs="Calibri" w:eastAsia="Calibri" w:hAnsi="Calibri"/>
                <w:sz w:val="14"/>
                <w:szCs w:val="14"/>
                <w:color w:val="494949"/>
              </w:rPr>
              <w:t>2,298,413</w:t>
            </w:r>
          </w:p>
        </w:tc>
        <w:tc>
          <w:tcPr>
            <w:tcW w:w="0" w:type="dxa"/>
            <w:vAlign w:val="bottom"/>
          </w:tcPr>
          <w:p>
            <w:pPr>
              <w:spacing w:after="0"/>
              <w:rPr>
                <w:sz w:val="1"/>
                <w:szCs w:val="1"/>
                <w:color w:val="auto"/>
              </w:rPr>
            </w:pPr>
          </w:p>
        </w:tc>
      </w:tr>
      <w:tr>
        <w:trPr>
          <w:trHeight w:val="161"/>
        </w:trPr>
        <w:tc>
          <w:tcPr>
            <w:tcW w:w="4480" w:type="dxa"/>
            <w:vAlign w:val="bottom"/>
          </w:tcPr>
          <w:p>
            <w:pPr>
              <w:ind w:left="660"/>
              <w:spacing w:after="0" w:line="149" w:lineRule="exact"/>
              <w:rPr>
                <w:sz w:val="20"/>
                <w:szCs w:val="20"/>
                <w:color w:val="auto"/>
              </w:rPr>
            </w:pPr>
            <w:r>
              <w:rPr>
                <w:rFonts w:ascii="Calibri" w:cs="Calibri" w:eastAsia="Calibri" w:hAnsi="Calibri"/>
                <w:sz w:val="14"/>
                <w:szCs w:val="14"/>
                <w:color w:val="494949"/>
              </w:rPr>
              <w:t>Revenue, Excluding Billable Expenses</w:t>
            </w:r>
          </w:p>
        </w:tc>
        <w:tc>
          <w:tcPr>
            <w:tcW w:w="400" w:type="dxa"/>
            <w:vAlign w:val="bottom"/>
            <w:tcBorders>
              <w:top w:val="single" w:sz="8" w:color="auto"/>
            </w:tcBorders>
          </w:tcPr>
          <w:p>
            <w:pPr>
              <w:jc w:val="right"/>
              <w:ind w:right="229"/>
              <w:spacing w:after="0" w:line="161" w:lineRule="exact"/>
              <w:rPr>
                <w:sz w:val="20"/>
                <w:szCs w:val="20"/>
                <w:color w:val="auto"/>
              </w:rPr>
            </w:pPr>
            <w:r>
              <w:rPr>
                <w:rFonts w:ascii="Calibri" w:cs="Calibri" w:eastAsia="Calibri" w:hAnsi="Calibri"/>
                <w:sz w:val="14"/>
                <w:szCs w:val="14"/>
                <w:color w:val="494949"/>
              </w:rPr>
              <w:t>$</w:t>
            </w:r>
          </w:p>
        </w:tc>
        <w:tc>
          <w:tcPr>
            <w:tcW w:w="1300" w:type="dxa"/>
            <w:vAlign w:val="bottom"/>
            <w:tcBorders>
              <w:top w:val="single" w:sz="8" w:color="auto"/>
            </w:tcBorders>
          </w:tcPr>
          <w:p>
            <w:pPr>
              <w:jc w:val="right"/>
              <w:ind w:right="69"/>
              <w:spacing w:after="0" w:line="161" w:lineRule="exact"/>
              <w:rPr>
                <w:sz w:val="20"/>
                <w:szCs w:val="20"/>
                <w:color w:val="auto"/>
              </w:rPr>
            </w:pPr>
            <w:r>
              <w:rPr>
                <w:rFonts w:ascii="Calibri" w:cs="Calibri" w:eastAsia="Calibri" w:hAnsi="Calibri"/>
                <w:sz w:val="14"/>
                <w:szCs w:val="14"/>
                <w:color w:val="494949"/>
              </w:rPr>
              <w:t>5,889,537</w:t>
            </w:r>
          </w:p>
        </w:tc>
        <w:tc>
          <w:tcPr>
            <w:tcW w:w="1320" w:type="dxa"/>
            <w:vAlign w:val="bottom"/>
          </w:tcPr>
          <w:p>
            <w:pPr>
              <w:spacing w:after="0"/>
              <w:rPr>
                <w:sz w:val="14"/>
                <w:szCs w:val="14"/>
                <w:color w:val="auto"/>
              </w:rPr>
            </w:pPr>
          </w:p>
        </w:tc>
        <w:tc>
          <w:tcPr>
            <w:tcW w:w="660" w:type="dxa"/>
            <w:vAlign w:val="bottom"/>
            <w:tcBorders>
              <w:top w:val="single" w:sz="8" w:color="auto"/>
            </w:tcBorders>
          </w:tcPr>
          <w:p>
            <w:pPr>
              <w:jc w:val="right"/>
              <w:ind w:right="509"/>
              <w:spacing w:after="0" w:line="161" w:lineRule="exact"/>
              <w:rPr>
                <w:sz w:val="20"/>
                <w:szCs w:val="20"/>
                <w:color w:val="auto"/>
              </w:rPr>
            </w:pPr>
            <w:r>
              <w:rPr>
                <w:rFonts w:ascii="Calibri" w:cs="Calibri" w:eastAsia="Calibri" w:hAnsi="Calibri"/>
                <w:sz w:val="14"/>
                <w:szCs w:val="14"/>
                <w:color w:val="494949"/>
                <w:w w:val="83"/>
              </w:rPr>
              <w:t>$</w:t>
            </w:r>
          </w:p>
        </w:tc>
        <w:tc>
          <w:tcPr>
            <w:tcW w:w="1040" w:type="dxa"/>
            <w:vAlign w:val="bottom"/>
            <w:tcBorders>
              <w:top w:val="single" w:sz="8" w:color="auto"/>
            </w:tcBorders>
          </w:tcPr>
          <w:p>
            <w:pPr>
              <w:jc w:val="right"/>
              <w:ind w:right="89"/>
              <w:spacing w:after="0" w:line="161" w:lineRule="exact"/>
              <w:rPr>
                <w:sz w:val="20"/>
                <w:szCs w:val="20"/>
                <w:color w:val="auto"/>
              </w:rPr>
            </w:pPr>
            <w:r>
              <w:rPr>
                <w:rFonts w:ascii="Calibri" w:cs="Calibri" w:eastAsia="Calibri" w:hAnsi="Calibri"/>
                <w:sz w:val="14"/>
                <w:szCs w:val="14"/>
                <w:color w:val="494949"/>
              </w:rPr>
              <w:t>5,533,050</w:t>
            </w:r>
          </w:p>
        </w:tc>
        <w:tc>
          <w:tcPr>
            <w:tcW w:w="100" w:type="dxa"/>
            <w:vAlign w:val="bottom"/>
          </w:tcPr>
          <w:p>
            <w:pPr>
              <w:spacing w:after="0"/>
              <w:rPr>
                <w:sz w:val="14"/>
                <w:szCs w:val="14"/>
                <w:color w:val="auto"/>
              </w:rPr>
            </w:pPr>
          </w:p>
        </w:tc>
        <w:tc>
          <w:tcPr>
            <w:tcW w:w="400" w:type="dxa"/>
            <w:vAlign w:val="bottom"/>
            <w:tcBorders>
              <w:top w:val="single" w:sz="8" w:color="auto"/>
            </w:tcBorders>
          </w:tcPr>
          <w:p>
            <w:pPr>
              <w:jc w:val="right"/>
              <w:ind w:right="229"/>
              <w:spacing w:after="0" w:line="161" w:lineRule="exact"/>
              <w:rPr>
                <w:sz w:val="20"/>
                <w:szCs w:val="20"/>
                <w:color w:val="auto"/>
              </w:rPr>
            </w:pPr>
            <w:r>
              <w:rPr>
                <w:rFonts w:ascii="Calibri" w:cs="Calibri" w:eastAsia="Calibri" w:hAnsi="Calibri"/>
                <w:sz w:val="14"/>
                <w:szCs w:val="14"/>
                <w:color w:val="494949"/>
              </w:rPr>
              <w:t>$</w:t>
            </w:r>
          </w:p>
        </w:tc>
        <w:tc>
          <w:tcPr>
            <w:tcW w:w="1320" w:type="dxa"/>
            <w:vAlign w:val="bottom"/>
            <w:tcBorders>
              <w:top w:val="single" w:sz="8" w:color="auto"/>
            </w:tcBorders>
          </w:tcPr>
          <w:p>
            <w:pPr>
              <w:jc w:val="right"/>
              <w:ind w:right="89"/>
              <w:spacing w:after="0" w:line="161" w:lineRule="exact"/>
              <w:rPr>
                <w:sz w:val="20"/>
                <w:szCs w:val="20"/>
                <w:color w:val="auto"/>
              </w:rPr>
            </w:pPr>
            <w:r>
              <w:rPr>
                <w:rFonts w:ascii="Calibri" w:cs="Calibri" w:eastAsia="Calibri" w:hAnsi="Calibri"/>
                <w:sz w:val="14"/>
                <w:szCs w:val="14"/>
                <w:color w:val="494949"/>
              </w:rPr>
              <w:t>5,165,428</w:t>
            </w:r>
          </w:p>
        </w:tc>
        <w:tc>
          <w:tcPr>
            <w:tcW w:w="0" w:type="dxa"/>
            <w:vAlign w:val="bottom"/>
          </w:tcPr>
          <w:p>
            <w:pPr>
              <w:spacing w:after="0"/>
              <w:rPr>
                <w:sz w:val="1"/>
                <w:szCs w:val="1"/>
                <w:color w:val="auto"/>
              </w:rPr>
            </w:pPr>
          </w:p>
        </w:tc>
      </w:tr>
      <w:tr>
        <w:trPr>
          <w:trHeight w:val="31"/>
        </w:trPr>
        <w:tc>
          <w:tcPr>
            <w:tcW w:w="44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4480" w:type="dxa"/>
            <w:vAlign w:val="bottom"/>
            <w:shd w:val="clear" w:color="auto" w:fill="CCEEFF"/>
          </w:tcPr>
          <w:p>
            <w:pPr>
              <w:ind w:left="20"/>
              <w:spacing w:after="0" w:line="98" w:lineRule="exact"/>
              <w:rPr>
                <w:sz w:val="20"/>
                <w:szCs w:val="20"/>
                <w:color w:val="auto"/>
              </w:rPr>
            </w:pPr>
            <w:r>
              <w:rPr>
                <w:rFonts w:ascii="Calibri" w:cs="Calibri" w:eastAsia="Calibri" w:hAnsi="Calibri"/>
                <w:sz w:val="10"/>
                <w:szCs w:val="10"/>
                <w:b w:val="1"/>
                <w:bCs w:val="1"/>
                <w:i w:val="1"/>
                <w:iCs w:val="1"/>
                <w:color w:val="494949"/>
              </w:rPr>
              <w:t>EBITDA, Adjusted EBITDA, Adjusted EBITDA Margin on Revenue &amp;</w:t>
            </w:r>
          </w:p>
        </w:tc>
        <w:tc>
          <w:tcPr>
            <w:tcW w:w="4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4480" w:type="dxa"/>
            <w:vAlign w:val="bottom"/>
            <w:tcBorders>
              <w:bottom w:val="single" w:sz="8" w:color="CCEEFF"/>
            </w:tcBorders>
            <w:shd w:val="clear" w:color="auto" w:fill="CCEEFF"/>
          </w:tcPr>
          <w:p>
            <w:pPr>
              <w:ind w:left="20"/>
              <w:spacing w:after="0" w:line="169" w:lineRule="exact"/>
              <w:rPr>
                <w:sz w:val="20"/>
                <w:szCs w:val="20"/>
                <w:color w:val="auto"/>
              </w:rPr>
            </w:pPr>
            <w:r>
              <w:rPr>
                <w:rFonts w:ascii="Calibri" w:cs="Calibri" w:eastAsia="Calibri" w:hAnsi="Calibri"/>
                <w:sz w:val="14"/>
                <w:szCs w:val="14"/>
                <w:b w:val="1"/>
                <w:bCs w:val="1"/>
                <w:i w:val="1"/>
                <w:iCs w:val="1"/>
                <w:color w:val="494949"/>
              </w:rPr>
              <w:t>Adjusted EBITDA Margin on Revenue, Excluding Billable Expenses</w:t>
            </w: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480" w:type="dxa"/>
            <w:vAlign w:val="bottom"/>
          </w:tcPr>
          <w:p>
            <w:pPr>
              <w:ind w:left="340"/>
              <w:spacing w:after="0" w:line="169" w:lineRule="exact"/>
              <w:rPr>
                <w:sz w:val="20"/>
                <w:szCs w:val="20"/>
                <w:color w:val="auto"/>
              </w:rPr>
            </w:pPr>
            <w:r>
              <w:rPr>
                <w:rFonts w:ascii="Calibri" w:cs="Calibri" w:eastAsia="Calibri" w:hAnsi="Calibri"/>
                <w:sz w:val="14"/>
                <w:szCs w:val="14"/>
                <w:color w:val="494949"/>
              </w:rPr>
              <w:t>Net income</w:t>
            </w:r>
          </w:p>
        </w:tc>
        <w:tc>
          <w:tcPr>
            <w:tcW w:w="400" w:type="dxa"/>
            <w:vAlign w:val="bottom"/>
          </w:tcPr>
          <w:p>
            <w:pPr>
              <w:jc w:val="right"/>
              <w:ind w:right="229"/>
              <w:spacing w:after="0" w:line="169" w:lineRule="exact"/>
              <w:rPr>
                <w:sz w:val="20"/>
                <w:szCs w:val="20"/>
                <w:color w:val="auto"/>
              </w:rPr>
            </w:pPr>
            <w:r>
              <w:rPr>
                <w:rFonts w:ascii="Calibri" w:cs="Calibri" w:eastAsia="Calibri" w:hAnsi="Calibri"/>
                <w:sz w:val="14"/>
                <w:szCs w:val="14"/>
                <w:color w:val="494949"/>
              </w:rPr>
              <w:t>$</w:t>
            </w:r>
          </w:p>
        </w:tc>
        <w:tc>
          <w:tcPr>
            <w:tcW w:w="1300" w:type="dxa"/>
            <w:vAlign w:val="bottom"/>
          </w:tcPr>
          <w:p>
            <w:pPr>
              <w:jc w:val="right"/>
              <w:ind w:right="69"/>
              <w:spacing w:after="0" w:line="169" w:lineRule="exact"/>
              <w:rPr>
                <w:sz w:val="20"/>
                <w:szCs w:val="20"/>
                <w:color w:val="auto"/>
              </w:rPr>
            </w:pPr>
            <w:r>
              <w:rPr>
                <w:rFonts w:ascii="Calibri" w:cs="Calibri" w:eastAsia="Calibri" w:hAnsi="Calibri"/>
                <w:sz w:val="14"/>
                <w:szCs w:val="14"/>
                <w:color w:val="494949"/>
              </w:rPr>
              <w:t>466,577</w:t>
            </w:r>
          </w:p>
        </w:tc>
        <w:tc>
          <w:tcPr>
            <w:tcW w:w="1980" w:type="dxa"/>
            <w:vAlign w:val="bottom"/>
            <w:gridSpan w:val="2"/>
          </w:tcPr>
          <w:p>
            <w:pPr>
              <w:jc w:val="right"/>
              <w:ind w:right="509"/>
              <w:spacing w:after="0" w:line="169" w:lineRule="exact"/>
              <w:rPr>
                <w:sz w:val="20"/>
                <w:szCs w:val="20"/>
                <w:color w:val="auto"/>
              </w:rPr>
            </w:pPr>
            <w:r>
              <w:rPr>
                <w:rFonts w:ascii="Calibri" w:cs="Calibri" w:eastAsia="Calibri" w:hAnsi="Calibri"/>
                <w:sz w:val="14"/>
                <w:szCs w:val="14"/>
                <w:color w:val="494949"/>
              </w:rPr>
              <w:t>$</w:t>
            </w:r>
          </w:p>
        </w:tc>
        <w:tc>
          <w:tcPr>
            <w:tcW w:w="1040" w:type="dxa"/>
            <w:vAlign w:val="bottom"/>
          </w:tcPr>
          <w:p>
            <w:pPr>
              <w:jc w:val="right"/>
              <w:ind w:right="89"/>
              <w:spacing w:after="0" w:line="169" w:lineRule="exact"/>
              <w:rPr>
                <w:sz w:val="20"/>
                <w:szCs w:val="20"/>
                <w:color w:val="auto"/>
              </w:rPr>
            </w:pPr>
            <w:r>
              <w:rPr>
                <w:rFonts w:ascii="Calibri" w:cs="Calibri" w:eastAsia="Calibri" w:hAnsi="Calibri"/>
                <w:sz w:val="14"/>
                <w:szCs w:val="14"/>
                <w:color w:val="494949"/>
              </w:rPr>
              <w:t>608,958</w:t>
            </w:r>
          </w:p>
        </w:tc>
        <w:tc>
          <w:tcPr>
            <w:tcW w:w="100" w:type="dxa"/>
            <w:vAlign w:val="bottom"/>
          </w:tcPr>
          <w:p>
            <w:pPr>
              <w:spacing w:after="0"/>
              <w:rPr>
                <w:sz w:val="14"/>
                <w:szCs w:val="14"/>
                <w:color w:val="auto"/>
              </w:rPr>
            </w:pPr>
          </w:p>
        </w:tc>
        <w:tc>
          <w:tcPr>
            <w:tcW w:w="400" w:type="dxa"/>
            <w:vAlign w:val="bottom"/>
          </w:tcPr>
          <w:p>
            <w:pPr>
              <w:jc w:val="right"/>
              <w:ind w:right="229"/>
              <w:spacing w:after="0" w:line="169" w:lineRule="exact"/>
              <w:rPr>
                <w:sz w:val="20"/>
                <w:szCs w:val="20"/>
                <w:color w:val="auto"/>
              </w:rPr>
            </w:pPr>
            <w:r>
              <w:rPr>
                <w:rFonts w:ascii="Calibri" w:cs="Calibri" w:eastAsia="Calibri" w:hAnsi="Calibri"/>
                <w:sz w:val="14"/>
                <w:szCs w:val="14"/>
                <w:color w:val="494949"/>
              </w:rPr>
              <w:t>$</w:t>
            </w:r>
          </w:p>
        </w:tc>
        <w:tc>
          <w:tcPr>
            <w:tcW w:w="1320" w:type="dxa"/>
            <w:vAlign w:val="bottom"/>
          </w:tcPr>
          <w:p>
            <w:pPr>
              <w:jc w:val="right"/>
              <w:ind w:right="89"/>
              <w:spacing w:after="0" w:line="169" w:lineRule="exact"/>
              <w:rPr>
                <w:sz w:val="20"/>
                <w:szCs w:val="20"/>
                <w:color w:val="auto"/>
              </w:rPr>
            </w:pPr>
            <w:r>
              <w:rPr>
                <w:rFonts w:ascii="Calibri" w:cs="Calibri" w:eastAsia="Calibri" w:hAnsi="Calibri"/>
                <w:sz w:val="14"/>
                <w:szCs w:val="14"/>
                <w:color w:val="494949"/>
              </w:rPr>
              <w:t>482,603</w:t>
            </w:r>
          </w:p>
        </w:tc>
        <w:tc>
          <w:tcPr>
            <w:tcW w:w="0" w:type="dxa"/>
            <w:vAlign w:val="bottom"/>
          </w:tcPr>
          <w:p>
            <w:pPr>
              <w:spacing w:after="0"/>
              <w:rPr>
                <w:sz w:val="1"/>
                <w:szCs w:val="1"/>
                <w:color w:val="auto"/>
              </w:rPr>
            </w:pPr>
          </w:p>
        </w:tc>
      </w:tr>
      <w:tr>
        <w:trPr>
          <w:trHeight w:val="31"/>
        </w:trPr>
        <w:tc>
          <w:tcPr>
            <w:tcW w:w="4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4480" w:type="dxa"/>
            <w:vAlign w:val="bottom"/>
            <w:tcBorders>
              <w:bottom w:val="single" w:sz="8" w:color="CCEEFF"/>
            </w:tcBorders>
            <w:shd w:val="clear" w:color="auto" w:fill="CCEEFF"/>
          </w:tcPr>
          <w:p>
            <w:pPr>
              <w:ind w:left="340"/>
              <w:spacing w:after="0" w:line="169" w:lineRule="exact"/>
              <w:rPr>
                <w:sz w:val="20"/>
                <w:szCs w:val="20"/>
                <w:color w:val="auto"/>
              </w:rPr>
            </w:pPr>
            <w:r>
              <w:rPr>
                <w:rFonts w:ascii="Calibri" w:cs="Calibri" w:eastAsia="Calibri" w:hAnsi="Calibri"/>
                <w:sz w:val="14"/>
                <w:szCs w:val="14"/>
                <w:color w:val="494949"/>
              </w:rPr>
              <w:t>Income tax expense</w:t>
            </w: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69"/>
              <w:spacing w:after="0" w:line="169" w:lineRule="exact"/>
              <w:rPr>
                <w:sz w:val="20"/>
                <w:szCs w:val="20"/>
                <w:color w:val="auto"/>
              </w:rPr>
            </w:pPr>
            <w:r>
              <w:rPr>
                <w:rFonts w:ascii="Calibri" w:cs="Calibri" w:eastAsia="Calibri" w:hAnsi="Calibri"/>
                <w:sz w:val="14"/>
                <w:szCs w:val="14"/>
                <w:color w:val="494949"/>
              </w:rPr>
              <w:t>137,466</w:t>
            </w:r>
          </w:p>
        </w:tc>
        <w:tc>
          <w:tcPr>
            <w:tcW w:w="13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89"/>
              <w:spacing w:after="0" w:line="169" w:lineRule="exact"/>
              <w:rPr>
                <w:sz w:val="20"/>
                <w:szCs w:val="20"/>
                <w:color w:val="auto"/>
              </w:rPr>
            </w:pPr>
            <w:r>
              <w:rPr>
                <w:rFonts w:ascii="Calibri" w:cs="Calibri" w:eastAsia="Calibri" w:hAnsi="Calibri"/>
                <w:sz w:val="14"/>
                <w:szCs w:val="14"/>
                <w:color w:val="494949"/>
              </w:rPr>
              <w:t>53,481</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89"/>
              <w:spacing w:after="0" w:line="169" w:lineRule="exact"/>
              <w:rPr>
                <w:sz w:val="20"/>
                <w:szCs w:val="20"/>
                <w:color w:val="auto"/>
              </w:rPr>
            </w:pPr>
            <w:r>
              <w:rPr>
                <w:rFonts w:ascii="Calibri" w:cs="Calibri" w:eastAsia="Calibri" w:hAnsi="Calibri"/>
                <w:sz w:val="14"/>
                <w:szCs w:val="14"/>
                <w:color w:val="494949"/>
              </w:rPr>
              <w:t>96,831</w:t>
            </w:r>
          </w:p>
        </w:tc>
        <w:tc>
          <w:tcPr>
            <w:tcW w:w="0" w:type="dxa"/>
            <w:vAlign w:val="bottom"/>
          </w:tcPr>
          <w:p>
            <w:pPr>
              <w:spacing w:after="0"/>
              <w:rPr>
                <w:sz w:val="1"/>
                <w:szCs w:val="1"/>
                <w:color w:val="auto"/>
              </w:rPr>
            </w:pPr>
          </w:p>
        </w:tc>
      </w:tr>
      <w:tr>
        <w:trPr>
          <w:trHeight w:val="168"/>
        </w:trPr>
        <w:tc>
          <w:tcPr>
            <w:tcW w:w="4480" w:type="dxa"/>
            <w:vAlign w:val="bottom"/>
          </w:tcPr>
          <w:p>
            <w:pPr>
              <w:ind w:left="340"/>
              <w:spacing w:after="0" w:line="169" w:lineRule="exact"/>
              <w:rPr>
                <w:sz w:val="20"/>
                <w:szCs w:val="20"/>
                <w:color w:val="auto"/>
              </w:rPr>
            </w:pPr>
            <w:r>
              <w:rPr>
                <w:rFonts w:ascii="Calibri" w:cs="Calibri" w:eastAsia="Calibri" w:hAnsi="Calibri"/>
                <w:sz w:val="14"/>
                <w:szCs w:val="14"/>
                <w:color w:val="494949"/>
              </w:rPr>
              <w:t>Interest and other, net (a)</w:t>
            </w:r>
          </w:p>
        </w:tc>
        <w:tc>
          <w:tcPr>
            <w:tcW w:w="400" w:type="dxa"/>
            <w:vAlign w:val="bottom"/>
          </w:tcPr>
          <w:p>
            <w:pPr>
              <w:spacing w:after="0"/>
              <w:rPr>
                <w:sz w:val="14"/>
                <w:szCs w:val="14"/>
                <w:color w:val="auto"/>
              </w:rPr>
            </w:pPr>
          </w:p>
        </w:tc>
        <w:tc>
          <w:tcPr>
            <w:tcW w:w="1300" w:type="dxa"/>
            <w:vAlign w:val="bottom"/>
          </w:tcPr>
          <w:p>
            <w:pPr>
              <w:jc w:val="right"/>
              <w:ind w:right="69"/>
              <w:spacing w:after="0" w:line="169" w:lineRule="exact"/>
              <w:rPr>
                <w:sz w:val="20"/>
                <w:szCs w:val="20"/>
                <w:color w:val="auto"/>
              </w:rPr>
            </w:pPr>
            <w:r>
              <w:rPr>
                <w:rFonts w:ascii="Calibri" w:cs="Calibri" w:eastAsia="Calibri" w:hAnsi="Calibri"/>
                <w:sz w:val="14"/>
                <w:szCs w:val="14"/>
                <w:color w:val="494949"/>
              </w:rPr>
              <w:t>81,138</w:t>
            </w: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jc w:val="right"/>
              <w:ind w:right="89"/>
              <w:spacing w:after="0" w:line="169" w:lineRule="exact"/>
              <w:rPr>
                <w:sz w:val="20"/>
                <w:szCs w:val="20"/>
                <w:color w:val="auto"/>
              </w:rPr>
            </w:pPr>
            <w:r>
              <w:rPr>
                <w:rFonts w:ascii="Calibri" w:cs="Calibri" w:eastAsia="Calibri" w:hAnsi="Calibri"/>
                <w:sz w:val="14"/>
                <w:szCs w:val="14"/>
                <w:color w:val="494949"/>
              </w:rPr>
              <w:t>91,932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89"/>
              <w:spacing w:after="0" w:line="169" w:lineRule="exact"/>
              <w:rPr>
                <w:sz w:val="20"/>
                <w:szCs w:val="20"/>
                <w:color w:val="auto"/>
              </w:rPr>
            </w:pPr>
            <w:r>
              <w:rPr>
                <w:rFonts w:ascii="Calibri" w:cs="Calibri" w:eastAsia="Calibri" w:hAnsi="Calibri"/>
                <w:sz w:val="14"/>
                <w:szCs w:val="14"/>
                <w:color w:val="494949"/>
              </w:rPr>
              <w:t>89,768</w:t>
            </w:r>
          </w:p>
        </w:tc>
        <w:tc>
          <w:tcPr>
            <w:tcW w:w="0" w:type="dxa"/>
            <w:vAlign w:val="bottom"/>
          </w:tcPr>
          <w:p>
            <w:pPr>
              <w:spacing w:after="0"/>
              <w:rPr>
                <w:sz w:val="1"/>
                <w:szCs w:val="1"/>
                <w:color w:val="auto"/>
              </w:rPr>
            </w:pPr>
          </w:p>
        </w:tc>
      </w:tr>
      <w:tr>
        <w:trPr>
          <w:trHeight w:val="31"/>
        </w:trPr>
        <w:tc>
          <w:tcPr>
            <w:tcW w:w="4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480" w:type="dxa"/>
            <w:vAlign w:val="bottom"/>
            <w:tcBorders>
              <w:bottom w:val="single" w:sz="8" w:color="CCEEFF"/>
            </w:tcBorders>
            <w:shd w:val="clear" w:color="auto" w:fill="CCEEFF"/>
          </w:tcPr>
          <w:p>
            <w:pPr>
              <w:ind w:left="340"/>
              <w:spacing w:after="0" w:line="169" w:lineRule="exact"/>
              <w:rPr>
                <w:sz w:val="20"/>
                <w:szCs w:val="20"/>
                <w:color w:val="auto"/>
              </w:rPr>
            </w:pPr>
            <w:r>
              <w:rPr>
                <w:rFonts w:ascii="Calibri" w:cs="Calibri" w:eastAsia="Calibri" w:hAnsi="Calibri"/>
                <w:sz w:val="14"/>
                <w:szCs w:val="14"/>
                <w:color w:val="494949"/>
              </w:rPr>
              <w:t>Depreciaton and amortzaton</w:t>
            </w: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69"/>
              <w:spacing w:after="0" w:line="169" w:lineRule="exact"/>
              <w:rPr>
                <w:sz w:val="20"/>
                <w:szCs w:val="20"/>
                <w:color w:val="auto"/>
              </w:rPr>
            </w:pPr>
            <w:r>
              <w:rPr>
                <w:rFonts w:ascii="Calibri" w:cs="Calibri" w:eastAsia="Calibri" w:hAnsi="Calibri"/>
                <w:sz w:val="14"/>
                <w:szCs w:val="14"/>
                <w:color w:val="494949"/>
              </w:rPr>
              <w:t>145,747</w:t>
            </w:r>
          </w:p>
        </w:tc>
        <w:tc>
          <w:tcPr>
            <w:tcW w:w="13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9"/>
              <w:spacing w:after="0" w:line="169" w:lineRule="exact"/>
              <w:rPr>
                <w:sz w:val="20"/>
                <w:szCs w:val="20"/>
                <w:color w:val="auto"/>
              </w:rPr>
            </w:pPr>
            <w:r>
              <w:rPr>
                <w:rFonts w:ascii="Calibri" w:cs="Calibri" w:eastAsia="Calibri" w:hAnsi="Calibri"/>
                <w:sz w:val="14"/>
                <w:szCs w:val="14"/>
                <w:color w:val="494949"/>
              </w:rPr>
              <w:t>84,315</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89"/>
              <w:spacing w:after="0" w:line="169" w:lineRule="exact"/>
              <w:rPr>
                <w:sz w:val="20"/>
                <w:szCs w:val="20"/>
                <w:color w:val="auto"/>
              </w:rPr>
            </w:pPr>
            <w:r>
              <w:rPr>
                <w:rFonts w:ascii="Calibri" w:cs="Calibri" w:eastAsia="Calibri" w:hAnsi="Calibri"/>
                <w:sz w:val="14"/>
                <w:szCs w:val="14"/>
                <w:color w:val="494949"/>
              </w:rPr>
              <w:t>81,081</w:t>
            </w:r>
          </w:p>
        </w:tc>
        <w:tc>
          <w:tcPr>
            <w:tcW w:w="0" w:type="dxa"/>
            <w:vAlign w:val="bottom"/>
          </w:tcPr>
          <w:p>
            <w:pPr>
              <w:spacing w:after="0"/>
              <w:rPr>
                <w:sz w:val="1"/>
                <w:szCs w:val="1"/>
                <w:color w:val="auto"/>
              </w:rPr>
            </w:pPr>
          </w:p>
        </w:tc>
      </w:tr>
      <w:tr>
        <w:trPr>
          <w:trHeight w:val="161"/>
        </w:trPr>
        <w:tc>
          <w:tcPr>
            <w:tcW w:w="4480" w:type="dxa"/>
            <w:vAlign w:val="bottom"/>
          </w:tcPr>
          <w:p>
            <w:pPr>
              <w:ind w:left="660"/>
              <w:spacing w:after="0" w:line="149" w:lineRule="exact"/>
              <w:rPr>
                <w:sz w:val="20"/>
                <w:szCs w:val="20"/>
                <w:color w:val="auto"/>
              </w:rPr>
            </w:pPr>
            <w:r>
              <w:rPr>
                <w:rFonts w:ascii="Calibri" w:cs="Calibri" w:eastAsia="Calibri" w:hAnsi="Calibri"/>
                <w:sz w:val="14"/>
                <w:szCs w:val="14"/>
                <w:color w:val="494949"/>
              </w:rPr>
              <w:t>EBITDA</w:t>
            </w:r>
          </w:p>
        </w:tc>
        <w:tc>
          <w:tcPr>
            <w:tcW w:w="400" w:type="dxa"/>
            <w:vAlign w:val="bottom"/>
            <w:tcBorders>
              <w:top w:val="single" w:sz="8" w:color="666666"/>
            </w:tcBorders>
          </w:tcPr>
          <w:p>
            <w:pPr>
              <w:spacing w:after="0"/>
              <w:rPr>
                <w:sz w:val="14"/>
                <w:szCs w:val="14"/>
                <w:color w:val="auto"/>
              </w:rPr>
            </w:pPr>
          </w:p>
        </w:tc>
        <w:tc>
          <w:tcPr>
            <w:tcW w:w="1300" w:type="dxa"/>
            <w:vAlign w:val="bottom"/>
            <w:tcBorders>
              <w:top w:val="single" w:sz="8" w:color="666666"/>
            </w:tcBorders>
          </w:tcPr>
          <w:p>
            <w:pPr>
              <w:jc w:val="right"/>
              <w:ind w:right="69"/>
              <w:spacing w:after="0" w:line="161" w:lineRule="exact"/>
              <w:rPr>
                <w:sz w:val="20"/>
                <w:szCs w:val="20"/>
                <w:color w:val="auto"/>
              </w:rPr>
            </w:pPr>
            <w:r>
              <w:rPr>
                <w:rFonts w:ascii="Calibri" w:cs="Calibri" w:eastAsia="Calibri" w:hAnsi="Calibri"/>
                <w:sz w:val="14"/>
                <w:szCs w:val="14"/>
                <w:color w:val="494949"/>
              </w:rPr>
              <w:t>830,928</w:t>
            </w:r>
          </w:p>
        </w:tc>
        <w:tc>
          <w:tcPr>
            <w:tcW w:w="1320" w:type="dxa"/>
            <w:vAlign w:val="bottom"/>
          </w:tcPr>
          <w:p>
            <w:pPr>
              <w:jc w:val="right"/>
              <w:spacing w:after="0" w:line="149" w:lineRule="exact"/>
              <w:rPr>
                <w:sz w:val="20"/>
                <w:szCs w:val="20"/>
                <w:color w:val="auto"/>
              </w:rPr>
            </w:pPr>
            <w:r>
              <w:rPr>
                <w:rFonts w:ascii="Calibri" w:cs="Calibri" w:eastAsia="Calibri" w:hAnsi="Calibri"/>
                <w:sz w:val="14"/>
                <w:szCs w:val="14"/>
                <w:color w:val="494949"/>
              </w:rPr>
              <w:t>830928000</w:t>
            </w:r>
          </w:p>
        </w:tc>
        <w:tc>
          <w:tcPr>
            <w:tcW w:w="660" w:type="dxa"/>
            <w:vAlign w:val="bottom"/>
            <w:tcBorders>
              <w:top w:val="single" w:sz="8" w:color="666666"/>
            </w:tcBorders>
          </w:tcPr>
          <w:p>
            <w:pPr>
              <w:spacing w:after="0"/>
              <w:rPr>
                <w:sz w:val="14"/>
                <w:szCs w:val="14"/>
                <w:color w:val="auto"/>
              </w:rPr>
            </w:pPr>
          </w:p>
        </w:tc>
        <w:tc>
          <w:tcPr>
            <w:tcW w:w="1040" w:type="dxa"/>
            <w:vAlign w:val="bottom"/>
            <w:tcBorders>
              <w:top w:val="single" w:sz="8" w:color="666666"/>
            </w:tcBorders>
          </w:tcPr>
          <w:p>
            <w:pPr>
              <w:jc w:val="right"/>
              <w:ind w:right="89"/>
              <w:spacing w:after="0" w:line="161" w:lineRule="exact"/>
              <w:rPr>
                <w:sz w:val="20"/>
                <w:szCs w:val="20"/>
                <w:color w:val="auto"/>
              </w:rPr>
            </w:pPr>
            <w:r>
              <w:rPr>
                <w:rFonts w:ascii="Calibri" w:cs="Calibri" w:eastAsia="Calibri" w:hAnsi="Calibri"/>
                <w:sz w:val="14"/>
                <w:szCs w:val="14"/>
                <w:color w:val="494949"/>
              </w:rPr>
              <w:t>838,686</w:t>
            </w:r>
          </w:p>
        </w:tc>
        <w:tc>
          <w:tcPr>
            <w:tcW w:w="100" w:type="dxa"/>
            <w:vAlign w:val="bottom"/>
            <w:tcBorders>
              <w:top w:val="single" w:sz="8" w:color="666666"/>
            </w:tcBorders>
          </w:tcPr>
          <w:p>
            <w:pPr>
              <w:spacing w:after="0"/>
              <w:rPr>
                <w:sz w:val="14"/>
                <w:szCs w:val="14"/>
                <w:color w:val="auto"/>
              </w:rPr>
            </w:pPr>
          </w:p>
        </w:tc>
        <w:tc>
          <w:tcPr>
            <w:tcW w:w="400" w:type="dxa"/>
            <w:vAlign w:val="bottom"/>
            <w:tcBorders>
              <w:top w:val="single" w:sz="8" w:color="666666"/>
            </w:tcBorders>
          </w:tcPr>
          <w:p>
            <w:pPr>
              <w:spacing w:after="0"/>
              <w:rPr>
                <w:sz w:val="14"/>
                <w:szCs w:val="14"/>
                <w:color w:val="auto"/>
              </w:rPr>
            </w:pPr>
          </w:p>
        </w:tc>
        <w:tc>
          <w:tcPr>
            <w:tcW w:w="1320" w:type="dxa"/>
            <w:vAlign w:val="bottom"/>
            <w:tcBorders>
              <w:top w:val="single" w:sz="8" w:color="666666"/>
            </w:tcBorders>
          </w:tcPr>
          <w:p>
            <w:pPr>
              <w:jc w:val="right"/>
              <w:ind w:right="89"/>
              <w:spacing w:after="0" w:line="161" w:lineRule="exact"/>
              <w:rPr>
                <w:sz w:val="20"/>
                <w:szCs w:val="20"/>
                <w:color w:val="auto"/>
              </w:rPr>
            </w:pPr>
            <w:r>
              <w:rPr>
                <w:rFonts w:ascii="Calibri" w:cs="Calibri" w:eastAsia="Calibri" w:hAnsi="Calibri"/>
                <w:sz w:val="14"/>
                <w:szCs w:val="14"/>
                <w:color w:val="494949"/>
              </w:rPr>
              <w:t>750,283</w:t>
            </w:r>
          </w:p>
        </w:tc>
        <w:tc>
          <w:tcPr>
            <w:tcW w:w="0" w:type="dxa"/>
            <w:vAlign w:val="bottom"/>
          </w:tcPr>
          <w:p>
            <w:pPr>
              <w:spacing w:after="0"/>
              <w:rPr>
                <w:sz w:val="1"/>
                <w:szCs w:val="1"/>
                <w:color w:val="auto"/>
              </w:rPr>
            </w:pPr>
          </w:p>
        </w:tc>
      </w:tr>
      <w:tr>
        <w:trPr>
          <w:trHeight w:val="31"/>
        </w:trPr>
        <w:tc>
          <w:tcPr>
            <w:tcW w:w="4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4480" w:type="dxa"/>
            <w:vAlign w:val="bottom"/>
            <w:tcBorders>
              <w:bottom w:val="single" w:sz="8" w:color="CCEEFF"/>
            </w:tcBorders>
            <w:shd w:val="clear" w:color="auto" w:fill="CCEEFF"/>
          </w:tcPr>
          <w:p>
            <w:pPr>
              <w:ind w:left="340"/>
              <w:spacing w:after="0" w:line="169" w:lineRule="exact"/>
              <w:rPr>
                <w:sz w:val="20"/>
                <w:szCs w:val="20"/>
                <w:color w:val="auto"/>
              </w:rPr>
            </w:pPr>
            <w:r>
              <w:rPr>
                <w:rFonts w:ascii="Calibri" w:cs="Calibri" w:eastAsia="Calibri" w:hAnsi="Calibri"/>
                <w:sz w:val="14"/>
                <w:szCs w:val="14"/>
                <w:color w:val="494949"/>
              </w:rPr>
              <w:t>Acquisiton and divestture costs (b)</w:t>
            </w: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69"/>
              <w:spacing w:after="0" w:line="169" w:lineRule="exact"/>
              <w:rPr>
                <w:sz w:val="20"/>
                <w:szCs w:val="20"/>
                <w:color w:val="auto"/>
              </w:rPr>
            </w:pPr>
            <w:r>
              <w:rPr>
                <w:rFonts w:ascii="Calibri" w:cs="Calibri" w:eastAsia="Calibri" w:hAnsi="Calibri"/>
                <w:sz w:val="14"/>
                <w:szCs w:val="14"/>
                <w:color w:val="494949"/>
              </w:rPr>
              <w:t>97,485</w:t>
            </w:r>
          </w:p>
        </w:tc>
        <w:tc>
          <w:tcPr>
            <w:tcW w:w="13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89"/>
              <w:spacing w:after="0" w:line="169" w:lineRule="exact"/>
              <w:rPr>
                <w:sz w:val="20"/>
                <w:szCs w:val="20"/>
                <w:color w:val="auto"/>
              </w:rPr>
            </w:pPr>
            <w:r>
              <w:rPr>
                <w:rFonts w:ascii="Calibri" w:cs="Calibri" w:eastAsia="Calibri" w:hAnsi="Calibri"/>
                <w:sz w:val="14"/>
                <w:szCs w:val="14"/>
                <w:color w:val="494949"/>
              </w:rPr>
              <w:t>411</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89"/>
              <w:spacing w:after="0" w:line="169" w:lineRule="exact"/>
              <w:rPr>
                <w:sz w:val="20"/>
                <w:szCs w:val="20"/>
                <w:color w:val="auto"/>
              </w:rPr>
            </w:pPr>
            <w:r>
              <w:rPr>
                <w:rFonts w:ascii="Calibri" w:cs="Calibri" w:eastAsia="Calibri" w:hAnsi="Calibri"/>
                <w:sz w:val="14"/>
                <w:szCs w:val="14"/>
                <w:color w:val="494949"/>
              </w:rPr>
              <w:t>—</w:t>
            </w:r>
          </w:p>
        </w:tc>
        <w:tc>
          <w:tcPr>
            <w:tcW w:w="0" w:type="dxa"/>
            <w:vAlign w:val="bottom"/>
          </w:tcPr>
          <w:p>
            <w:pPr>
              <w:spacing w:after="0"/>
              <w:rPr>
                <w:sz w:val="1"/>
                <w:szCs w:val="1"/>
                <w:color w:val="auto"/>
              </w:rPr>
            </w:pPr>
          </w:p>
        </w:tc>
      </w:tr>
      <w:tr>
        <w:trPr>
          <w:trHeight w:val="168"/>
        </w:trPr>
        <w:tc>
          <w:tcPr>
            <w:tcW w:w="4480" w:type="dxa"/>
            <w:vAlign w:val="bottom"/>
          </w:tcPr>
          <w:p>
            <w:pPr>
              <w:ind w:left="340"/>
              <w:spacing w:after="0" w:line="169" w:lineRule="exact"/>
              <w:rPr>
                <w:sz w:val="20"/>
                <w:szCs w:val="20"/>
                <w:color w:val="auto"/>
              </w:rPr>
            </w:pPr>
            <w:r>
              <w:rPr>
                <w:rFonts w:ascii="Calibri" w:cs="Calibri" w:eastAsia="Calibri" w:hAnsi="Calibri"/>
                <w:sz w:val="14"/>
                <w:szCs w:val="14"/>
                <w:color w:val="494949"/>
              </w:rPr>
              <w:t>Financing transacton costs (c)</w:t>
            </w:r>
          </w:p>
        </w:tc>
        <w:tc>
          <w:tcPr>
            <w:tcW w:w="400" w:type="dxa"/>
            <w:vAlign w:val="bottom"/>
          </w:tcPr>
          <w:p>
            <w:pPr>
              <w:spacing w:after="0"/>
              <w:rPr>
                <w:sz w:val="14"/>
                <w:szCs w:val="14"/>
                <w:color w:val="auto"/>
              </w:rPr>
            </w:pPr>
          </w:p>
        </w:tc>
        <w:tc>
          <w:tcPr>
            <w:tcW w:w="1300" w:type="dxa"/>
            <w:vAlign w:val="bottom"/>
          </w:tcPr>
          <w:p>
            <w:pPr>
              <w:jc w:val="right"/>
              <w:ind w:right="69"/>
              <w:spacing w:after="0" w:line="169" w:lineRule="exact"/>
              <w:rPr>
                <w:sz w:val="20"/>
                <w:szCs w:val="20"/>
                <w:color w:val="auto"/>
              </w:rPr>
            </w:pPr>
            <w:r>
              <w:rPr>
                <w:rFonts w:ascii="Calibri" w:cs="Calibri" w:eastAsia="Calibri" w:hAnsi="Calibri"/>
                <w:sz w:val="14"/>
                <w:szCs w:val="14"/>
                <w:color w:val="494949"/>
              </w:rPr>
              <w:t>2,348</w:t>
            </w: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right"/>
              <w:ind w:right="260"/>
              <w:spacing w:after="0" w:line="169" w:lineRule="exact"/>
              <w:rPr>
                <w:sz w:val="20"/>
                <w:szCs w:val="20"/>
                <w:color w:val="auto"/>
              </w:rPr>
            </w:pPr>
            <w:r>
              <w:rPr>
                <w:rFonts w:ascii="Calibri" w:cs="Calibri" w:eastAsia="Calibri" w:hAnsi="Calibri"/>
                <w:sz w:val="14"/>
                <w:szCs w:val="14"/>
                <w:color w:val="494949"/>
              </w:rPr>
              <w:t>—</w:t>
            </w:r>
          </w:p>
        </w:tc>
        <w:tc>
          <w:tcPr>
            <w:tcW w:w="400" w:type="dxa"/>
            <w:vAlign w:val="bottom"/>
          </w:tcPr>
          <w:p>
            <w:pPr>
              <w:spacing w:after="0"/>
              <w:rPr>
                <w:sz w:val="14"/>
                <w:szCs w:val="14"/>
                <w:color w:val="auto"/>
              </w:rPr>
            </w:pPr>
          </w:p>
        </w:tc>
        <w:tc>
          <w:tcPr>
            <w:tcW w:w="1320" w:type="dxa"/>
            <w:vAlign w:val="bottom"/>
          </w:tcPr>
          <w:p>
            <w:pPr>
              <w:jc w:val="right"/>
              <w:ind w:right="89"/>
              <w:spacing w:after="0" w:line="169" w:lineRule="exact"/>
              <w:rPr>
                <w:sz w:val="20"/>
                <w:szCs w:val="20"/>
                <w:color w:val="auto"/>
              </w:rPr>
            </w:pPr>
            <w:r>
              <w:rPr>
                <w:rFonts w:ascii="Calibri" w:cs="Calibri" w:eastAsia="Calibri" w:hAnsi="Calibri"/>
                <w:sz w:val="14"/>
                <w:szCs w:val="14"/>
                <w:color w:val="494949"/>
              </w:rPr>
              <w:t>1,069</w:t>
            </w:r>
          </w:p>
        </w:tc>
        <w:tc>
          <w:tcPr>
            <w:tcW w:w="0" w:type="dxa"/>
            <w:vAlign w:val="bottom"/>
          </w:tcPr>
          <w:p>
            <w:pPr>
              <w:spacing w:after="0"/>
              <w:rPr>
                <w:sz w:val="1"/>
                <w:szCs w:val="1"/>
                <w:color w:val="auto"/>
              </w:rPr>
            </w:pPr>
          </w:p>
        </w:tc>
      </w:tr>
      <w:tr>
        <w:trPr>
          <w:trHeight w:val="31"/>
        </w:trPr>
        <w:tc>
          <w:tcPr>
            <w:tcW w:w="4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480" w:type="dxa"/>
            <w:vAlign w:val="bottom"/>
            <w:tcBorders>
              <w:bottom w:val="single" w:sz="8" w:color="CCEEFF"/>
            </w:tcBorders>
            <w:shd w:val="clear" w:color="auto" w:fill="CCEEFF"/>
          </w:tcPr>
          <w:p>
            <w:pPr>
              <w:ind w:left="340"/>
              <w:spacing w:after="0" w:line="169" w:lineRule="exact"/>
              <w:rPr>
                <w:sz w:val="20"/>
                <w:szCs w:val="20"/>
                <w:color w:val="auto"/>
              </w:rPr>
            </w:pPr>
            <w:r>
              <w:rPr>
                <w:rFonts w:ascii="Calibri" w:cs="Calibri" w:eastAsia="Calibri" w:hAnsi="Calibri"/>
                <w:sz w:val="14"/>
                <w:szCs w:val="14"/>
                <w:color w:val="494949"/>
              </w:rPr>
              <w:t>COVID-19 supplemental employee benefts (d)</w:t>
            </w: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69"/>
              <w:spacing w:after="0" w:line="169" w:lineRule="exact"/>
              <w:rPr>
                <w:sz w:val="20"/>
                <w:szCs w:val="20"/>
                <w:color w:val="auto"/>
              </w:rPr>
            </w:pPr>
            <w:r>
              <w:rPr>
                <w:rFonts w:ascii="Calibri" w:cs="Calibri" w:eastAsia="Calibri" w:hAnsi="Calibri"/>
                <w:sz w:val="14"/>
                <w:szCs w:val="14"/>
                <w:color w:val="494949"/>
              </w:rPr>
              <w:t>—</w:t>
            </w:r>
          </w:p>
        </w:tc>
        <w:tc>
          <w:tcPr>
            <w:tcW w:w="13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9"/>
              <w:spacing w:after="0" w:line="169" w:lineRule="exact"/>
              <w:rPr>
                <w:sz w:val="20"/>
                <w:szCs w:val="20"/>
                <w:color w:val="auto"/>
              </w:rPr>
            </w:pPr>
            <w:r>
              <w:rPr>
                <w:rFonts w:ascii="Calibri" w:cs="Calibri" w:eastAsia="Calibri" w:hAnsi="Calibri"/>
                <w:sz w:val="14"/>
                <w:szCs w:val="14"/>
                <w:color w:val="494949"/>
              </w:rPr>
              <w:t>577</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89"/>
              <w:spacing w:after="0" w:line="169" w:lineRule="exact"/>
              <w:rPr>
                <w:sz w:val="20"/>
                <w:szCs w:val="20"/>
                <w:color w:val="auto"/>
              </w:rPr>
            </w:pPr>
            <w:r>
              <w:rPr>
                <w:rFonts w:ascii="Calibri" w:cs="Calibri" w:eastAsia="Calibri" w:hAnsi="Calibri"/>
                <w:sz w:val="14"/>
                <w:szCs w:val="14"/>
                <w:color w:val="494949"/>
              </w:rPr>
              <w:t>2,722</w:t>
            </w:r>
          </w:p>
        </w:tc>
        <w:tc>
          <w:tcPr>
            <w:tcW w:w="0" w:type="dxa"/>
            <w:vAlign w:val="bottom"/>
          </w:tcPr>
          <w:p>
            <w:pPr>
              <w:spacing w:after="0"/>
              <w:rPr>
                <w:sz w:val="1"/>
                <w:szCs w:val="1"/>
                <w:color w:val="auto"/>
              </w:rPr>
            </w:pPr>
          </w:p>
        </w:tc>
      </w:tr>
      <w:tr>
        <w:trPr>
          <w:trHeight w:val="148"/>
        </w:trPr>
        <w:tc>
          <w:tcPr>
            <w:tcW w:w="4480" w:type="dxa"/>
            <w:vAlign w:val="bottom"/>
          </w:tcPr>
          <w:p>
            <w:pPr>
              <w:ind w:left="340"/>
              <w:spacing w:after="0" w:line="149" w:lineRule="exact"/>
              <w:rPr>
                <w:sz w:val="20"/>
                <w:szCs w:val="20"/>
                <w:color w:val="auto"/>
              </w:rPr>
            </w:pPr>
            <w:r>
              <w:rPr>
                <w:rFonts w:ascii="Calibri" w:cs="Calibri" w:eastAsia="Calibri" w:hAnsi="Calibri"/>
                <w:sz w:val="14"/>
                <w:szCs w:val="14"/>
                <w:color w:val="494949"/>
              </w:rPr>
              <w:t>Restructuring costs (e)</w:t>
            </w:r>
          </w:p>
        </w:tc>
        <w:tc>
          <w:tcPr>
            <w:tcW w:w="400" w:type="dxa"/>
            <w:vAlign w:val="bottom"/>
          </w:tcPr>
          <w:p>
            <w:pPr>
              <w:spacing w:after="0"/>
              <w:rPr>
                <w:sz w:val="12"/>
                <w:szCs w:val="12"/>
                <w:color w:val="auto"/>
              </w:rPr>
            </w:pPr>
          </w:p>
        </w:tc>
        <w:tc>
          <w:tcPr>
            <w:tcW w:w="1300" w:type="dxa"/>
            <w:vAlign w:val="bottom"/>
          </w:tcPr>
          <w:p>
            <w:pPr>
              <w:jc w:val="right"/>
              <w:ind w:right="69"/>
              <w:spacing w:after="0" w:line="149" w:lineRule="exact"/>
              <w:rPr>
                <w:sz w:val="20"/>
                <w:szCs w:val="20"/>
                <w:color w:val="auto"/>
              </w:rPr>
            </w:pPr>
            <w:r>
              <w:rPr>
                <w:rFonts w:ascii="Calibri" w:cs="Calibri" w:eastAsia="Calibri" w:hAnsi="Calibri"/>
                <w:sz w:val="14"/>
                <w:szCs w:val="14"/>
                <w:color w:val="494949"/>
              </w:rPr>
              <w:t>4,164</w:t>
            </w:r>
          </w:p>
        </w:tc>
        <w:tc>
          <w:tcPr>
            <w:tcW w:w="1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jc w:val="right"/>
              <w:ind w:right="89"/>
              <w:spacing w:after="0" w:line="149" w:lineRule="exact"/>
              <w:rPr>
                <w:sz w:val="20"/>
                <w:szCs w:val="20"/>
                <w:color w:val="auto"/>
              </w:rPr>
            </w:pPr>
            <w:r>
              <w:rPr>
                <w:rFonts w:ascii="Calibri" w:cs="Calibri" w:eastAsia="Calibri" w:hAnsi="Calibri"/>
                <w:sz w:val="14"/>
                <w:szCs w:val="14"/>
                <w:color w:val="494949"/>
              </w:rPr>
              <w:t>—</w:t>
            </w:r>
          </w:p>
        </w:tc>
        <w:tc>
          <w:tcPr>
            <w:tcW w:w="100" w:type="dxa"/>
            <w:vAlign w:val="bottom"/>
            <w:tcBorders>
              <w:top w:val="single" w:sz="8" w:color="666666"/>
            </w:tcBorders>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jc w:val="right"/>
              <w:ind w:right="89"/>
              <w:spacing w:after="0" w:line="149" w:lineRule="exact"/>
              <w:rPr>
                <w:sz w:val="20"/>
                <w:szCs w:val="20"/>
                <w:color w:val="auto"/>
              </w:rPr>
            </w:pPr>
            <w:r>
              <w:rPr>
                <w:rFonts w:ascii="Calibri" w:cs="Calibri" w:eastAsia="Calibri" w:hAnsi="Calibri"/>
                <w:sz w:val="14"/>
                <w:szCs w:val="14"/>
                <w:color w:val="494949"/>
              </w:rPr>
              <w:t>—</w:t>
            </w:r>
          </w:p>
        </w:tc>
        <w:tc>
          <w:tcPr>
            <w:tcW w:w="0" w:type="dxa"/>
            <w:vAlign w:val="bottom"/>
          </w:tcPr>
          <w:p>
            <w:pPr>
              <w:spacing w:after="0"/>
              <w:rPr>
                <w:sz w:val="1"/>
                <w:szCs w:val="1"/>
                <w:color w:val="auto"/>
              </w:rPr>
            </w:pPr>
          </w:p>
        </w:tc>
      </w:tr>
      <w:tr>
        <w:trPr>
          <w:trHeight w:val="31"/>
        </w:trPr>
        <w:tc>
          <w:tcPr>
            <w:tcW w:w="4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80" w:type="dxa"/>
            <w:vAlign w:val="bottom"/>
            <w:tcBorders>
              <w:bottom w:val="single" w:sz="8" w:color="CCEEFF"/>
            </w:tcBorders>
            <w:shd w:val="clear" w:color="auto" w:fill="CCEEFF"/>
          </w:tcPr>
          <w:p>
            <w:pPr>
              <w:ind w:left="660"/>
              <w:spacing w:after="0" w:line="149" w:lineRule="exact"/>
              <w:rPr>
                <w:sz w:val="20"/>
                <w:szCs w:val="20"/>
                <w:color w:val="auto"/>
              </w:rPr>
            </w:pPr>
            <w:r>
              <w:rPr>
                <w:rFonts w:ascii="Calibri" w:cs="Calibri" w:eastAsia="Calibri" w:hAnsi="Calibri"/>
                <w:sz w:val="14"/>
                <w:szCs w:val="14"/>
                <w:color w:val="494949"/>
              </w:rPr>
              <w:t>Adjusted EBITDA</w:t>
            </w:r>
          </w:p>
        </w:tc>
        <w:tc>
          <w:tcPr>
            <w:tcW w:w="400" w:type="dxa"/>
            <w:vAlign w:val="bottom"/>
            <w:tcBorders>
              <w:bottom w:val="single" w:sz="8" w:color="CCEEFF"/>
            </w:tcBorders>
            <w:shd w:val="clear" w:color="auto" w:fill="CCEEFF"/>
          </w:tcPr>
          <w:p>
            <w:pPr>
              <w:jc w:val="right"/>
              <w:ind w:right="229"/>
              <w:spacing w:after="0" w:line="161" w:lineRule="exact"/>
              <w:rPr>
                <w:sz w:val="20"/>
                <w:szCs w:val="20"/>
                <w:color w:val="auto"/>
              </w:rPr>
            </w:pPr>
            <w:r>
              <w:rPr>
                <w:rFonts w:ascii="Calibri" w:cs="Calibri" w:eastAsia="Calibri" w:hAnsi="Calibri"/>
                <w:sz w:val="14"/>
                <w:szCs w:val="14"/>
                <w:color w:val="494949"/>
              </w:rPr>
              <w:t>$</w:t>
            </w:r>
          </w:p>
        </w:tc>
        <w:tc>
          <w:tcPr>
            <w:tcW w:w="1300" w:type="dxa"/>
            <w:vAlign w:val="bottom"/>
            <w:tcBorders>
              <w:bottom w:val="single" w:sz="8" w:color="CCEEFF"/>
            </w:tcBorders>
            <w:shd w:val="clear" w:color="auto" w:fill="CCEEFF"/>
          </w:tcPr>
          <w:p>
            <w:pPr>
              <w:jc w:val="right"/>
              <w:ind w:right="69"/>
              <w:spacing w:after="0" w:line="161" w:lineRule="exact"/>
              <w:rPr>
                <w:sz w:val="20"/>
                <w:szCs w:val="20"/>
                <w:color w:val="auto"/>
              </w:rPr>
            </w:pPr>
            <w:r>
              <w:rPr>
                <w:rFonts w:ascii="Calibri" w:cs="Calibri" w:eastAsia="Calibri" w:hAnsi="Calibri"/>
                <w:sz w:val="14"/>
                <w:szCs w:val="14"/>
                <w:color w:val="494949"/>
              </w:rPr>
              <w:t>934,925</w:t>
            </w:r>
          </w:p>
        </w:tc>
        <w:tc>
          <w:tcPr>
            <w:tcW w:w="13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509"/>
              <w:spacing w:after="0" w:line="161" w:lineRule="exact"/>
              <w:rPr>
                <w:sz w:val="20"/>
                <w:szCs w:val="20"/>
                <w:color w:val="auto"/>
              </w:rPr>
            </w:pPr>
            <w:r>
              <w:rPr>
                <w:rFonts w:ascii="Calibri" w:cs="Calibri" w:eastAsia="Calibri" w:hAnsi="Calibri"/>
                <w:sz w:val="14"/>
                <w:szCs w:val="14"/>
                <w:color w:val="494949"/>
                <w:w w:val="83"/>
              </w:rPr>
              <w:t>$</w:t>
            </w:r>
          </w:p>
        </w:tc>
        <w:tc>
          <w:tcPr>
            <w:tcW w:w="1040" w:type="dxa"/>
            <w:vAlign w:val="bottom"/>
            <w:tcBorders>
              <w:bottom w:val="single" w:sz="8" w:color="CCEEFF"/>
            </w:tcBorders>
            <w:shd w:val="clear" w:color="auto" w:fill="CCEEFF"/>
          </w:tcPr>
          <w:p>
            <w:pPr>
              <w:jc w:val="right"/>
              <w:ind w:right="89"/>
              <w:spacing w:after="0" w:line="161" w:lineRule="exact"/>
              <w:rPr>
                <w:sz w:val="20"/>
                <w:szCs w:val="20"/>
                <w:color w:val="auto"/>
              </w:rPr>
            </w:pPr>
            <w:r>
              <w:rPr>
                <w:rFonts w:ascii="Calibri" w:cs="Calibri" w:eastAsia="Calibri" w:hAnsi="Calibri"/>
                <w:sz w:val="14"/>
                <w:szCs w:val="14"/>
                <w:color w:val="494949"/>
              </w:rPr>
              <w:t>839,674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29"/>
              <w:spacing w:after="0" w:line="161" w:lineRule="exact"/>
              <w:rPr>
                <w:sz w:val="20"/>
                <w:szCs w:val="20"/>
                <w:color w:val="auto"/>
              </w:rPr>
            </w:pPr>
            <w:r>
              <w:rPr>
                <w:rFonts w:ascii="Calibri" w:cs="Calibri" w:eastAsia="Calibri" w:hAnsi="Calibri"/>
                <w:sz w:val="14"/>
                <w:szCs w:val="14"/>
                <w:color w:val="494949"/>
              </w:rPr>
              <w:t>$</w:t>
            </w:r>
          </w:p>
        </w:tc>
        <w:tc>
          <w:tcPr>
            <w:tcW w:w="1320" w:type="dxa"/>
            <w:vAlign w:val="bottom"/>
            <w:tcBorders>
              <w:bottom w:val="single" w:sz="8" w:color="CCEEFF"/>
            </w:tcBorders>
            <w:shd w:val="clear" w:color="auto" w:fill="CCEEFF"/>
          </w:tcPr>
          <w:p>
            <w:pPr>
              <w:jc w:val="right"/>
              <w:ind w:right="89"/>
              <w:spacing w:after="0" w:line="161" w:lineRule="exact"/>
              <w:rPr>
                <w:sz w:val="20"/>
                <w:szCs w:val="20"/>
                <w:color w:val="auto"/>
              </w:rPr>
            </w:pPr>
            <w:r>
              <w:rPr>
                <w:rFonts w:ascii="Calibri" w:cs="Calibri" w:eastAsia="Calibri" w:hAnsi="Calibri"/>
                <w:sz w:val="14"/>
                <w:szCs w:val="14"/>
                <w:color w:val="494949"/>
              </w:rPr>
              <w:t>754,074</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660"/>
              <w:spacing w:after="0" w:line="169" w:lineRule="exact"/>
              <w:rPr>
                <w:sz w:val="20"/>
                <w:szCs w:val="20"/>
                <w:color w:val="auto"/>
              </w:rPr>
            </w:pPr>
            <w:r>
              <w:rPr>
                <w:rFonts w:ascii="Calibri" w:cs="Calibri" w:eastAsia="Calibri" w:hAnsi="Calibri"/>
                <w:sz w:val="14"/>
                <w:szCs w:val="14"/>
                <w:color w:val="494949"/>
              </w:rPr>
              <w:t>Adjusted EBITDA Margin on Revenue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4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spacing w:after="0" w:line="141" w:lineRule="exact"/>
              <w:rPr>
                <w:sz w:val="20"/>
                <w:szCs w:val="20"/>
                <w:color w:val="auto"/>
              </w:rPr>
            </w:pPr>
            <w:r>
              <w:rPr>
                <w:rFonts w:ascii="Calibri" w:cs="Calibri" w:eastAsia="Calibri" w:hAnsi="Calibri"/>
                <w:sz w:val="14"/>
                <w:szCs w:val="14"/>
                <w:color w:val="494949"/>
              </w:rPr>
              <w:t>11.2 %</w:t>
            </w:r>
          </w:p>
        </w:tc>
        <w:tc>
          <w:tcPr>
            <w:tcW w:w="1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jc w:val="right"/>
              <w:spacing w:after="0" w:line="141" w:lineRule="exact"/>
              <w:rPr>
                <w:sz w:val="20"/>
                <w:szCs w:val="20"/>
                <w:color w:val="auto"/>
              </w:rPr>
            </w:pPr>
            <w:r>
              <w:rPr>
                <w:rFonts w:ascii="Calibri" w:cs="Calibri" w:eastAsia="Calibri" w:hAnsi="Calibri"/>
                <w:sz w:val="14"/>
                <w:szCs w:val="14"/>
                <w:color w:val="494949"/>
              </w:rPr>
              <w:t>10.7 %</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jc w:val="right"/>
              <w:spacing w:after="0" w:line="141" w:lineRule="exact"/>
              <w:rPr>
                <w:sz w:val="20"/>
                <w:szCs w:val="20"/>
                <w:color w:val="auto"/>
              </w:rPr>
            </w:pPr>
            <w:r>
              <w:rPr>
                <w:rFonts w:ascii="Calibri" w:cs="Calibri" w:eastAsia="Calibri" w:hAnsi="Calibri"/>
                <w:sz w:val="14"/>
                <w:szCs w:val="14"/>
                <w:color w:val="494949"/>
              </w:rPr>
              <w:t>10.1 %</w:t>
            </w:r>
          </w:p>
        </w:tc>
        <w:tc>
          <w:tcPr>
            <w:tcW w:w="0" w:type="dxa"/>
            <w:vAlign w:val="bottom"/>
          </w:tcPr>
          <w:p>
            <w:pPr>
              <w:spacing w:after="0"/>
              <w:rPr>
                <w:sz w:val="1"/>
                <w:szCs w:val="1"/>
                <w:color w:val="auto"/>
              </w:rPr>
            </w:pPr>
          </w:p>
        </w:tc>
      </w:tr>
      <w:tr>
        <w:trPr>
          <w:trHeight w:val="31"/>
        </w:trPr>
        <w:tc>
          <w:tcPr>
            <w:tcW w:w="4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480" w:type="dxa"/>
            <w:vAlign w:val="bottom"/>
            <w:shd w:val="clear" w:color="auto" w:fill="CCEEFF"/>
          </w:tcPr>
          <w:p>
            <w:pPr>
              <w:ind w:left="660"/>
              <w:spacing w:after="0" w:line="132" w:lineRule="exact"/>
              <w:rPr>
                <w:sz w:val="20"/>
                <w:szCs w:val="20"/>
                <w:color w:val="auto"/>
              </w:rPr>
            </w:pPr>
            <w:r>
              <w:rPr>
                <w:rFonts w:ascii="Calibri" w:cs="Calibri" w:eastAsia="Calibri" w:hAnsi="Calibri"/>
                <w:sz w:val="14"/>
                <w:szCs w:val="14"/>
                <w:color w:val="494949"/>
              </w:rPr>
              <w:t>Adjusted EBITDA Margin on Revenue, Excluding Billable</w:t>
            </w:r>
          </w:p>
        </w:tc>
        <w:tc>
          <w:tcPr>
            <w:tcW w:w="40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494949"/>
              </w:rPr>
              <w:t>15.9 %</w:t>
            </w:r>
          </w:p>
        </w:tc>
        <w:tc>
          <w:tcPr>
            <w:tcW w:w="1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494949"/>
              </w:rPr>
              <w:t>15.2 %</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494949"/>
              </w:rPr>
              <w:t>14.6 %</w:t>
            </w:r>
          </w:p>
        </w:tc>
        <w:tc>
          <w:tcPr>
            <w:tcW w:w="0" w:type="dxa"/>
            <w:vAlign w:val="bottom"/>
          </w:tcPr>
          <w:p>
            <w:pPr>
              <w:spacing w:after="0"/>
              <w:rPr>
                <w:sz w:val="1"/>
                <w:szCs w:val="1"/>
                <w:color w:val="auto"/>
              </w:rPr>
            </w:pPr>
          </w:p>
        </w:tc>
      </w:tr>
      <w:tr>
        <w:trPr>
          <w:trHeight w:val="181"/>
        </w:trPr>
        <w:tc>
          <w:tcPr>
            <w:tcW w:w="4480" w:type="dxa"/>
            <w:vAlign w:val="bottom"/>
            <w:tcBorders>
              <w:bottom w:val="single" w:sz="8" w:color="CCEEFF"/>
            </w:tcBorders>
            <w:shd w:val="clear" w:color="auto" w:fill="CCEEFF"/>
          </w:tcPr>
          <w:p>
            <w:pPr>
              <w:ind w:left="660"/>
              <w:spacing w:after="0" w:line="169" w:lineRule="exact"/>
              <w:rPr>
                <w:sz w:val="20"/>
                <w:szCs w:val="20"/>
                <w:color w:val="auto"/>
              </w:rPr>
            </w:pPr>
            <w:r>
              <w:rPr>
                <w:rFonts w:ascii="Calibri" w:cs="Calibri" w:eastAsia="Calibri" w:hAnsi="Calibri"/>
                <w:sz w:val="14"/>
                <w:szCs w:val="14"/>
                <w:color w:val="494949"/>
              </w:rPr>
              <w:t>Expenses</w:t>
            </w: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vMerge w:val="continue"/>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480" w:type="dxa"/>
            <w:vAlign w:val="bottom"/>
          </w:tcPr>
          <w:p>
            <w:pPr>
              <w:ind w:left="20"/>
              <w:spacing w:after="0" w:line="169" w:lineRule="exact"/>
              <w:rPr>
                <w:sz w:val="20"/>
                <w:szCs w:val="20"/>
                <w:color w:val="auto"/>
              </w:rPr>
            </w:pPr>
            <w:r>
              <w:rPr>
                <w:rFonts w:ascii="Calibri" w:cs="Calibri" w:eastAsia="Calibri" w:hAnsi="Calibri"/>
                <w:sz w:val="14"/>
                <w:szCs w:val="14"/>
                <w:b w:val="1"/>
                <w:bCs w:val="1"/>
                <w:i w:val="1"/>
                <w:iCs w:val="1"/>
                <w:color w:val="494949"/>
              </w:rPr>
              <w:t>Adjusted Net Income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4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4480" w:type="dxa"/>
            <w:vAlign w:val="bottom"/>
            <w:tcBorders>
              <w:bottom w:val="single" w:sz="8" w:color="CCEEFF"/>
            </w:tcBorders>
            <w:shd w:val="clear" w:color="auto" w:fill="CCEEFF"/>
          </w:tcPr>
          <w:p>
            <w:pPr>
              <w:ind w:left="340"/>
              <w:spacing w:after="0" w:line="169" w:lineRule="exact"/>
              <w:rPr>
                <w:sz w:val="20"/>
                <w:szCs w:val="20"/>
                <w:color w:val="auto"/>
              </w:rPr>
            </w:pPr>
            <w:r>
              <w:rPr>
                <w:rFonts w:ascii="Calibri" w:cs="Calibri" w:eastAsia="Calibri" w:hAnsi="Calibri"/>
                <w:sz w:val="14"/>
                <w:szCs w:val="14"/>
                <w:color w:val="494949"/>
              </w:rPr>
              <w:t>Net income</w:t>
            </w:r>
          </w:p>
        </w:tc>
        <w:tc>
          <w:tcPr>
            <w:tcW w:w="400" w:type="dxa"/>
            <w:vAlign w:val="bottom"/>
            <w:tcBorders>
              <w:bottom w:val="single" w:sz="8" w:color="CCEEFF"/>
            </w:tcBorders>
            <w:shd w:val="clear" w:color="auto" w:fill="CCEEFF"/>
          </w:tcPr>
          <w:p>
            <w:pPr>
              <w:jc w:val="right"/>
              <w:ind w:right="229"/>
              <w:spacing w:after="0" w:line="169" w:lineRule="exact"/>
              <w:rPr>
                <w:sz w:val="20"/>
                <w:szCs w:val="20"/>
                <w:color w:val="auto"/>
              </w:rPr>
            </w:pPr>
            <w:r>
              <w:rPr>
                <w:rFonts w:ascii="Calibri" w:cs="Calibri" w:eastAsia="Calibri" w:hAnsi="Calibri"/>
                <w:sz w:val="14"/>
                <w:szCs w:val="14"/>
                <w:color w:val="494949"/>
              </w:rPr>
              <w:t>$</w:t>
            </w:r>
          </w:p>
        </w:tc>
        <w:tc>
          <w:tcPr>
            <w:tcW w:w="1300" w:type="dxa"/>
            <w:vAlign w:val="bottom"/>
            <w:tcBorders>
              <w:bottom w:val="single" w:sz="8" w:color="CCEEFF"/>
            </w:tcBorders>
            <w:shd w:val="clear" w:color="auto" w:fill="CCEEFF"/>
          </w:tcPr>
          <w:p>
            <w:pPr>
              <w:jc w:val="right"/>
              <w:ind w:right="69"/>
              <w:spacing w:after="0" w:line="169" w:lineRule="exact"/>
              <w:rPr>
                <w:sz w:val="20"/>
                <w:szCs w:val="20"/>
                <w:color w:val="auto"/>
              </w:rPr>
            </w:pPr>
            <w:r>
              <w:rPr>
                <w:rFonts w:ascii="Calibri" w:cs="Calibri" w:eastAsia="Calibri" w:hAnsi="Calibri"/>
                <w:sz w:val="14"/>
                <w:szCs w:val="14"/>
                <w:color w:val="494949"/>
              </w:rPr>
              <w:t>466,577</w:t>
            </w:r>
          </w:p>
        </w:tc>
        <w:tc>
          <w:tcPr>
            <w:tcW w:w="1980" w:type="dxa"/>
            <w:vAlign w:val="bottom"/>
            <w:tcBorders>
              <w:bottom w:val="single" w:sz="8" w:color="CCEEFF"/>
            </w:tcBorders>
            <w:gridSpan w:val="2"/>
            <w:shd w:val="clear" w:color="auto" w:fill="CCEEFF"/>
          </w:tcPr>
          <w:p>
            <w:pPr>
              <w:jc w:val="right"/>
              <w:ind w:right="509"/>
              <w:spacing w:after="0" w:line="169" w:lineRule="exact"/>
              <w:rPr>
                <w:sz w:val="20"/>
                <w:szCs w:val="20"/>
                <w:color w:val="auto"/>
              </w:rPr>
            </w:pPr>
            <w:r>
              <w:rPr>
                <w:rFonts w:ascii="Calibri" w:cs="Calibri" w:eastAsia="Calibri" w:hAnsi="Calibri"/>
                <w:sz w:val="14"/>
                <w:szCs w:val="14"/>
                <w:color w:val="494949"/>
              </w:rPr>
              <w:t>$</w:t>
            </w:r>
          </w:p>
        </w:tc>
        <w:tc>
          <w:tcPr>
            <w:tcW w:w="1040" w:type="dxa"/>
            <w:vAlign w:val="bottom"/>
            <w:tcBorders>
              <w:bottom w:val="single" w:sz="8" w:color="CCEEFF"/>
            </w:tcBorders>
            <w:shd w:val="clear" w:color="auto" w:fill="CCEEFF"/>
          </w:tcPr>
          <w:p>
            <w:pPr>
              <w:jc w:val="right"/>
              <w:ind w:right="89"/>
              <w:spacing w:after="0" w:line="169" w:lineRule="exact"/>
              <w:rPr>
                <w:sz w:val="20"/>
                <w:szCs w:val="20"/>
                <w:color w:val="auto"/>
              </w:rPr>
            </w:pPr>
            <w:r>
              <w:rPr>
                <w:rFonts w:ascii="Calibri" w:cs="Calibri" w:eastAsia="Calibri" w:hAnsi="Calibri"/>
                <w:sz w:val="14"/>
                <w:szCs w:val="14"/>
                <w:color w:val="494949"/>
              </w:rPr>
              <w:t>608,958</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29"/>
              <w:spacing w:after="0" w:line="169" w:lineRule="exact"/>
              <w:rPr>
                <w:sz w:val="20"/>
                <w:szCs w:val="20"/>
                <w:color w:val="auto"/>
              </w:rPr>
            </w:pPr>
            <w:r>
              <w:rPr>
                <w:rFonts w:ascii="Calibri" w:cs="Calibri" w:eastAsia="Calibri" w:hAnsi="Calibri"/>
                <w:sz w:val="14"/>
                <w:szCs w:val="14"/>
                <w:color w:val="494949"/>
              </w:rPr>
              <w:t>$</w:t>
            </w:r>
          </w:p>
        </w:tc>
        <w:tc>
          <w:tcPr>
            <w:tcW w:w="1320" w:type="dxa"/>
            <w:vAlign w:val="bottom"/>
            <w:tcBorders>
              <w:bottom w:val="single" w:sz="8" w:color="CCEEFF"/>
            </w:tcBorders>
            <w:shd w:val="clear" w:color="auto" w:fill="CCEEFF"/>
          </w:tcPr>
          <w:p>
            <w:pPr>
              <w:jc w:val="right"/>
              <w:ind w:right="89"/>
              <w:spacing w:after="0" w:line="169" w:lineRule="exact"/>
              <w:rPr>
                <w:sz w:val="20"/>
                <w:szCs w:val="20"/>
                <w:color w:val="auto"/>
              </w:rPr>
            </w:pPr>
            <w:r>
              <w:rPr>
                <w:rFonts w:ascii="Calibri" w:cs="Calibri" w:eastAsia="Calibri" w:hAnsi="Calibri"/>
                <w:sz w:val="14"/>
                <w:szCs w:val="14"/>
                <w:color w:val="494949"/>
              </w:rPr>
              <w:t>482,603</w:t>
            </w:r>
          </w:p>
        </w:tc>
        <w:tc>
          <w:tcPr>
            <w:tcW w:w="0" w:type="dxa"/>
            <w:vAlign w:val="bottom"/>
          </w:tcPr>
          <w:p>
            <w:pPr>
              <w:spacing w:after="0"/>
              <w:rPr>
                <w:sz w:val="1"/>
                <w:szCs w:val="1"/>
                <w:color w:val="auto"/>
              </w:rPr>
            </w:pPr>
          </w:p>
        </w:tc>
      </w:tr>
      <w:tr>
        <w:trPr>
          <w:trHeight w:val="168"/>
        </w:trPr>
        <w:tc>
          <w:tcPr>
            <w:tcW w:w="4480" w:type="dxa"/>
            <w:vAlign w:val="bottom"/>
          </w:tcPr>
          <w:p>
            <w:pPr>
              <w:ind w:left="340"/>
              <w:spacing w:after="0" w:line="169" w:lineRule="exact"/>
              <w:rPr>
                <w:sz w:val="20"/>
                <w:szCs w:val="20"/>
                <w:color w:val="auto"/>
              </w:rPr>
            </w:pPr>
            <w:r>
              <w:rPr>
                <w:rFonts w:ascii="Calibri" w:cs="Calibri" w:eastAsia="Calibri" w:hAnsi="Calibri"/>
                <w:sz w:val="14"/>
                <w:szCs w:val="14"/>
                <w:color w:val="494949"/>
              </w:rPr>
              <w:t>Acquisiton and divestture costs (b)</w:t>
            </w:r>
          </w:p>
        </w:tc>
        <w:tc>
          <w:tcPr>
            <w:tcW w:w="400" w:type="dxa"/>
            <w:vAlign w:val="bottom"/>
          </w:tcPr>
          <w:p>
            <w:pPr>
              <w:spacing w:after="0"/>
              <w:rPr>
                <w:sz w:val="14"/>
                <w:szCs w:val="14"/>
                <w:color w:val="auto"/>
              </w:rPr>
            </w:pPr>
          </w:p>
        </w:tc>
        <w:tc>
          <w:tcPr>
            <w:tcW w:w="1300" w:type="dxa"/>
            <w:vAlign w:val="bottom"/>
          </w:tcPr>
          <w:p>
            <w:pPr>
              <w:jc w:val="right"/>
              <w:ind w:right="69"/>
              <w:spacing w:after="0" w:line="169" w:lineRule="exact"/>
              <w:rPr>
                <w:sz w:val="20"/>
                <w:szCs w:val="20"/>
                <w:color w:val="auto"/>
              </w:rPr>
            </w:pPr>
            <w:r>
              <w:rPr>
                <w:rFonts w:ascii="Calibri" w:cs="Calibri" w:eastAsia="Calibri" w:hAnsi="Calibri"/>
                <w:sz w:val="14"/>
                <w:szCs w:val="14"/>
                <w:color w:val="494949"/>
              </w:rPr>
              <w:t>97,485</w:t>
            </w: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jc w:val="right"/>
              <w:ind w:right="89"/>
              <w:spacing w:after="0" w:line="169" w:lineRule="exact"/>
              <w:rPr>
                <w:sz w:val="20"/>
                <w:szCs w:val="20"/>
                <w:color w:val="auto"/>
              </w:rPr>
            </w:pPr>
            <w:r>
              <w:rPr>
                <w:rFonts w:ascii="Calibri" w:cs="Calibri" w:eastAsia="Calibri" w:hAnsi="Calibri"/>
                <w:sz w:val="14"/>
                <w:szCs w:val="14"/>
                <w:color w:val="494949"/>
              </w:rPr>
              <w:t>411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89"/>
              <w:spacing w:after="0" w:line="169" w:lineRule="exact"/>
              <w:rPr>
                <w:sz w:val="20"/>
                <w:szCs w:val="20"/>
                <w:color w:val="auto"/>
              </w:rPr>
            </w:pPr>
            <w:r>
              <w:rPr>
                <w:rFonts w:ascii="Calibri" w:cs="Calibri" w:eastAsia="Calibri" w:hAnsi="Calibri"/>
                <w:sz w:val="14"/>
                <w:szCs w:val="14"/>
                <w:color w:val="494949"/>
              </w:rPr>
              <w:t>—</w:t>
            </w:r>
          </w:p>
        </w:tc>
        <w:tc>
          <w:tcPr>
            <w:tcW w:w="0" w:type="dxa"/>
            <w:vAlign w:val="bottom"/>
          </w:tcPr>
          <w:p>
            <w:pPr>
              <w:spacing w:after="0"/>
              <w:rPr>
                <w:sz w:val="1"/>
                <w:szCs w:val="1"/>
                <w:color w:val="auto"/>
              </w:rPr>
            </w:pPr>
          </w:p>
        </w:tc>
      </w:tr>
      <w:tr>
        <w:trPr>
          <w:trHeight w:val="31"/>
        </w:trPr>
        <w:tc>
          <w:tcPr>
            <w:tcW w:w="4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4480" w:type="dxa"/>
            <w:vAlign w:val="bottom"/>
            <w:tcBorders>
              <w:bottom w:val="single" w:sz="8" w:color="CCEEFF"/>
            </w:tcBorders>
            <w:shd w:val="clear" w:color="auto" w:fill="CCEEFF"/>
          </w:tcPr>
          <w:p>
            <w:pPr>
              <w:ind w:left="340"/>
              <w:spacing w:after="0" w:line="169" w:lineRule="exact"/>
              <w:rPr>
                <w:sz w:val="20"/>
                <w:szCs w:val="20"/>
                <w:color w:val="auto"/>
              </w:rPr>
            </w:pPr>
            <w:r>
              <w:rPr>
                <w:rFonts w:ascii="Calibri" w:cs="Calibri" w:eastAsia="Calibri" w:hAnsi="Calibri"/>
                <w:sz w:val="14"/>
                <w:szCs w:val="14"/>
                <w:color w:val="494949"/>
              </w:rPr>
              <w:t>Financing transacton costs (c)</w:t>
            </w: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69"/>
              <w:spacing w:after="0" w:line="169" w:lineRule="exact"/>
              <w:rPr>
                <w:sz w:val="20"/>
                <w:szCs w:val="20"/>
                <w:color w:val="auto"/>
              </w:rPr>
            </w:pPr>
            <w:r>
              <w:rPr>
                <w:rFonts w:ascii="Calibri" w:cs="Calibri" w:eastAsia="Calibri" w:hAnsi="Calibri"/>
                <w:sz w:val="14"/>
                <w:szCs w:val="14"/>
                <w:color w:val="494949"/>
              </w:rPr>
              <w:t>2,348</w:t>
            </w:r>
          </w:p>
        </w:tc>
        <w:tc>
          <w:tcPr>
            <w:tcW w:w="13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260"/>
              <w:spacing w:after="0" w:line="169" w:lineRule="exact"/>
              <w:rPr>
                <w:sz w:val="20"/>
                <w:szCs w:val="20"/>
                <w:color w:val="auto"/>
              </w:rPr>
            </w:pPr>
            <w:r>
              <w:rPr>
                <w:rFonts w:ascii="Calibri" w:cs="Calibri" w:eastAsia="Calibri" w:hAnsi="Calibri"/>
                <w:sz w:val="14"/>
                <w:szCs w:val="14"/>
                <w:color w:val="494949"/>
              </w:rPr>
              <w:t>—</w:t>
            </w:r>
          </w:p>
        </w:tc>
        <w:tc>
          <w:tcPr>
            <w:tcW w:w="4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89"/>
              <w:spacing w:after="0" w:line="169" w:lineRule="exact"/>
              <w:rPr>
                <w:sz w:val="20"/>
                <w:szCs w:val="20"/>
                <w:color w:val="auto"/>
              </w:rPr>
            </w:pPr>
            <w:r>
              <w:rPr>
                <w:rFonts w:ascii="Calibri" w:cs="Calibri" w:eastAsia="Calibri" w:hAnsi="Calibri"/>
                <w:sz w:val="14"/>
                <w:szCs w:val="14"/>
                <w:color w:val="494949"/>
              </w:rPr>
              <w:t>1,069</w:t>
            </w:r>
          </w:p>
        </w:tc>
        <w:tc>
          <w:tcPr>
            <w:tcW w:w="0" w:type="dxa"/>
            <w:vAlign w:val="bottom"/>
          </w:tcPr>
          <w:p>
            <w:pPr>
              <w:spacing w:after="0"/>
              <w:rPr>
                <w:sz w:val="1"/>
                <w:szCs w:val="1"/>
                <w:color w:val="auto"/>
              </w:rPr>
            </w:pPr>
          </w:p>
        </w:tc>
      </w:tr>
      <w:tr>
        <w:trPr>
          <w:trHeight w:val="168"/>
        </w:trPr>
        <w:tc>
          <w:tcPr>
            <w:tcW w:w="4480" w:type="dxa"/>
            <w:vAlign w:val="bottom"/>
          </w:tcPr>
          <w:p>
            <w:pPr>
              <w:ind w:left="340"/>
              <w:spacing w:after="0" w:line="169" w:lineRule="exact"/>
              <w:rPr>
                <w:sz w:val="20"/>
                <w:szCs w:val="20"/>
                <w:color w:val="auto"/>
              </w:rPr>
            </w:pPr>
            <w:r>
              <w:rPr>
                <w:rFonts w:ascii="Calibri" w:cs="Calibri" w:eastAsia="Calibri" w:hAnsi="Calibri"/>
                <w:sz w:val="14"/>
                <w:szCs w:val="14"/>
                <w:color w:val="494949"/>
              </w:rPr>
              <w:t>COVID-19 supplemental employee benefts (d)</w:t>
            </w:r>
          </w:p>
        </w:tc>
        <w:tc>
          <w:tcPr>
            <w:tcW w:w="400" w:type="dxa"/>
            <w:vAlign w:val="bottom"/>
          </w:tcPr>
          <w:p>
            <w:pPr>
              <w:spacing w:after="0"/>
              <w:rPr>
                <w:sz w:val="14"/>
                <w:szCs w:val="14"/>
                <w:color w:val="auto"/>
              </w:rPr>
            </w:pPr>
          </w:p>
        </w:tc>
        <w:tc>
          <w:tcPr>
            <w:tcW w:w="1300" w:type="dxa"/>
            <w:vAlign w:val="bottom"/>
          </w:tcPr>
          <w:p>
            <w:pPr>
              <w:jc w:val="right"/>
              <w:ind w:right="69"/>
              <w:spacing w:after="0" w:line="169" w:lineRule="exact"/>
              <w:rPr>
                <w:sz w:val="20"/>
                <w:szCs w:val="20"/>
                <w:color w:val="auto"/>
              </w:rPr>
            </w:pPr>
            <w:r>
              <w:rPr>
                <w:rFonts w:ascii="Calibri" w:cs="Calibri" w:eastAsia="Calibri" w:hAnsi="Calibri"/>
                <w:sz w:val="14"/>
                <w:szCs w:val="14"/>
                <w:color w:val="494949"/>
              </w:rPr>
              <w:t>—</w:t>
            </w: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jc w:val="right"/>
              <w:ind w:right="89"/>
              <w:spacing w:after="0" w:line="169" w:lineRule="exact"/>
              <w:rPr>
                <w:sz w:val="20"/>
                <w:szCs w:val="20"/>
                <w:color w:val="auto"/>
              </w:rPr>
            </w:pPr>
            <w:r>
              <w:rPr>
                <w:rFonts w:ascii="Calibri" w:cs="Calibri" w:eastAsia="Calibri" w:hAnsi="Calibri"/>
                <w:sz w:val="14"/>
                <w:szCs w:val="14"/>
                <w:color w:val="494949"/>
              </w:rPr>
              <w:t>577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89"/>
              <w:spacing w:after="0" w:line="169" w:lineRule="exact"/>
              <w:rPr>
                <w:sz w:val="20"/>
                <w:szCs w:val="20"/>
                <w:color w:val="auto"/>
              </w:rPr>
            </w:pPr>
            <w:r>
              <w:rPr>
                <w:rFonts w:ascii="Calibri" w:cs="Calibri" w:eastAsia="Calibri" w:hAnsi="Calibri"/>
                <w:sz w:val="14"/>
                <w:szCs w:val="14"/>
                <w:color w:val="494949"/>
              </w:rPr>
              <w:t>2,722</w:t>
            </w:r>
          </w:p>
        </w:tc>
        <w:tc>
          <w:tcPr>
            <w:tcW w:w="0" w:type="dxa"/>
            <w:vAlign w:val="bottom"/>
          </w:tcPr>
          <w:p>
            <w:pPr>
              <w:spacing w:after="0"/>
              <w:rPr>
                <w:sz w:val="1"/>
                <w:szCs w:val="1"/>
                <w:color w:val="auto"/>
              </w:rPr>
            </w:pPr>
          </w:p>
        </w:tc>
      </w:tr>
      <w:tr>
        <w:trPr>
          <w:trHeight w:val="31"/>
        </w:trPr>
        <w:tc>
          <w:tcPr>
            <w:tcW w:w="4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4480" w:type="dxa"/>
            <w:vAlign w:val="bottom"/>
            <w:tcBorders>
              <w:bottom w:val="single" w:sz="8" w:color="CCEEFF"/>
            </w:tcBorders>
            <w:shd w:val="clear" w:color="auto" w:fill="CCEEFF"/>
          </w:tcPr>
          <w:p>
            <w:pPr>
              <w:ind w:left="340"/>
              <w:spacing w:after="0" w:line="169" w:lineRule="exact"/>
              <w:rPr>
                <w:sz w:val="20"/>
                <w:szCs w:val="20"/>
                <w:color w:val="auto"/>
              </w:rPr>
            </w:pPr>
            <w:r>
              <w:rPr>
                <w:rFonts w:ascii="Calibri" w:cs="Calibri" w:eastAsia="Calibri" w:hAnsi="Calibri"/>
                <w:sz w:val="14"/>
                <w:szCs w:val="14"/>
                <w:color w:val="494949"/>
              </w:rPr>
              <w:t>Signifcant acquisiton amortzaton (f)</w:t>
            </w: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69"/>
              <w:spacing w:after="0" w:line="169" w:lineRule="exact"/>
              <w:rPr>
                <w:sz w:val="20"/>
                <w:szCs w:val="20"/>
                <w:color w:val="auto"/>
              </w:rPr>
            </w:pPr>
            <w:r>
              <w:rPr>
                <w:rFonts w:ascii="Calibri" w:cs="Calibri" w:eastAsia="Calibri" w:hAnsi="Calibri"/>
                <w:sz w:val="14"/>
                <w:szCs w:val="14"/>
                <w:color w:val="494949"/>
              </w:rPr>
              <w:t>38,295</w:t>
            </w:r>
          </w:p>
        </w:tc>
        <w:tc>
          <w:tcPr>
            <w:tcW w:w="13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260"/>
              <w:spacing w:after="0" w:line="169" w:lineRule="exact"/>
              <w:rPr>
                <w:sz w:val="20"/>
                <w:szCs w:val="20"/>
                <w:color w:val="auto"/>
              </w:rPr>
            </w:pPr>
            <w:r>
              <w:rPr>
                <w:rFonts w:ascii="Calibri" w:cs="Calibri" w:eastAsia="Calibri" w:hAnsi="Calibri"/>
                <w:sz w:val="14"/>
                <w:szCs w:val="14"/>
                <w:color w:val="494949"/>
              </w:rPr>
              <w:t>—</w:t>
            </w:r>
          </w:p>
        </w:tc>
        <w:tc>
          <w:tcPr>
            <w:tcW w:w="4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89"/>
              <w:spacing w:after="0" w:line="169" w:lineRule="exact"/>
              <w:rPr>
                <w:sz w:val="20"/>
                <w:szCs w:val="20"/>
                <w:color w:val="auto"/>
              </w:rPr>
            </w:pPr>
            <w:r>
              <w:rPr>
                <w:rFonts w:ascii="Calibri" w:cs="Calibri" w:eastAsia="Calibri" w:hAnsi="Calibri"/>
                <w:sz w:val="14"/>
                <w:szCs w:val="14"/>
                <w:color w:val="494949"/>
              </w:rPr>
              <w:t>—</w:t>
            </w:r>
          </w:p>
        </w:tc>
        <w:tc>
          <w:tcPr>
            <w:tcW w:w="0" w:type="dxa"/>
            <w:vAlign w:val="bottom"/>
          </w:tcPr>
          <w:p>
            <w:pPr>
              <w:spacing w:after="0"/>
              <w:rPr>
                <w:sz w:val="1"/>
                <w:szCs w:val="1"/>
                <w:color w:val="auto"/>
              </w:rPr>
            </w:pPr>
          </w:p>
        </w:tc>
      </w:tr>
      <w:tr>
        <w:trPr>
          <w:trHeight w:val="168"/>
        </w:trPr>
        <w:tc>
          <w:tcPr>
            <w:tcW w:w="4480" w:type="dxa"/>
            <w:vAlign w:val="bottom"/>
          </w:tcPr>
          <w:p>
            <w:pPr>
              <w:ind w:left="340"/>
              <w:spacing w:after="0" w:line="169" w:lineRule="exact"/>
              <w:rPr>
                <w:sz w:val="20"/>
                <w:szCs w:val="20"/>
                <w:color w:val="auto"/>
              </w:rPr>
            </w:pPr>
            <w:r>
              <w:rPr>
                <w:rFonts w:ascii="Calibri" w:cs="Calibri" w:eastAsia="Calibri" w:hAnsi="Calibri"/>
                <w:sz w:val="14"/>
                <w:szCs w:val="14"/>
                <w:color w:val="494949"/>
              </w:rPr>
              <w:t>Restructuring costs (e)</w:t>
            </w:r>
          </w:p>
        </w:tc>
        <w:tc>
          <w:tcPr>
            <w:tcW w:w="400" w:type="dxa"/>
            <w:vAlign w:val="bottom"/>
          </w:tcPr>
          <w:p>
            <w:pPr>
              <w:spacing w:after="0"/>
              <w:rPr>
                <w:sz w:val="14"/>
                <w:szCs w:val="14"/>
                <w:color w:val="auto"/>
              </w:rPr>
            </w:pPr>
          </w:p>
        </w:tc>
        <w:tc>
          <w:tcPr>
            <w:tcW w:w="1300" w:type="dxa"/>
            <w:vAlign w:val="bottom"/>
          </w:tcPr>
          <w:p>
            <w:pPr>
              <w:jc w:val="right"/>
              <w:ind w:right="69"/>
              <w:spacing w:after="0" w:line="169" w:lineRule="exact"/>
              <w:rPr>
                <w:sz w:val="20"/>
                <w:szCs w:val="20"/>
                <w:color w:val="auto"/>
              </w:rPr>
            </w:pPr>
            <w:r>
              <w:rPr>
                <w:rFonts w:ascii="Calibri" w:cs="Calibri" w:eastAsia="Calibri" w:hAnsi="Calibri"/>
                <w:sz w:val="14"/>
                <w:szCs w:val="14"/>
                <w:color w:val="494949"/>
              </w:rPr>
              <w:t>4,164</w:t>
            </w: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right"/>
              <w:ind w:right="260"/>
              <w:spacing w:after="0" w:line="169" w:lineRule="exact"/>
              <w:rPr>
                <w:sz w:val="20"/>
                <w:szCs w:val="20"/>
                <w:color w:val="auto"/>
              </w:rPr>
            </w:pPr>
            <w:r>
              <w:rPr>
                <w:rFonts w:ascii="Calibri" w:cs="Calibri" w:eastAsia="Calibri" w:hAnsi="Calibri"/>
                <w:sz w:val="14"/>
                <w:szCs w:val="14"/>
                <w:color w:val="494949"/>
              </w:rPr>
              <w:t>—</w:t>
            </w:r>
          </w:p>
        </w:tc>
        <w:tc>
          <w:tcPr>
            <w:tcW w:w="400" w:type="dxa"/>
            <w:vAlign w:val="bottom"/>
          </w:tcPr>
          <w:p>
            <w:pPr>
              <w:spacing w:after="0"/>
              <w:rPr>
                <w:sz w:val="14"/>
                <w:szCs w:val="14"/>
                <w:color w:val="auto"/>
              </w:rPr>
            </w:pPr>
          </w:p>
        </w:tc>
        <w:tc>
          <w:tcPr>
            <w:tcW w:w="1320" w:type="dxa"/>
            <w:vAlign w:val="bottom"/>
          </w:tcPr>
          <w:p>
            <w:pPr>
              <w:jc w:val="right"/>
              <w:ind w:right="89"/>
              <w:spacing w:after="0" w:line="169" w:lineRule="exact"/>
              <w:rPr>
                <w:sz w:val="20"/>
                <w:szCs w:val="20"/>
                <w:color w:val="auto"/>
              </w:rPr>
            </w:pPr>
            <w:r>
              <w:rPr>
                <w:rFonts w:ascii="Calibri" w:cs="Calibri" w:eastAsia="Calibri" w:hAnsi="Calibri"/>
                <w:sz w:val="14"/>
                <w:szCs w:val="14"/>
                <w:color w:val="494949"/>
              </w:rPr>
              <w:t>—</w:t>
            </w:r>
          </w:p>
        </w:tc>
        <w:tc>
          <w:tcPr>
            <w:tcW w:w="0" w:type="dxa"/>
            <w:vAlign w:val="bottom"/>
          </w:tcPr>
          <w:p>
            <w:pPr>
              <w:spacing w:after="0"/>
              <w:rPr>
                <w:sz w:val="1"/>
                <w:szCs w:val="1"/>
                <w:color w:val="auto"/>
              </w:rPr>
            </w:pPr>
          </w:p>
        </w:tc>
      </w:tr>
      <w:tr>
        <w:trPr>
          <w:trHeight w:val="31"/>
        </w:trPr>
        <w:tc>
          <w:tcPr>
            <w:tcW w:w="4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4480" w:type="dxa"/>
            <w:vAlign w:val="bottom"/>
            <w:tcBorders>
              <w:bottom w:val="single" w:sz="8" w:color="CCEEFF"/>
            </w:tcBorders>
            <w:shd w:val="clear" w:color="auto" w:fill="CCEEFF"/>
          </w:tcPr>
          <w:p>
            <w:pPr>
              <w:ind w:left="340"/>
              <w:spacing w:after="0" w:line="169" w:lineRule="exact"/>
              <w:rPr>
                <w:sz w:val="20"/>
                <w:szCs w:val="20"/>
                <w:color w:val="auto"/>
              </w:rPr>
            </w:pPr>
            <w:r>
              <w:rPr>
                <w:rFonts w:ascii="Calibri" w:cs="Calibri" w:eastAsia="Calibri" w:hAnsi="Calibri"/>
                <w:sz w:val="14"/>
                <w:szCs w:val="14"/>
                <w:color w:val="494949"/>
              </w:rPr>
              <w:t>Gain associated with equity method investment actvites (g)</w:t>
            </w: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49"/>
              <w:spacing w:after="0" w:line="169" w:lineRule="exact"/>
              <w:rPr>
                <w:sz w:val="20"/>
                <w:szCs w:val="20"/>
                <w:color w:val="auto"/>
              </w:rPr>
            </w:pPr>
            <w:r>
              <w:rPr>
                <w:rFonts w:ascii="Calibri" w:cs="Calibri" w:eastAsia="Calibri" w:hAnsi="Calibri"/>
                <w:sz w:val="14"/>
                <w:szCs w:val="14"/>
                <w:color w:val="494949"/>
              </w:rPr>
              <w:t>(12,761)</w:t>
            </w:r>
          </w:p>
        </w:tc>
        <w:tc>
          <w:tcPr>
            <w:tcW w:w="13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260"/>
              <w:spacing w:after="0" w:line="169" w:lineRule="exact"/>
              <w:rPr>
                <w:sz w:val="20"/>
                <w:szCs w:val="20"/>
                <w:color w:val="auto"/>
              </w:rPr>
            </w:pPr>
            <w:r>
              <w:rPr>
                <w:rFonts w:ascii="Calibri" w:cs="Calibri" w:eastAsia="Calibri" w:hAnsi="Calibri"/>
                <w:sz w:val="14"/>
                <w:szCs w:val="14"/>
                <w:color w:val="494949"/>
              </w:rPr>
              <w:t>—</w:t>
            </w:r>
          </w:p>
        </w:tc>
        <w:tc>
          <w:tcPr>
            <w:tcW w:w="4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89"/>
              <w:spacing w:after="0" w:line="169" w:lineRule="exact"/>
              <w:rPr>
                <w:sz w:val="20"/>
                <w:szCs w:val="20"/>
                <w:color w:val="auto"/>
              </w:rPr>
            </w:pPr>
            <w:r>
              <w:rPr>
                <w:rFonts w:ascii="Calibri" w:cs="Calibri" w:eastAsia="Calibri" w:hAnsi="Calibri"/>
                <w:sz w:val="14"/>
                <w:szCs w:val="14"/>
                <w:color w:val="494949"/>
              </w:rPr>
              <w:t>—</w:t>
            </w:r>
          </w:p>
        </w:tc>
        <w:tc>
          <w:tcPr>
            <w:tcW w:w="0" w:type="dxa"/>
            <w:vAlign w:val="bottom"/>
          </w:tcPr>
          <w:p>
            <w:pPr>
              <w:spacing w:after="0"/>
              <w:rPr>
                <w:sz w:val="1"/>
                <w:szCs w:val="1"/>
                <w:color w:val="auto"/>
              </w:rPr>
            </w:pPr>
          </w:p>
        </w:tc>
      </w:tr>
      <w:tr>
        <w:trPr>
          <w:trHeight w:val="168"/>
        </w:trPr>
        <w:tc>
          <w:tcPr>
            <w:tcW w:w="4480" w:type="dxa"/>
            <w:vAlign w:val="bottom"/>
          </w:tcPr>
          <w:p>
            <w:pPr>
              <w:ind w:left="340"/>
              <w:spacing w:after="0" w:line="169" w:lineRule="exact"/>
              <w:rPr>
                <w:sz w:val="20"/>
                <w:szCs w:val="20"/>
                <w:color w:val="auto"/>
              </w:rPr>
            </w:pPr>
            <w:r>
              <w:rPr>
                <w:rFonts w:ascii="Calibri" w:cs="Calibri" w:eastAsia="Calibri" w:hAnsi="Calibri"/>
                <w:sz w:val="14"/>
                <w:szCs w:val="14"/>
                <w:color w:val="494949"/>
              </w:rPr>
              <w:t>Research and development tax credits (h)</w:t>
            </w:r>
          </w:p>
        </w:tc>
        <w:tc>
          <w:tcPr>
            <w:tcW w:w="400" w:type="dxa"/>
            <w:vAlign w:val="bottom"/>
          </w:tcPr>
          <w:p>
            <w:pPr>
              <w:spacing w:after="0"/>
              <w:rPr>
                <w:sz w:val="14"/>
                <w:szCs w:val="14"/>
                <w:color w:val="auto"/>
              </w:rPr>
            </w:pPr>
          </w:p>
        </w:tc>
        <w:tc>
          <w:tcPr>
            <w:tcW w:w="1300" w:type="dxa"/>
            <w:vAlign w:val="bottom"/>
          </w:tcPr>
          <w:p>
            <w:pPr>
              <w:jc w:val="right"/>
              <w:ind w:right="69"/>
              <w:spacing w:after="0" w:line="169" w:lineRule="exact"/>
              <w:rPr>
                <w:sz w:val="20"/>
                <w:szCs w:val="20"/>
                <w:color w:val="auto"/>
              </w:rPr>
            </w:pPr>
            <w:r>
              <w:rPr>
                <w:rFonts w:ascii="Calibri" w:cs="Calibri" w:eastAsia="Calibri" w:hAnsi="Calibri"/>
                <w:sz w:val="14"/>
                <w:szCs w:val="14"/>
                <w:color w:val="494949"/>
              </w:rPr>
              <w:t>—</w:t>
            </w: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jc w:val="right"/>
              <w:ind w:right="49"/>
              <w:spacing w:after="0" w:line="169" w:lineRule="exact"/>
              <w:rPr>
                <w:sz w:val="20"/>
                <w:szCs w:val="20"/>
                <w:color w:val="auto"/>
              </w:rPr>
            </w:pPr>
            <w:r>
              <w:rPr>
                <w:rFonts w:ascii="Calibri" w:cs="Calibri" w:eastAsia="Calibri" w:hAnsi="Calibri"/>
                <w:sz w:val="14"/>
                <w:szCs w:val="14"/>
                <w:color w:val="494949"/>
              </w:rPr>
              <w:t>(2,928)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49"/>
              <w:spacing w:after="0" w:line="169" w:lineRule="exact"/>
              <w:rPr>
                <w:sz w:val="20"/>
                <w:szCs w:val="20"/>
                <w:color w:val="auto"/>
              </w:rPr>
            </w:pPr>
            <w:r>
              <w:rPr>
                <w:rFonts w:ascii="Calibri" w:cs="Calibri" w:eastAsia="Calibri" w:hAnsi="Calibri"/>
                <w:sz w:val="14"/>
                <w:szCs w:val="14"/>
                <w:color w:val="494949"/>
              </w:rPr>
              <w:t>(38,395)</w:t>
            </w:r>
          </w:p>
        </w:tc>
        <w:tc>
          <w:tcPr>
            <w:tcW w:w="0" w:type="dxa"/>
            <w:vAlign w:val="bottom"/>
          </w:tcPr>
          <w:p>
            <w:pPr>
              <w:spacing w:after="0"/>
              <w:rPr>
                <w:sz w:val="1"/>
                <w:szCs w:val="1"/>
                <w:color w:val="auto"/>
              </w:rPr>
            </w:pPr>
          </w:p>
        </w:tc>
      </w:tr>
      <w:tr>
        <w:trPr>
          <w:trHeight w:val="31"/>
        </w:trPr>
        <w:tc>
          <w:tcPr>
            <w:tcW w:w="4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4480" w:type="dxa"/>
            <w:vAlign w:val="bottom"/>
            <w:tcBorders>
              <w:bottom w:val="single" w:sz="8" w:color="CCEEFF"/>
            </w:tcBorders>
            <w:shd w:val="clear" w:color="auto" w:fill="CCEEFF"/>
          </w:tcPr>
          <w:p>
            <w:pPr>
              <w:ind w:left="340"/>
              <w:spacing w:after="0" w:line="169" w:lineRule="exact"/>
              <w:rPr>
                <w:sz w:val="20"/>
                <w:szCs w:val="20"/>
                <w:color w:val="auto"/>
              </w:rPr>
            </w:pPr>
            <w:r>
              <w:rPr>
                <w:rFonts w:ascii="Calibri" w:cs="Calibri" w:eastAsia="Calibri" w:hAnsi="Calibri"/>
                <w:sz w:val="14"/>
                <w:szCs w:val="14"/>
                <w:color w:val="494949"/>
              </w:rPr>
              <w:t>Release of income tax reserves (i)</w:t>
            </w: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69"/>
              <w:spacing w:after="0" w:line="169" w:lineRule="exact"/>
              <w:rPr>
                <w:sz w:val="20"/>
                <w:szCs w:val="20"/>
                <w:color w:val="auto"/>
              </w:rPr>
            </w:pPr>
            <w:r>
              <w:rPr>
                <w:rFonts w:ascii="Calibri" w:cs="Calibri" w:eastAsia="Calibri" w:hAnsi="Calibri"/>
                <w:sz w:val="14"/>
                <w:szCs w:val="14"/>
                <w:color w:val="494949"/>
              </w:rPr>
              <w:t>—</w:t>
            </w:r>
          </w:p>
        </w:tc>
        <w:tc>
          <w:tcPr>
            <w:tcW w:w="13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49"/>
              <w:spacing w:after="0" w:line="169" w:lineRule="exact"/>
              <w:rPr>
                <w:sz w:val="20"/>
                <w:szCs w:val="20"/>
                <w:color w:val="auto"/>
              </w:rPr>
            </w:pPr>
            <w:r>
              <w:rPr>
                <w:rFonts w:ascii="Calibri" w:cs="Calibri" w:eastAsia="Calibri" w:hAnsi="Calibri"/>
                <w:sz w:val="14"/>
                <w:szCs w:val="14"/>
                <w:color w:val="494949"/>
              </w:rPr>
              <w:t>(29)</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49"/>
              <w:spacing w:after="0" w:line="169" w:lineRule="exact"/>
              <w:rPr>
                <w:sz w:val="20"/>
                <w:szCs w:val="20"/>
                <w:color w:val="auto"/>
              </w:rPr>
            </w:pPr>
            <w:r>
              <w:rPr>
                <w:rFonts w:ascii="Calibri" w:cs="Calibri" w:eastAsia="Calibri" w:hAnsi="Calibri"/>
                <w:sz w:val="14"/>
                <w:szCs w:val="14"/>
                <w:color w:val="494949"/>
              </w:rPr>
              <w:t>(68)</w:t>
            </w:r>
          </w:p>
        </w:tc>
        <w:tc>
          <w:tcPr>
            <w:tcW w:w="0" w:type="dxa"/>
            <w:vAlign w:val="bottom"/>
          </w:tcPr>
          <w:p>
            <w:pPr>
              <w:spacing w:after="0"/>
              <w:rPr>
                <w:sz w:val="1"/>
                <w:szCs w:val="1"/>
                <w:color w:val="auto"/>
              </w:rPr>
            </w:pPr>
          </w:p>
        </w:tc>
      </w:tr>
      <w:tr>
        <w:trPr>
          <w:trHeight w:val="168"/>
        </w:trPr>
        <w:tc>
          <w:tcPr>
            <w:tcW w:w="4480" w:type="dxa"/>
            <w:vAlign w:val="bottom"/>
          </w:tcPr>
          <w:p>
            <w:pPr>
              <w:ind w:left="340"/>
              <w:spacing w:after="0" w:line="169" w:lineRule="exact"/>
              <w:rPr>
                <w:sz w:val="20"/>
                <w:szCs w:val="20"/>
                <w:color w:val="auto"/>
              </w:rPr>
            </w:pPr>
            <w:r>
              <w:rPr>
                <w:rFonts w:ascii="Calibri" w:cs="Calibri" w:eastAsia="Calibri" w:hAnsi="Calibri"/>
                <w:sz w:val="14"/>
                <w:szCs w:val="14"/>
                <w:color w:val="494949"/>
              </w:rPr>
              <w:t>Loss on debt extnguishment (j)</w:t>
            </w:r>
          </w:p>
        </w:tc>
        <w:tc>
          <w:tcPr>
            <w:tcW w:w="400" w:type="dxa"/>
            <w:vAlign w:val="bottom"/>
          </w:tcPr>
          <w:p>
            <w:pPr>
              <w:spacing w:after="0"/>
              <w:rPr>
                <w:sz w:val="14"/>
                <w:szCs w:val="14"/>
                <w:color w:val="auto"/>
              </w:rPr>
            </w:pPr>
          </w:p>
        </w:tc>
        <w:tc>
          <w:tcPr>
            <w:tcW w:w="1300" w:type="dxa"/>
            <w:vAlign w:val="bottom"/>
          </w:tcPr>
          <w:p>
            <w:pPr>
              <w:jc w:val="right"/>
              <w:ind w:right="69"/>
              <w:spacing w:after="0" w:line="169" w:lineRule="exact"/>
              <w:rPr>
                <w:sz w:val="20"/>
                <w:szCs w:val="20"/>
                <w:color w:val="auto"/>
              </w:rPr>
            </w:pPr>
            <w:r>
              <w:rPr>
                <w:rFonts w:ascii="Calibri" w:cs="Calibri" w:eastAsia="Calibri" w:hAnsi="Calibri"/>
                <w:sz w:val="14"/>
                <w:szCs w:val="14"/>
                <w:color w:val="494949"/>
              </w:rPr>
              <w:t>—</w:t>
            </w: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jc w:val="right"/>
              <w:ind w:right="89"/>
              <w:spacing w:after="0" w:line="169" w:lineRule="exact"/>
              <w:rPr>
                <w:sz w:val="20"/>
                <w:szCs w:val="20"/>
                <w:color w:val="auto"/>
              </w:rPr>
            </w:pPr>
            <w:r>
              <w:rPr>
                <w:rFonts w:ascii="Calibri" w:cs="Calibri" w:eastAsia="Calibri" w:hAnsi="Calibri"/>
                <w:sz w:val="14"/>
                <w:szCs w:val="14"/>
                <w:color w:val="494949"/>
              </w:rPr>
              <w:t>13,239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89"/>
              <w:spacing w:after="0" w:line="169" w:lineRule="exact"/>
              <w:rPr>
                <w:sz w:val="20"/>
                <w:szCs w:val="20"/>
                <w:color w:val="auto"/>
              </w:rPr>
            </w:pPr>
            <w:r>
              <w:rPr>
                <w:rFonts w:ascii="Calibri" w:cs="Calibri" w:eastAsia="Calibri" w:hAnsi="Calibri"/>
                <w:sz w:val="14"/>
                <w:szCs w:val="14"/>
                <w:color w:val="494949"/>
              </w:rPr>
              <w:t>—</w:t>
            </w:r>
          </w:p>
        </w:tc>
        <w:tc>
          <w:tcPr>
            <w:tcW w:w="0" w:type="dxa"/>
            <w:vAlign w:val="bottom"/>
          </w:tcPr>
          <w:p>
            <w:pPr>
              <w:spacing w:after="0"/>
              <w:rPr>
                <w:sz w:val="1"/>
                <w:szCs w:val="1"/>
                <w:color w:val="auto"/>
              </w:rPr>
            </w:pPr>
          </w:p>
        </w:tc>
      </w:tr>
      <w:tr>
        <w:trPr>
          <w:trHeight w:val="31"/>
        </w:trPr>
        <w:tc>
          <w:tcPr>
            <w:tcW w:w="4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4480" w:type="dxa"/>
            <w:vAlign w:val="bottom"/>
            <w:tcBorders>
              <w:bottom w:val="single" w:sz="8" w:color="CCEEFF"/>
            </w:tcBorders>
            <w:shd w:val="clear" w:color="auto" w:fill="CCEEFF"/>
          </w:tcPr>
          <w:p>
            <w:pPr>
              <w:ind w:left="340"/>
              <w:spacing w:after="0" w:line="169" w:lineRule="exact"/>
              <w:rPr>
                <w:sz w:val="20"/>
                <w:szCs w:val="20"/>
                <w:color w:val="auto"/>
              </w:rPr>
            </w:pPr>
            <w:r>
              <w:rPr>
                <w:rFonts w:ascii="Calibri" w:cs="Calibri" w:eastAsia="Calibri" w:hAnsi="Calibri"/>
                <w:sz w:val="14"/>
                <w:szCs w:val="14"/>
                <w:color w:val="494949"/>
              </w:rPr>
              <w:t>Remeasurement of deferred tax assets/liabilites (k)</w:t>
            </w: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69"/>
              <w:spacing w:after="0" w:line="169" w:lineRule="exact"/>
              <w:rPr>
                <w:sz w:val="20"/>
                <w:szCs w:val="20"/>
                <w:color w:val="auto"/>
              </w:rPr>
            </w:pPr>
            <w:r>
              <w:rPr>
                <w:rFonts w:ascii="Calibri" w:cs="Calibri" w:eastAsia="Calibri" w:hAnsi="Calibri"/>
                <w:sz w:val="14"/>
                <w:szCs w:val="14"/>
                <w:color w:val="494949"/>
              </w:rPr>
              <w:t>—</w:t>
            </w:r>
          </w:p>
        </w:tc>
        <w:tc>
          <w:tcPr>
            <w:tcW w:w="13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49"/>
              <w:spacing w:after="0" w:line="169" w:lineRule="exact"/>
              <w:rPr>
                <w:sz w:val="20"/>
                <w:szCs w:val="20"/>
                <w:color w:val="auto"/>
              </w:rPr>
            </w:pPr>
            <w:r>
              <w:rPr>
                <w:rFonts w:ascii="Calibri" w:cs="Calibri" w:eastAsia="Calibri" w:hAnsi="Calibri"/>
                <w:sz w:val="14"/>
                <w:szCs w:val="14"/>
                <w:color w:val="494949"/>
              </w:rPr>
              <w:t>(76,767)</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89"/>
              <w:spacing w:after="0" w:line="169" w:lineRule="exact"/>
              <w:rPr>
                <w:sz w:val="20"/>
                <w:szCs w:val="20"/>
                <w:color w:val="auto"/>
              </w:rPr>
            </w:pPr>
            <w:r>
              <w:rPr>
                <w:rFonts w:ascii="Calibri" w:cs="Calibri" w:eastAsia="Calibri" w:hAnsi="Calibri"/>
                <w:sz w:val="14"/>
                <w:szCs w:val="14"/>
                <w:color w:val="494949"/>
              </w:rPr>
              <w:t>—</w:t>
            </w:r>
          </w:p>
        </w:tc>
        <w:tc>
          <w:tcPr>
            <w:tcW w:w="0" w:type="dxa"/>
            <w:vAlign w:val="bottom"/>
          </w:tcPr>
          <w:p>
            <w:pPr>
              <w:spacing w:after="0"/>
              <w:rPr>
                <w:sz w:val="1"/>
                <w:szCs w:val="1"/>
                <w:color w:val="auto"/>
              </w:rPr>
            </w:pPr>
          </w:p>
        </w:tc>
      </w:tr>
      <w:tr>
        <w:trPr>
          <w:trHeight w:val="168"/>
        </w:trPr>
        <w:tc>
          <w:tcPr>
            <w:tcW w:w="4480" w:type="dxa"/>
            <w:vAlign w:val="bottom"/>
          </w:tcPr>
          <w:p>
            <w:pPr>
              <w:ind w:left="340"/>
              <w:spacing w:after="0" w:line="169" w:lineRule="exact"/>
              <w:rPr>
                <w:sz w:val="20"/>
                <w:szCs w:val="20"/>
                <w:color w:val="auto"/>
              </w:rPr>
            </w:pPr>
            <w:r>
              <w:rPr>
                <w:rFonts w:ascii="Calibri" w:cs="Calibri" w:eastAsia="Calibri" w:hAnsi="Calibri"/>
                <w:sz w:val="14"/>
                <w:szCs w:val="14"/>
                <w:color w:val="494949"/>
              </w:rPr>
              <w:t>Amortzaton or write-of of debt issuance costs and debt discount</w:t>
            </w:r>
          </w:p>
        </w:tc>
        <w:tc>
          <w:tcPr>
            <w:tcW w:w="400" w:type="dxa"/>
            <w:vAlign w:val="bottom"/>
          </w:tcPr>
          <w:p>
            <w:pPr>
              <w:spacing w:after="0"/>
              <w:rPr>
                <w:sz w:val="14"/>
                <w:szCs w:val="14"/>
                <w:color w:val="auto"/>
              </w:rPr>
            </w:pPr>
          </w:p>
        </w:tc>
        <w:tc>
          <w:tcPr>
            <w:tcW w:w="1300" w:type="dxa"/>
            <w:vAlign w:val="bottom"/>
          </w:tcPr>
          <w:p>
            <w:pPr>
              <w:jc w:val="right"/>
              <w:ind w:right="69"/>
              <w:spacing w:after="0" w:line="169" w:lineRule="exact"/>
              <w:rPr>
                <w:sz w:val="20"/>
                <w:szCs w:val="20"/>
                <w:color w:val="auto"/>
              </w:rPr>
            </w:pPr>
            <w:r>
              <w:rPr>
                <w:rFonts w:ascii="Calibri" w:cs="Calibri" w:eastAsia="Calibri" w:hAnsi="Calibri"/>
                <w:sz w:val="14"/>
                <w:szCs w:val="14"/>
                <w:color w:val="494949"/>
              </w:rPr>
              <w:t>3,340</w:t>
            </w: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jc w:val="right"/>
              <w:ind w:right="89"/>
              <w:spacing w:after="0" w:line="169" w:lineRule="exact"/>
              <w:rPr>
                <w:sz w:val="20"/>
                <w:szCs w:val="20"/>
                <w:color w:val="auto"/>
              </w:rPr>
            </w:pPr>
            <w:r>
              <w:rPr>
                <w:rFonts w:ascii="Calibri" w:cs="Calibri" w:eastAsia="Calibri" w:hAnsi="Calibri"/>
                <w:sz w:val="14"/>
                <w:szCs w:val="14"/>
                <w:color w:val="494949"/>
              </w:rPr>
              <w:t>2,402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89"/>
              <w:spacing w:after="0" w:line="169" w:lineRule="exact"/>
              <w:rPr>
                <w:sz w:val="20"/>
                <w:szCs w:val="20"/>
                <w:color w:val="auto"/>
              </w:rPr>
            </w:pPr>
            <w:r>
              <w:rPr>
                <w:rFonts w:ascii="Calibri" w:cs="Calibri" w:eastAsia="Calibri" w:hAnsi="Calibri"/>
                <w:sz w:val="14"/>
                <w:szCs w:val="14"/>
                <w:color w:val="494949"/>
              </w:rPr>
              <w:t>2,395</w:t>
            </w:r>
          </w:p>
        </w:tc>
        <w:tc>
          <w:tcPr>
            <w:tcW w:w="0" w:type="dxa"/>
            <w:vAlign w:val="bottom"/>
          </w:tcPr>
          <w:p>
            <w:pPr>
              <w:spacing w:after="0"/>
              <w:rPr>
                <w:sz w:val="1"/>
                <w:szCs w:val="1"/>
                <w:color w:val="auto"/>
              </w:rPr>
            </w:pPr>
          </w:p>
        </w:tc>
      </w:tr>
      <w:tr>
        <w:trPr>
          <w:trHeight w:val="31"/>
        </w:trPr>
        <w:tc>
          <w:tcPr>
            <w:tcW w:w="4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480" w:type="dxa"/>
            <w:vAlign w:val="bottom"/>
            <w:tcBorders>
              <w:bottom w:val="single" w:sz="8" w:color="CCEEFF"/>
            </w:tcBorders>
            <w:shd w:val="clear" w:color="auto" w:fill="CCEEFF"/>
          </w:tcPr>
          <w:p>
            <w:pPr>
              <w:ind w:left="340"/>
              <w:spacing w:after="0" w:line="169" w:lineRule="exact"/>
              <w:rPr>
                <w:sz w:val="20"/>
                <w:szCs w:val="20"/>
                <w:color w:val="auto"/>
              </w:rPr>
            </w:pPr>
            <w:r>
              <w:rPr>
                <w:rFonts w:ascii="Calibri" w:cs="Calibri" w:eastAsia="Calibri" w:hAnsi="Calibri"/>
                <w:sz w:val="14"/>
                <w:szCs w:val="14"/>
                <w:color w:val="494949"/>
              </w:rPr>
              <w:t>Adjustments for tax efect (l)</w:t>
            </w: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49"/>
              <w:spacing w:after="0" w:line="169" w:lineRule="exact"/>
              <w:rPr>
                <w:sz w:val="20"/>
                <w:szCs w:val="20"/>
                <w:color w:val="auto"/>
              </w:rPr>
            </w:pPr>
            <w:r>
              <w:rPr>
                <w:rFonts w:ascii="Calibri" w:cs="Calibri" w:eastAsia="Calibri" w:hAnsi="Calibri"/>
                <w:sz w:val="14"/>
                <w:szCs w:val="14"/>
                <w:color w:val="494949"/>
              </w:rPr>
              <w:t>(31,399)</w:t>
            </w:r>
          </w:p>
        </w:tc>
        <w:tc>
          <w:tcPr>
            <w:tcW w:w="13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9"/>
              <w:spacing w:after="0" w:line="169" w:lineRule="exact"/>
              <w:rPr>
                <w:sz w:val="20"/>
                <w:szCs w:val="20"/>
                <w:color w:val="auto"/>
              </w:rPr>
            </w:pPr>
            <w:r>
              <w:rPr>
                <w:rFonts w:ascii="Calibri" w:cs="Calibri" w:eastAsia="Calibri" w:hAnsi="Calibri"/>
                <w:sz w:val="14"/>
                <w:szCs w:val="14"/>
                <w:color w:val="494949"/>
              </w:rPr>
              <w:t>(4,324)</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49"/>
              <w:spacing w:after="0" w:line="169" w:lineRule="exact"/>
              <w:rPr>
                <w:sz w:val="20"/>
                <w:szCs w:val="20"/>
                <w:color w:val="auto"/>
              </w:rPr>
            </w:pPr>
            <w:r>
              <w:rPr>
                <w:rFonts w:ascii="Calibri" w:cs="Calibri" w:eastAsia="Calibri" w:hAnsi="Calibri"/>
                <w:sz w:val="14"/>
                <w:szCs w:val="14"/>
                <w:color w:val="494949"/>
              </w:rPr>
              <w:t>(1,608)</w:t>
            </w:r>
          </w:p>
        </w:tc>
        <w:tc>
          <w:tcPr>
            <w:tcW w:w="0" w:type="dxa"/>
            <w:vAlign w:val="bottom"/>
          </w:tcPr>
          <w:p>
            <w:pPr>
              <w:spacing w:after="0"/>
              <w:rPr>
                <w:sz w:val="1"/>
                <w:szCs w:val="1"/>
                <w:color w:val="auto"/>
              </w:rPr>
            </w:pPr>
          </w:p>
        </w:tc>
      </w:tr>
      <w:tr>
        <w:trPr>
          <w:trHeight w:val="161"/>
        </w:trPr>
        <w:tc>
          <w:tcPr>
            <w:tcW w:w="4480" w:type="dxa"/>
            <w:vAlign w:val="bottom"/>
          </w:tcPr>
          <w:p>
            <w:pPr>
              <w:ind w:left="660"/>
              <w:spacing w:after="0" w:line="149" w:lineRule="exact"/>
              <w:rPr>
                <w:sz w:val="20"/>
                <w:szCs w:val="20"/>
                <w:color w:val="auto"/>
              </w:rPr>
            </w:pPr>
            <w:r>
              <w:rPr>
                <w:rFonts w:ascii="Calibri" w:cs="Calibri" w:eastAsia="Calibri" w:hAnsi="Calibri"/>
                <w:sz w:val="14"/>
                <w:szCs w:val="14"/>
                <w:color w:val="494949"/>
              </w:rPr>
              <w:t>Adjusted Net Income</w:t>
            </w:r>
          </w:p>
        </w:tc>
        <w:tc>
          <w:tcPr>
            <w:tcW w:w="400" w:type="dxa"/>
            <w:vAlign w:val="bottom"/>
            <w:tcBorders>
              <w:top w:val="single" w:sz="8" w:color="auto"/>
            </w:tcBorders>
          </w:tcPr>
          <w:p>
            <w:pPr>
              <w:jc w:val="right"/>
              <w:ind w:right="229"/>
              <w:spacing w:after="0" w:line="161" w:lineRule="exact"/>
              <w:rPr>
                <w:sz w:val="20"/>
                <w:szCs w:val="20"/>
                <w:color w:val="auto"/>
              </w:rPr>
            </w:pPr>
            <w:r>
              <w:rPr>
                <w:rFonts w:ascii="Calibri" w:cs="Calibri" w:eastAsia="Calibri" w:hAnsi="Calibri"/>
                <w:sz w:val="14"/>
                <w:szCs w:val="14"/>
                <w:color w:val="494949"/>
              </w:rPr>
              <w:t>$</w:t>
            </w:r>
          </w:p>
        </w:tc>
        <w:tc>
          <w:tcPr>
            <w:tcW w:w="1300" w:type="dxa"/>
            <w:vAlign w:val="bottom"/>
            <w:tcBorders>
              <w:top w:val="single" w:sz="8" w:color="auto"/>
            </w:tcBorders>
          </w:tcPr>
          <w:p>
            <w:pPr>
              <w:jc w:val="right"/>
              <w:ind w:right="69"/>
              <w:spacing w:after="0" w:line="161" w:lineRule="exact"/>
              <w:rPr>
                <w:sz w:val="20"/>
                <w:szCs w:val="20"/>
                <w:color w:val="auto"/>
              </w:rPr>
            </w:pPr>
            <w:r>
              <w:rPr>
                <w:rFonts w:ascii="Calibri" w:cs="Calibri" w:eastAsia="Calibri" w:hAnsi="Calibri"/>
                <w:sz w:val="14"/>
                <w:szCs w:val="14"/>
                <w:color w:val="494949"/>
              </w:rPr>
              <w:t>568,049</w:t>
            </w:r>
          </w:p>
        </w:tc>
        <w:tc>
          <w:tcPr>
            <w:tcW w:w="1320" w:type="dxa"/>
            <w:vAlign w:val="bottom"/>
          </w:tcPr>
          <w:p>
            <w:pPr>
              <w:spacing w:after="0"/>
              <w:rPr>
                <w:sz w:val="14"/>
                <w:szCs w:val="14"/>
                <w:color w:val="auto"/>
              </w:rPr>
            </w:pPr>
          </w:p>
        </w:tc>
        <w:tc>
          <w:tcPr>
            <w:tcW w:w="660" w:type="dxa"/>
            <w:vAlign w:val="bottom"/>
            <w:tcBorders>
              <w:top w:val="single" w:sz="8" w:color="auto"/>
            </w:tcBorders>
          </w:tcPr>
          <w:p>
            <w:pPr>
              <w:jc w:val="right"/>
              <w:ind w:right="509"/>
              <w:spacing w:after="0" w:line="161" w:lineRule="exact"/>
              <w:rPr>
                <w:sz w:val="20"/>
                <w:szCs w:val="20"/>
                <w:color w:val="auto"/>
              </w:rPr>
            </w:pPr>
            <w:r>
              <w:rPr>
                <w:rFonts w:ascii="Calibri" w:cs="Calibri" w:eastAsia="Calibri" w:hAnsi="Calibri"/>
                <w:sz w:val="14"/>
                <w:szCs w:val="14"/>
                <w:color w:val="494949"/>
                <w:w w:val="83"/>
              </w:rPr>
              <w:t>$</w:t>
            </w:r>
          </w:p>
        </w:tc>
        <w:tc>
          <w:tcPr>
            <w:tcW w:w="1040" w:type="dxa"/>
            <w:vAlign w:val="bottom"/>
            <w:tcBorders>
              <w:top w:val="single" w:sz="8" w:color="auto"/>
            </w:tcBorders>
          </w:tcPr>
          <w:p>
            <w:pPr>
              <w:jc w:val="right"/>
              <w:ind w:right="89"/>
              <w:spacing w:after="0" w:line="161" w:lineRule="exact"/>
              <w:rPr>
                <w:sz w:val="20"/>
                <w:szCs w:val="20"/>
                <w:color w:val="auto"/>
              </w:rPr>
            </w:pPr>
            <w:r>
              <w:rPr>
                <w:rFonts w:ascii="Calibri" w:cs="Calibri" w:eastAsia="Calibri" w:hAnsi="Calibri"/>
                <w:sz w:val="14"/>
                <w:szCs w:val="14"/>
                <w:color w:val="494949"/>
              </w:rPr>
              <w:t>541,539</w:t>
            </w:r>
          </w:p>
        </w:tc>
        <w:tc>
          <w:tcPr>
            <w:tcW w:w="100" w:type="dxa"/>
            <w:vAlign w:val="bottom"/>
            <w:tcBorders>
              <w:top w:val="single" w:sz="8" w:color="666666"/>
            </w:tcBorders>
          </w:tcPr>
          <w:p>
            <w:pPr>
              <w:spacing w:after="0"/>
              <w:rPr>
                <w:sz w:val="14"/>
                <w:szCs w:val="14"/>
                <w:color w:val="auto"/>
              </w:rPr>
            </w:pPr>
          </w:p>
        </w:tc>
        <w:tc>
          <w:tcPr>
            <w:tcW w:w="400" w:type="dxa"/>
            <w:vAlign w:val="bottom"/>
            <w:tcBorders>
              <w:top w:val="single" w:sz="8" w:color="auto"/>
            </w:tcBorders>
          </w:tcPr>
          <w:p>
            <w:pPr>
              <w:jc w:val="right"/>
              <w:ind w:right="229"/>
              <w:spacing w:after="0" w:line="161" w:lineRule="exact"/>
              <w:rPr>
                <w:sz w:val="20"/>
                <w:szCs w:val="20"/>
                <w:color w:val="auto"/>
              </w:rPr>
            </w:pPr>
            <w:r>
              <w:rPr>
                <w:rFonts w:ascii="Calibri" w:cs="Calibri" w:eastAsia="Calibri" w:hAnsi="Calibri"/>
                <w:sz w:val="14"/>
                <w:szCs w:val="14"/>
                <w:color w:val="494949"/>
              </w:rPr>
              <w:t>$</w:t>
            </w:r>
          </w:p>
        </w:tc>
        <w:tc>
          <w:tcPr>
            <w:tcW w:w="1320" w:type="dxa"/>
            <w:vAlign w:val="bottom"/>
            <w:tcBorders>
              <w:top w:val="single" w:sz="8" w:color="auto"/>
            </w:tcBorders>
          </w:tcPr>
          <w:p>
            <w:pPr>
              <w:jc w:val="right"/>
              <w:ind w:right="89"/>
              <w:spacing w:after="0" w:line="161" w:lineRule="exact"/>
              <w:rPr>
                <w:sz w:val="20"/>
                <w:szCs w:val="20"/>
                <w:color w:val="auto"/>
              </w:rPr>
            </w:pPr>
            <w:r>
              <w:rPr>
                <w:rFonts w:ascii="Calibri" w:cs="Calibri" w:eastAsia="Calibri" w:hAnsi="Calibri"/>
                <w:sz w:val="14"/>
                <w:szCs w:val="14"/>
                <w:color w:val="494949"/>
              </w:rPr>
              <w:t>448,718</w:t>
            </w:r>
          </w:p>
        </w:tc>
        <w:tc>
          <w:tcPr>
            <w:tcW w:w="0" w:type="dxa"/>
            <w:vAlign w:val="bottom"/>
          </w:tcPr>
          <w:p>
            <w:pPr>
              <w:spacing w:after="0"/>
              <w:rPr>
                <w:sz w:val="1"/>
                <w:szCs w:val="1"/>
                <w:color w:val="auto"/>
              </w:rPr>
            </w:pPr>
          </w:p>
        </w:tc>
      </w:tr>
      <w:tr>
        <w:trPr>
          <w:trHeight w:val="31"/>
        </w:trPr>
        <w:tc>
          <w:tcPr>
            <w:tcW w:w="44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480" w:type="dxa"/>
            <w:vAlign w:val="bottom"/>
            <w:tcBorders>
              <w:bottom w:val="single" w:sz="8" w:color="CCEEFF"/>
            </w:tcBorders>
            <w:shd w:val="clear" w:color="auto" w:fill="CCEEFF"/>
          </w:tcPr>
          <w:p>
            <w:pPr>
              <w:ind w:left="20"/>
              <w:spacing w:after="0" w:line="135" w:lineRule="exact"/>
              <w:rPr>
                <w:sz w:val="20"/>
                <w:szCs w:val="20"/>
                <w:color w:val="auto"/>
              </w:rPr>
            </w:pPr>
            <w:r>
              <w:rPr>
                <w:rFonts w:ascii="Calibri" w:cs="Calibri" w:eastAsia="Calibri" w:hAnsi="Calibri"/>
                <w:sz w:val="14"/>
                <w:szCs w:val="14"/>
                <w:b w:val="1"/>
                <w:bCs w:val="1"/>
                <w:i w:val="1"/>
                <w:iCs w:val="1"/>
                <w:color w:val="494949"/>
              </w:rPr>
              <w:t>Adjusted Diluted Earnings Per Share</w:t>
            </w:r>
          </w:p>
        </w:tc>
        <w:tc>
          <w:tcPr>
            <w:tcW w:w="40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480" w:type="dxa"/>
            <w:vAlign w:val="bottom"/>
          </w:tcPr>
          <w:p>
            <w:pPr>
              <w:ind w:left="340"/>
              <w:spacing w:after="0" w:line="169" w:lineRule="exact"/>
              <w:rPr>
                <w:sz w:val="20"/>
                <w:szCs w:val="20"/>
                <w:color w:val="auto"/>
              </w:rPr>
            </w:pPr>
            <w:r>
              <w:rPr>
                <w:rFonts w:ascii="Calibri" w:cs="Calibri" w:eastAsia="Calibri" w:hAnsi="Calibri"/>
                <w:sz w:val="14"/>
                <w:szCs w:val="14"/>
                <w:color w:val="494949"/>
              </w:rPr>
              <w:t>Weighted-average number of diluted shares outstanding</w:t>
            </w:r>
          </w:p>
        </w:tc>
        <w:tc>
          <w:tcPr>
            <w:tcW w:w="400" w:type="dxa"/>
            <w:vAlign w:val="bottom"/>
          </w:tcPr>
          <w:p>
            <w:pPr>
              <w:spacing w:after="0"/>
              <w:rPr>
                <w:sz w:val="14"/>
                <w:szCs w:val="14"/>
                <w:color w:val="auto"/>
              </w:rPr>
            </w:pPr>
          </w:p>
        </w:tc>
        <w:tc>
          <w:tcPr>
            <w:tcW w:w="1300" w:type="dxa"/>
            <w:vAlign w:val="bottom"/>
          </w:tcPr>
          <w:p>
            <w:pPr>
              <w:jc w:val="right"/>
              <w:ind w:right="69"/>
              <w:spacing w:after="0" w:line="169" w:lineRule="exact"/>
              <w:rPr>
                <w:sz w:val="20"/>
                <w:szCs w:val="20"/>
                <w:color w:val="auto"/>
              </w:rPr>
            </w:pPr>
            <w:r>
              <w:rPr>
                <w:rFonts w:ascii="Calibri" w:cs="Calibri" w:eastAsia="Calibri" w:hAnsi="Calibri"/>
                <w:sz w:val="14"/>
                <w:szCs w:val="14"/>
                <w:color w:val="494949"/>
              </w:rPr>
              <w:t>134,850,808</w:t>
            </w: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jc w:val="right"/>
              <w:ind w:right="89"/>
              <w:spacing w:after="0" w:line="169" w:lineRule="exact"/>
              <w:rPr>
                <w:sz w:val="20"/>
                <w:szCs w:val="20"/>
                <w:color w:val="auto"/>
              </w:rPr>
            </w:pPr>
            <w:r>
              <w:rPr>
                <w:rFonts w:ascii="Calibri" w:cs="Calibri" w:eastAsia="Calibri" w:hAnsi="Calibri"/>
                <w:sz w:val="14"/>
                <w:szCs w:val="14"/>
                <w:color w:val="494949"/>
              </w:rPr>
              <w:t>138,703,220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89"/>
              <w:spacing w:after="0" w:line="169" w:lineRule="exact"/>
              <w:rPr>
                <w:sz w:val="20"/>
                <w:szCs w:val="20"/>
                <w:color w:val="auto"/>
              </w:rPr>
            </w:pPr>
            <w:r>
              <w:rPr>
                <w:rFonts w:ascii="Calibri" w:cs="Calibri" w:eastAsia="Calibri" w:hAnsi="Calibri"/>
                <w:sz w:val="14"/>
                <w:szCs w:val="14"/>
                <w:color w:val="494949"/>
              </w:rPr>
              <w:t>141,238,135</w:t>
            </w:r>
          </w:p>
        </w:tc>
        <w:tc>
          <w:tcPr>
            <w:tcW w:w="0" w:type="dxa"/>
            <w:vAlign w:val="bottom"/>
          </w:tcPr>
          <w:p>
            <w:pPr>
              <w:spacing w:after="0"/>
              <w:rPr>
                <w:sz w:val="1"/>
                <w:szCs w:val="1"/>
                <w:color w:val="auto"/>
              </w:rPr>
            </w:pPr>
          </w:p>
        </w:tc>
      </w:tr>
      <w:tr>
        <w:trPr>
          <w:trHeight w:val="31"/>
        </w:trPr>
        <w:tc>
          <w:tcPr>
            <w:tcW w:w="4480" w:type="dxa"/>
            <w:vAlign w:val="bottom"/>
            <w:tcBorders>
              <w:bottom w:val="single" w:sz="8" w:color="CCEEFF"/>
            </w:tcBorders>
          </w:tcPr>
          <w:p>
            <w:pPr>
              <w:spacing w:after="0"/>
              <w:rPr>
                <w:sz w:val="2"/>
                <w:szCs w:val="2"/>
                <w:color w:val="auto"/>
              </w:rPr>
            </w:pPr>
          </w:p>
        </w:tc>
        <w:tc>
          <w:tcPr>
            <w:tcW w:w="400" w:type="dxa"/>
            <w:vAlign w:val="bottom"/>
            <w:tcBorders>
              <w:bottom w:val="single" w:sz="8" w:color="666666"/>
            </w:tcBorders>
          </w:tcPr>
          <w:p>
            <w:pPr>
              <w:spacing w:after="0"/>
              <w:rPr>
                <w:sz w:val="2"/>
                <w:szCs w:val="2"/>
                <w:color w:val="auto"/>
              </w:rPr>
            </w:pPr>
          </w:p>
        </w:tc>
        <w:tc>
          <w:tcPr>
            <w:tcW w:w="1300" w:type="dxa"/>
            <w:vAlign w:val="bottom"/>
            <w:tcBorders>
              <w:bottom w:val="single" w:sz="8" w:color="666666"/>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660" w:type="dxa"/>
            <w:vAlign w:val="bottom"/>
            <w:tcBorders>
              <w:bottom w:val="single" w:sz="8" w:color="666666"/>
            </w:tcBorders>
          </w:tcPr>
          <w:p>
            <w:pPr>
              <w:spacing w:after="0"/>
              <w:rPr>
                <w:sz w:val="2"/>
                <w:szCs w:val="2"/>
                <w:color w:val="auto"/>
              </w:rPr>
            </w:pPr>
          </w:p>
        </w:tc>
        <w:tc>
          <w:tcPr>
            <w:tcW w:w="1040" w:type="dxa"/>
            <w:vAlign w:val="bottom"/>
            <w:tcBorders>
              <w:bottom w:val="single" w:sz="8" w:color="666666"/>
            </w:tcBorders>
          </w:tcPr>
          <w:p>
            <w:pPr>
              <w:spacing w:after="0"/>
              <w:rPr>
                <w:sz w:val="2"/>
                <w:szCs w:val="2"/>
                <w:color w:val="auto"/>
              </w:rPr>
            </w:pPr>
          </w:p>
        </w:tc>
        <w:tc>
          <w:tcPr>
            <w:tcW w:w="100" w:type="dxa"/>
            <w:vAlign w:val="bottom"/>
            <w:tcBorders>
              <w:bottom w:val="single" w:sz="8" w:color="666666"/>
            </w:tcBorders>
          </w:tcPr>
          <w:p>
            <w:pPr>
              <w:spacing w:after="0"/>
              <w:rPr>
                <w:sz w:val="2"/>
                <w:szCs w:val="2"/>
                <w:color w:val="auto"/>
              </w:rPr>
            </w:pPr>
          </w:p>
        </w:tc>
        <w:tc>
          <w:tcPr>
            <w:tcW w:w="400" w:type="dxa"/>
            <w:vAlign w:val="bottom"/>
            <w:tcBorders>
              <w:bottom w:val="single" w:sz="8" w:color="666666"/>
            </w:tcBorders>
          </w:tcPr>
          <w:p>
            <w:pPr>
              <w:spacing w:after="0"/>
              <w:rPr>
                <w:sz w:val="2"/>
                <w:szCs w:val="2"/>
                <w:color w:val="auto"/>
              </w:rPr>
            </w:pPr>
          </w:p>
        </w:tc>
        <w:tc>
          <w:tcPr>
            <w:tcW w:w="132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80" w:type="dxa"/>
            <w:vAlign w:val="bottom"/>
            <w:tcBorders>
              <w:bottom w:val="single" w:sz="8" w:color="CCEEFF"/>
            </w:tcBorders>
            <w:shd w:val="clear" w:color="auto" w:fill="CCEEFF"/>
          </w:tcPr>
          <w:p>
            <w:pPr>
              <w:ind w:left="340"/>
              <w:spacing w:after="0" w:line="149" w:lineRule="exact"/>
              <w:rPr>
                <w:sz w:val="20"/>
                <w:szCs w:val="20"/>
                <w:color w:val="auto"/>
              </w:rPr>
            </w:pPr>
            <w:r>
              <w:rPr>
                <w:rFonts w:ascii="Calibri" w:cs="Calibri" w:eastAsia="Calibri" w:hAnsi="Calibri"/>
                <w:sz w:val="14"/>
                <w:szCs w:val="14"/>
                <w:color w:val="494949"/>
              </w:rPr>
              <w:t>Adjusted Net Income Per Diluted Share (m)</w:t>
            </w:r>
          </w:p>
        </w:tc>
        <w:tc>
          <w:tcPr>
            <w:tcW w:w="400" w:type="dxa"/>
            <w:vAlign w:val="bottom"/>
            <w:tcBorders>
              <w:bottom w:val="single" w:sz="8" w:color="CCEEFF"/>
            </w:tcBorders>
            <w:shd w:val="clear" w:color="auto" w:fill="CCEEFF"/>
          </w:tcPr>
          <w:p>
            <w:pPr>
              <w:jc w:val="right"/>
              <w:ind w:right="229"/>
              <w:spacing w:after="0" w:line="161" w:lineRule="exact"/>
              <w:rPr>
                <w:sz w:val="20"/>
                <w:szCs w:val="20"/>
                <w:color w:val="auto"/>
              </w:rPr>
            </w:pPr>
            <w:r>
              <w:rPr>
                <w:rFonts w:ascii="Calibri" w:cs="Calibri" w:eastAsia="Calibri" w:hAnsi="Calibri"/>
                <w:sz w:val="14"/>
                <w:szCs w:val="14"/>
                <w:color w:val="494949"/>
              </w:rPr>
              <w:t>$</w:t>
            </w:r>
          </w:p>
        </w:tc>
        <w:tc>
          <w:tcPr>
            <w:tcW w:w="1300" w:type="dxa"/>
            <w:vAlign w:val="bottom"/>
            <w:tcBorders>
              <w:bottom w:val="single" w:sz="8" w:color="CCEEFF"/>
            </w:tcBorders>
            <w:shd w:val="clear" w:color="auto" w:fill="CCEEFF"/>
          </w:tcPr>
          <w:p>
            <w:pPr>
              <w:jc w:val="right"/>
              <w:ind w:right="69"/>
              <w:spacing w:after="0" w:line="161" w:lineRule="exact"/>
              <w:rPr>
                <w:sz w:val="20"/>
                <w:szCs w:val="20"/>
                <w:color w:val="auto"/>
              </w:rPr>
            </w:pPr>
            <w:r>
              <w:rPr>
                <w:rFonts w:ascii="Calibri" w:cs="Calibri" w:eastAsia="Calibri" w:hAnsi="Calibri"/>
                <w:sz w:val="14"/>
                <w:szCs w:val="14"/>
                <w:color w:val="494949"/>
              </w:rPr>
              <w:t>4.21</w:t>
            </w:r>
          </w:p>
        </w:tc>
        <w:tc>
          <w:tcPr>
            <w:tcW w:w="13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509"/>
              <w:spacing w:after="0" w:line="161" w:lineRule="exact"/>
              <w:rPr>
                <w:sz w:val="20"/>
                <w:szCs w:val="20"/>
                <w:color w:val="auto"/>
              </w:rPr>
            </w:pPr>
            <w:r>
              <w:rPr>
                <w:rFonts w:ascii="Calibri" w:cs="Calibri" w:eastAsia="Calibri" w:hAnsi="Calibri"/>
                <w:sz w:val="14"/>
                <w:szCs w:val="14"/>
                <w:color w:val="494949"/>
                <w:w w:val="83"/>
              </w:rPr>
              <w:t>$</w:t>
            </w:r>
          </w:p>
        </w:tc>
        <w:tc>
          <w:tcPr>
            <w:tcW w:w="1040" w:type="dxa"/>
            <w:vAlign w:val="bottom"/>
            <w:tcBorders>
              <w:bottom w:val="single" w:sz="8" w:color="CCEEFF"/>
            </w:tcBorders>
            <w:shd w:val="clear" w:color="auto" w:fill="CCEEFF"/>
          </w:tcPr>
          <w:p>
            <w:pPr>
              <w:jc w:val="right"/>
              <w:ind w:right="89"/>
              <w:spacing w:after="0" w:line="161" w:lineRule="exact"/>
              <w:rPr>
                <w:sz w:val="20"/>
                <w:szCs w:val="20"/>
                <w:color w:val="auto"/>
              </w:rPr>
            </w:pPr>
            <w:r>
              <w:rPr>
                <w:rFonts w:ascii="Calibri" w:cs="Calibri" w:eastAsia="Calibri" w:hAnsi="Calibri"/>
                <w:sz w:val="14"/>
                <w:szCs w:val="14"/>
                <w:color w:val="494949"/>
              </w:rPr>
              <w:t>3.90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29"/>
              <w:spacing w:after="0" w:line="161" w:lineRule="exact"/>
              <w:rPr>
                <w:sz w:val="20"/>
                <w:szCs w:val="20"/>
                <w:color w:val="auto"/>
              </w:rPr>
            </w:pPr>
            <w:r>
              <w:rPr>
                <w:rFonts w:ascii="Calibri" w:cs="Calibri" w:eastAsia="Calibri" w:hAnsi="Calibri"/>
                <w:sz w:val="14"/>
                <w:szCs w:val="14"/>
                <w:color w:val="494949"/>
              </w:rPr>
              <w:t>$</w:t>
            </w:r>
          </w:p>
        </w:tc>
        <w:tc>
          <w:tcPr>
            <w:tcW w:w="1320" w:type="dxa"/>
            <w:vAlign w:val="bottom"/>
            <w:tcBorders>
              <w:bottom w:val="single" w:sz="8" w:color="CCEEFF"/>
            </w:tcBorders>
            <w:shd w:val="clear" w:color="auto" w:fill="CCEEFF"/>
          </w:tcPr>
          <w:p>
            <w:pPr>
              <w:jc w:val="right"/>
              <w:ind w:right="89"/>
              <w:spacing w:after="0" w:line="161" w:lineRule="exact"/>
              <w:rPr>
                <w:sz w:val="20"/>
                <w:szCs w:val="20"/>
                <w:color w:val="auto"/>
              </w:rPr>
            </w:pPr>
            <w:r>
              <w:rPr>
                <w:rFonts w:ascii="Calibri" w:cs="Calibri" w:eastAsia="Calibri" w:hAnsi="Calibri"/>
                <w:sz w:val="14"/>
                <w:szCs w:val="14"/>
                <w:color w:val="494949"/>
              </w:rPr>
              <w:t>3.18</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line="155" w:lineRule="exact"/>
              <w:rPr>
                <w:sz w:val="20"/>
                <w:szCs w:val="20"/>
                <w:color w:val="auto"/>
              </w:rPr>
            </w:pPr>
            <w:r>
              <w:rPr>
                <w:rFonts w:ascii="Calibri" w:cs="Calibri" w:eastAsia="Calibri" w:hAnsi="Calibri"/>
                <w:sz w:val="14"/>
                <w:szCs w:val="14"/>
                <w:b w:val="1"/>
                <w:bCs w:val="1"/>
                <w:i w:val="1"/>
                <w:iCs w:val="1"/>
                <w:color w:val="494949"/>
              </w:rPr>
              <w:t>Free Cash Flow</w:t>
            </w:r>
          </w:p>
        </w:tc>
        <w:tc>
          <w:tcPr>
            <w:tcW w:w="400" w:type="dxa"/>
            <w:vAlign w:val="bottom"/>
            <w:tcBorders>
              <w:top w:val="single" w:sz="8" w:color="666666"/>
              <w:bottom w:val="single" w:sz="8" w:color="666666"/>
            </w:tcBorders>
          </w:tcPr>
          <w:p>
            <w:pPr>
              <w:spacing w:after="0" w:line="20" w:lineRule="exact"/>
              <w:rPr>
                <w:sz w:val="1"/>
                <w:szCs w:val="1"/>
                <w:color w:val="auto"/>
              </w:rPr>
            </w:pPr>
          </w:p>
        </w:tc>
        <w:tc>
          <w:tcPr>
            <w:tcW w:w="1300" w:type="dxa"/>
            <w:vAlign w:val="bottom"/>
            <w:tcBorders>
              <w:top w:val="single" w:sz="8" w:color="666666"/>
              <w:bottom w:val="single" w:sz="8" w:color="666666"/>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666666"/>
              <w:bottom w:val="single" w:sz="8" w:color="666666"/>
            </w:tcBorders>
          </w:tcPr>
          <w:p>
            <w:pPr>
              <w:spacing w:after="0" w:line="20" w:lineRule="exact"/>
              <w:rPr>
                <w:sz w:val="1"/>
                <w:szCs w:val="1"/>
                <w:color w:val="auto"/>
              </w:rPr>
            </w:pPr>
          </w:p>
        </w:tc>
        <w:tc>
          <w:tcPr>
            <w:tcW w:w="1040" w:type="dxa"/>
            <w:vAlign w:val="bottom"/>
            <w:tcBorders>
              <w:top w:val="single" w:sz="8" w:color="666666"/>
              <w:bottom w:val="single" w:sz="8" w:color="666666"/>
            </w:tcBorders>
          </w:tcPr>
          <w:p>
            <w:pPr>
              <w:spacing w:after="0" w:line="20" w:lineRule="exact"/>
              <w:rPr>
                <w:sz w:val="1"/>
                <w:szCs w:val="1"/>
                <w:color w:val="auto"/>
              </w:rPr>
            </w:pPr>
          </w:p>
        </w:tc>
        <w:tc>
          <w:tcPr>
            <w:tcW w:w="100" w:type="dxa"/>
            <w:vAlign w:val="bottom"/>
            <w:tcBorders>
              <w:top w:val="single" w:sz="8" w:color="666666"/>
              <w:bottom w:val="single" w:sz="8" w:color="666666"/>
            </w:tcBorders>
          </w:tcPr>
          <w:p>
            <w:pPr>
              <w:spacing w:after="0" w:line="20" w:lineRule="exact"/>
              <w:rPr>
                <w:sz w:val="1"/>
                <w:szCs w:val="1"/>
                <w:color w:val="auto"/>
              </w:rPr>
            </w:pPr>
          </w:p>
        </w:tc>
        <w:tc>
          <w:tcPr>
            <w:tcW w:w="400" w:type="dxa"/>
            <w:vAlign w:val="bottom"/>
            <w:tcBorders>
              <w:top w:val="single" w:sz="8" w:color="666666"/>
              <w:bottom w:val="single" w:sz="8" w:color="666666"/>
            </w:tcBorders>
          </w:tcPr>
          <w:p>
            <w:pPr>
              <w:spacing w:after="0" w:line="20" w:lineRule="exact"/>
              <w:rPr>
                <w:sz w:val="1"/>
                <w:szCs w:val="1"/>
                <w:color w:val="auto"/>
              </w:rPr>
            </w:pPr>
          </w:p>
        </w:tc>
        <w:tc>
          <w:tcPr>
            <w:tcW w:w="1320" w:type="dxa"/>
            <w:vAlign w:val="bottom"/>
            <w:tcBorders>
              <w:top w:val="single" w:sz="8" w:color="666666"/>
              <w:bottom w:val="single" w:sz="8" w:color="66666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4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4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4480" w:type="dxa"/>
            <w:vAlign w:val="bottom"/>
            <w:tcBorders>
              <w:bottom w:val="single" w:sz="8" w:color="CCEEFF"/>
            </w:tcBorders>
            <w:shd w:val="clear" w:color="auto" w:fill="CCEEFF"/>
          </w:tcPr>
          <w:p>
            <w:pPr>
              <w:ind w:left="340"/>
              <w:spacing w:after="0" w:line="169" w:lineRule="exact"/>
              <w:rPr>
                <w:sz w:val="20"/>
                <w:szCs w:val="20"/>
                <w:color w:val="auto"/>
              </w:rPr>
            </w:pPr>
            <w:r>
              <w:rPr>
                <w:rFonts w:ascii="Calibri" w:cs="Calibri" w:eastAsia="Calibri" w:hAnsi="Calibri"/>
                <w:sz w:val="14"/>
                <w:szCs w:val="14"/>
                <w:color w:val="494949"/>
              </w:rPr>
              <w:t>Net cash provided by operatng actvites</w:t>
            </w:r>
          </w:p>
        </w:tc>
        <w:tc>
          <w:tcPr>
            <w:tcW w:w="400" w:type="dxa"/>
            <w:vAlign w:val="bottom"/>
            <w:tcBorders>
              <w:bottom w:val="single" w:sz="8" w:color="CCEEFF"/>
            </w:tcBorders>
            <w:shd w:val="clear" w:color="auto" w:fill="CCEEFF"/>
          </w:tcPr>
          <w:p>
            <w:pPr>
              <w:jc w:val="right"/>
              <w:ind w:right="229"/>
              <w:spacing w:after="0" w:line="169" w:lineRule="exact"/>
              <w:rPr>
                <w:sz w:val="20"/>
                <w:szCs w:val="20"/>
                <w:color w:val="auto"/>
              </w:rPr>
            </w:pPr>
            <w:r>
              <w:rPr>
                <w:rFonts w:ascii="Calibri" w:cs="Calibri" w:eastAsia="Calibri" w:hAnsi="Calibri"/>
                <w:sz w:val="14"/>
                <w:szCs w:val="14"/>
                <w:color w:val="494949"/>
              </w:rPr>
              <w:t>$</w:t>
            </w:r>
          </w:p>
        </w:tc>
        <w:tc>
          <w:tcPr>
            <w:tcW w:w="1300" w:type="dxa"/>
            <w:vAlign w:val="bottom"/>
            <w:tcBorders>
              <w:bottom w:val="single" w:sz="8" w:color="CCEEFF"/>
            </w:tcBorders>
            <w:shd w:val="clear" w:color="auto" w:fill="CCEEFF"/>
          </w:tcPr>
          <w:p>
            <w:pPr>
              <w:jc w:val="right"/>
              <w:ind w:right="69"/>
              <w:spacing w:after="0" w:line="169" w:lineRule="exact"/>
              <w:rPr>
                <w:sz w:val="20"/>
                <w:szCs w:val="20"/>
                <w:color w:val="auto"/>
              </w:rPr>
            </w:pPr>
            <w:r>
              <w:rPr>
                <w:rFonts w:ascii="Calibri" w:cs="Calibri" w:eastAsia="Calibri" w:hAnsi="Calibri"/>
                <w:sz w:val="14"/>
                <w:szCs w:val="14"/>
                <w:color w:val="494949"/>
              </w:rPr>
              <w:t>736,526</w:t>
            </w:r>
          </w:p>
        </w:tc>
        <w:tc>
          <w:tcPr>
            <w:tcW w:w="1980" w:type="dxa"/>
            <w:vAlign w:val="bottom"/>
            <w:tcBorders>
              <w:bottom w:val="single" w:sz="8" w:color="CCEEFF"/>
            </w:tcBorders>
            <w:gridSpan w:val="2"/>
            <w:shd w:val="clear" w:color="auto" w:fill="CCEEFF"/>
          </w:tcPr>
          <w:p>
            <w:pPr>
              <w:jc w:val="right"/>
              <w:ind w:right="509"/>
              <w:spacing w:after="0" w:line="169" w:lineRule="exact"/>
              <w:rPr>
                <w:sz w:val="20"/>
                <w:szCs w:val="20"/>
                <w:color w:val="auto"/>
              </w:rPr>
            </w:pPr>
            <w:r>
              <w:rPr>
                <w:rFonts w:ascii="Calibri" w:cs="Calibri" w:eastAsia="Calibri" w:hAnsi="Calibri"/>
                <w:sz w:val="14"/>
                <w:szCs w:val="14"/>
                <w:color w:val="494949"/>
              </w:rPr>
              <w:t>$</w:t>
            </w:r>
          </w:p>
        </w:tc>
        <w:tc>
          <w:tcPr>
            <w:tcW w:w="1040" w:type="dxa"/>
            <w:vAlign w:val="bottom"/>
            <w:tcBorders>
              <w:bottom w:val="single" w:sz="8" w:color="CCEEFF"/>
            </w:tcBorders>
            <w:shd w:val="clear" w:color="auto" w:fill="CCEEFF"/>
          </w:tcPr>
          <w:p>
            <w:pPr>
              <w:jc w:val="right"/>
              <w:ind w:right="89"/>
              <w:spacing w:after="0" w:line="169" w:lineRule="exact"/>
              <w:rPr>
                <w:sz w:val="20"/>
                <w:szCs w:val="20"/>
                <w:color w:val="auto"/>
              </w:rPr>
            </w:pPr>
            <w:r>
              <w:rPr>
                <w:rFonts w:ascii="Calibri" w:cs="Calibri" w:eastAsia="Calibri" w:hAnsi="Calibri"/>
                <w:sz w:val="14"/>
                <w:szCs w:val="14"/>
                <w:color w:val="494949"/>
              </w:rPr>
              <w:t>718,684</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29"/>
              <w:spacing w:after="0" w:line="169" w:lineRule="exact"/>
              <w:rPr>
                <w:sz w:val="20"/>
                <w:szCs w:val="20"/>
                <w:color w:val="auto"/>
              </w:rPr>
            </w:pPr>
            <w:r>
              <w:rPr>
                <w:rFonts w:ascii="Calibri" w:cs="Calibri" w:eastAsia="Calibri" w:hAnsi="Calibri"/>
                <w:sz w:val="14"/>
                <w:szCs w:val="14"/>
                <w:color w:val="494949"/>
              </w:rPr>
              <w:t>$</w:t>
            </w:r>
          </w:p>
        </w:tc>
        <w:tc>
          <w:tcPr>
            <w:tcW w:w="1320" w:type="dxa"/>
            <w:vAlign w:val="bottom"/>
            <w:tcBorders>
              <w:bottom w:val="single" w:sz="8" w:color="CCEEFF"/>
            </w:tcBorders>
            <w:shd w:val="clear" w:color="auto" w:fill="CCEEFF"/>
          </w:tcPr>
          <w:p>
            <w:pPr>
              <w:jc w:val="right"/>
              <w:ind w:right="89"/>
              <w:spacing w:after="0" w:line="169" w:lineRule="exact"/>
              <w:rPr>
                <w:sz w:val="20"/>
                <w:szCs w:val="20"/>
                <w:color w:val="auto"/>
              </w:rPr>
            </w:pPr>
            <w:r>
              <w:rPr>
                <w:rFonts w:ascii="Calibri" w:cs="Calibri" w:eastAsia="Calibri" w:hAnsi="Calibri"/>
                <w:sz w:val="14"/>
                <w:szCs w:val="14"/>
                <w:color w:val="494949"/>
              </w:rPr>
              <w:t>551,428</w:t>
            </w:r>
          </w:p>
        </w:tc>
        <w:tc>
          <w:tcPr>
            <w:tcW w:w="0" w:type="dxa"/>
            <w:vAlign w:val="bottom"/>
          </w:tcPr>
          <w:p>
            <w:pPr>
              <w:spacing w:after="0"/>
              <w:rPr>
                <w:sz w:val="1"/>
                <w:szCs w:val="1"/>
                <w:color w:val="auto"/>
              </w:rPr>
            </w:pPr>
          </w:p>
        </w:tc>
      </w:tr>
      <w:tr>
        <w:trPr>
          <w:trHeight w:val="168"/>
        </w:trPr>
        <w:tc>
          <w:tcPr>
            <w:tcW w:w="4480" w:type="dxa"/>
            <w:vAlign w:val="bottom"/>
          </w:tcPr>
          <w:p>
            <w:pPr>
              <w:ind w:left="340"/>
              <w:spacing w:after="0" w:line="169" w:lineRule="exact"/>
              <w:rPr>
                <w:sz w:val="20"/>
                <w:szCs w:val="20"/>
                <w:color w:val="auto"/>
              </w:rPr>
            </w:pPr>
            <w:r>
              <w:rPr>
                <w:rFonts w:ascii="Calibri" w:cs="Calibri" w:eastAsia="Calibri" w:hAnsi="Calibri"/>
                <w:sz w:val="14"/>
                <w:szCs w:val="14"/>
                <w:color w:val="494949"/>
              </w:rPr>
              <w:t>Less: Purchases of property, equipment and sofware</w:t>
            </w:r>
          </w:p>
        </w:tc>
        <w:tc>
          <w:tcPr>
            <w:tcW w:w="400" w:type="dxa"/>
            <w:vAlign w:val="bottom"/>
          </w:tcPr>
          <w:p>
            <w:pPr>
              <w:spacing w:after="0"/>
              <w:rPr>
                <w:sz w:val="14"/>
                <w:szCs w:val="14"/>
                <w:color w:val="auto"/>
              </w:rPr>
            </w:pPr>
          </w:p>
        </w:tc>
        <w:tc>
          <w:tcPr>
            <w:tcW w:w="1300" w:type="dxa"/>
            <w:vAlign w:val="bottom"/>
          </w:tcPr>
          <w:p>
            <w:pPr>
              <w:jc w:val="right"/>
              <w:ind w:right="49"/>
              <w:spacing w:after="0" w:line="169" w:lineRule="exact"/>
              <w:rPr>
                <w:sz w:val="20"/>
                <w:szCs w:val="20"/>
                <w:color w:val="auto"/>
              </w:rPr>
            </w:pPr>
            <w:r>
              <w:rPr>
                <w:rFonts w:ascii="Calibri" w:cs="Calibri" w:eastAsia="Calibri" w:hAnsi="Calibri"/>
                <w:sz w:val="14"/>
                <w:szCs w:val="14"/>
                <w:color w:val="494949"/>
              </w:rPr>
              <w:t>(79,964)</w:t>
            </w: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jc w:val="right"/>
              <w:ind w:right="49"/>
              <w:spacing w:after="0" w:line="169" w:lineRule="exact"/>
              <w:rPr>
                <w:sz w:val="20"/>
                <w:szCs w:val="20"/>
                <w:color w:val="auto"/>
              </w:rPr>
            </w:pPr>
            <w:r>
              <w:rPr>
                <w:rFonts w:ascii="Calibri" w:cs="Calibri" w:eastAsia="Calibri" w:hAnsi="Calibri"/>
                <w:sz w:val="14"/>
                <w:szCs w:val="14"/>
                <w:color w:val="494949"/>
              </w:rPr>
              <w:t>(87,210)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49"/>
              <w:spacing w:after="0" w:line="169" w:lineRule="exact"/>
              <w:rPr>
                <w:sz w:val="20"/>
                <w:szCs w:val="20"/>
                <w:color w:val="auto"/>
              </w:rPr>
            </w:pPr>
            <w:r>
              <w:rPr>
                <w:rFonts w:ascii="Calibri" w:cs="Calibri" w:eastAsia="Calibri" w:hAnsi="Calibri"/>
                <w:sz w:val="14"/>
                <w:szCs w:val="14"/>
                <w:color w:val="494949"/>
              </w:rPr>
              <w:t>(128,079)</w:t>
            </w:r>
          </w:p>
        </w:tc>
        <w:tc>
          <w:tcPr>
            <w:tcW w:w="0" w:type="dxa"/>
            <w:vAlign w:val="bottom"/>
          </w:tcPr>
          <w:p>
            <w:pPr>
              <w:spacing w:after="0"/>
              <w:rPr>
                <w:sz w:val="1"/>
                <w:szCs w:val="1"/>
                <w:color w:val="auto"/>
              </w:rPr>
            </w:pPr>
          </w:p>
        </w:tc>
      </w:tr>
      <w:tr>
        <w:trPr>
          <w:trHeight w:val="31"/>
        </w:trPr>
        <w:tc>
          <w:tcPr>
            <w:tcW w:w="4480" w:type="dxa"/>
            <w:vAlign w:val="bottom"/>
            <w:tcBorders>
              <w:bottom w:val="single" w:sz="8" w:color="CCEEFF"/>
            </w:tcBorders>
          </w:tcPr>
          <w:p>
            <w:pPr>
              <w:spacing w:after="0"/>
              <w:rPr>
                <w:sz w:val="2"/>
                <w:szCs w:val="2"/>
                <w:color w:val="auto"/>
              </w:rPr>
            </w:pPr>
          </w:p>
        </w:tc>
        <w:tc>
          <w:tcPr>
            <w:tcW w:w="400" w:type="dxa"/>
            <w:vAlign w:val="bottom"/>
            <w:tcBorders>
              <w:bottom w:val="single" w:sz="8" w:color="666666"/>
            </w:tcBorders>
          </w:tcPr>
          <w:p>
            <w:pPr>
              <w:spacing w:after="0"/>
              <w:rPr>
                <w:sz w:val="2"/>
                <w:szCs w:val="2"/>
                <w:color w:val="auto"/>
              </w:rPr>
            </w:pPr>
          </w:p>
        </w:tc>
        <w:tc>
          <w:tcPr>
            <w:tcW w:w="1300" w:type="dxa"/>
            <w:vAlign w:val="bottom"/>
            <w:tcBorders>
              <w:bottom w:val="single" w:sz="8" w:color="666666"/>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660" w:type="dxa"/>
            <w:vAlign w:val="bottom"/>
            <w:tcBorders>
              <w:bottom w:val="single" w:sz="8" w:color="666666"/>
            </w:tcBorders>
          </w:tcPr>
          <w:p>
            <w:pPr>
              <w:spacing w:after="0"/>
              <w:rPr>
                <w:sz w:val="2"/>
                <w:szCs w:val="2"/>
                <w:color w:val="auto"/>
              </w:rPr>
            </w:pPr>
          </w:p>
        </w:tc>
        <w:tc>
          <w:tcPr>
            <w:tcW w:w="1040" w:type="dxa"/>
            <w:vAlign w:val="bottom"/>
            <w:tcBorders>
              <w:bottom w:val="single" w:sz="8" w:color="666666"/>
            </w:tcBorders>
          </w:tcPr>
          <w:p>
            <w:pPr>
              <w:spacing w:after="0"/>
              <w:rPr>
                <w:sz w:val="2"/>
                <w:szCs w:val="2"/>
                <w:color w:val="auto"/>
              </w:rPr>
            </w:pPr>
          </w:p>
        </w:tc>
        <w:tc>
          <w:tcPr>
            <w:tcW w:w="100" w:type="dxa"/>
            <w:vAlign w:val="bottom"/>
            <w:tcBorders>
              <w:bottom w:val="single" w:sz="8" w:color="666666"/>
            </w:tcBorders>
          </w:tcPr>
          <w:p>
            <w:pPr>
              <w:spacing w:after="0"/>
              <w:rPr>
                <w:sz w:val="2"/>
                <w:szCs w:val="2"/>
                <w:color w:val="auto"/>
              </w:rPr>
            </w:pPr>
          </w:p>
        </w:tc>
        <w:tc>
          <w:tcPr>
            <w:tcW w:w="400" w:type="dxa"/>
            <w:vAlign w:val="bottom"/>
            <w:tcBorders>
              <w:bottom w:val="single" w:sz="8" w:color="666666"/>
            </w:tcBorders>
          </w:tcPr>
          <w:p>
            <w:pPr>
              <w:spacing w:after="0"/>
              <w:rPr>
                <w:sz w:val="2"/>
                <w:szCs w:val="2"/>
                <w:color w:val="auto"/>
              </w:rPr>
            </w:pPr>
          </w:p>
        </w:tc>
        <w:tc>
          <w:tcPr>
            <w:tcW w:w="132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80" w:type="dxa"/>
            <w:vAlign w:val="bottom"/>
            <w:tcBorders>
              <w:bottom w:val="single" w:sz="8" w:color="CCEEFF"/>
            </w:tcBorders>
            <w:shd w:val="clear" w:color="auto" w:fill="CCEEFF"/>
          </w:tcPr>
          <w:p>
            <w:pPr>
              <w:ind w:left="660"/>
              <w:spacing w:after="0" w:line="149" w:lineRule="exact"/>
              <w:rPr>
                <w:sz w:val="20"/>
                <w:szCs w:val="20"/>
                <w:color w:val="auto"/>
              </w:rPr>
            </w:pPr>
            <w:r>
              <w:rPr>
                <w:rFonts w:ascii="Calibri" w:cs="Calibri" w:eastAsia="Calibri" w:hAnsi="Calibri"/>
                <w:sz w:val="14"/>
                <w:szCs w:val="14"/>
                <w:color w:val="494949"/>
              </w:rPr>
              <w:t>Free Cash Flow</w:t>
            </w:r>
          </w:p>
        </w:tc>
        <w:tc>
          <w:tcPr>
            <w:tcW w:w="400" w:type="dxa"/>
            <w:vAlign w:val="bottom"/>
            <w:tcBorders>
              <w:bottom w:val="single" w:sz="8" w:color="CCEEFF"/>
            </w:tcBorders>
            <w:shd w:val="clear" w:color="auto" w:fill="CCEEFF"/>
          </w:tcPr>
          <w:p>
            <w:pPr>
              <w:jc w:val="right"/>
              <w:ind w:right="229"/>
              <w:spacing w:after="0" w:line="161" w:lineRule="exact"/>
              <w:rPr>
                <w:sz w:val="20"/>
                <w:szCs w:val="20"/>
                <w:color w:val="auto"/>
              </w:rPr>
            </w:pPr>
            <w:r>
              <w:rPr>
                <w:rFonts w:ascii="Calibri" w:cs="Calibri" w:eastAsia="Calibri" w:hAnsi="Calibri"/>
                <w:sz w:val="14"/>
                <w:szCs w:val="14"/>
                <w:color w:val="494949"/>
              </w:rPr>
              <w:t>$</w:t>
            </w:r>
          </w:p>
        </w:tc>
        <w:tc>
          <w:tcPr>
            <w:tcW w:w="1300" w:type="dxa"/>
            <w:vAlign w:val="bottom"/>
            <w:tcBorders>
              <w:bottom w:val="single" w:sz="8" w:color="CCEEFF"/>
            </w:tcBorders>
            <w:shd w:val="clear" w:color="auto" w:fill="CCEEFF"/>
          </w:tcPr>
          <w:p>
            <w:pPr>
              <w:jc w:val="right"/>
              <w:ind w:right="69"/>
              <w:spacing w:after="0" w:line="161" w:lineRule="exact"/>
              <w:rPr>
                <w:sz w:val="20"/>
                <w:szCs w:val="20"/>
                <w:color w:val="auto"/>
              </w:rPr>
            </w:pPr>
            <w:r>
              <w:rPr>
                <w:rFonts w:ascii="Calibri" w:cs="Calibri" w:eastAsia="Calibri" w:hAnsi="Calibri"/>
                <w:sz w:val="14"/>
                <w:szCs w:val="14"/>
                <w:color w:val="494949"/>
              </w:rPr>
              <w:t>656,562</w:t>
            </w:r>
          </w:p>
        </w:tc>
        <w:tc>
          <w:tcPr>
            <w:tcW w:w="13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509"/>
              <w:spacing w:after="0" w:line="161" w:lineRule="exact"/>
              <w:rPr>
                <w:sz w:val="20"/>
                <w:szCs w:val="20"/>
                <w:color w:val="auto"/>
              </w:rPr>
            </w:pPr>
            <w:r>
              <w:rPr>
                <w:rFonts w:ascii="Calibri" w:cs="Calibri" w:eastAsia="Calibri" w:hAnsi="Calibri"/>
                <w:sz w:val="14"/>
                <w:szCs w:val="14"/>
                <w:color w:val="494949"/>
                <w:w w:val="83"/>
              </w:rPr>
              <w:t>$</w:t>
            </w:r>
          </w:p>
        </w:tc>
        <w:tc>
          <w:tcPr>
            <w:tcW w:w="1040" w:type="dxa"/>
            <w:vAlign w:val="bottom"/>
            <w:tcBorders>
              <w:bottom w:val="single" w:sz="8" w:color="CCEEFF"/>
            </w:tcBorders>
            <w:shd w:val="clear" w:color="auto" w:fill="CCEEFF"/>
          </w:tcPr>
          <w:p>
            <w:pPr>
              <w:jc w:val="right"/>
              <w:ind w:right="89"/>
              <w:spacing w:after="0" w:line="161" w:lineRule="exact"/>
              <w:rPr>
                <w:sz w:val="20"/>
                <w:szCs w:val="20"/>
                <w:color w:val="auto"/>
              </w:rPr>
            </w:pPr>
            <w:r>
              <w:rPr>
                <w:rFonts w:ascii="Calibri" w:cs="Calibri" w:eastAsia="Calibri" w:hAnsi="Calibri"/>
                <w:sz w:val="14"/>
                <w:szCs w:val="14"/>
                <w:color w:val="494949"/>
              </w:rPr>
              <w:t>631,474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29"/>
              <w:spacing w:after="0" w:line="161" w:lineRule="exact"/>
              <w:rPr>
                <w:sz w:val="20"/>
                <w:szCs w:val="20"/>
                <w:color w:val="auto"/>
              </w:rPr>
            </w:pPr>
            <w:r>
              <w:rPr>
                <w:rFonts w:ascii="Calibri" w:cs="Calibri" w:eastAsia="Calibri" w:hAnsi="Calibri"/>
                <w:sz w:val="14"/>
                <w:szCs w:val="14"/>
                <w:color w:val="494949"/>
              </w:rPr>
              <w:t>$</w:t>
            </w:r>
          </w:p>
        </w:tc>
        <w:tc>
          <w:tcPr>
            <w:tcW w:w="1320" w:type="dxa"/>
            <w:vAlign w:val="bottom"/>
            <w:tcBorders>
              <w:bottom w:val="single" w:sz="8" w:color="CCEEFF"/>
            </w:tcBorders>
            <w:shd w:val="clear" w:color="auto" w:fill="CCEEFF"/>
          </w:tcPr>
          <w:p>
            <w:pPr>
              <w:jc w:val="right"/>
              <w:ind w:right="89"/>
              <w:spacing w:after="0" w:line="161" w:lineRule="exact"/>
              <w:rPr>
                <w:sz w:val="20"/>
                <w:szCs w:val="20"/>
                <w:color w:val="auto"/>
              </w:rPr>
            </w:pPr>
            <w:r>
              <w:rPr>
                <w:rFonts w:ascii="Calibri" w:cs="Calibri" w:eastAsia="Calibri" w:hAnsi="Calibri"/>
                <w:sz w:val="14"/>
                <w:szCs w:val="14"/>
                <w:color w:val="494949"/>
              </w:rPr>
              <w:t>423,349</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666666"/>
              <w:bottom w:val="single" w:sz="8" w:color="666666"/>
            </w:tcBorders>
          </w:tcPr>
          <w:p>
            <w:pPr>
              <w:spacing w:after="0" w:line="20" w:lineRule="exact"/>
              <w:rPr>
                <w:sz w:val="1"/>
                <w:szCs w:val="1"/>
                <w:color w:val="auto"/>
              </w:rPr>
            </w:pPr>
          </w:p>
        </w:tc>
        <w:tc>
          <w:tcPr>
            <w:tcW w:w="1300" w:type="dxa"/>
            <w:vAlign w:val="bottom"/>
            <w:tcBorders>
              <w:top w:val="single" w:sz="8" w:color="666666"/>
              <w:bottom w:val="single" w:sz="8" w:color="666666"/>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666666"/>
              <w:bottom w:val="single" w:sz="8" w:color="666666"/>
            </w:tcBorders>
          </w:tcPr>
          <w:p>
            <w:pPr>
              <w:spacing w:after="0" w:line="20" w:lineRule="exact"/>
              <w:rPr>
                <w:sz w:val="1"/>
                <w:szCs w:val="1"/>
                <w:color w:val="auto"/>
              </w:rPr>
            </w:pPr>
          </w:p>
        </w:tc>
        <w:tc>
          <w:tcPr>
            <w:tcW w:w="1040" w:type="dxa"/>
            <w:vAlign w:val="bottom"/>
            <w:tcBorders>
              <w:top w:val="single" w:sz="8" w:color="666666"/>
              <w:bottom w:val="single" w:sz="8" w:color="666666"/>
            </w:tcBorders>
          </w:tcPr>
          <w:p>
            <w:pPr>
              <w:spacing w:after="0" w:line="20" w:lineRule="exact"/>
              <w:rPr>
                <w:sz w:val="1"/>
                <w:szCs w:val="1"/>
                <w:color w:val="auto"/>
              </w:rPr>
            </w:pPr>
          </w:p>
        </w:tc>
        <w:tc>
          <w:tcPr>
            <w:tcW w:w="100" w:type="dxa"/>
            <w:vAlign w:val="bottom"/>
            <w:tcBorders>
              <w:top w:val="single" w:sz="8" w:color="666666"/>
              <w:bottom w:val="single" w:sz="8" w:color="666666"/>
            </w:tcBorders>
          </w:tcPr>
          <w:p>
            <w:pPr>
              <w:spacing w:after="0" w:line="20" w:lineRule="exact"/>
              <w:rPr>
                <w:sz w:val="1"/>
                <w:szCs w:val="1"/>
                <w:color w:val="auto"/>
              </w:rPr>
            </w:pPr>
          </w:p>
        </w:tc>
        <w:tc>
          <w:tcPr>
            <w:tcW w:w="400" w:type="dxa"/>
            <w:vAlign w:val="bottom"/>
            <w:tcBorders>
              <w:top w:val="single" w:sz="8" w:color="666666"/>
              <w:bottom w:val="single" w:sz="8" w:color="666666"/>
            </w:tcBorders>
          </w:tcPr>
          <w:p>
            <w:pPr>
              <w:spacing w:after="0" w:line="20" w:lineRule="exact"/>
              <w:rPr>
                <w:sz w:val="1"/>
                <w:szCs w:val="1"/>
                <w:color w:val="auto"/>
              </w:rPr>
            </w:pPr>
          </w:p>
        </w:tc>
        <w:tc>
          <w:tcPr>
            <w:tcW w:w="1320" w:type="dxa"/>
            <w:vAlign w:val="bottom"/>
            <w:tcBorders>
              <w:top w:val="single" w:sz="8" w:color="666666"/>
              <w:bottom w:val="single" w:sz="8" w:color="66666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560" w:hanging="315"/>
        <w:spacing w:after="0"/>
        <w:tabs>
          <w:tab w:leader="none" w:pos="560" w:val="left"/>
        </w:tabs>
        <w:numPr>
          <w:ilvl w:val="0"/>
          <w:numId w:val="66"/>
        </w:numPr>
        <w:rPr>
          <w:rFonts w:ascii="Calibri" w:cs="Calibri" w:eastAsia="Calibri" w:hAnsi="Calibri"/>
          <w:sz w:val="14"/>
          <w:szCs w:val="14"/>
          <w:color w:val="666666"/>
        </w:rPr>
      </w:pPr>
      <w:r>
        <w:rPr>
          <w:rFonts w:ascii="Calibri" w:cs="Calibri" w:eastAsia="Calibri" w:hAnsi="Calibri"/>
          <w:sz w:val="14"/>
          <w:szCs w:val="14"/>
          <w:color w:val="666666"/>
        </w:rPr>
        <w:t>Refects the combinaton of Interest expense and Other income (expense), net from the consolidated statement of operatons.</w:t>
      </w:r>
    </w:p>
    <w:p>
      <w:pPr>
        <w:spacing w:after="0" w:line="97" w:lineRule="exact"/>
        <w:rPr>
          <w:rFonts w:ascii="Calibri" w:cs="Calibri" w:eastAsia="Calibri" w:hAnsi="Calibri"/>
          <w:sz w:val="14"/>
          <w:szCs w:val="14"/>
          <w:color w:val="666666"/>
        </w:rPr>
      </w:pPr>
    </w:p>
    <w:p>
      <w:pPr>
        <w:jc w:val="both"/>
        <w:ind w:left="560" w:hanging="315"/>
        <w:spacing w:after="0" w:line="241" w:lineRule="auto"/>
        <w:tabs>
          <w:tab w:leader="none" w:pos="547" w:val="left"/>
        </w:tabs>
        <w:numPr>
          <w:ilvl w:val="0"/>
          <w:numId w:val="66"/>
        </w:numPr>
        <w:rPr>
          <w:rFonts w:ascii="Calibri" w:cs="Calibri" w:eastAsia="Calibri" w:hAnsi="Calibri"/>
          <w:sz w:val="14"/>
          <w:szCs w:val="14"/>
          <w:color w:val="666666"/>
        </w:rPr>
      </w:pPr>
      <w:r>
        <w:rPr>
          <w:rFonts w:ascii="Calibri" w:cs="Calibri" w:eastAsia="Calibri" w:hAnsi="Calibri"/>
          <w:sz w:val="14"/>
          <w:szCs w:val="14"/>
          <w:color w:val="666666"/>
        </w:rPr>
        <w:t>Represents costs associated with the acquisiton and divestture eforts of the Company related to transactons for which the Company has entered into a leter of intent to either acquire a controlling fnancial interest in the target entty or divest a porton of our business. Acquisiton and divestture costs primarily include costs associated with (i) buy-side and sell-side due diligence actvites, (ii) compensaton expenses associated with employee retenton, and (iii) legal and advisory fees, primarily associated with the acquisitons of Liberty IT Solutons, LLC ("Liberty"), Tracepoint Holdings, LLC ("Tracepoint") and EverWatch Corp, as well as the planned divestture of our management consultng business serving the Middle East and North Africa.</w:t>
      </w:r>
    </w:p>
    <w:p>
      <w:pPr>
        <w:spacing w:after="0" w:line="267" w:lineRule="exact"/>
        <w:rPr>
          <w:rFonts w:ascii="Calibri" w:cs="Calibri" w:eastAsia="Calibri" w:hAnsi="Calibri"/>
          <w:sz w:val="14"/>
          <w:szCs w:val="14"/>
          <w:color w:val="666666"/>
        </w:rPr>
      </w:pPr>
    </w:p>
    <w:p>
      <w:pPr>
        <w:ind w:left="560" w:hanging="315"/>
        <w:spacing w:after="0"/>
        <w:tabs>
          <w:tab w:leader="none" w:pos="560" w:val="left"/>
        </w:tabs>
        <w:numPr>
          <w:ilvl w:val="0"/>
          <w:numId w:val="66"/>
        </w:numPr>
        <w:rPr>
          <w:rFonts w:ascii="Calibri" w:cs="Calibri" w:eastAsia="Calibri" w:hAnsi="Calibri"/>
          <w:sz w:val="14"/>
          <w:szCs w:val="14"/>
          <w:color w:val="666666"/>
        </w:rPr>
      </w:pPr>
      <w:r>
        <w:rPr>
          <w:rFonts w:ascii="Calibri" w:cs="Calibri" w:eastAsia="Calibri" w:hAnsi="Calibri"/>
          <w:sz w:val="14"/>
          <w:szCs w:val="14"/>
          <w:color w:val="666666"/>
        </w:rPr>
        <w:t>Refects expenses associated with debt fnancing actvites incurred during the frst quarter of fscal 2022.</w:t>
      </w:r>
    </w:p>
    <w:p>
      <w:pPr>
        <w:spacing w:after="0" w:line="107" w:lineRule="exact"/>
        <w:rPr>
          <w:rFonts w:ascii="Calibri" w:cs="Calibri" w:eastAsia="Calibri" w:hAnsi="Calibri"/>
          <w:sz w:val="14"/>
          <w:szCs w:val="14"/>
          <w:color w:val="666666"/>
        </w:rPr>
      </w:pPr>
    </w:p>
    <w:p>
      <w:pPr>
        <w:ind w:left="560" w:hanging="315"/>
        <w:spacing w:after="0"/>
        <w:tabs>
          <w:tab w:leader="none" w:pos="560" w:val="left"/>
        </w:tabs>
        <w:numPr>
          <w:ilvl w:val="0"/>
          <w:numId w:val="66"/>
        </w:numPr>
        <w:rPr>
          <w:rFonts w:ascii="Calibri" w:cs="Calibri" w:eastAsia="Calibri" w:hAnsi="Calibri"/>
          <w:sz w:val="14"/>
          <w:szCs w:val="14"/>
          <w:color w:val="666666"/>
        </w:rPr>
      </w:pPr>
      <w:r>
        <w:rPr>
          <w:rFonts w:ascii="Calibri" w:cs="Calibri" w:eastAsia="Calibri" w:hAnsi="Calibri"/>
          <w:sz w:val="14"/>
          <w:szCs w:val="14"/>
          <w:color w:val="666666"/>
        </w:rPr>
        <w:t>Represents the supplemental contributon to employees' dependent care FSA accounts in response to COVID-19.</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A - 3</w:t>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390" w:lineRule="exact"/>
        <w:rPr>
          <w:sz w:val="20"/>
          <w:szCs w:val="20"/>
          <w:color w:val="auto"/>
        </w:rPr>
      </w:pPr>
    </w:p>
    <w:p>
      <w:pPr>
        <w:ind w:left="560" w:hanging="315"/>
        <w:spacing w:after="0" w:line="239" w:lineRule="auto"/>
        <w:tabs>
          <w:tab w:leader="none" w:pos="557" w:val="left"/>
        </w:tabs>
        <w:numPr>
          <w:ilvl w:val="0"/>
          <w:numId w:val="67"/>
        </w:numPr>
        <w:rPr>
          <w:rFonts w:ascii="Calibri" w:cs="Calibri" w:eastAsia="Calibri" w:hAnsi="Calibri"/>
          <w:sz w:val="14"/>
          <w:szCs w:val="14"/>
          <w:color w:val="666666"/>
        </w:rPr>
      </w:pPr>
      <w:r>
        <w:rPr>
          <w:rFonts w:ascii="Calibri" w:cs="Calibri" w:eastAsia="Calibri" w:hAnsi="Calibri"/>
          <w:sz w:val="14"/>
          <w:szCs w:val="14"/>
          <w:color w:val="666666"/>
        </w:rPr>
        <w:t>Represents restructuring charges of $8.3 million incurred during the fourth quarter of fscal 2022, net of approximately $4.2 million of revenue recognized on recoverable expenses, associated with severance costs of a restructuring plan to reduce certain executve administratve personnel costs.</w:t>
      </w:r>
    </w:p>
    <w:p>
      <w:pPr>
        <w:spacing w:after="0" w:line="111" w:lineRule="exact"/>
        <w:rPr>
          <w:rFonts w:ascii="Calibri" w:cs="Calibri" w:eastAsia="Calibri" w:hAnsi="Calibri"/>
          <w:sz w:val="14"/>
          <w:szCs w:val="14"/>
          <w:color w:val="666666"/>
        </w:rPr>
      </w:pPr>
    </w:p>
    <w:p>
      <w:pPr>
        <w:ind w:left="560" w:right="20" w:hanging="315"/>
        <w:spacing w:after="0" w:line="229" w:lineRule="auto"/>
        <w:tabs>
          <w:tab w:leader="none" w:pos="558" w:val="left"/>
        </w:tabs>
        <w:numPr>
          <w:ilvl w:val="0"/>
          <w:numId w:val="67"/>
        </w:numPr>
        <w:rPr>
          <w:rFonts w:ascii="Calibri" w:cs="Calibri" w:eastAsia="Calibri" w:hAnsi="Calibri"/>
          <w:sz w:val="14"/>
          <w:szCs w:val="14"/>
          <w:color w:val="666666"/>
        </w:rPr>
      </w:pPr>
      <w:r>
        <w:rPr>
          <w:rFonts w:ascii="Calibri" w:cs="Calibri" w:eastAsia="Calibri" w:hAnsi="Calibri"/>
          <w:sz w:val="14"/>
          <w:szCs w:val="14"/>
          <w:color w:val="666666"/>
        </w:rPr>
        <w:t>Amortzaton expense associated with acquired intangibles from signifcant acquisitons. Signifcant acquisitons include acquisitons which the Company considers to be beyond the scope of our normal operatons. Signifcant acquisiton amortzaton includes amortzaton expense associated with the acquisiton of Liberty in the frst quarter of fscal 2022.</w:t>
      </w:r>
    </w:p>
    <w:p>
      <w:pPr>
        <w:spacing w:after="0" w:line="112" w:lineRule="exact"/>
        <w:rPr>
          <w:rFonts w:ascii="Calibri" w:cs="Calibri" w:eastAsia="Calibri" w:hAnsi="Calibri"/>
          <w:sz w:val="14"/>
          <w:szCs w:val="14"/>
          <w:color w:val="666666"/>
        </w:rPr>
      </w:pPr>
    </w:p>
    <w:p>
      <w:pPr>
        <w:ind w:left="560" w:hanging="315"/>
        <w:spacing w:after="0" w:line="239" w:lineRule="auto"/>
        <w:tabs>
          <w:tab w:leader="none" w:pos="554" w:val="left"/>
        </w:tabs>
        <w:numPr>
          <w:ilvl w:val="0"/>
          <w:numId w:val="67"/>
        </w:numPr>
        <w:rPr>
          <w:rFonts w:ascii="Calibri" w:cs="Calibri" w:eastAsia="Calibri" w:hAnsi="Calibri"/>
          <w:sz w:val="14"/>
          <w:szCs w:val="14"/>
          <w:color w:val="666666"/>
        </w:rPr>
      </w:pPr>
      <w:r>
        <w:rPr>
          <w:rFonts w:ascii="Calibri" w:cs="Calibri" w:eastAsia="Calibri" w:hAnsi="Calibri"/>
          <w:sz w:val="14"/>
          <w:szCs w:val="14"/>
          <w:color w:val="666666"/>
        </w:rPr>
        <w:t>Represents (i) a gain in the second quarter of fscal 2022 associated with the Company's previously held equity method investment in Tracepoint and (ii) a gain in the third quarter of fscal 2022 associated with the divestture of a controlling fnancial interest of a certain product ofering.</w:t>
      </w:r>
    </w:p>
    <w:p>
      <w:pPr>
        <w:spacing w:after="0" w:line="111" w:lineRule="exact"/>
        <w:rPr>
          <w:rFonts w:ascii="Calibri" w:cs="Calibri" w:eastAsia="Calibri" w:hAnsi="Calibri"/>
          <w:sz w:val="14"/>
          <w:szCs w:val="14"/>
          <w:color w:val="666666"/>
        </w:rPr>
      </w:pPr>
    </w:p>
    <w:p>
      <w:pPr>
        <w:ind w:left="560" w:hanging="315"/>
        <w:spacing w:after="0" w:line="239" w:lineRule="auto"/>
        <w:tabs>
          <w:tab w:leader="none" w:pos="547" w:val="left"/>
        </w:tabs>
        <w:numPr>
          <w:ilvl w:val="0"/>
          <w:numId w:val="67"/>
        </w:numPr>
        <w:rPr>
          <w:rFonts w:ascii="Calibri" w:cs="Calibri" w:eastAsia="Calibri" w:hAnsi="Calibri"/>
          <w:sz w:val="14"/>
          <w:szCs w:val="14"/>
          <w:color w:val="666666"/>
        </w:rPr>
      </w:pPr>
      <w:r>
        <w:rPr>
          <w:rFonts w:ascii="Calibri" w:cs="Calibri" w:eastAsia="Calibri" w:hAnsi="Calibri"/>
          <w:sz w:val="14"/>
          <w:szCs w:val="14"/>
          <w:color w:val="666666"/>
        </w:rPr>
        <w:t>Refects tax credits, net of reserves for uncertain tax positons, recognized in fscal 2021 and 2020 related to an increase in research and development credits available for fscal years 2016 to 2019 and fscal years 2016 to 2020, respectvely.</w:t>
      </w:r>
    </w:p>
    <w:p>
      <w:pPr>
        <w:spacing w:after="0" w:line="97" w:lineRule="exact"/>
        <w:rPr>
          <w:rFonts w:ascii="Calibri" w:cs="Calibri" w:eastAsia="Calibri" w:hAnsi="Calibri"/>
          <w:sz w:val="14"/>
          <w:szCs w:val="14"/>
          <w:color w:val="666666"/>
        </w:rPr>
      </w:pPr>
    </w:p>
    <w:p>
      <w:pPr>
        <w:ind w:left="560" w:hanging="315"/>
        <w:spacing w:after="0" w:line="239" w:lineRule="auto"/>
        <w:tabs>
          <w:tab w:leader="none" w:pos="559" w:val="left"/>
        </w:tabs>
        <w:numPr>
          <w:ilvl w:val="0"/>
          <w:numId w:val="67"/>
        </w:numPr>
        <w:rPr>
          <w:rFonts w:ascii="Calibri" w:cs="Calibri" w:eastAsia="Calibri" w:hAnsi="Calibri"/>
          <w:sz w:val="14"/>
          <w:szCs w:val="14"/>
          <w:color w:val="666666"/>
        </w:rPr>
      </w:pPr>
      <w:r>
        <w:rPr>
          <w:rFonts w:ascii="Calibri" w:cs="Calibri" w:eastAsia="Calibri" w:hAnsi="Calibri"/>
          <w:sz w:val="14"/>
          <w:szCs w:val="14"/>
          <w:color w:val="666666"/>
        </w:rPr>
        <w:t>Refects the income tax beneft associated with tax losses generated during fscal 2021 as a result of a change in certain tax methods of accountng. The Company intends to carry these losses back to fscal 2016 and subsequent periods under the Coronavirus Aid Relief and Economic Security Act and has re-measured the fscal 2021 loss accordingly.</w:t>
      </w:r>
    </w:p>
    <w:p>
      <w:pPr>
        <w:spacing w:after="0" w:line="111" w:lineRule="exact"/>
        <w:rPr>
          <w:rFonts w:ascii="Calibri" w:cs="Calibri" w:eastAsia="Calibri" w:hAnsi="Calibri"/>
          <w:sz w:val="14"/>
          <w:szCs w:val="14"/>
          <w:color w:val="666666"/>
        </w:rPr>
      </w:pPr>
    </w:p>
    <w:p>
      <w:pPr>
        <w:ind w:left="560" w:hanging="315"/>
        <w:spacing w:after="0" w:line="239" w:lineRule="auto"/>
        <w:tabs>
          <w:tab w:leader="none" w:pos="564" w:val="left"/>
        </w:tabs>
        <w:numPr>
          <w:ilvl w:val="0"/>
          <w:numId w:val="67"/>
        </w:numPr>
        <w:rPr>
          <w:rFonts w:ascii="Calibri" w:cs="Calibri" w:eastAsia="Calibri" w:hAnsi="Calibri"/>
          <w:sz w:val="14"/>
          <w:szCs w:val="14"/>
          <w:color w:val="666666"/>
        </w:rPr>
      </w:pPr>
      <w:r>
        <w:rPr>
          <w:rFonts w:ascii="Calibri" w:cs="Calibri" w:eastAsia="Calibri" w:hAnsi="Calibri"/>
          <w:sz w:val="14"/>
          <w:szCs w:val="14"/>
          <w:color w:val="666666"/>
        </w:rPr>
        <w:t>Refects the loss on debt extnguishment resultng from the redempton of Booz Allen Hamilton Inc.'s 5.125% Senior Notes due 2025, including $9.0 million of the premium paid at redempton, and write-of of the unamortzed debt issuance cost.</w:t>
      </w:r>
    </w:p>
    <w:p>
      <w:pPr>
        <w:spacing w:after="0" w:line="111" w:lineRule="exact"/>
        <w:rPr>
          <w:rFonts w:ascii="Calibri" w:cs="Calibri" w:eastAsia="Calibri" w:hAnsi="Calibri"/>
          <w:sz w:val="14"/>
          <w:szCs w:val="14"/>
          <w:color w:val="666666"/>
        </w:rPr>
      </w:pPr>
    </w:p>
    <w:p>
      <w:pPr>
        <w:ind w:left="560" w:hanging="315"/>
        <w:spacing w:after="0" w:line="229" w:lineRule="auto"/>
        <w:tabs>
          <w:tab w:leader="none" w:pos="551" w:val="left"/>
        </w:tabs>
        <w:numPr>
          <w:ilvl w:val="0"/>
          <w:numId w:val="67"/>
        </w:numPr>
        <w:rPr>
          <w:rFonts w:ascii="Calibri" w:cs="Calibri" w:eastAsia="Calibri" w:hAnsi="Calibri"/>
          <w:sz w:val="14"/>
          <w:szCs w:val="14"/>
          <w:color w:val="666666"/>
        </w:rPr>
      </w:pPr>
      <w:r>
        <w:rPr>
          <w:rFonts w:ascii="Calibri" w:cs="Calibri" w:eastAsia="Calibri" w:hAnsi="Calibri"/>
          <w:sz w:val="14"/>
          <w:szCs w:val="14"/>
          <w:color w:val="666666"/>
        </w:rPr>
        <w:t>Refects the income tax beneft associated with tax losses generated during fscal 2021 as a result of a change in certain tax methods of accountng. The Company intends to carry these losses back to fscal 2016 and subsequent periods under the Coronavirus Aid Relief and Economic Security Act and has re-measured the fscal 2021 loss accordingly.</w:t>
      </w:r>
    </w:p>
    <w:p>
      <w:pPr>
        <w:spacing w:after="0" w:line="112" w:lineRule="exact"/>
        <w:rPr>
          <w:rFonts w:ascii="Calibri" w:cs="Calibri" w:eastAsia="Calibri" w:hAnsi="Calibri"/>
          <w:sz w:val="14"/>
          <w:szCs w:val="14"/>
          <w:color w:val="666666"/>
        </w:rPr>
      </w:pPr>
    </w:p>
    <w:p>
      <w:pPr>
        <w:ind w:left="560" w:hanging="315"/>
        <w:spacing w:after="0" w:line="239" w:lineRule="auto"/>
        <w:tabs>
          <w:tab w:leader="none" w:pos="559" w:val="left"/>
        </w:tabs>
        <w:numPr>
          <w:ilvl w:val="0"/>
          <w:numId w:val="67"/>
        </w:numPr>
        <w:rPr>
          <w:rFonts w:ascii="Calibri" w:cs="Calibri" w:eastAsia="Calibri" w:hAnsi="Calibri"/>
          <w:sz w:val="14"/>
          <w:szCs w:val="14"/>
          <w:color w:val="666666"/>
        </w:rPr>
      </w:pPr>
      <w:r>
        <w:rPr>
          <w:rFonts w:ascii="Calibri" w:cs="Calibri" w:eastAsia="Calibri" w:hAnsi="Calibri"/>
          <w:sz w:val="14"/>
          <w:szCs w:val="14"/>
          <w:color w:val="666666"/>
        </w:rPr>
        <w:t>Refects the tax efect of adjustments at an assumed efectve tax rate of 26%, which approximates the blended federal and state tax rates, and consistently excludes the impact of other tax credits and incentve benefts realized.</w:t>
      </w:r>
    </w:p>
    <w:p>
      <w:pPr>
        <w:spacing w:after="0" w:line="111" w:lineRule="exact"/>
        <w:rPr>
          <w:rFonts w:ascii="Calibri" w:cs="Calibri" w:eastAsia="Calibri" w:hAnsi="Calibri"/>
          <w:sz w:val="14"/>
          <w:szCs w:val="14"/>
          <w:color w:val="666666"/>
        </w:rPr>
      </w:pPr>
    </w:p>
    <w:p>
      <w:pPr>
        <w:ind w:left="560" w:right="20" w:hanging="315"/>
        <w:spacing w:after="0" w:line="239" w:lineRule="auto"/>
        <w:tabs>
          <w:tab w:leader="none" w:pos="560" w:val="left"/>
        </w:tabs>
        <w:numPr>
          <w:ilvl w:val="0"/>
          <w:numId w:val="67"/>
        </w:numPr>
        <w:rPr>
          <w:rFonts w:ascii="Calibri" w:cs="Calibri" w:eastAsia="Calibri" w:hAnsi="Calibri"/>
          <w:sz w:val="14"/>
          <w:szCs w:val="14"/>
          <w:color w:val="666666"/>
        </w:rPr>
      </w:pPr>
      <w:r>
        <w:rPr>
          <w:rFonts w:ascii="Calibri" w:cs="Calibri" w:eastAsia="Calibri" w:hAnsi="Calibri"/>
          <w:sz w:val="14"/>
          <w:szCs w:val="14"/>
          <w:color w:val="666666"/>
        </w:rPr>
        <w:t>Excludes an adjustment of approximately $3.1 million, $3.5 million, and $1.6 million of net earnings for fscal 2022, 2021, and 2020, respectvely, associated with the applicaton of the two-class method for computng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A - 4</w:t>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Calibri" w:cs="Calibri" w:eastAsia="Calibri" w:hAnsi="Calibri"/>
          <w:sz w:val="28"/>
          <w:szCs w:val="28"/>
          <w:b w:val="1"/>
          <w:bCs w:val="1"/>
          <w:u w:val="single" w:color="auto"/>
          <w:color w:val="547BCC"/>
        </w:rPr>
        <w:t>Appendix B</w:t>
      </w:r>
    </w:p>
    <w:p>
      <w:pPr>
        <w:spacing w:after="0" w:line="164" w:lineRule="exact"/>
        <w:rPr>
          <w:sz w:val="20"/>
          <w:szCs w:val="20"/>
          <w:color w:val="auto"/>
        </w:rPr>
      </w:pPr>
    </w:p>
    <w:p>
      <w:pPr>
        <w:jc w:val="center"/>
        <w:ind w:right="-39"/>
        <w:spacing w:after="0"/>
        <w:rPr>
          <w:sz w:val="20"/>
          <w:szCs w:val="20"/>
          <w:color w:val="auto"/>
        </w:rPr>
      </w:pPr>
      <w:r>
        <w:rPr>
          <w:rFonts w:ascii="Calibri" w:cs="Calibri" w:eastAsia="Calibri" w:hAnsi="Calibri"/>
          <w:sz w:val="21"/>
          <w:szCs w:val="21"/>
          <w:b w:val="1"/>
          <w:bCs w:val="1"/>
          <w:color w:val="auto"/>
        </w:rPr>
        <w:t>SIXTH AMENDED AND RESTATED</w:t>
      </w:r>
    </w:p>
    <w:p>
      <w:pPr>
        <w:spacing w:after="0" w:line="49" w:lineRule="exact"/>
        <w:rPr>
          <w:sz w:val="20"/>
          <w:szCs w:val="20"/>
          <w:color w:val="auto"/>
        </w:rPr>
      </w:pPr>
    </w:p>
    <w:p>
      <w:pPr>
        <w:jc w:val="center"/>
        <w:ind w:right="-39"/>
        <w:spacing w:after="0"/>
        <w:rPr>
          <w:sz w:val="20"/>
          <w:szCs w:val="20"/>
          <w:color w:val="auto"/>
        </w:rPr>
      </w:pPr>
      <w:r>
        <w:rPr>
          <w:rFonts w:ascii="Calibri" w:cs="Calibri" w:eastAsia="Calibri" w:hAnsi="Calibri"/>
          <w:sz w:val="21"/>
          <w:szCs w:val="21"/>
          <w:b w:val="1"/>
          <w:bCs w:val="1"/>
          <w:color w:val="auto"/>
        </w:rPr>
        <w:t>CERTIFICATE OF INCORPORATION</w:t>
      </w:r>
    </w:p>
    <w:p>
      <w:pPr>
        <w:spacing w:after="0" w:line="49" w:lineRule="exact"/>
        <w:rPr>
          <w:sz w:val="20"/>
          <w:szCs w:val="20"/>
          <w:color w:val="auto"/>
        </w:rPr>
      </w:pPr>
    </w:p>
    <w:p>
      <w:pPr>
        <w:jc w:val="center"/>
        <w:ind w:right="-39"/>
        <w:spacing w:after="0"/>
        <w:rPr>
          <w:sz w:val="20"/>
          <w:szCs w:val="20"/>
          <w:color w:val="auto"/>
        </w:rPr>
      </w:pPr>
      <w:r>
        <w:rPr>
          <w:rFonts w:ascii="Calibri" w:cs="Calibri" w:eastAsia="Calibri" w:hAnsi="Calibri"/>
          <w:sz w:val="21"/>
          <w:szCs w:val="21"/>
          <w:b w:val="1"/>
          <w:bCs w:val="1"/>
          <w:color w:val="auto"/>
        </w:rPr>
        <w:t>OF</w:t>
      </w:r>
    </w:p>
    <w:p>
      <w:pPr>
        <w:spacing w:after="0" w:line="49" w:lineRule="exact"/>
        <w:rPr>
          <w:sz w:val="20"/>
          <w:szCs w:val="20"/>
          <w:color w:val="auto"/>
        </w:rPr>
      </w:pPr>
    </w:p>
    <w:p>
      <w:pPr>
        <w:jc w:val="center"/>
        <w:ind w:right="-39"/>
        <w:spacing w:after="0"/>
        <w:rPr>
          <w:sz w:val="20"/>
          <w:szCs w:val="20"/>
          <w:color w:val="auto"/>
        </w:rPr>
      </w:pPr>
      <w:r>
        <w:rPr>
          <w:rFonts w:ascii="Calibri" w:cs="Calibri" w:eastAsia="Calibri" w:hAnsi="Calibri"/>
          <w:sz w:val="21"/>
          <w:szCs w:val="21"/>
          <w:b w:val="1"/>
          <w:bCs w:val="1"/>
          <w:color w:val="auto"/>
        </w:rPr>
        <w:t>BOOZ ALLEN HAMILTON HOLDING CORPORATION</w:t>
      </w:r>
    </w:p>
    <w:p>
      <w:pPr>
        <w:spacing w:after="0" w:line="392" w:lineRule="exact"/>
        <w:rPr>
          <w:sz w:val="20"/>
          <w:szCs w:val="20"/>
          <w:color w:val="auto"/>
        </w:rPr>
      </w:pPr>
    </w:p>
    <w:p>
      <w:pPr>
        <w:ind w:right="280" w:firstLine="638"/>
        <w:spacing w:after="0" w:line="223" w:lineRule="auto"/>
        <w:rPr>
          <w:sz w:val="20"/>
          <w:szCs w:val="20"/>
          <w:color w:val="auto"/>
        </w:rPr>
      </w:pPr>
      <w:r>
        <w:rPr>
          <w:rFonts w:ascii="Calibri" w:cs="Calibri" w:eastAsia="Calibri" w:hAnsi="Calibri"/>
          <w:sz w:val="18"/>
          <w:szCs w:val="18"/>
          <w:color w:val="666666"/>
        </w:rPr>
        <w:t>Booz Allen Hamilton Holding Corporaton, a corporaton organized and existng under the laws of the State of Delaware (the “</w:t>
      </w:r>
      <w:r>
        <w:rPr>
          <w:rFonts w:ascii="Calibri" w:cs="Calibri" w:eastAsia="Calibri" w:hAnsi="Calibri"/>
          <w:sz w:val="18"/>
          <w:szCs w:val="18"/>
          <w:u w:val="single" w:color="auto"/>
          <w:color w:val="666666"/>
        </w:rPr>
        <w:t>Corporaton</w:t>
      </w:r>
      <w:r>
        <w:rPr>
          <w:rFonts w:ascii="Calibri" w:cs="Calibri" w:eastAsia="Calibri" w:hAnsi="Calibri"/>
          <w:sz w:val="18"/>
          <w:szCs w:val="18"/>
          <w:color w:val="666666"/>
        </w:rPr>
        <w:t>”), hereby certfes as follows:</w:t>
      </w:r>
    </w:p>
    <w:p>
      <w:pPr>
        <w:spacing w:after="0" w:line="220" w:lineRule="exact"/>
        <w:rPr>
          <w:sz w:val="20"/>
          <w:szCs w:val="20"/>
          <w:color w:val="auto"/>
        </w:rPr>
      </w:pPr>
    </w:p>
    <w:p>
      <w:pPr>
        <w:ind w:left="940" w:hanging="296"/>
        <w:spacing w:after="0"/>
        <w:tabs>
          <w:tab w:leader="none" w:pos="940" w:val="left"/>
        </w:tabs>
        <w:numPr>
          <w:ilvl w:val="0"/>
          <w:numId w:val="68"/>
        </w:numPr>
        <w:rPr>
          <w:rFonts w:ascii="Calibri" w:cs="Calibri" w:eastAsia="Calibri" w:hAnsi="Calibri"/>
          <w:sz w:val="18"/>
          <w:szCs w:val="18"/>
          <w:color w:val="666666"/>
        </w:rPr>
      </w:pPr>
      <w:r>
        <w:rPr>
          <w:rFonts w:ascii="Calibri" w:cs="Calibri" w:eastAsia="Calibri" w:hAnsi="Calibri"/>
          <w:sz w:val="18"/>
          <w:szCs w:val="18"/>
          <w:color w:val="666666"/>
        </w:rPr>
        <w:t>The name of the Corporaton is Booz Allen Hamilton Holding Corporaton.</w:t>
      </w:r>
    </w:p>
    <w:p>
      <w:pPr>
        <w:spacing w:after="0" w:line="227" w:lineRule="exact"/>
        <w:rPr>
          <w:rFonts w:ascii="Calibri" w:cs="Calibri" w:eastAsia="Calibri" w:hAnsi="Calibri"/>
          <w:sz w:val="18"/>
          <w:szCs w:val="18"/>
          <w:color w:val="666666"/>
        </w:rPr>
      </w:pPr>
    </w:p>
    <w:p>
      <w:pPr>
        <w:ind w:left="960" w:right="40" w:hanging="316"/>
        <w:spacing w:after="0" w:line="219" w:lineRule="auto"/>
        <w:tabs>
          <w:tab w:leader="none" w:pos="945" w:val="left"/>
        </w:tabs>
        <w:numPr>
          <w:ilvl w:val="0"/>
          <w:numId w:val="68"/>
        </w:numPr>
        <w:rPr>
          <w:rFonts w:ascii="Calibri" w:cs="Calibri" w:eastAsia="Calibri" w:hAnsi="Calibri"/>
          <w:sz w:val="18"/>
          <w:szCs w:val="18"/>
          <w:color w:val="666666"/>
        </w:rPr>
      </w:pPr>
      <w:r>
        <w:rPr>
          <w:rFonts w:ascii="Calibri" w:cs="Calibri" w:eastAsia="Calibri" w:hAnsi="Calibri"/>
          <w:sz w:val="18"/>
          <w:szCs w:val="18"/>
          <w:color w:val="666666"/>
        </w:rPr>
        <w:t>The Corporaton was incorporated under the name Explorer Holding Corporaton by the fling of its original Certfcate of Incorporaton with the Secretary of State of the State of Delaware (the “</w:t>
      </w:r>
      <w:r>
        <w:rPr>
          <w:rFonts w:ascii="Calibri" w:cs="Calibri" w:eastAsia="Calibri" w:hAnsi="Calibri"/>
          <w:sz w:val="18"/>
          <w:szCs w:val="18"/>
          <w:u w:val="single" w:color="auto"/>
          <w:color w:val="666666"/>
        </w:rPr>
        <w:t>Secretary of State</w:t>
      </w:r>
      <w:r>
        <w:rPr>
          <w:rFonts w:ascii="Calibri" w:cs="Calibri" w:eastAsia="Calibri" w:hAnsi="Calibri"/>
          <w:sz w:val="18"/>
          <w:szCs w:val="18"/>
          <w:color w:val="666666"/>
        </w:rPr>
        <w:t>”) on May 12, 2008. An Amended and Restated Certfcate of Incorporaton was fled with the Secretary of State on July 30, 2008. A Certfcate of Amendment, changing the name of the Corporaton from Explorer Holding Corporaton to Booz Allen Hamilton Holding Corporaton, was fled with the Secretary of State on September 25, 2009. A Second Amended and Restated Certfcate of Incorporaton was fled with the Secretary of State on November 8, 2010. A Third Amended and Restated Certfcate of Incorporaton was fled with the Secretary of State on August 13, 2014. A Fourth Amended and Restated Certfcate of Incorporaton was fled with the Secretary of State on July 26, 2019. A Fifh Amended and Restated Certfcate of Incorporaton was fled with the Secretary of State on August 5, 2020.</w:t>
      </w:r>
    </w:p>
    <w:p>
      <w:pPr>
        <w:spacing w:after="0" w:line="215" w:lineRule="exact"/>
        <w:rPr>
          <w:rFonts w:ascii="Calibri" w:cs="Calibri" w:eastAsia="Calibri" w:hAnsi="Calibri"/>
          <w:sz w:val="18"/>
          <w:szCs w:val="18"/>
          <w:color w:val="666666"/>
        </w:rPr>
      </w:pPr>
    </w:p>
    <w:p>
      <w:pPr>
        <w:ind w:left="960" w:hanging="316"/>
        <w:spacing w:after="0" w:line="234" w:lineRule="auto"/>
        <w:tabs>
          <w:tab w:leader="none" w:pos="945" w:val="left"/>
        </w:tabs>
        <w:numPr>
          <w:ilvl w:val="0"/>
          <w:numId w:val="68"/>
        </w:numPr>
        <w:rPr>
          <w:rFonts w:ascii="Calibri" w:cs="Calibri" w:eastAsia="Calibri" w:hAnsi="Calibri"/>
          <w:sz w:val="17"/>
          <w:szCs w:val="17"/>
          <w:color w:val="666666"/>
        </w:rPr>
      </w:pPr>
      <w:r>
        <w:rPr>
          <w:rFonts w:ascii="Calibri" w:cs="Calibri" w:eastAsia="Calibri" w:hAnsi="Calibri"/>
          <w:sz w:val="17"/>
          <w:szCs w:val="17"/>
          <w:color w:val="666666"/>
        </w:rPr>
        <w:t>The Corporaton’s Fifh Amended and Restated Certfcate of Incorporaton is hereby amended and restated pursuant to Sectons 242 and 245 of the General Corporaton Law of the State of Delaware, so as to read in its entrety in the form atached hereto as Exhibit A and incorporated herein by reference (Exhibit A and this Certfcate collectvely consttutng the Corporaton’s Sixth Amended and Restated Certfcate of Incorporaton).</w:t>
      </w:r>
    </w:p>
    <w:p>
      <w:pPr>
        <w:spacing w:after="0" w:line="229" w:lineRule="exact"/>
        <w:rPr>
          <w:rFonts w:ascii="Calibri" w:cs="Calibri" w:eastAsia="Calibri" w:hAnsi="Calibri"/>
          <w:sz w:val="17"/>
          <w:szCs w:val="17"/>
          <w:color w:val="666666"/>
        </w:rPr>
      </w:pPr>
    </w:p>
    <w:p>
      <w:pPr>
        <w:ind w:left="960" w:right="180" w:hanging="316"/>
        <w:spacing w:after="0" w:line="219" w:lineRule="auto"/>
        <w:tabs>
          <w:tab w:leader="none" w:pos="945" w:val="left"/>
        </w:tabs>
        <w:numPr>
          <w:ilvl w:val="0"/>
          <w:numId w:val="68"/>
        </w:numPr>
        <w:rPr>
          <w:rFonts w:ascii="Calibri" w:cs="Calibri" w:eastAsia="Calibri" w:hAnsi="Calibri"/>
          <w:sz w:val="18"/>
          <w:szCs w:val="18"/>
          <w:color w:val="666666"/>
        </w:rPr>
      </w:pPr>
      <w:r>
        <w:rPr>
          <w:rFonts w:ascii="Calibri" w:cs="Calibri" w:eastAsia="Calibri" w:hAnsi="Calibri"/>
          <w:sz w:val="18"/>
          <w:szCs w:val="18"/>
          <w:color w:val="666666"/>
        </w:rPr>
        <w:t>The amendment and restatement of the Fifh Amended and Restated Certfcaton of Incorporaton of the Corporaton has been duly adopted in accordance with the provisions of Sectons 228, 242 and 245 of the General Corporaton Law of the State of Delaware, the Board of Directors of the Corporaton having adopted resolutons setng forth such amendment and restatement, declaring its advisability, and directng that it be submited to the stockholders of the Corporaton for their approval; and the holders of outstanding stock having not less than the minimum number of votes that would be necessary to authorize or take such acton at a meetng at which all shares enttled to vote thereon were present and voted having consented in writng to the adopton of such amendment and restatement.</w:t>
      </w:r>
    </w:p>
    <w:p>
      <w:pPr>
        <w:spacing w:after="0" w:line="231" w:lineRule="exact"/>
        <w:rPr>
          <w:sz w:val="20"/>
          <w:szCs w:val="20"/>
          <w:color w:val="auto"/>
        </w:rPr>
      </w:pPr>
    </w:p>
    <w:p>
      <w:pPr>
        <w:ind w:right="260" w:firstLine="638"/>
        <w:spacing w:after="0" w:line="223" w:lineRule="auto"/>
        <w:rPr>
          <w:sz w:val="20"/>
          <w:szCs w:val="20"/>
          <w:color w:val="auto"/>
        </w:rPr>
      </w:pPr>
      <w:r>
        <w:rPr>
          <w:rFonts w:ascii="Calibri" w:cs="Calibri" w:eastAsia="Calibri" w:hAnsi="Calibri"/>
          <w:sz w:val="18"/>
          <w:szCs w:val="18"/>
          <w:color w:val="666666"/>
        </w:rPr>
        <w:t>IN WITNESS WHEREOF, the undersigned ofcer of the Corporaton has executed this Sixth Amended and Restated Certfcate of Incorporaton of the Corporaton on the _____ day of _____, 2022.</w:t>
      </w:r>
    </w:p>
    <w:p>
      <w:pPr>
        <w:spacing w:after="0" w:line="220" w:lineRule="exact"/>
        <w:rPr>
          <w:sz w:val="20"/>
          <w:szCs w:val="20"/>
          <w:color w:val="auto"/>
        </w:rPr>
      </w:pPr>
    </w:p>
    <w:p>
      <w:pPr>
        <w:ind w:left="4300"/>
        <w:spacing w:after="0"/>
        <w:rPr>
          <w:sz w:val="20"/>
          <w:szCs w:val="20"/>
          <w:color w:val="auto"/>
        </w:rPr>
      </w:pPr>
      <w:r>
        <w:rPr>
          <w:rFonts w:ascii="Calibri" w:cs="Calibri" w:eastAsia="Calibri" w:hAnsi="Calibri"/>
          <w:sz w:val="18"/>
          <w:szCs w:val="18"/>
          <w:color w:val="666666"/>
        </w:rPr>
        <w:t>BOOZ ALLEN HAMILTON HOLDING CORPORATION</w:t>
      </w:r>
    </w:p>
    <w:p>
      <w:pPr>
        <w:spacing w:after="0" w:line="219" w:lineRule="exact"/>
        <w:rPr>
          <w:sz w:val="20"/>
          <w:szCs w:val="20"/>
          <w:color w:val="auto"/>
        </w:rPr>
      </w:pPr>
    </w:p>
    <w:p>
      <w:pPr>
        <w:ind w:left="4300"/>
        <w:spacing w:after="0"/>
        <w:rPr>
          <w:sz w:val="20"/>
          <w:szCs w:val="20"/>
          <w:color w:val="auto"/>
        </w:rPr>
      </w:pPr>
      <w:r>
        <w:rPr>
          <w:rFonts w:ascii="Calibri" w:cs="Calibri" w:eastAsia="Calibri" w:hAnsi="Calibri"/>
          <w:sz w:val="18"/>
          <w:szCs w:val="18"/>
          <w:color w:val="666666"/>
        </w:rPr>
        <w:t>By: _________________________________</w:t>
      </w:r>
    </w:p>
    <w:p>
      <w:pPr>
        <w:ind w:left="4300"/>
        <w:spacing w:after="0" w:line="203" w:lineRule="auto"/>
        <w:rPr>
          <w:sz w:val="20"/>
          <w:szCs w:val="20"/>
          <w:color w:val="auto"/>
        </w:rPr>
      </w:pPr>
      <w:r>
        <w:rPr>
          <w:rFonts w:ascii="Calibri" w:cs="Calibri" w:eastAsia="Calibri" w:hAnsi="Calibri"/>
          <w:sz w:val="18"/>
          <w:szCs w:val="18"/>
          <w:color w:val="666666"/>
        </w:rPr>
        <w:t>Name: Jacob D. Bernstein</w:t>
      </w:r>
    </w:p>
    <w:p>
      <w:pPr>
        <w:ind w:left="4300"/>
        <w:spacing w:after="0" w:line="217" w:lineRule="auto"/>
        <w:rPr>
          <w:sz w:val="20"/>
          <w:szCs w:val="20"/>
          <w:color w:val="auto"/>
        </w:rPr>
      </w:pPr>
      <w:r>
        <w:rPr>
          <w:rFonts w:ascii="Calibri" w:cs="Calibri" w:eastAsia="Calibri" w:hAnsi="Calibri"/>
          <w:sz w:val="18"/>
          <w:szCs w:val="18"/>
          <w:color w:val="666666"/>
        </w:rPr>
        <w:t>Title: Deputy General Counsel and Secretary</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666666"/>
        </w:rPr>
        <w:t>B - 1</w:t>
      </w:r>
    </w:p>
    <w:p>
      <w:pPr>
        <w:sectPr>
          <w:pgSz w:w="11900" w:h="16838" w:orient="portrait"/>
          <w:cols w:equalWidth="0" w:num="1">
            <w:col w:w="11220"/>
          </w:cols>
          <w:pgMar w:left="320" w:top="118" w:right="35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Calibri" w:cs="Calibri" w:eastAsia="Calibri" w:hAnsi="Calibri"/>
          <w:sz w:val="21"/>
          <w:szCs w:val="21"/>
          <w:b w:val="1"/>
          <w:bCs w:val="1"/>
          <w:color w:val="auto"/>
        </w:rPr>
        <w:t>EXHIBIT A</w:t>
      </w:r>
    </w:p>
    <w:p>
      <w:pPr>
        <w:jc w:val="center"/>
        <w:spacing w:after="0" w:line="223" w:lineRule="auto"/>
        <w:rPr>
          <w:sz w:val="20"/>
          <w:szCs w:val="20"/>
          <w:color w:val="auto"/>
        </w:rPr>
      </w:pPr>
      <w:r>
        <w:rPr>
          <w:rFonts w:ascii="Calibri" w:cs="Calibri" w:eastAsia="Calibri" w:hAnsi="Calibri"/>
          <w:sz w:val="21"/>
          <w:szCs w:val="21"/>
          <w:b w:val="1"/>
          <w:bCs w:val="1"/>
          <w:color w:val="auto"/>
        </w:rPr>
        <w:t>SIXTH AMENDED AND RESTATED</w:t>
      </w:r>
    </w:p>
    <w:p>
      <w:pPr>
        <w:jc w:val="center"/>
        <w:spacing w:after="0" w:line="237" w:lineRule="auto"/>
        <w:rPr>
          <w:sz w:val="20"/>
          <w:szCs w:val="20"/>
          <w:color w:val="auto"/>
        </w:rPr>
      </w:pPr>
      <w:r>
        <w:rPr>
          <w:rFonts w:ascii="Calibri" w:cs="Calibri" w:eastAsia="Calibri" w:hAnsi="Calibri"/>
          <w:sz w:val="21"/>
          <w:szCs w:val="21"/>
          <w:b w:val="1"/>
          <w:bCs w:val="1"/>
          <w:color w:val="auto"/>
        </w:rPr>
        <w:t>CERTIFICATE OF INCORPORATION</w:t>
      </w:r>
    </w:p>
    <w:p>
      <w:pPr>
        <w:jc w:val="center"/>
        <w:spacing w:after="0" w:line="236" w:lineRule="auto"/>
        <w:rPr>
          <w:sz w:val="20"/>
          <w:szCs w:val="20"/>
          <w:color w:val="auto"/>
        </w:rPr>
      </w:pPr>
      <w:r>
        <w:rPr>
          <w:rFonts w:ascii="Calibri" w:cs="Calibri" w:eastAsia="Calibri" w:hAnsi="Calibri"/>
          <w:sz w:val="21"/>
          <w:szCs w:val="21"/>
          <w:b w:val="1"/>
          <w:bCs w:val="1"/>
          <w:color w:val="auto"/>
        </w:rPr>
        <w:t>OF</w:t>
      </w:r>
    </w:p>
    <w:p>
      <w:pPr>
        <w:jc w:val="center"/>
        <w:spacing w:after="0" w:line="236" w:lineRule="auto"/>
        <w:rPr>
          <w:sz w:val="20"/>
          <w:szCs w:val="20"/>
          <w:color w:val="auto"/>
        </w:rPr>
      </w:pPr>
      <w:r>
        <w:rPr>
          <w:rFonts w:ascii="Calibri" w:cs="Calibri" w:eastAsia="Calibri" w:hAnsi="Calibri"/>
          <w:sz w:val="21"/>
          <w:szCs w:val="21"/>
          <w:b w:val="1"/>
          <w:bCs w:val="1"/>
          <w:color w:val="auto"/>
        </w:rPr>
        <w:t>BOOZ ALLEN HAMILTON HOLDING CORPORATION</w:t>
      </w:r>
    </w:p>
    <w:p>
      <w:pPr>
        <w:spacing w:after="0" w:line="277" w:lineRule="exact"/>
        <w:rPr>
          <w:sz w:val="20"/>
          <w:szCs w:val="20"/>
          <w:color w:val="auto"/>
        </w:rPr>
      </w:pPr>
    </w:p>
    <w:p>
      <w:pPr>
        <w:ind w:left="640"/>
        <w:spacing w:after="0"/>
        <w:rPr>
          <w:sz w:val="20"/>
          <w:szCs w:val="20"/>
          <w:color w:val="auto"/>
        </w:rPr>
      </w:pPr>
      <w:r>
        <w:rPr>
          <w:rFonts w:ascii="Calibri" w:cs="Calibri" w:eastAsia="Calibri" w:hAnsi="Calibri"/>
          <w:sz w:val="18"/>
          <w:szCs w:val="18"/>
          <w:u w:val="single" w:color="auto"/>
          <w:color w:val="666666"/>
        </w:rPr>
        <w:t>FIRST.</w:t>
      </w:r>
      <w:r>
        <w:rPr>
          <w:rFonts w:ascii="Calibri" w:cs="Calibri" w:eastAsia="Calibri" w:hAnsi="Calibri"/>
          <w:sz w:val="18"/>
          <w:szCs w:val="18"/>
          <w:color w:val="666666"/>
        </w:rPr>
        <w:t xml:space="preserve"> </w:t>
      </w:r>
      <w:r>
        <w:rPr>
          <w:rFonts w:ascii="Calibri" w:cs="Calibri" w:eastAsia="Calibri" w:hAnsi="Calibri"/>
          <w:sz w:val="18"/>
          <w:szCs w:val="18"/>
          <w:i w:val="1"/>
          <w:iCs w:val="1"/>
          <w:color w:val="666666"/>
        </w:rPr>
        <w:t>Name.</w:t>
      </w:r>
      <w:r>
        <w:rPr>
          <w:rFonts w:ascii="Calibri" w:cs="Calibri" w:eastAsia="Calibri" w:hAnsi="Calibri"/>
          <w:sz w:val="18"/>
          <w:szCs w:val="18"/>
          <w:color w:val="666666"/>
        </w:rPr>
        <w:t xml:space="preserve"> The name of the Corporaton is Booz Allen Hamilton Holding Corporaton (the “</w:t>
      </w:r>
      <w:r>
        <w:rPr>
          <w:rFonts w:ascii="Calibri" w:cs="Calibri" w:eastAsia="Calibri" w:hAnsi="Calibri"/>
          <w:sz w:val="18"/>
          <w:szCs w:val="18"/>
          <w:u w:val="single" w:color="auto"/>
          <w:color w:val="666666"/>
        </w:rPr>
        <w:t>Corporaton</w:t>
      </w:r>
      <w:r>
        <w:rPr>
          <w:rFonts w:ascii="Calibri" w:cs="Calibri" w:eastAsia="Calibri" w:hAnsi="Calibri"/>
          <w:sz w:val="18"/>
          <w:szCs w:val="18"/>
          <w:color w:val="666666"/>
        </w:rPr>
        <w:t>”).</w:t>
      </w:r>
    </w:p>
    <w:p>
      <w:pPr>
        <w:spacing w:after="0" w:line="227" w:lineRule="exact"/>
        <w:rPr>
          <w:sz w:val="20"/>
          <w:szCs w:val="20"/>
          <w:color w:val="auto"/>
        </w:rPr>
      </w:pPr>
    </w:p>
    <w:p>
      <w:pPr>
        <w:ind w:firstLine="638"/>
        <w:spacing w:after="0" w:line="223" w:lineRule="auto"/>
        <w:rPr>
          <w:sz w:val="20"/>
          <w:szCs w:val="20"/>
          <w:color w:val="auto"/>
        </w:rPr>
      </w:pPr>
      <w:r>
        <w:rPr>
          <w:rFonts w:ascii="Calibri" w:cs="Calibri" w:eastAsia="Calibri" w:hAnsi="Calibri"/>
          <w:sz w:val="18"/>
          <w:szCs w:val="18"/>
          <w:u w:val="single" w:color="auto"/>
          <w:color w:val="666666"/>
        </w:rPr>
        <w:t>SECOND.</w:t>
      </w:r>
      <w:r>
        <w:rPr>
          <w:rFonts w:ascii="Calibri" w:cs="Calibri" w:eastAsia="Calibri" w:hAnsi="Calibri"/>
          <w:sz w:val="18"/>
          <w:szCs w:val="18"/>
          <w:color w:val="666666"/>
        </w:rPr>
        <w:t xml:space="preserve"> </w:t>
      </w:r>
      <w:r>
        <w:rPr>
          <w:rFonts w:ascii="Calibri" w:cs="Calibri" w:eastAsia="Calibri" w:hAnsi="Calibri"/>
          <w:sz w:val="18"/>
          <w:szCs w:val="18"/>
          <w:i w:val="1"/>
          <w:iCs w:val="1"/>
          <w:color w:val="666666"/>
        </w:rPr>
        <w:t>Registered Ofce.</w:t>
      </w:r>
      <w:r>
        <w:rPr>
          <w:rFonts w:ascii="Calibri" w:cs="Calibri" w:eastAsia="Calibri" w:hAnsi="Calibri"/>
          <w:sz w:val="18"/>
          <w:szCs w:val="18"/>
          <w:color w:val="666666"/>
        </w:rPr>
        <w:t xml:space="preserve"> The Corporaton’s registered ofce in the State of Delaware is located at Corporaton Trust Center, 1209 Orange Street in the City of Wilmington, County of New Castle 19801. The name of its registered agent at such address is The Corporaton Trust Company.</w:t>
      </w:r>
    </w:p>
    <w:p>
      <w:pPr>
        <w:spacing w:after="0" w:line="229" w:lineRule="exact"/>
        <w:rPr>
          <w:sz w:val="20"/>
          <w:szCs w:val="20"/>
          <w:color w:val="auto"/>
        </w:rPr>
      </w:pPr>
    </w:p>
    <w:p>
      <w:pPr>
        <w:ind w:right="220" w:firstLine="638"/>
        <w:spacing w:after="0" w:line="223" w:lineRule="auto"/>
        <w:rPr>
          <w:sz w:val="20"/>
          <w:szCs w:val="20"/>
          <w:color w:val="auto"/>
        </w:rPr>
      </w:pPr>
      <w:r>
        <w:rPr>
          <w:rFonts w:ascii="Calibri" w:cs="Calibri" w:eastAsia="Calibri" w:hAnsi="Calibri"/>
          <w:sz w:val="18"/>
          <w:szCs w:val="18"/>
          <w:u w:val="single" w:color="auto"/>
          <w:color w:val="666666"/>
        </w:rPr>
        <w:t>THIRD.</w:t>
      </w:r>
      <w:r>
        <w:rPr>
          <w:rFonts w:ascii="Calibri" w:cs="Calibri" w:eastAsia="Calibri" w:hAnsi="Calibri"/>
          <w:sz w:val="18"/>
          <w:szCs w:val="18"/>
          <w:color w:val="666666"/>
        </w:rPr>
        <w:t xml:space="preserve"> </w:t>
      </w:r>
      <w:r>
        <w:rPr>
          <w:rFonts w:ascii="Calibri" w:cs="Calibri" w:eastAsia="Calibri" w:hAnsi="Calibri"/>
          <w:sz w:val="18"/>
          <w:szCs w:val="18"/>
          <w:i w:val="1"/>
          <w:iCs w:val="1"/>
          <w:color w:val="666666"/>
        </w:rPr>
        <w:t>Purpose</w:t>
      </w:r>
      <w:r>
        <w:rPr>
          <w:rFonts w:ascii="Calibri" w:cs="Calibri" w:eastAsia="Calibri" w:hAnsi="Calibri"/>
          <w:sz w:val="18"/>
          <w:szCs w:val="18"/>
          <w:color w:val="666666"/>
        </w:rPr>
        <w:t>. The purpose of the Corporaton is to engage in any lawful act or actvity for which corporatons may be organized under the General Corporaton Law of the State of Delaware.</w:t>
      </w:r>
    </w:p>
    <w:p>
      <w:pPr>
        <w:spacing w:after="0" w:line="229" w:lineRule="exact"/>
        <w:rPr>
          <w:sz w:val="20"/>
          <w:szCs w:val="20"/>
          <w:color w:val="auto"/>
        </w:rPr>
      </w:pPr>
    </w:p>
    <w:p>
      <w:pPr>
        <w:ind w:left="640"/>
        <w:spacing w:after="0"/>
        <w:rPr>
          <w:sz w:val="20"/>
          <w:szCs w:val="20"/>
          <w:color w:val="auto"/>
        </w:rPr>
      </w:pPr>
      <w:r>
        <w:rPr>
          <w:rFonts w:ascii="Calibri" w:cs="Calibri" w:eastAsia="Calibri" w:hAnsi="Calibri"/>
          <w:sz w:val="17"/>
          <w:szCs w:val="17"/>
          <w:u w:val="single" w:color="auto"/>
          <w:color w:val="666666"/>
        </w:rPr>
        <w:t>FOURTH.</w:t>
      </w:r>
      <w:r>
        <w:rPr>
          <w:rFonts w:ascii="Calibri" w:cs="Calibri" w:eastAsia="Calibri" w:hAnsi="Calibri"/>
          <w:sz w:val="17"/>
          <w:szCs w:val="17"/>
          <w:color w:val="666666"/>
        </w:rPr>
        <w:t xml:space="preserve"> </w:t>
      </w:r>
      <w:r>
        <w:rPr>
          <w:rFonts w:ascii="Calibri" w:cs="Calibri" w:eastAsia="Calibri" w:hAnsi="Calibri"/>
          <w:sz w:val="17"/>
          <w:szCs w:val="17"/>
          <w:i w:val="1"/>
          <w:iCs w:val="1"/>
          <w:color w:val="666666"/>
        </w:rPr>
        <w:t>Capital Stock.</w:t>
      </w:r>
      <w:r>
        <w:rPr>
          <w:rFonts w:ascii="Calibri" w:cs="Calibri" w:eastAsia="Calibri" w:hAnsi="Calibri"/>
          <w:sz w:val="17"/>
          <w:szCs w:val="17"/>
          <w:color w:val="666666"/>
        </w:rPr>
        <w:t xml:space="preserve"> The total number of shares of capital stock which the Corporaton shall have authority to issue is 654,000,000, consistng of:</w:t>
      </w:r>
    </w:p>
    <w:p>
      <w:pPr>
        <w:spacing w:after="0" w:line="222" w:lineRule="exact"/>
        <w:rPr>
          <w:sz w:val="20"/>
          <w:szCs w:val="20"/>
          <w:color w:val="auto"/>
        </w:rPr>
      </w:pPr>
    </w:p>
    <w:p>
      <w:pPr>
        <w:ind w:left="1280" w:hanging="318"/>
        <w:spacing w:after="0"/>
        <w:tabs>
          <w:tab w:leader="none" w:pos="1280" w:val="left"/>
        </w:tabs>
        <w:numPr>
          <w:ilvl w:val="0"/>
          <w:numId w:val="69"/>
        </w:numPr>
        <w:rPr>
          <w:rFonts w:ascii="Calibri" w:cs="Calibri" w:eastAsia="Calibri" w:hAnsi="Calibri"/>
          <w:sz w:val="18"/>
          <w:szCs w:val="18"/>
          <w:color w:val="666666"/>
        </w:rPr>
      </w:pPr>
      <w:r>
        <w:rPr>
          <w:rFonts w:ascii="Calibri" w:cs="Calibri" w:eastAsia="Calibri" w:hAnsi="Calibri"/>
          <w:sz w:val="18"/>
          <w:szCs w:val="18"/>
          <w:color w:val="666666"/>
        </w:rPr>
        <w:t>600,000,000 shares of Class A Common Stock, par value $0.01 per share; and</w:t>
      </w:r>
    </w:p>
    <w:p>
      <w:pPr>
        <w:spacing w:after="0" w:line="218" w:lineRule="exact"/>
        <w:rPr>
          <w:rFonts w:ascii="Calibri" w:cs="Calibri" w:eastAsia="Calibri" w:hAnsi="Calibri"/>
          <w:sz w:val="18"/>
          <w:szCs w:val="18"/>
          <w:color w:val="666666"/>
        </w:rPr>
      </w:pPr>
    </w:p>
    <w:p>
      <w:pPr>
        <w:ind w:left="1260" w:hanging="298"/>
        <w:spacing w:after="0"/>
        <w:tabs>
          <w:tab w:leader="none" w:pos="1260" w:val="left"/>
        </w:tabs>
        <w:numPr>
          <w:ilvl w:val="0"/>
          <w:numId w:val="69"/>
        </w:numPr>
        <w:rPr>
          <w:rFonts w:ascii="Calibri" w:cs="Calibri" w:eastAsia="Calibri" w:hAnsi="Calibri"/>
          <w:sz w:val="18"/>
          <w:szCs w:val="18"/>
          <w:color w:val="666666"/>
        </w:rPr>
      </w:pPr>
      <w:r>
        <w:rPr>
          <w:rFonts w:ascii="Calibri" w:cs="Calibri" w:eastAsia="Calibri" w:hAnsi="Calibri"/>
          <w:sz w:val="18"/>
          <w:szCs w:val="18"/>
          <w:color w:val="666666"/>
        </w:rPr>
        <w:t>54,000,000 shares of Preferred Stock, par value $0.01 per share.</w:t>
      </w:r>
    </w:p>
    <w:p>
      <w:pPr>
        <w:spacing w:after="0" w:line="227" w:lineRule="exact"/>
        <w:rPr>
          <w:sz w:val="20"/>
          <w:szCs w:val="20"/>
          <w:color w:val="auto"/>
        </w:rPr>
      </w:pPr>
    </w:p>
    <w:p>
      <w:pPr>
        <w:ind w:right="800"/>
        <w:spacing w:after="0" w:line="223" w:lineRule="auto"/>
        <w:rPr>
          <w:sz w:val="20"/>
          <w:szCs w:val="20"/>
          <w:color w:val="auto"/>
        </w:rPr>
      </w:pPr>
      <w:r>
        <w:rPr>
          <w:rFonts w:ascii="Calibri" w:cs="Calibri" w:eastAsia="Calibri" w:hAnsi="Calibri"/>
          <w:sz w:val="18"/>
          <w:szCs w:val="18"/>
          <w:color w:val="666666"/>
        </w:rPr>
        <w:t>The stock described in subparagraph (a) above is hereinafer referred to as the “</w:t>
      </w:r>
      <w:r>
        <w:rPr>
          <w:rFonts w:ascii="Calibri" w:cs="Calibri" w:eastAsia="Calibri" w:hAnsi="Calibri"/>
          <w:sz w:val="18"/>
          <w:szCs w:val="18"/>
          <w:u w:val="single" w:color="auto"/>
          <w:color w:val="666666"/>
        </w:rPr>
        <w:t>Common Stock</w:t>
      </w:r>
      <w:r>
        <w:rPr>
          <w:rFonts w:ascii="Calibri" w:cs="Calibri" w:eastAsia="Calibri" w:hAnsi="Calibri"/>
          <w:sz w:val="18"/>
          <w:szCs w:val="18"/>
          <w:color w:val="666666"/>
        </w:rPr>
        <w:t>” and the stock described in subparagraph (b) above is hereinafer referred to as the “</w:t>
      </w:r>
      <w:r>
        <w:rPr>
          <w:rFonts w:ascii="Calibri" w:cs="Calibri" w:eastAsia="Calibri" w:hAnsi="Calibri"/>
          <w:sz w:val="18"/>
          <w:szCs w:val="18"/>
          <w:u w:val="single" w:color="auto"/>
          <w:color w:val="666666"/>
        </w:rPr>
        <w:t>Preferred Stock</w:t>
      </w:r>
      <w:r>
        <w:rPr>
          <w:rFonts w:ascii="Calibri" w:cs="Calibri" w:eastAsia="Calibri" w:hAnsi="Calibri"/>
          <w:sz w:val="18"/>
          <w:szCs w:val="18"/>
          <w:color w:val="666666"/>
        </w:rPr>
        <w:t>”.</w:t>
      </w:r>
    </w:p>
    <w:p>
      <w:pPr>
        <w:spacing w:after="0" w:line="220" w:lineRule="exact"/>
        <w:rPr>
          <w:sz w:val="20"/>
          <w:szCs w:val="20"/>
          <w:color w:val="auto"/>
        </w:rPr>
      </w:pPr>
    </w:p>
    <w:p>
      <w:pPr>
        <w:ind w:left="640"/>
        <w:spacing w:after="0"/>
        <w:rPr>
          <w:sz w:val="20"/>
          <w:szCs w:val="20"/>
          <w:color w:val="auto"/>
        </w:rPr>
      </w:pPr>
      <w:r>
        <w:rPr>
          <w:rFonts w:ascii="Calibri" w:cs="Calibri" w:eastAsia="Calibri" w:hAnsi="Calibri"/>
          <w:sz w:val="18"/>
          <w:szCs w:val="18"/>
          <w:u w:val="single" w:color="auto"/>
          <w:color w:val="666666"/>
        </w:rPr>
        <w:t>FIFTH.</w:t>
      </w:r>
      <w:r>
        <w:rPr>
          <w:rFonts w:ascii="Calibri" w:cs="Calibri" w:eastAsia="Calibri" w:hAnsi="Calibri"/>
          <w:sz w:val="18"/>
          <w:szCs w:val="18"/>
          <w:color w:val="666666"/>
        </w:rPr>
        <w:t xml:space="preserve"> </w:t>
      </w:r>
      <w:r>
        <w:rPr>
          <w:rFonts w:ascii="Calibri" w:cs="Calibri" w:eastAsia="Calibri" w:hAnsi="Calibri"/>
          <w:sz w:val="18"/>
          <w:szCs w:val="18"/>
          <w:i w:val="1"/>
          <w:iCs w:val="1"/>
          <w:color w:val="666666"/>
        </w:rPr>
        <w:t>Common Stock</w:t>
      </w:r>
      <w:r>
        <w:rPr>
          <w:rFonts w:ascii="Calibri" w:cs="Calibri" w:eastAsia="Calibri" w:hAnsi="Calibri"/>
          <w:sz w:val="18"/>
          <w:szCs w:val="18"/>
          <w:color w:val="666666"/>
        </w:rPr>
        <w:t>. The Common Stock shall have the following rights, powers and preferences:</w:t>
      </w:r>
    </w:p>
    <w:p>
      <w:pPr>
        <w:spacing w:after="0" w:line="227" w:lineRule="exact"/>
        <w:rPr>
          <w:sz w:val="20"/>
          <w:szCs w:val="20"/>
          <w:color w:val="auto"/>
        </w:rPr>
      </w:pPr>
    </w:p>
    <w:p>
      <w:pPr>
        <w:jc w:val="both"/>
        <w:ind w:left="640" w:right="120" w:firstLine="322"/>
        <w:spacing w:after="0" w:line="217" w:lineRule="auto"/>
        <w:tabs>
          <w:tab w:leader="none" w:pos="1271" w:val="left"/>
        </w:tabs>
        <w:numPr>
          <w:ilvl w:val="0"/>
          <w:numId w:val="70"/>
        </w:numPr>
        <w:rPr>
          <w:rFonts w:ascii="Calibri" w:cs="Calibri" w:eastAsia="Calibri" w:hAnsi="Calibri"/>
          <w:sz w:val="18"/>
          <w:szCs w:val="18"/>
          <w:color w:val="666666"/>
        </w:rPr>
      </w:pPr>
      <w:r>
        <w:rPr>
          <w:rFonts w:ascii="Calibri" w:cs="Calibri" w:eastAsia="Calibri" w:hAnsi="Calibri"/>
          <w:sz w:val="18"/>
          <w:szCs w:val="18"/>
          <w:u w:val="single" w:color="auto"/>
          <w:color w:val="666666"/>
        </w:rPr>
        <w:t>Votng Rights of Common Stock.</w:t>
      </w:r>
      <w:r>
        <w:rPr>
          <w:rFonts w:ascii="Calibri" w:cs="Calibri" w:eastAsia="Calibri" w:hAnsi="Calibri"/>
          <w:sz w:val="18"/>
          <w:szCs w:val="18"/>
          <w:color w:val="666666"/>
        </w:rPr>
        <w:t xml:space="preserve"> Except as otherwise provided by (i) the General Corporaton Law of the State of Delaware, or (ii) Artcle Sixth or any resoluton of the Board of Directors fxing the relatve powers (including votng powers, if any), preferences and rights of any series of Preferred Stock, and the qualifcatons, limitatons or restrictons thereof, the entre votng power of the shares of the Corporaton for the electon of directors and for all other purposes shall be vested exclusively in the Common Stock.</w:t>
      </w:r>
    </w:p>
    <w:p>
      <w:pPr>
        <w:spacing w:after="0" w:line="227" w:lineRule="exact"/>
        <w:rPr>
          <w:rFonts w:ascii="Calibri" w:cs="Calibri" w:eastAsia="Calibri" w:hAnsi="Calibri"/>
          <w:sz w:val="18"/>
          <w:szCs w:val="18"/>
          <w:color w:val="666666"/>
        </w:rPr>
      </w:pPr>
    </w:p>
    <w:p>
      <w:pPr>
        <w:ind w:left="640" w:firstLine="322"/>
        <w:spacing w:after="0" w:line="217" w:lineRule="auto"/>
        <w:tabs>
          <w:tab w:leader="none" w:pos="1266" w:val="left"/>
        </w:tabs>
        <w:numPr>
          <w:ilvl w:val="0"/>
          <w:numId w:val="70"/>
        </w:numPr>
        <w:rPr>
          <w:rFonts w:ascii="Calibri" w:cs="Calibri" w:eastAsia="Calibri" w:hAnsi="Calibri"/>
          <w:sz w:val="18"/>
          <w:szCs w:val="18"/>
          <w:color w:val="666666"/>
        </w:rPr>
      </w:pPr>
      <w:r>
        <w:rPr>
          <w:rFonts w:ascii="Calibri" w:cs="Calibri" w:eastAsia="Calibri" w:hAnsi="Calibri"/>
          <w:sz w:val="18"/>
          <w:szCs w:val="18"/>
          <w:u w:val="single" w:color="auto"/>
          <w:color w:val="666666"/>
        </w:rPr>
        <w:t>Dividend and Liquidaton Rights of Common Stock</w:t>
      </w:r>
      <w:r>
        <w:rPr>
          <w:rFonts w:ascii="Calibri" w:cs="Calibri" w:eastAsia="Calibri" w:hAnsi="Calibri"/>
          <w:sz w:val="18"/>
          <w:szCs w:val="18"/>
          <w:color w:val="666666"/>
        </w:rPr>
        <w:t>. Except as otherwise provided by (x) the General Corporaton Law of the State of Delaware, or (y) Artcle Sixth or any resoluton of the Board of Directors fxing the relatve powers (including votng powers, if any), preferences and rights of any series of Preferred Stock, and the qualifcatons, limitatons or restrictons thereof, (i) each share of Common Stock shall be enttled to partcipate equally in all dividends or other distributons declared on and payable with respect to the Common Stock, (ii) each share of Common Stock shall be enttled to share ratably, in proporton to its par value, untl such tme as there shall have been distributed an amount equal to each share’s par value, in the distributon of assets of the Corporaton in the event of any voluntary or involuntary liquidaton, dissoluton or winding up of the afairs of the Corporaton, or upon any distributon of all or substantally all of the assets of the Corporaton, and (iii) each share of Common Stock shall be enttled to share equally in the distributon of assets of the Corporaton remaining afer the distributon described in clause (ii) above in the event of any voluntary or involuntary liquidaton, dissoluton or winding up of the afairs of the Corporaton, or upon any distributon of all or substantally all of the assets of the Corporaton. Upon any merger, recapitalizaton or like transacton, each share of Common Stock shall receive either the same consideraton as each other such share.</w:t>
      </w:r>
    </w:p>
    <w:p>
      <w:pPr>
        <w:spacing w:after="0" w:line="232" w:lineRule="exact"/>
        <w:rPr>
          <w:sz w:val="20"/>
          <w:szCs w:val="20"/>
          <w:color w:val="auto"/>
        </w:rPr>
      </w:pPr>
    </w:p>
    <w:p>
      <w:pPr>
        <w:ind w:right="200" w:firstLine="638"/>
        <w:spacing w:after="0" w:line="219" w:lineRule="auto"/>
        <w:rPr>
          <w:sz w:val="20"/>
          <w:szCs w:val="20"/>
          <w:color w:val="auto"/>
        </w:rPr>
      </w:pPr>
      <w:r>
        <w:rPr>
          <w:rFonts w:ascii="Calibri" w:cs="Calibri" w:eastAsia="Calibri" w:hAnsi="Calibri"/>
          <w:sz w:val="18"/>
          <w:szCs w:val="18"/>
          <w:u w:val="single" w:color="auto"/>
          <w:color w:val="666666"/>
        </w:rPr>
        <w:t>SIXTH.</w:t>
      </w:r>
      <w:r>
        <w:rPr>
          <w:rFonts w:ascii="Calibri" w:cs="Calibri" w:eastAsia="Calibri" w:hAnsi="Calibri"/>
          <w:sz w:val="18"/>
          <w:szCs w:val="18"/>
          <w:color w:val="666666"/>
        </w:rPr>
        <w:t xml:space="preserve"> </w:t>
      </w:r>
      <w:r>
        <w:rPr>
          <w:rFonts w:ascii="Calibri" w:cs="Calibri" w:eastAsia="Calibri" w:hAnsi="Calibri"/>
          <w:sz w:val="18"/>
          <w:szCs w:val="18"/>
          <w:i w:val="1"/>
          <w:iCs w:val="1"/>
          <w:color w:val="666666"/>
        </w:rPr>
        <w:t>Preferred Stock.</w:t>
      </w:r>
      <w:r>
        <w:rPr>
          <w:rFonts w:ascii="Calibri" w:cs="Calibri" w:eastAsia="Calibri" w:hAnsi="Calibri"/>
          <w:sz w:val="18"/>
          <w:szCs w:val="18"/>
          <w:color w:val="666666"/>
        </w:rPr>
        <w:t xml:space="preserve"> The Preferred Stock may be issued, from tme to tme, in one or more series as authorized by the Board of Directors. Prior to issuance of a series of Preferred Stock, the Board of Directors by resoluton shall designate that series to distnguish it from other series and classes of stock of the Corporaton, shall specify the number of shares to be included in the series, and shall fx the votng powers (full, limited or no votng powers) and the designatons, preferences and relatve partcipatng, optonal or other special rights of that series, and the qualifcatons limitatons or restrictons thereof, including, without limitaton any dividend rights and redempton, sinking fund and conversion rights. Subject to the express terms of any other series of Preferred Stock outstanding at the tme, the Board of Directors may increase or decrease the number of shares or alter the designaton or classify or reclassify any unissued shares of a partcular series of Preferred Stock by fxing or altering in any one or more respects from tme to tme before issuing the shares any terms, rights, restrictons and qualifcatons of the shares.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B - 2</w:t>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384" w:lineRule="exact"/>
        <w:rPr>
          <w:sz w:val="20"/>
          <w:szCs w:val="20"/>
          <w:color w:val="auto"/>
        </w:rPr>
      </w:pPr>
    </w:p>
    <w:p>
      <w:pPr>
        <w:ind w:right="100" w:firstLine="638"/>
        <w:spacing w:after="0" w:line="223" w:lineRule="auto"/>
        <w:rPr>
          <w:sz w:val="20"/>
          <w:szCs w:val="20"/>
          <w:color w:val="auto"/>
        </w:rPr>
      </w:pPr>
      <w:r>
        <w:rPr>
          <w:rFonts w:ascii="Calibri" w:cs="Calibri" w:eastAsia="Calibri" w:hAnsi="Calibri"/>
          <w:sz w:val="18"/>
          <w:szCs w:val="18"/>
          <w:u w:val="single" w:color="auto"/>
          <w:color w:val="666666"/>
        </w:rPr>
        <w:t>SEVENTH.</w:t>
      </w:r>
      <w:r>
        <w:rPr>
          <w:rFonts w:ascii="Calibri" w:cs="Calibri" w:eastAsia="Calibri" w:hAnsi="Calibri"/>
          <w:sz w:val="18"/>
          <w:szCs w:val="18"/>
          <w:color w:val="666666"/>
        </w:rPr>
        <w:t xml:space="preserve"> </w:t>
      </w:r>
      <w:r>
        <w:rPr>
          <w:rFonts w:ascii="Calibri" w:cs="Calibri" w:eastAsia="Calibri" w:hAnsi="Calibri"/>
          <w:sz w:val="18"/>
          <w:szCs w:val="18"/>
          <w:i w:val="1"/>
          <w:iCs w:val="1"/>
          <w:color w:val="666666"/>
        </w:rPr>
        <w:t>Management of Corporaton</w:t>
      </w:r>
      <w:r>
        <w:rPr>
          <w:rFonts w:ascii="Calibri" w:cs="Calibri" w:eastAsia="Calibri" w:hAnsi="Calibri"/>
          <w:sz w:val="18"/>
          <w:szCs w:val="18"/>
          <w:color w:val="666666"/>
        </w:rPr>
        <w:t>. The following provisions are inserted for the management of the business and for the conduct of the afairs of the Corporaton and for the purpose of creatng, defning, limitng and regulatng the powers of the Corporaton and its directors and stockholders:</w:t>
      </w:r>
    </w:p>
    <w:p>
      <w:pPr>
        <w:spacing w:after="0" w:line="229" w:lineRule="exact"/>
        <w:rPr>
          <w:sz w:val="20"/>
          <w:szCs w:val="20"/>
          <w:color w:val="auto"/>
        </w:rPr>
      </w:pPr>
    </w:p>
    <w:p>
      <w:pPr>
        <w:jc w:val="both"/>
        <w:ind w:left="640" w:firstLine="322"/>
        <w:spacing w:after="0" w:line="233" w:lineRule="auto"/>
        <w:tabs>
          <w:tab w:leader="none" w:pos="1271" w:val="left"/>
        </w:tabs>
        <w:numPr>
          <w:ilvl w:val="0"/>
          <w:numId w:val="71"/>
        </w:numPr>
        <w:rPr>
          <w:rFonts w:ascii="Calibri" w:cs="Calibri" w:eastAsia="Calibri" w:hAnsi="Calibri"/>
          <w:sz w:val="17"/>
          <w:szCs w:val="17"/>
          <w:color w:val="666666"/>
        </w:rPr>
      </w:pPr>
      <w:r>
        <w:rPr>
          <w:rFonts w:ascii="Calibri" w:cs="Calibri" w:eastAsia="Calibri" w:hAnsi="Calibri"/>
          <w:sz w:val="17"/>
          <w:szCs w:val="17"/>
          <w:color w:val="666666"/>
        </w:rPr>
        <w:t>Prior to the annual meetng of the stockholders to be held in 2023, each director elected to the Board of Directors shall serve the remainder of the term for which such director was elected, such that: (i) each director elected at the annual meetng of stockholders held in 2020 shall be elected for a term expiring at the annual meetng of stockholders to be held in 2023; (ii) each director whose term expires at the annual meetng of stockholders to be held in 2021 shall be elected for a term expiring at the annual meetng of stockholders to be held in 2022; and (iii) each director whose term expires at the annual meetng of stockholders to be held in 2022 shall be elected for a term expiring at the annual meetng of stockholders to be held in 2023.</w:t>
      </w:r>
    </w:p>
    <w:p>
      <w:pPr>
        <w:ind w:left="640" w:right="20"/>
        <w:spacing w:after="0" w:line="213" w:lineRule="auto"/>
        <w:rPr>
          <w:rFonts w:ascii="Calibri" w:cs="Calibri" w:eastAsia="Calibri" w:hAnsi="Calibri"/>
          <w:sz w:val="17"/>
          <w:szCs w:val="17"/>
          <w:color w:val="666666"/>
        </w:rPr>
      </w:pPr>
      <w:r>
        <w:rPr>
          <w:rFonts w:ascii="Calibri" w:cs="Calibri" w:eastAsia="Calibri" w:hAnsi="Calibri"/>
          <w:sz w:val="18"/>
          <w:szCs w:val="18"/>
          <w:color w:val="666666"/>
        </w:rPr>
        <w:t>Commencing with the annual meetng of stockholders to be held in 2023, the Board of Directors will no longer be classifed under Secton 141(d) of the General Corporaton Law of the State of Delaware and directors shall be elected for one-year terms expiring at the next succeeding annual meetng of stockholders. Each director shall hold ofce untl his or her term expires and his or her successor is duly elected and qualifed, or untl such director’s earlier death, resignaton, retrement, disqualifcaton or removal.</w:t>
      </w:r>
    </w:p>
    <w:p>
      <w:pPr>
        <w:spacing w:after="0" w:line="231" w:lineRule="exact"/>
        <w:rPr>
          <w:rFonts w:ascii="Calibri" w:cs="Calibri" w:eastAsia="Calibri" w:hAnsi="Calibri"/>
          <w:sz w:val="17"/>
          <w:szCs w:val="17"/>
          <w:color w:val="666666"/>
        </w:rPr>
      </w:pPr>
    </w:p>
    <w:p>
      <w:pPr>
        <w:ind w:left="640" w:right="240" w:firstLine="322"/>
        <w:spacing w:after="0" w:line="223" w:lineRule="auto"/>
        <w:tabs>
          <w:tab w:leader="none" w:pos="1266" w:val="left"/>
        </w:tabs>
        <w:numPr>
          <w:ilvl w:val="0"/>
          <w:numId w:val="71"/>
        </w:numPr>
        <w:rPr>
          <w:rFonts w:ascii="Calibri" w:cs="Calibri" w:eastAsia="Calibri" w:hAnsi="Calibri"/>
          <w:sz w:val="18"/>
          <w:szCs w:val="18"/>
          <w:color w:val="666666"/>
        </w:rPr>
      </w:pPr>
      <w:r>
        <w:rPr>
          <w:rFonts w:ascii="Calibri" w:cs="Calibri" w:eastAsia="Calibri" w:hAnsi="Calibri"/>
          <w:sz w:val="18"/>
          <w:szCs w:val="18"/>
          <w:color w:val="666666"/>
        </w:rPr>
        <w:t>Subject to any special rights of any holders of any class or series of Preferred Stock to elect directors, the precise number of directors of the Corporaton shall be fxed, and may be altered from tme to tme, only by resoluton of the Board of Directors.</w:t>
      </w:r>
    </w:p>
    <w:p>
      <w:pPr>
        <w:spacing w:after="0" w:line="229" w:lineRule="exact"/>
        <w:rPr>
          <w:rFonts w:ascii="Calibri" w:cs="Calibri" w:eastAsia="Calibri" w:hAnsi="Calibri"/>
          <w:sz w:val="18"/>
          <w:szCs w:val="18"/>
          <w:color w:val="666666"/>
        </w:rPr>
      </w:pPr>
    </w:p>
    <w:p>
      <w:pPr>
        <w:ind w:left="640" w:right="240" w:firstLine="322"/>
        <w:spacing w:after="0" w:line="223" w:lineRule="auto"/>
        <w:tabs>
          <w:tab w:leader="none" w:pos="1274" w:val="left"/>
        </w:tabs>
        <w:numPr>
          <w:ilvl w:val="0"/>
          <w:numId w:val="71"/>
        </w:numPr>
        <w:rPr>
          <w:rFonts w:ascii="Calibri" w:cs="Calibri" w:eastAsia="Calibri" w:hAnsi="Calibri"/>
          <w:sz w:val="18"/>
          <w:szCs w:val="18"/>
          <w:color w:val="666666"/>
        </w:rPr>
      </w:pPr>
      <w:r>
        <w:rPr>
          <w:rFonts w:ascii="Calibri" w:cs="Calibri" w:eastAsia="Calibri" w:hAnsi="Calibri"/>
          <w:sz w:val="18"/>
          <w:szCs w:val="18"/>
          <w:color w:val="666666"/>
        </w:rPr>
        <w:t>Subject to this Artcle Seventh, the electon of directors may be conducted in any manner approved by the person presiding at a meetng of the stockholders or the directors, as the case may be, at the tme when the electon is held and need not be by writen ballot.</w:t>
      </w:r>
    </w:p>
    <w:p>
      <w:pPr>
        <w:spacing w:after="0" w:line="229" w:lineRule="exact"/>
        <w:rPr>
          <w:rFonts w:ascii="Calibri" w:cs="Calibri" w:eastAsia="Calibri" w:hAnsi="Calibri"/>
          <w:sz w:val="18"/>
          <w:szCs w:val="18"/>
          <w:color w:val="666666"/>
        </w:rPr>
      </w:pPr>
    </w:p>
    <w:p>
      <w:pPr>
        <w:ind w:left="640" w:right="180" w:firstLine="322"/>
        <w:spacing w:after="0" w:line="217" w:lineRule="auto"/>
        <w:tabs>
          <w:tab w:leader="none" w:pos="1266" w:val="left"/>
        </w:tabs>
        <w:numPr>
          <w:ilvl w:val="0"/>
          <w:numId w:val="71"/>
        </w:numPr>
        <w:rPr>
          <w:rFonts w:ascii="Calibri" w:cs="Calibri" w:eastAsia="Calibri" w:hAnsi="Calibri"/>
          <w:sz w:val="18"/>
          <w:szCs w:val="18"/>
          <w:color w:val="666666"/>
        </w:rPr>
      </w:pPr>
      <w:r>
        <w:rPr>
          <w:rFonts w:ascii="Calibri" w:cs="Calibri" w:eastAsia="Calibri" w:hAnsi="Calibri"/>
          <w:sz w:val="18"/>
          <w:szCs w:val="18"/>
          <w:color w:val="666666"/>
        </w:rPr>
        <w:t>Subject to any rights of the holders of shares of any class or series of Preferred Stock, if any, to elect additonal directors under specifed circumstances, (i) untl the electon of directors at the annual meetng of stockholders to be held in 2023, a director may be removed from ofce only for cause and only by the afrmatve vote of holders of at least a majority of the votes to which all the stockholders of the Corporaton would be enttled to cast in any electon of directors and (ii) thereafer, a director may be removed from ofce at any tme, either for or without cause, by the afrmatve vote of holders of at least a majority of the votes to which all the stockholders of the Corporaton would be enttled to cast in any electon of directors.</w:t>
      </w:r>
    </w:p>
    <w:p>
      <w:pPr>
        <w:spacing w:after="0" w:line="228" w:lineRule="exact"/>
        <w:rPr>
          <w:rFonts w:ascii="Calibri" w:cs="Calibri" w:eastAsia="Calibri" w:hAnsi="Calibri"/>
          <w:sz w:val="18"/>
          <w:szCs w:val="18"/>
          <w:color w:val="666666"/>
        </w:rPr>
      </w:pPr>
    </w:p>
    <w:p>
      <w:pPr>
        <w:ind w:left="640" w:right="40" w:firstLine="322"/>
        <w:spacing w:after="0" w:line="231" w:lineRule="auto"/>
        <w:tabs>
          <w:tab w:leader="none" w:pos="1274" w:val="left"/>
        </w:tabs>
        <w:numPr>
          <w:ilvl w:val="0"/>
          <w:numId w:val="71"/>
        </w:numPr>
        <w:rPr>
          <w:rFonts w:ascii="Calibri" w:cs="Calibri" w:eastAsia="Calibri" w:hAnsi="Calibri"/>
          <w:sz w:val="17"/>
          <w:szCs w:val="17"/>
          <w:color w:val="666666"/>
        </w:rPr>
      </w:pPr>
      <w:r>
        <w:rPr>
          <w:rFonts w:ascii="Calibri" w:cs="Calibri" w:eastAsia="Calibri" w:hAnsi="Calibri"/>
          <w:sz w:val="17"/>
          <w:szCs w:val="17"/>
          <w:color w:val="666666"/>
        </w:rPr>
        <w:t>Subject to any rights of the holders of shares of any class or series of Preferred Stock, if any, to elect additonal directors under specifed circumstances, and except as otherwise provided by law, any vacancy in the Board of Directors that results from an increase in the number of directors, from the death, disability, resignaton, disqualifcaton, removal of any director or from any other cause shall be flled solely by a majority of the total number of directors then in ofce, even if less than a quorum, or by a sole remaining director. Untl the electon of directors at the annual meetng of stockholders to be held in 2023, a director elected to fll a vacancy or a newly created directorship shall hold ofce for the remainder of the term of his or her predecessor or, in the case of a newly created directorship, for the remainder of the term of the class of directors to which he or she is elected and untl his or her successor has been elected and qualifed or untl his or her death, disability, resignaton, disqualifcaton or removal. Thereafer, a director elected to fll a vacancy or a newly created directorship shall hold ofce untl the next succeeding annual meetng of stockholders and untl his or her successor has been elected and qualifed or untl his or her death, disability, resignaton, disqualifcaton or removal.</w:t>
      </w:r>
    </w:p>
    <w:p>
      <w:pPr>
        <w:spacing w:after="0" w:line="234" w:lineRule="exact"/>
        <w:rPr>
          <w:rFonts w:ascii="Calibri" w:cs="Calibri" w:eastAsia="Calibri" w:hAnsi="Calibri"/>
          <w:sz w:val="17"/>
          <w:szCs w:val="17"/>
          <w:color w:val="666666"/>
        </w:rPr>
      </w:pPr>
    </w:p>
    <w:p>
      <w:pPr>
        <w:ind w:left="640" w:right="160" w:firstLine="322"/>
        <w:spacing w:after="0" w:line="223" w:lineRule="auto"/>
        <w:tabs>
          <w:tab w:leader="none" w:pos="1256" w:val="left"/>
        </w:tabs>
        <w:numPr>
          <w:ilvl w:val="0"/>
          <w:numId w:val="71"/>
        </w:numPr>
        <w:rPr>
          <w:rFonts w:ascii="Calibri" w:cs="Calibri" w:eastAsia="Calibri" w:hAnsi="Calibri"/>
          <w:sz w:val="18"/>
          <w:szCs w:val="18"/>
          <w:color w:val="666666"/>
        </w:rPr>
      </w:pPr>
      <w:r>
        <w:rPr>
          <w:rFonts w:ascii="Calibri" w:cs="Calibri" w:eastAsia="Calibri" w:hAnsi="Calibri"/>
          <w:sz w:val="18"/>
          <w:szCs w:val="18"/>
          <w:color w:val="666666"/>
        </w:rPr>
        <w:t>All corporate powers and authority of the Corporaton (except as at the tme otherwise provided by law, by this Sixth Amended and Restated Certfcate of Incorporaton or by the Bylaws of the Corporaton) shall be vested in and exercised by the Board of Directors.</w:t>
      </w:r>
    </w:p>
    <w:p>
      <w:pPr>
        <w:spacing w:after="0" w:line="229" w:lineRule="exact"/>
        <w:rPr>
          <w:rFonts w:ascii="Calibri" w:cs="Calibri" w:eastAsia="Calibri" w:hAnsi="Calibri"/>
          <w:sz w:val="18"/>
          <w:szCs w:val="18"/>
          <w:color w:val="666666"/>
        </w:rPr>
      </w:pPr>
    </w:p>
    <w:p>
      <w:pPr>
        <w:ind w:left="640" w:right="260" w:firstLine="322"/>
        <w:spacing w:after="0" w:line="216" w:lineRule="auto"/>
        <w:tabs>
          <w:tab w:leader="none" w:pos="1269" w:val="left"/>
        </w:tabs>
        <w:numPr>
          <w:ilvl w:val="0"/>
          <w:numId w:val="71"/>
        </w:numPr>
        <w:rPr>
          <w:rFonts w:ascii="Calibri" w:cs="Calibri" w:eastAsia="Calibri" w:hAnsi="Calibri"/>
          <w:sz w:val="18"/>
          <w:szCs w:val="18"/>
          <w:color w:val="666666"/>
        </w:rPr>
      </w:pPr>
      <w:r>
        <w:rPr>
          <w:rFonts w:ascii="Calibri" w:cs="Calibri" w:eastAsia="Calibri" w:hAnsi="Calibri"/>
          <w:sz w:val="18"/>
          <w:szCs w:val="18"/>
          <w:color w:val="666666"/>
        </w:rPr>
        <w:t>The Board of Directors shall have the power without the consent or vote of the stockholders to adopt, amend, alter or repeal the Bylaws of the Corporaton, except to the extent that this Sixth Amended and Restated Certfcate of Incorporaton otherwise provide.</w:t>
      </w:r>
    </w:p>
    <w:p>
      <w:pPr>
        <w:spacing w:after="0" w:line="228" w:lineRule="exact"/>
        <w:rPr>
          <w:rFonts w:ascii="Calibri" w:cs="Calibri" w:eastAsia="Calibri" w:hAnsi="Calibri"/>
          <w:sz w:val="18"/>
          <w:szCs w:val="18"/>
          <w:color w:val="666666"/>
        </w:rPr>
      </w:pPr>
    </w:p>
    <w:p>
      <w:pPr>
        <w:ind w:left="640" w:right="120" w:firstLine="322"/>
        <w:spacing w:after="0" w:line="219" w:lineRule="auto"/>
        <w:tabs>
          <w:tab w:leader="none" w:pos="1266" w:val="left"/>
        </w:tabs>
        <w:numPr>
          <w:ilvl w:val="0"/>
          <w:numId w:val="71"/>
        </w:numPr>
        <w:rPr>
          <w:rFonts w:ascii="Calibri" w:cs="Calibri" w:eastAsia="Calibri" w:hAnsi="Calibri"/>
          <w:sz w:val="18"/>
          <w:szCs w:val="18"/>
          <w:color w:val="666666"/>
        </w:rPr>
      </w:pPr>
      <w:r>
        <w:rPr>
          <w:rFonts w:ascii="Calibri" w:cs="Calibri" w:eastAsia="Calibri" w:hAnsi="Calibri"/>
          <w:sz w:val="18"/>
          <w:szCs w:val="18"/>
          <w:color w:val="666666"/>
        </w:rPr>
        <w:t>No director of the Corporaton shall be liable to the Corporaton or its stockholders for monetary damages for breach of his or her fduciary duty as a director, provided that nothing contained in this Artcle Seventh shall eliminate or limit the liability of a director (i) for any breach of the director’s duty of loyalty to the Corporaton or its stockholders, (ii) for acts or omissions not in good faith or which involve intentonal misconduct or a knowing violaton of the law, (iii) under Secton 174 of the General Corporaton Law of the State of Delaware or (iv) for any transacton from which the director derived an improper personal beneft. If the General Corporaton Law of the State of Delaware is amended afer the fling of this Sixth Amended and Restated Certfcate of Incorporaton to authorize corporate acton further eliminatng or limitng the personal liability of directors, then the liability of a</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666666"/>
        </w:rPr>
        <w:t>B - 3</w:t>
      </w:r>
    </w:p>
    <w:p>
      <w:pPr>
        <w:sectPr>
          <w:pgSz w:w="11900" w:h="16838" w:orient="portrait"/>
          <w:cols w:equalWidth="0" w:num="1">
            <w:col w:w="11240"/>
          </w:cols>
          <w:pgMar w:left="320" w:top="11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384" w:lineRule="exact"/>
        <w:rPr>
          <w:sz w:val="20"/>
          <w:szCs w:val="20"/>
          <w:color w:val="auto"/>
        </w:rPr>
      </w:pPr>
    </w:p>
    <w:p>
      <w:pPr>
        <w:ind w:left="640" w:right="20"/>
        <w:spacing w:after="0" w:line="223" w:lineRule="auto"/>
        <w:rPr>
          <w:sz w:val="20"/>
          <w:szCs w:val="20"/>
          <w:color w:val="auto"/>
        </w:rPr>
      </w:pPr>
      <w:r>
        <w:rPr>
          <w:rFonts w:ascii="Calibri" w:cs="Calibri" w:eastAsia="Calibri" w:hAnsi="Calibri"/>
          <w:sz w:val="18"/>
          <w:szCs w:val="18"/>
          <w:color w:val="666666"/>
        </w:rPr>
        <w:t>director of the Corporaton shall be eliminated or limited to the fullest extent permited by the General Corporaton Law of the State of Delaware, as so amended.</w:t>
      </w:r>
    </w:p>
    <w:p>
      <w:pPr>
        <w:spacing w:after="0" w:line="229" w:lineRule="exact"/>
        <w:rPr>
          <w:sz w:val="20"/>
          <w:szCs w:val="20"/>
          <w:color w:val="auto"/>
        </w:rPr>
      </w:pPr>
    </w:p>
    <w:p>
      <w:pPr>
        <w:ind w:left="640" w:right="40" w:firstLine="322"/>
        <w:spacing w:after="0" w:line="220" w:lineRule="auto"/>
        <w:tabs>
          <w:tab w:leader="none" w:pos="1267" w:val="left"/>
        </w:tabs>
        <w:numPr>
          <w:ilvl w:val="0"/>
          <w:numId w:val="72"/>
        </w:numPr>
        <w:rPr>
          <w:rFonts w:ascii="Calibri" w:cs="Calibri" w:eastAsia="Calibri" w:hAnsi="Calibri"/>
          <w:sz w:val="18"/>
          <w:szCs w:val="18"/>
          <w:color w:val="666666"/>
        </w:rPr>
      </w:pPr>
      <w:r>
        <w:rPr>
          <w:rFonts w:ascii="Calibri" w:cs="Calibri" w:eastAsia="Calibri" w:hAnsi="Calibri"/>
          <w:sz w:val="18"/>
          <w:szCs w:val="18"/>
          <w:color w:val="666666"/>
        </w:rPr>
        <w:t>The Corporaton shall, through its Bylaws or otherwise, indemnify to the fullest extent permited under the General Corporaton Law of the State of Delaware, as it now exists or as amended from tme to tme, any person who is or was a director or ofcer of the Corporaton or its subsidiaries. The Corporaton may, by acton of its Board of Directors, provide rights to indemnifcaton and to advancement of expenses to such other employees or agents of the Corporaton or its subsidiaries to such extent and to such efect as the Board of Directors shall determine to be appropriate and authorized by Delaware Law.</w:t>
      </w:r>
    </w:p>
    <w:p>
      <w:pPr>
        <w:spacing w:after="0" w:line="215" w:lineRule="exact"/>
        <w:rPr>
          <w:sz w:val="20"/>
          <w:szCs w:val="20"/>
          <w:color w:val="auto"/>
        </w:rPr>
      </w:pPr>
    </w:p>
    <w:p>
      <w:pPr>
        <w:jc w:val="both"/>
        <w:ind w:right="200" w:firstLine="638"/>
        <w:spacing w:after="0" w:line="220" w:lineRule="auto"/>
        <w:rPr>
          <w:sz w:val="20"/>
          <w:szCs w:val="20"/>
          <w:color w:val="auto"/>
        </w:rPr>
      </w:pPr>
      <w:r>
        <w:rPr>
          <w:rFonts w:ascii="Calibri" w:cs="Calibri" w:eastAsia="Calibri" w:hAnsi="Calibri"/>
          <w:sz w:val="18"/>
          <w:szCs w:val="18"/>
          <w:u w:val="single" w:color="auto"/>
          <w:color w:val="666666"/>
        </w:rPr>
        <w:t>EIGHTH.</w:t>
      </w:r>
      <w:r>
        <w:rPr>
          <w:rFonts w:ascii="Calibri" w:cs="Calibri" w:eastAsia="Calibri" w:hAnsi="Calibri"/>
          <w:sz w:val="18"/>
          <w:szCs w:val="18"/>
          <w:color w:val="666666"/>
        </w:rPr>
        <w:t xml:space="preserve"> </w:t>
      </w:r>
      <w:r>
        <w:rPr>
          <w:rFonts w:ascii="Calibri" w:cs="Calibri" w:eastAsia="Calibri" w:hAnsi="Calibri"/>
          <w:sz w:val="18"/>
          <w:szCs w:val="18"/>
          <w:i w:val="1"/>
          <w:iCs w:val="1"/>
          <w:color w:val="666666"/>
        </w:rPr>
        <w:t>Stockholder Acton by Writen Consent.</w:t>
      </w:r>
      <w:r>
        <w:rPr>
          <w:rFonts w:ascii="Calibri" w:cs="Calibri" w:eastAsia="Calibri" w:hAnsi="Calibri"/>
          <w:sz w:val="18"/>
          <w:szCs w:val="18"/>
          <w:color w:val="666666"/>
        </w:rPr>
        <w:t xml:space="preserve"> Any acton required or permited to be taken at any annual or special meetng of stockholders of the Corporaton may be taken only upon the vote of the stockholders at an annual or special meetng duly called and may not be taken by writen consent of the stockholders. The Bylaws may establish procedures regulatng the submission by stockholders of nominatons and proposals for consideraton at meetngs of stockholders of the Corporaton.</w:t>
      </w:r>
    </w:p>
    <w:p>
      <w:pPr>
        <w:spacing w:after="0" w:line="230" w:lineRule="exact"/>
        <w:rPr>
          <w:sz w:val="20"/>
          <w:szCs w:val="20"/>
          <w:color w:val="auto"/>
        </w:rPr>
      </w:pPr>
    </w:p>
    <w:p>
      <w:pPr>
        <w:ind w:right="20" w:firstLine="638"/>
        <w:spacing w:after="0" w:line="220" w:lineRule="auto"/>
        <w:rPr>
          <w:sz w:val="20"/>
          <w:szCs w:val="20"/>
          <w:color w:val="auto"/>
        </w:rPr>
      </w:pPr>
      <w:r>
        <w:rPr>
          <w:rFonts w:ascii="Calibri" w:cs="Calibri" w:eastAsia="Calibri" w:hAnsi="Calibri"/>
          <w:sz w:val="18"/>
          <w:szCs w:val="18"/>
          <w:u w:val="single" w:color="auto"/>
          <w:color w:val="666666"/>
        </w:rPr>
        <w:t>NINTH.</w:t>
      </w:r>
      <w:r>
        <w:rPr>
          <w:rFonts w:ascii="Calibri" w:cs="Calibri" w:eastAsia="Calibri" w:hAnsi="Calibri"/>
          <w:sz w:val="18"/>
          <w:szCs w:val="18"/>
          <w:color w:val="666666"/>
        </w:rPr>
        <w:t xml:space="preserve"> </w:t>
      </w:r>
      <w:r>
        <w:rPr>
          <w:rFonts w:ascii="Calibri" w:cs="Calibri" w:eastAsia="Calibri" w:hAnsi="Calibri"/>
          <w:sz w:val="18"/>
          <w:szCs w:val="18"/>
          <w:i w:val="1"/>
          <w:iCs w:val="1"/>
          <w:color w:val="666666"/>
        </w:rPr>
        <w:t>Special Meetngs.</w:t>
      </w:r>
      <w:r>
        <w:rPr>
          <w:rFonts w:ascii="Calibri" w:cs="Calibri" w:eastAsia="Calibri" w:hAnsi="Calibri"/>
          <w:sz w:val="18"/>
          <w:szCs w:val="18"/>
          <w:color w:val="666666"/>
        </w:rPr>
        <w:t xml:space="preserve"> A special meetng of the stockholders of the Corporaton may be called only by or at the directon of the Board of Directors (i) pursuant to a resoluton adopted by a majority of the total number of directors then in ofce or (ii) upon writen request to the Secretary of the Corporaton, which satsfes the requirements set forth in the Bylaws, of holders of not less than 25% of the outstanding shares of Common Stock, as calculated and determined in the manner specifed, and with any limitatons as may be set forth, in the Bylaws.</w:t>
      </w:r>
    </w:p>
    <w:p>
      <w:pPr>
        <w:spacing w:after="0" w:line="221" w:lineRule="exact"/>
        <w:rPr>
          <w:sz w:val="20"/>
          <w:szCs w:val="20"/>
          <w:color w:val="auto"/>
        </w:rPr>
      </w:pPr>
    </w:p>
    <w:p>
      <w:pPr>
        <w:ind w:left="640"/>
        <w:spacing w:after="0"/>
        <w:rPr>
          <w:sz w:val="20"/>
          <w:szCs w:val="20"/>
          <w:color w:val="auto"/>
        </w:rPr>
      </w:pPr>
      <w:r>
        <w:rPr>
          <w:rFonts w:ascii="Calibri" w:cs="Calibri" w:eastAsia="Calibri" w:hAnsi="Calibri"/>
          <w:sz w:val="18"/>
          <w:szCs w:val="18"/>
          <w:u w:val="single" w:color="auto"/>
          <w:color w:val="666666"/>
        </w:rPr>
        <w:t>TENTH.</w:t>
      </w:r>
      <w:r>
        <w:rPr>
          <w:rFonts w:ascii="Calibri" w:cs="Calibri" w:eastAsia="Calibri" w:hAnsi="Calibri"/>
          <w:sz w:val="18"/>
          <w:szCs w:val="18"/>
          <w:color w:val="666666"/>
        </w:rPr>
        <w:t xml:space="preserve"> [Reserved]</w:t>
      </w:r>
    </w:p>
    <w:p>
      <w:pPr>
        <w:spacing w:after="0" w:line="219" w:lineRule="exact"/>
        <w:rPr>
          <w:sz w:val="20"/>
          <w:szCs w:val="20"/>
          <w:color w:val="auto"/>
        </w:rPr>
      </w:pPr>
    </w:p>
    <w:p>
      <w:pPr>
        <w:ind w:left="640"/>
        <w:spacing w:after="0"/>
        <w:rPr>
          <w:sz w:val="20"/>
          <w:szCs w:val="20"/>
          <w:color w:val="auto"/>
        </w:rPr>
      </w:pPr>
      <w:r>
        <w:rPr>
          <w:rFonts w:ascii="Calibri" w:cs="Calibri" w:eastAsia="Calibri" w:hAnsi="Calibri"/>
          <w:sz w:val="18"/>
          <w:szCs w:val="18"/>
          <w:u w:val="single" w:color="auto"/>
          <w:color w:val="666666"/>
        </w:rPr>
        <w:t>ELEVENTH.</w:t>
      </w:r>
      <w:r>
        <w:rPr>
          <w:rFonts w:ascii="Calibri" w:cs="Calibri" w:eastAsia="Calibri" w:hAnsi="Calibri"/>
          <w:sz w:val="18"/>
          <w:szCs w:val="18"/>
          <w:color w:val="666666"/>
        </w:rPr>
        <w:t xml:space="preserve"> [Reserved]</w:t>
      </w:r>
    </w:p>
    <w:p>
      <w:pPr>
        <w:spacing w:after="0" w:line="227" w:lineRule="exact"/>
        <w:rPr>
          <w:sz w:val="20"/>
          <w:szCs w:val="20"/>
          <w:color w:val="auto"/>
        </w:rPr>
      </w:pPr>
    </w:p>
    <w:p>
      <w:pPr>
        <w:ind w:right="120" w:firstLine="638"/>
        <w:spacing w:after="0" w:line="217" w:lineRule="auto"/>
        <w:rPr>
          <w:sz w:val="20"/>
          <w:szCs w:val="20"/>
          <w:color w:val="auto"/>
        </w:rPr>
      </w:pPr>
      <w:r>
        <w:rPr>
          <w:rFonts w:ascii="Calibri" w:cs="Calibri" w:eastAsia="Calibri" w:hAnsi="Calibri"/>
          <w:sz w:val="18"/>
          <w:szCs w:val="18"/>
          <w:u w:val="single" w:color="auto"/>
          <w:color w:val="666666"/>
        </w:rPr>
        <w:t>TWELFTH.</w:t>
      </w:r>
      <w:r>
        <w:rPr>
          <w:rFonts w:ascii="Calibri" w:cs="Calibri" w:eastAsia="Calibri" w:hAnsi="Calibri"/>
          <w:sz w:val="18"/>
          <w:szCs w:val="18"/>
          <w:color w:val="666666"/>
        </w:rPr>
        <w:t xml:space="preserve"> </w:t>
      </w:r>
      <w:r>
        <w:rPr>
          <w:rFonts w:ascii="Calibri" w:cs="Calibri" w:eastAsia="Calibri" w:hAnsi="Calibri"/>
          <w:sz w:val="18"/>
          <w:szCs w:val="18"/>
          <w:i w:val="1"/>
          <w:iCs w:val="1"/>
          <w:color w:val="666666"/>
        </w:rPr>
        <w:t>Forum.</w:t>
      </w:r>
      <w:r>
        <w:rPr>
          <w:rFonts w:ascii="Calibri" w:cs="Calibri" w:eastAsia="Calibri" w:hAnsi="Calibri"/>
          <w:sz w:val="18"/>
          <w:szCs w:val="18"/>
          <w:color w:val="666666"/>
        </w:rPr>
        <w:t xml:space="preserve"> The Court of Chancery of the State of Delaware shall be the sole and exclusive forum for (i) any derivatve acton or proceeding brought on behalf of the Corporaton, (ii) any acton assertng a claim of breach of a fduciary duty owed by any director or ofcer of the Corporaton to the Corporaton or the Corporaton’s stockholders, (iii) any acton assertng a claim against the Corporaton arising pursuant to any provision of the General Corporaton Law of the State of Delaware or the Corporaton’s Sixth Amended and Restated Certfcate of Incorporaton or Bylaws, or (iv) any acton assertng a claim against the Corporaton governed by the internal afairs doctrine.</w:t>
      </w:r>
    </w:p>
    <w:p>
      <w:pPr>
        <w:spacing w:after="0" w:line="228" w:lineRule="exact"/>
        <w:rPr>
          <w:sz w:val="20"/>
          <w:szCs w:val="20"/>
          <w:color w:val="auto"/>
        </w:rPr>
      </w:pPr>
    </w:p>
    <w:p>
      <w:pPr>
        <w:ind w:firstLine="638"/>
        <w:spacing w:after="0" w:line="219" w:lineRule="auto"/>
        <w:rPr>
          <w:sz w:val="20"/>
          <w:szCs w:val="20"/>
          <w:color w:val="auto"/>
        </w:rPr>
      </w:pPr>
      <w:r>
        <w:rPr>
          <w:rFonts w:ascii="Calibri" w:cs="Calibri" w:eastAsia="Calibri" w:hAnsi="Calibri"/>
          <w:sz w:val="18"/>
          <w:szCs w:val="18"/>
          <w:u w:val="single" w:color="auto"/>
          <w:color w:val="666666"/>
        </w:rPr>
        <w:t>THIRTEENTH.</w:t>
      </w:r>
      <w:r>
        <w:rPr>
          <w:rFonts w:ascii="Calibri" w:cs="Calibri" w:eastAsia="Calibri" w:hAnsi="Calibri"/>
          <w:sz w:val="18"/>
          <w:szCs w:val="18"/>
          <w:color w:val="666666"/>
        </w:rPr>
        <w:t xml:space="preserve"> </w:t>
      </w:r>
      <w:r>
        <w:rPr>
          <w:rFonts w:ascii="Calibri" w:cs="Calibri" w:eastAsia="Calibri" w:hAnsi="Calibri"/>
          <w:sz w:val="18"/>
          <w:szCs w:val="18"/>
          <w:i w:val="1"/>
          <w:iCs w:val="1"/>
          <w:color w:val="666666"/>
        </w:rPr>
        <w:t>Amendment.</w:t>
      </w:r>
      <w:r>
        <w:rPr>
          <w:rFonts w:ascii="Calibri" w:cs="Calibri" w:eastAsia="Calibri" w:hAnsi="Calibri"/>
          <w:sz w:val="18"/>
          <w:szCs w:val="18"/>
          <w:color w:val="666666"/>
        </w:rPr>
        <w:t xml:space="preserve"> The Corporaton reserves the right to amend, alter or repeal any provision contained in this Sixth Amended and Restated Certfcate of Incorporaton in the manner now or hereafer prescribed by the laws of the State of Delaware, and all rights herein conferred upon stockholders or directors are granted subject to this reservaton, provided, however, that any amendment, alteraton or repeal of Artcle Seventh, Secton (h) shall not adversely afect any right or protecton existng under this Sixth Amended and Restated Certfcate of Incorporaton immediately prior to such amendment, alteraton or repeal, including any right or protecton of a director or ofcer thereunder in respect of any act or omission occurring prior to the tme of such amendment, modifcaton or repeal.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666666"/>
        </w:rPr>
        <w:t>B - 4</w:t>
      </w:r>
    </w:p>
    <w:p>
      <w:pPr>
        <w:sectPr>
          <w:pgSz w:w="11900" w:h="16838" w:orient="portrait"/>
          <w:cols w:equalWidth="0" w:num="1">
            <w:col w:w="11220"/>
          </w:cols>
          <w:pgMar w:left="320" w:top="118"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18"/>
          <w:szCs w:val="18"/>
          <w:color w:val="4F7CBA"/>
        </w:rPr>
        <w:t>[THIS PAGE INTENTIONALLY LEFT BLANK]</w:t>
      </w:r>
    </w:p>
    <w:p>
      <w:pPr>
        <w:sectPr>
          <w:pgSz w:w="11900" w:h="16838" w:orient="portrait"/>
          <w:cols w:equalWidth="0" w:num="1">
            <w:col w:w="10139"/>
          </w:cols>
          <w:pgMar w:left="320" w:top="118"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687070</wp:posOffset>
            </wp:positionH>
            <wp:positionV relativeFrom="paragraph">
              <wp:posOffset>544195</wp:posOffset>
            </wp:positionV>
            <wp:extent cx="5768340" cy="74885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68340" cy="748855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color w:val="EE2724"/>
        </w:rPr>
        <w:t>[Preliminary Copy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687070</wp:posOffset>
            </wp:positionH>
            <wp:positionV relativeFrom="paragraph">
              <wp:posOffset>544195</wp:posOffset>
            </wp:positionV>
            <wp:extent cx="5768340" cy="74631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68340" cy="7463155"/>
                    </a:xfrm>
                    <a:prstGeom prst="rect">
                      <a:avLst/>
                    </a:prstGeom>
                    <a:noFill/>
                  </pic:spPr>
                </pic:pic>
              </a:graphicData>
            </a:graphic>
          </wp:anchor>
        </w:drawing>
      </w:r>
    </w:p>
    <w:sectPr>
      <w:pgSz w:w="11900" w:h="16838" w:orient="portrait"/>
      <w:cols w:equalWidth="0" w:num="1">
        <w:col w:w="10139"/>
      </w:cols>
      <w:pgMar w:left="32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1."/>
      <w:numFmt w:val="decimal"/>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lvl w:ilvl="1">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1)"/>
      <w:numFmt w:val="decimal"/>
      <w:start w:val="1"/>
    </w:lvl>
  </w:abstractNum>
  <w:abstractNum w:abstractNumId="29">
    <w:nsid w:val="1BA026FA"/>
    <w:multiLevelType w:val="hybridMultilevel"/>
    <w:lvl w:ilvl="0">
      <w:lvlJc w:val="left"/>
      <w:lvlText w:val="(%1)"/>
      <w:numFmt w:val="decimal"/>
      <w:start w:val="4"/>
    </w:lvl>
  </w:abstractNum>
  <w:abstractNum w:abstractNumId="30">
    <w:nsid w:val="79A1DEAA"/>
    <w:multiLevelType w:val="hybridMultilevel"/>
    <w:lvl w:ilvl="0">
      <w:lvlJc w:val="left"/>
      <w:lvlText w:val="(%1)"/>
      <w:numFmt w:val="lowerLetter"/>
      <w:start w:val="1"/>
    </w:lvl>
  </w:abstractNum>
  <w:abstractNum w:abstractNumId="31">
    <w:nsid w:val="75C6C33A"/>
    <w:multiLevelType w:val="hybridMultilevel"/>
    <w:lvl w:ilvl="0">
      <w:lvlJc w:val="left"/>
      <w:lvlText w:val="(%1)"/>
      <w:numFmt w:val="decimal"/>
      <w:start w:val="1"/>
    </w:lvl>
  </w:abstractNum>
  <w:abstractNum w:abstractNumId="32">
    <w:nsid w:val="12E685FB"/>
    <w:multiLevelType w:val="hybridMultilevel"/>
    <w:lvl w:ilvl="0">
      <w:lvlJc w:val="left"/>
      <w:lvlText w:val="(%1)"/>
      <w:numFmt w:val="decimal"/>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û"/>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1)"/>
      <w:numFmt w:val="decimal"/>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1)"/>
      <w:numFmt w:val="decimal"/>
      <w:start w:val="1"/>
    </w:lvl>
  </w:abstractNum>
  <w:abstractNum w:abstractNumId="48">
    <w:nsid w:val="D34B6A8"/>
    <w:multiLevelType w:val="hybridMultilevel"/>
    <w:lvl w:ilvl="0">
      <w:lvlJc w:val="left"/>
      <w:lvlText w:val="(%1)"/>
      <w:numFmt w:val="lowerLetter"/>
      <w:start w:val="1"/>
    </w:lvl>
  </w:abstractNum>
  <w:abstractNum w:abstractNumId="49">
    <w:nsid w:val="10233C99"/>
    <w:multiLevelType w:val="hybridMultilevel"/>
    <w:lvl w:ilvl="0">
      <w:lvlJc w:val="left"/>
      <w:lvlText w:val="(%1)"/>
      <w:numFmt w:val="decimal"/>
      <w:start w:val="1"/>
    </w:lvl>
  </w:abstractNum>
  <w:abstractNum w:abstractNumId="50">
    <w:nsid w:val="3F6AB60F"/>
    <w:multiLevelType w:val="hybridMultilevel"/>
    <w:lvl w:ilvl="0">
      <w:lvlJc w:val="left"/>
      <w:lvlText w:val="(%1)"/>
      <w:numFmt w:val="decimal"/>
      <w:start w:val="3"/>
    </w:lvl>
  </w:abstractNum>
  <w:abstractNum w:abstractNumId="51">
    <w:nsid w:val="61574095"/>
    <w:multiLevelType w:val="hybridMultilevel"/>
    <w:lvl w:ilvl="0">
      <w:lvlJc w:val="left"/>
      <w:lvlText w:val="(%1)"/>
      <w:numFmt w:val="decimal"/>
      <w:start w:val="5"/>
    </w:lvl>
  </w:abstractNum>
  <w:abstractNum w:abstractNumId="52">
    <w:nsid w:val="7E0C57B1"/>
    <w:multiLevelType w:val="hybridMultilevel"/>
    <w:lvl w:ilvl="0">
      <w:lvlJc w:val="left"/>
      <w:lvlText w:val="(%1)"/>
      <w:numFmt w:val="decimal"/>
      <w:start w:val="1"/>
    </w:lvl>
  </w:abstractNum>
  <w:abstractNum w:abstractNumId="53">
    <w:nsid w:val="77AE35EB"/>
    <w:multiLevelType w:val="hybridMultilevel"/>
    <w:lvl w:ilvl="0">
      <w:lvlJc w:val="left"/>
      <w:lvlText w:val="(%1)"/>
      <w:numFmt w:val="lowerLetter"/>
      <w:start w:val="2"/>
    </w:lvl>
  </w:abstractNum>
  <w:abstractNum w:abstractNumId="54">
    <w:nsid w:val="579BE4F1"/>
    <w:multiLevelType w:val="hybridMultilevel"/>
    <w:lvl w:ilvl="0">
      <w:lvlJc w:val="left"/>
      <w:lvlText w:val="(%1)"/>
      <w:numFmt w:val="decimal"/>
      <w:start w:val="1"/>
    </w:lvl>
  </w:abstractNum>
  <w:abstractNum w:abstractNumId="55">
    <w:nsid w:val="310C50B3"/>
    <w:multiLevelType w:val="hybridMultilevel"/>
    <w:lvl w:ilvl="0">
      <w:lvlJc w:val="left"/>
      <w:lvlText w:val="(%1)"/>
      <w:numFmt w:val="decimal"/>
      <w:start w:val="1"/>
    </w:lvl>
  </w:abstractNum>
  <w:abstractNum w:abstractNumId="56">
    <w:nsid w:val="5FF87E05"/>
    <w:multiLevelType w:val="hybridMultilevel"/>
    <w:lvl w:ilvl="0">
      <w:lvlJc w:val="left"/>
      <w:lvlText w:val="(%1)"/>
      <w:numFmt w:val="decimal"/>
      <w:start w:val="5"/>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1)"/>
      <w:numFmt w:val="decimal"/>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1)"/>
      <w:numFmt w:val="decimal"/>
      <w:start w:val="2"/>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1)"/>
      <w:numFmt w:val="lowerLetter"/>
      <w:start w:val="1"/>
    </w:lvl>
  </w:abstractNum>
  <w:abstractNum w:abstractNumId="66">
    <w:nsid w:val="15014ACB"/>
    <w:multiLevelType w:val="hybridMultilevel"/>
    <w:lvl w:ilvl="0">
      <w:lvlJc w:val="left"/>
      <w:lvlText w:val="(%1)"/>
      <w:numFmt w:val="lowerLetter"/>
      <w:start w:val="5"/>
    </w:lvl>
  </w:abstractNum>
  <w:abstractNum w:abstractNumId="67">
    <w:nsid w:val="5F5E7FD0"/>
    <w:multiLevelType w:val="hybridMultilevel"/>
    <w:lvl w:ilvl="0">
      <w:lvlJc w:val="left"/>
      <w:lvlText w:val="%1."/>
      <w:numFmt w:val="decimal"/>
      <w:start w:val="1"/>
    </w:lvl>
  </w:abstractNum>
  <w:abstractNum w:abstractNumId="68">
    <w:nsid w:val="98A3148"/>
    <w:multiLevelType w:val="hybridMultilevel"/>
    <w:lvl w:ilvl="0">
      <w:lvlJc w:val="left"/>
      <w:lvlText w:val="%1."/>
      <w:numFmt w:val="lowerLetter"/>
      <w:start w:val="1"/>
    </w:lvl>
  </w:abstractNum>
  <w:abstractNum w:abstractNumId="69">
    <w:nsid w:val="799D0247"/>
    <w:multiLevelType w:val="hybridMultilevel"/>
    <w:lvl w:ilvl="0">
      <w:lvlJc w:val="left"/>
      <w:lvlText w:val="%1."/>
      <w:numFmt w:val="lowerLetter"/>
      <w:start w:val="1"/>
    </w:lvl>
  </w:abstractNum>
  <w:abstractNum w:abstractNumId="70">
    <w:nsid w:val="6B94764"/>
    <w:multiLevelType w:val="hybridMultilevel"/>
    <w:lvl w:ilvl="0">
      <w:lvlJc w:val="left"/>
      <w:lvlText w:val="%1."/>
      <w:numFmt w:val="lowerLetter"/>
      <w:start w:val="1"/>
    </w:lvl>
  </w:abstractNum>
  <w:abstractNum w:abstractNumId="71">
    <w:nsid w:val="42C296B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2022-05-26T15:47:52Z</dcterms:created>
  <dcterms:modified xsi:type="dcterms:W3CDTF">2022-05-26T15:47:52Z</dcterms:modified>
</cp:coreProperties>
</file>